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2026年电火针仪等一批</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1919"/>
      <w:bookmarkStart w:id="1" w:name="_Toc471310326"/>
      <w:bookmarkStart w:id="2" w:name="_Toc20358"/>
      <w:bookmarkStart w:id="3" w:name="_Toc1907"/>
      <w:bookmarkStart w:id="4" w:name="_Toc3240"/>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W w:w="5046"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7"/>
        <w:gridCol w:w="1879"/>
        <w:gridCol w:w="7316"/>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74"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82"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7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0"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7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0"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2026年电火针仪等一批</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CGZX-YXZ2026</w:t>
            </w:r>
            <w:r>
              <w:rPr>
                <w:rFonts w:hint="eastAsia" w:ascii="Times New Roman" w:hAnsi="Times New Roman" w:eastAsia="仿宋" w:cs="Times New Roman"/>
                <w:sz w:val="22"/>
              </w:rPr>
              <w:t>1601</w:t>
            </w:r>
            <w:r>
              <w:rPr>
                <w:rFonts w:hint="eastAsia" w:ascii="Times New Roman" w:hAnsi="Times New Roman" w:eastAsia="仿宋" w:cs="Times New Roman"/>
                <w:sz w:val="22"/>
                <w:lang w:val="en-US" w:eastAsia="zh-CN"/>
              </w:rPr>
              <w:t>-1604</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82"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106000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82"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82"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82"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7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82"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7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continue"/>
            <w:vAlign w:val="center"/>
          </w:tcPr>
          <w:p>
            <w:pPr>
              <w:spacing w:line="360" w:lineRule="auto"/>
              <w:jc w:val="center"/>
              <w:rPr>
                <w:rFonts w:ascii="Times New Roman" w:hAnsi="Times New Roman" w:eastAsia="仿宋" w:cs="Times New Roman"/>
                <w:kern w:val="0"/>
                <w:sz w:val="22"/>
              </w:rPr>
            </w:pPr>
          </w:p>
        </w:tc>
        <w:tc>
          <w:tcPr>
            <w:tcW w:w="7282"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82"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7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82"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7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Merge w:val="continue"/>
            <w:vAlign w:val="center"/>
          </w:tcPr>
          <w:p>
            <w:pPr>
              <w:pStyle w:val="28"/>
              <w:spacing w:line="360" w:lineRule="auto"/>
              <w:jc w:val="center"/>
              <w:rPr>
                <w:rFonts w:ascii="Times New Roman" w:hAnsi="Times New Roman" w:eastAsia="仿宋" w:cs="Times New Roman"/>
                <w:sz w:val="22"/>
                <w:szCs w:val="22"/>
              </w:rPr>
            </w:pPr>
          </w:p>
        </w:tc>
        <w:tc>
          <w:tcPr>
            <w:tcW w:w="7282"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合同金额的10%；</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0"/>
              </w:numPr>
              <w:tabs>
                <w:tab w:val="left" w:pos="220"/>
              </w:tabs>
              <w:spacing w:line="360" w:lineRule="auto"/>
              <w:ind w:left="210" w:leftChars="100" w:firstLine="1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p>
          <w:p>
            <w:pPr>
              <w:pStyle w:val="28"/>
              <w:numPr>
                <w:ilvl w:val="0"/>
                <w:numId w:val="0"/>
              </w:numPr>
              <w:tabs>
                <w:tab w:val="left" w:pos="220"/>
              </w:tabs>
              <w:autoSpaceDE/>
              <w:autoSpaceDN/>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pPr>
              <w:pStyle w:val="28"/>
              <w:numPr>
                <w:ilvl w:val="0"/>
                <w:numId w:val="0"/>
              </w:numPr>
              <w:tabs>
                <w:tab w:val="left" w:pos="220"/>
              </w:tabs>
              <w:spacing w:line="360" w:lineRule="auto"/>
              <w:ind w:left="210" w:leftChars="100" w:firstLine="10"/>
              <w:jc w:val="both"/>
              <w:rPr>
                <w:rFonts w:hint="eastAsia" w:ascii="Times New Roman" w:hAnsi="Times New Roman" w:eastAsia="仿宋" w:cs="Times New Roman"/>
                <w:b w:val="0"/>
                <w:sz w:val="22"/>
                <w:szCs w:val="22"/>
                <w:vertAlign w:val="baseline"/>
                <w:lang w:val="zh-CN" w:eastAsia="zh-CN"/>
              </w:rPr>
            </w:pPr>
            <w:r>
              <w:rPr>
                <w:rFonts w:hint="eastAsia" w:ascii="Times New Roman" w:hAnsi="Times New Roman" w:eastAsia="仿宋" w:cs="Times New Roman"/>
                <w:sz w:val="22"/>
                <w:szCs w:val="22"/>
                <w:lang w:val="en-US" w:eastAsia="zh-CN"/>
              </w:rPr>
              <w:t>（</w:t>
            </w:r>
            <w:r>
              <w:rPr>
                <w:rFonts w:hint="eastAsia" w:ascii="Times New Roman" w:hAnsi="Times New Roman" w:eastAsia="仿宋" w:cs="Times New Roman"/>
                <w:sz w:val="22"/>
                <w:szCs w:val="22"/>
                <w:lang w:val="zh-CN" w:eastAsia="zh-CN"/>
              </w:rPr>
              <w:t>1）</w:t>
            </w:r>
            <w:r>
              <w:rPr>
                <w:rFonts w:hint="eastAsia" w:ascii="Times New Roman" w:hAnsi="Times New Roman" w:eastAsia="仿宋" w:cs="Times New Roman"/>
                <w:b w:val="0"/>
                <w:sz w:val="22"/>
                <w:szCs w:val="22"/>
                <w:vertAlign w:val="baseline"/>
                <w:lang w:val="zh-CN" w:eastAsia="zh-CN"/>
              </w:rPr>
              <w:t>供应商拒绝履行与采购人订立的合同；</w:t>
            </w:r>
          </w:p>
          <w:p>
            <w:pPr>
              <w:pStyle w:val="28"/>
              <w:numPr>
                <w:ilvl w:val="0"/>
                <w:numId w:val="0"/>
              </w:numPr>
              <w:tabs>
                <w:tab w:val="left" w:pos="220"/>
              </w:tabs>
              <w:spacing w:line="360" w:lineRule="auto"/>
              <w:ind w:left="210" w:leftChars="100" w:firstLine="10"/>
              <w:jc w:val="both"/>
              <w:rPr>
                <w:rFonts w:hint="eastAsia" w:ascii="Times New Roman" w:hAnsi="Times New Roman" w:eastAsia="仿宋" w:cs="Times New Roman"/>
                <w:b w:val="0"/>
                <w:sz w:val="22"/>
                <w:szCs w:val="22"/>
                <w:vertAlign w:val="baseline"/>
                <w:lang w:val="zh-CN" w:eastAsia="zh-CN"/>
              </w:rPr>
            </w:pPr>
            <w:r>
              <w:rPr>
                <w:rFonts w:hint="eastAsia" w:ascii="Times New Roman" w:hAnsi="Times New Roman" w:eastAsia="仿宋" w:cs="Times New Roman"/>
                <w:b w:val="0"/>
                <w:sz w:val="22"/>
                <w:szCs w:val="22"/>
                <w:vertAlign w:val="baseline"/>
                <w:lang w:val="zh-CN" w:eastAsia="zh-CN"/>
              </w:rPr>
              <w:t>（</w:t>
            </w:r>
            <w:r>
              <w:rPr>
                <w:rFonts w:hint="eastAsia" w:ascii="Times New Roman" w:hAnsi="Times New Roman" w:eastAsia="仿宋" w:cs="Times New Roman"/>
                <w:b w:val="0"/>
                <w:sz w:val="22"/>
                <w:szCs w:val="22"/>
                <w:vertAlign w:val="baseline"/>
                <w:lang w:val="en-US" w:eastAsia="zh-CN"/>
              </w:rPr>
              <w:t>2</w:t>
            </w:r>
            <w:r>
              <w:rPr>
                <w:rFonts w:hint="eastAsia" w:ascii="Times New Roman" w:hAnsi="Times New Roman" w:eastAsia="仿宋" w:cs="Times New Roman"/>
                <w:b w:val="0"/>
                <w:sz w:val="22"/>
                <w:szCs w:val="22"/>
                <w:vertAlign w:val="baseline"/>
                <w:lang w:val="zh-CN" w:eastAsia="zh-CN"/>
              </w:rPr>
              <w:t>）因供应商严重违约或其它违法违规行为等情形，导致双方无法继续履约；</w:t>
            </w:r>
          </w:p>
          <w:p>
            <w:pPr>
              <w:pStyle w:val="28"/>
              <w:numPr>
                <w:ilvl w:val="0"/>
                <w:numId w:val="0"/>
              </w:numPr>
              <w:tabs>
                <w:tab w:val="left" w:pos="220"/>
              </w:tabs>
              <w:spacing w:line="360" w:lineRule="auto"/>
              <w:ind w:left="210" w:leftChars="100" w:firstLine="10"/>
              <w:jc w:val="both"/>
              <w:rPr>
                <w:rFonts w:hint="eastAsia" w:ascii="新宋体" w:hAnsi="新宋体" w:eastAsia="新宋体" w:cs="新宋体"/>
                <w:b w:val="0"/>
                <w:sz w:val="24"/>
                <w:szCs w:val="24"/>
                <w:vertAlign w:val="baseline"/>
                <w:lang w:val="en-US" w:eastAsia="zh-CN"/>
              </w:rPr>
            </w:pPr>
            <w:r>
              <w:rPr>
                <w:rFonts w:hint="eastAsia" w:ascii="Times New Roman" w:hAnsi="Times New Roman" w:eastAsia="仿宋" w:cs="Times New Roman"/>
                <w:b w:val="0"/>
                <w:sz w:val="22"/>
                <w:szCs w:val="22"/>
                <w:vertAlign w:val="baseline"/>
                <w:lang w:val="zh-CN" w:eastAsia="zh-CN"/>
              </w:rPr>
              <w:t>（</w:t>
            </w:r>
            <w:r>
              <w:rPr>
                <w:rFonts w:hint="eastAsia" w:ascii="Times New Roman" w:hAnsi="Times New Roman" w:eastAsia="仿宋" w:cs="Times New Roman"/>
                <w:b w:val="0"/>
                <w:sz w:val="22"/>
                <w:szCs w:val="22"/>
                <w:vertAlign w:val="baseline"/>
                <w:lang w:val="en-US" w:eastAsia="zh-CN"/>
              </w:rPr>
              <w:t>3</w:t>
            </w:r>
            <w:r>
              <w:rPr>
                <w:rFonts w:hint="eastAsia" w:ascii="Times New Roman" w:hAnsi="Times New Roman" w:eastAsia="仿宋" w:cs="Times New Roman"/>
                <w:b w:val="0"/>
                <w:sz w:val="22"/>
                <w:szCs w:val="22"/>
                <w:vertAlign w:val="baseline"/>
                <w:lang w:val="zh-CN" w:eastAsia="zh-CN"/>
              </w:rPr>
              <w:t>）其它情形：无</w:t>
            </w:r>
            <w:r>
              <w:rPr>
                <w:rFonts w:hint="eastAsia" w:ascii="新宋体" w:hAnsi="新宋体" w:eastAsia="新宋体" w:cs="新宋体"/>
                <w:b w:val="0"/>
                <w:sz w:val="24"/>
                <w:szCs w:val="24"/>
                <w:vertAlign w:val="baseline"/>
                <w:lang w:val="en-US"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82"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7"/>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7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0"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82"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8"/>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9"/>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9"/>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sz w:val="24"/>
          <w:szCs w:val="24"/>
          <w:vertAlign w:val="baseline"/>
          <w:lang w:val="en-US" w:eastAsia="zh-CN"/>
        </w:rPr>
        <w:t>电火针仪</w:t>
      </w:r>
      <w:r>
        <w:rPr>
          <w:rFonts w:hint="eastAsia" w:ascii="Times New Roman" w:hAnsi="Times New Roman" w:eastAsia="仿宋" w:cs="Times New Roman"/>
          <w:sz w:val="24"/>
          <w:szCs w:val="24"/>
          <w:lang w:eastAsia="zh-CN"/>
        </w:rPr>
        <w:t>、</w:t>
      </w:r>
      <w:r>
        <w:rPr>
          <w:rFonts w:hint="eastAsia"/>
          <w:sz w:val="24"/>
          <w:szCs w:val="24"/>
          <w:vertAlign w:val="baseline"/>
          <w:lang w:val="en-US" w:eastAsia="zh-CN"/>
        </w:rPr>
        <w:t>中药熏蒸仪</w:t>
      </w:r>
      <w:r>
        <w:rPr>
          <w:rFonts w:hint="eastAsia" w:ascii="Times New Roman" w:hAnsi="Times New Roman" w:eastAsia="仿宋" w:cs="Times New Roman"/>
          <w:sz w:val="24"/>
          <w:szCs w:val="24"/>
          <w:lang w:eastAsia="zh-CN"/>
        </w:rPr>
        <w:t>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1457"/>
        <w:gridCol w:w="899"/>
        <w:gridCol w:w="874"/>
        <w:gridCol w:w="1325"/>
        <w:gridCol w:w="1308"/>
        <w:gridCol w:w="971"/>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5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5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4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5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85"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7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0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1005"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58"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53" w:type="pct"/>
            <w:vAlign w:val="center"/>
          </w:tcPr>
          <w:p>
            <w:pPr>
              <w:pStyle w:val="7"/>
              <w:widowControl w:val="0"/>
              <w:numPr>
                <w:ilvl w:val="0"/>
                <w:numId w:val="0"/>
              </w:numPr>
              <w:ind w:left="0" w:leftChars="0" w:firstLine="0" w:firstLineChars="0"/>
              <w:jc w:val="center"/>
              <w:rPr>
                <w:rFonts w:hint="eastAsia" w:ascii="新宋体" w:hAnsi="新宋体" w:eastAsia="新宋体" w:cs="新宋体"/>
                <w:b/>
                <w:color w:val="auto"/>
                <w:kern w:val="2"/>
                <w:sz w:val="24"/>
                <w:szCs w:val="24"/>
                <w:vertAlign w:val="baseline"/>
                <w:lang w:val="en-US" w:eastAsia="zh-CN" w:bidi="ar-SA"/>
              </w:rPr>
            </w:pPr>
            <w:r>
              <w:rPr>
                <w:rFonts w:hint="eastAsia"/>
                <w:sz w:val="24"/>
                <w:szCs w:val="24"/>
                <w:vertAlign w:val="baseline"/>
                <w:lang w:val="en-US" w:eastAsia="zh-CN"/>
              </w:rPr>
              <w:t>电火针仪</w:t>
            </w:r>
          </w:p>
        </w:tc>
        <w:tc>
          <w:tcPr>
            <w:tcW w:w="465"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452"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8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0.35</w:t>
            </w:r>
          </w:p>
        </w:tc>
        <w:tc>
          <w:tcPr>
            <w:tcW w:w="676"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0.7</w:t>
            </w:r>
          </w:p>
        </w:tc>
        <w:tc>
          <w:tcPr>
            <w:tcW w:w="502"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1005"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58"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753" w:type="pct"/>
            <w:vAlign w:val="center"/>
          </w:tcPr>
          <w:p>
            <w:pPr>
              <w:pStyle w:val="7"/>
              <w:widowControl w:val="0"/>
              <w:numPr>
                <w:ilvl w:val="0"/>
                <w:numId w:val="0"/>
              </w:numPr>
              <w:ind w:left="0" w:leftChars="0" w:firstLine="0" w:firstLineChars="0"/>
              <w:jc w:val="center"/>
              <w:rPr>
                <w:rFonts w:hint="eastAsia" w:ascii="仿宋" w:hAnsi="仿宋" w:eastAsia="仿宋" w:cs="仿宋"/>
                <w:sz w:val="24"/>
                <w:szCs w:val="24"/>
                <w:lang w:val="en-US" w:eastAsia="zh-CN"/>
              </w:rPr>
            </w:pPr>
            <w:r>
              <w:rPr>
                <w:rFonts w:hint="eastAsia"/>
                <w:sz w:val="24"/>
                <w:szCs w:val="24"/>
                <w:vertAlign w:val="baseline"/>
                <w:lang w:val="en-US" w:eastAsia="zh-CN"/>
              </w:rPr>
              <w:t>中药熏蒸仪</w:t>
            </w:r>
          </w:p>
        </w:tc>
        <w:tc>
          <w:tcPr>
            <w:tcW w:w="465"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45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8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3.3</w:t>
            </w:r>
          </w:p>
        </w:tc>
        <w:tc>
          <w:tcPr>
            <w:tcW w:w="676"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9.9</w:t>
            </w:r>
          </w:p>
        </w:tc>
        <w:tc>
          <w:tcPr>
            <w:tcW w:w="502"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1005"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2"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line="288" w:lineRule="auto"/>
        <w:ind w:left="0" w:right="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电火针仪：</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1.火针外径：0.5mm—0.8mm范围内。</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2.火针针具长度：95±2mm。</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3.具备自动升温功能。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4.工作时发热管温度：850℃±10%。</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5.进针和出针距离：满足0mm—30mm。</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6.出针速度≤0.2s。</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7.主机尺寸：280mm±5mm（长）×80mm±5mm（宽）×150mm±5mm（高）。</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8.主机重量≤0.85kg。</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9.主机设计使用年限≥3年。</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10.内置蓄电池，使用无需插电。</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11.最大充电时间≤3小时，支持220V±5V电压充电。</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12.★每台配置火针条600支。</w:t>
      </w:r>
    </w:p>
    <w:p>
      <w:pPr>
        <w:pStyle w:val="14"/>
        <w:keepNext w:val="0"/>
        <w:keepLines w:val="0"/>
        <w:widowControl/>
        <w:suppressLineNumbers w:val="0"/>
        <w:spacing w:before="0" w:beforeAutospacing="0" w:after="0" w:afterAutospacing="0" w:line="288" w:lineRule="auto"/>
        <w:ind w:left="0" w:right="0" w:firstLine="0" w:firstLineChars="0"/>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中药熏蒸仪：</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1.▲具有手动治疗模式和自动治疗模式，自动模式具备自动进液功能和液位自动控制功能。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2.手动治疗模式下熏蒸时间调节范围：满足1min—99min。</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3.▲手动治疗模式下熏蒸压力调节范围：满足1kPa—40kPa。</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4.具备预热功能，预热温度调节范围：满足50℃—90℃。</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5.▲自动模式下药液预热到产生蒸汽用时≤5分钟，自动模式下单次进液和预热支持≥20分钟熏蒸治疗。</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6.具备自动计时功能，熏蒸压力达到1kPa可自动启动熏蒸治疗和时间计时，具备治疗启动声音提示功能。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7.具备熏蒸时间完成自动停止输出功能和完成声音提示功能。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8.▲具备液位监控功能，具备≥3个液位监测装置，可实现高限液位、单个治疗周期加热和治疗所需药液液位、低限液位的监测，液位超限（高限和低限）可自动停止加热并报警提示。</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9.具备≥10级药液浓度指示功能。</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10.▲熏蒸锅最大加液量≥4L，具备药液箱，药液箱最大加液量≥8L。</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11.采用微电脑控制设计，具备≥8英寸彩色液晶触控显示屏。</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12.具有冷凝水收集功能，可自动回收冷凝水。</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13.具备手动排液模式和自动排液模式。</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sz w:val="24"/>
          <w:szCs w:val="24"/>
          <w:vertAlign w:val="baseline"/>
          <w:lang w:val="en-US" w:eastAsia="zh-CN"/>
        </w:rPr>
        <w:t>14.★3台共配置：不锈钢心形刮痧板10个、不锈钢经络梳5个、不锈钢经络刷5个、玻璃火罐（内径32mm）30个、玻璃火罐（内径38mm）30个、防爆玻璃酒精灯3个、火罐点火棒5个、鸡翅木号脉枕头3个、耳穴教学模型2个、针刀1套、面针（0.12×7mm）500支、面针（0.12×15mm）500支、面针（0.14×7mm）500支、面针（0.14×15mm）500支、面针（0.16×7mm）500支、面针（0.16×15mm）500支、面针（0.20×13mm）500支。</w:t>
      </w:r>
    </w:p>
    <w:p>
      <w:pPr>
        <w:pStyle w:val="14"/>
        <w:widowControl/>
        <w:numPr>
          <w:ilvl w:val="0"/>
          <w:numId w:val="0"/>
        </w:numPr>
        <w:spacing w:before="0" w:beforeAutospacing="0" w:after="0" w:afterAutospacing="0" w:line="288" w:lineRule="auto"/>
        <w:ind w:firstLine="0" w:firstLineChars="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2.交付地点：四川省人民医院（院本部）</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3.质保期：</w:t>
      </w:r>
      <w:r>
        <w:rPr>
          <w:rFonts w:hint="eastAsia" w:ascii="仿宋" w:hAnsi="仿宋" w:eastAsia="仿宋" w:cs="仿宋"/>
          <w:b/>
          <w:bCs/>
          <w:sz w:val="24"/>
          <w:szCs w:val="24"/>
          <w:vertAlign w:val="baseline"/>
          <w:lang w:val="en-US" w:eastAsia="zh-CN"/>
        </w:rPr>
        <w:t>电火针仪：</w:t>
      </w:r>
      <w:r>
        <w:rPr>
          <w:rFonts w:hint="eastAsia" w:ascii="仿宋" w:hAnsi="仿宋" w:eastAsia="仿宋" w:cs="仿宋"/>
          <w:b w:val="0"/>
          <w:kern w:val="2"/>
          <w:sz w:val="24"/>
          <w:szCs w:val="24"/>
          <w:vertAlign w:val="baseline"/>
          <w:lang w:val="en-US" w:eastAsia="zh-CN"/>
        </w:rPr>
        <w:t>验收合格后不低于1年。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2"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bCs/>
          <w:sz w:val="24"/>
          <w:szCs w:val="24"/>
          <w:vertAlign w:val="baseline"/>
          <w:lang w:val="en-US" w:eastAsia="zh-CN"/>
        </w:rPr>
        <w:t>中药熏蒸仪：</w:t>
      </w:r>
      <w:r>
        <w:rPr>
          <w:rFonts w:hint="eastAsia" w:ascii="仿宋" w:hAnsi="仿宋" w:eastAsia="仿宋" w:cs="仿宋"/>
          <w:b w:val="0"/>
          <w:bCs w:val="0"/>
          <w:sz w:val="24"/>
          <w:szCs w:val="24"/>
          <w:vertAlign w:val="baseline"/>
          <w:lang w:val="en-US" w:eastAsia="zh-CN"/>
        </w:rPr>
        <w:t>验收合格后不低于5年。 不锈钢心形刮痧板、不锈钢经络梳、不锈钢经络刷、玻璃火罐、防爆玻璃酒精灯、火罐点火棒、鸡翅木号脉枕头、耳穴教学模型、针刀、面针验收合格后不低于1年。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5.付款条件：验收合格后，供应商须在5日内向采购人出具合法有效票据及其它相关请款资料，采购人自收到上述票据及资料后55日内向供应商支付合同总金额的100%。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7.售后服务要求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（2）如在质保期内出现质量问题，供应商须在接到通知后2小时内响应，24小时内到场维修，并承担相关费用</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（3）如设备在质保期内因同一故障经供应商两次维修仍不能达到合同约定的技术要求及国家法律法规规定的质量标准，采购人有权要求供应商更换全新设备或退货，并追究供应商违约责任</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（6）供应商须指派专人负责与采购人联系售后服务事宜</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r>
        <w:rPr>
          <w:rFonts w:hint="eastAsia" w:ascii="仿宋" w:hAnsi="仿宋" w:eastAsia="仿宋" w:cs="仿宋"/>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lang w:val="en-US" w:eastAsia="zh-CN"/>
        </w:rPr>
      </w:pPr>
      <w:r>
        <w:rPr>
          <w:rFonts w:hint="eastAsia" w:ascii="仿宋" w:hAnsi="仿宋" w:eastAsia="仿宋" w:cs="仿宋"/>
          <w:lang w:val="en-US" w:eastAsia="zh-CN"/>
        </w:rPr>
        <w:t>9.</w:t>
      </w:r>
      <w:r>
        <w:rPr>
          <w:rFonts w:hint="eastAsia" w:ascii="仿宋" w:hAnsi="仿宋" w:eastAsia="仿宋" w:cs="仿宋"/>
          <w:b/>
          <w:bCs/>
          <w:sz w:val="24"/>
          <w:szCs w:val="24"/>
          <w:vertAlign w:val="baseline"/>
          <w:lang w:val="en-US" w:eastAsia="zh-CN"/>
        </w:rPr>
        <w:t>电火针仪：</w:t>
      </w:r>
      <w:r>
        <w:rPr>
          <w:rFonts w:hint="eastAsia" w:ascii="仿宋" w:hAnsi="仿宋" w:eastAsia="仿宋" w:cs="仿宋"/>
          <w:lang w:val="en-US" w:eastAsia="zh-CN"/>
        </w:rPr>
        <w:t>供应商须在投标文件中单独提供配置清单（不同产品分别提供，格式详见投标文件格式），采购人将以此为依据进行验收。 技术参数中采购人的实质性配置要求包含的内容须在分项报价明细表中分别报价（技术参数第12条：每台配置火针条600支），除此之外，若涉及设备正常运行所需的其他配置内容，供应商应在配置清单中分别列明其涉及的产品名称、型号（若有）、数量即可，并根据响应产品的实际情况确定是否单独报价。</w:t>
      </w:r>
    </w:p>
    <w:p>
      <w:pPr>
        <w:pStyle w:val="14"/>
        <w:keepNext w:val="0"/>
        <w:keepLines w:val="0"/>
        <w:widowControl/>
        <w:suppressLineNumbers w:val="0"/>
        <w:spacing w:before="0" w:beforeAutospacing="0" w:after="0" w:afterAutospacing="0" w:line="288" w:lineRule="auto"/>
        <w:ind w:left="0" w:right="0" w:firstLine="482" w:firstLineChars="200"/>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中药熏蒸仪：</w:t>
      </w:r>
      <w:r>
        <w:rPr>
          <w:rFonts w:hint="eastAsia" w:ascii="仿宋" w:hAnsi="仿宋" w:eastAsia="仿宋" w:cs="仿宋"/>
          <w:b w:val="0"/>
          <w:bCs w:val="0"/>
          <w:sz w:val="24"/>
          <w:szCs w:val="24"/>
          <w:vertAlign w:val="baseline"/>
          <w:lang w:val="en-US" w:eastAsia="zh-CN"/>
        </w:rPr>
        <w:t>供应商须在投标文件中单独提供配置清单（不同产品分别提供，格式详见投标文件格式），采购人将以此为依据进行验收。 技术参数中采购人的实质性配置要求包含的内容须在分项报价明细表中分别报价（技术参数第14条：3台共配置：不锈钢心形刮痧板10个、不锈钢经络梳5个、不锈钢经络刷5个、玻璃火罐（内径32mm）30个、玻璃火罐（内径38mm）30个、防爆玻璃酒精灯3个、火罐点火棒5个、鸡翅木号脉枕头3个、耳穴教学模型2个、针刀1套、面针（0.12×7mm）500支、面针（0.12×15mm）500支、面针（0.14×7mm）500支、面针（0.14×15mm）500支、面针（0.16×7mm）500支、面针（0.16×15mm）500支、面针（0.20×13mm）500支），除此之外，若涉及设备正常运行所需的其他配置内容，供应商应在配置清单中分别列明其涉及的产品名称、型号（若有）、数量即可，并根据响应产品的实际情况确定是否单独报价。</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rPr>
      </w:pPr>
      <w:r>
        <w:rPr>
          <w:rFonts w:hint="eastAsia" w:ascii="仿宋" w:hAnsi="仿宋" w:eastAsia="仿宋" w:cs="仿宋"/>
          <w:lang w:val="en-US" w:eastAsia="zh-CN"/>
        </w:rPr>
        <w:t>10.供应商提供的产品的生产日期与到货日期时间间隔不超过3个月，供应商提供承诺函，格式自拟。</w:t>
      </w:r>
    </w:p>
    <w:p>
      <w:pPr>
        <w:pStyle w:val="16"/>
        <w:adjustRightInd w:val="0"/>
        <w:spacing w:before="0" w:after="0" w:line="288" w:lineRule="auto"/>
        <w:ind w:left="0" w:leftChars="0" w:firstLine="0" w:firstLineChars="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pStyle w:val="14"/>
        <w:widowControl/>
        <w:numPr>
          <w:ilvl w:val="0"/>
          <w:numId w:val="0"/>
        </w:numPr>
        <w:spacing w:beforeAutospacing="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1</w:t>
      </w:r>
      <w:r>
        <w:rPr>
          <w:rFonts w:hint="eastAsia" w:ascii="仿宋" w:hAnsi="仿宋" w:eastAsia="仿宋" w:cs="仿宋"/>
          <w:b w:val="0"/>
          <w:kern w:val="2"/>
          <w:sz w:val="24"/>
          <w:szCs w:val="24"/>
          <w:vertAlign w:val="baseline"/>
          <w:lang w:val="en-US" w:eastAsia="zh-CN" w:bidi="ar"/>
        </w:rPr>
        <w:t>.供应商须提供自2023年1月1日(含)以来本次响应产品的销售记录(品牌型号须完全相同，销售方不限。本次采购产品或分包项中采购产品不止一个的，则按照每提供任意1个产品有1次销售记录)。</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rPr>
      </w:pPr>
      <w:r>
        <w:rPr>
          <w:rFonts w:hint="eastAsia" w:ascii="仿宋" w:hAnsi="仿宋" w:eastAsia="仿宋" w:cs="仿宋"/>
          <w:kern w:val="2"/>
          <w:sz w:val="24"/>
          <w:szCs w:val="24"/>
          <w:lang w:val="en-US" w:eastAsia="zh-CN"/>
        </w:rPr>
        <w:t>2.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w:t>
      </w:r>
      <w:bookmarkStart w:id="117" w:name="_GoBack"/>
      <w:bookmarkEnd w:id="117"/>
      <w:r>
        <w:rPr>
          <w:rFonts w:hint="eastAsia" w:ascii="仿宋" w:hAnsi="仿宋" w:eastAsia="仿宋" w:cs="仿宋"/>
          <w:kern w:val="2"/>
          <w:sz w:val="24"/>
          <w:szCs w:val="24"/>
          <w:lang w:val="en-US" w:eastAsia="zh-CN"/>
        </w:rPr>
        <w:t>报财政部门依法处理。</w:t>
      </w: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20</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28171"/>
      <w:bookmarkStart w:id="20" w:name="_Toc3094"/>
      <w:bookmarkStart w:id="21" w:name="_Toc22827"/>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5913"/>
      <w:bookmarkStart w:id="23" w:name="_Toc29819"/>
      <w:bookmarkStart w:id="24" w:name="_Toc4960"/>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19851"/>
      <w:bookmarkStart w:id="26" w:name="_Toc9428"/>
      <w:bookmarkStart w:id="27" w:name="_Toc30609"/>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1544"/>
      <w:bookmarkStart w:id="29" w:name="_Toc32352"/>
      <w:bookmarkStart w:id="30" w:name="_Toc9041"/>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7163"/>
      <w:bookmarkStart w:id="34" w:name="_Toc1690"/>
      <w:bookmarkStart w:id="35" w:name="_Toc24859"/>
      <w:bookmarkStart w:id="36" w:name="_Toc32749"/>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24123"/>
      <w:bookmarkStart w:id="38" w:name="_Toc3558"/>
      <w:bookmarkStart w:id="39" w:name="_Toc6803"/>
      <w:bookmarkStart w:id="40" w:name="_Toc17905"/>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7526"/>
      <w:bookmarkStart w:id="42" w:name="_Toc5996"/>
      <w:bookmarkStart w:id="43" w:name="_Toc2989"/>
      <w:bookmarkStart w:id="44" w:name="_Toc27135"/>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19987"/>
      <w:bookmarkStart w:id="46" w:name="_Toc2031"/>
      <w:bookmarkStart w:id="47" w:name="_Toc5056"/>
      <w:bookmarkStart w:id="48" w:name="_Toc7233"/>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21519"/>
      <w:bookmarkStart w:id="51" w:name="_Toc14829"/>
      <w:bookmarkStart w:id="52" w:name="_Toc11352"/>
      <w:bookmarkStart w:id="53" w:name="_Toc6482"/>
      <w:bookmarkStart w:id="54" w:name="_Toc1602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17857"/>
      <w:bookmarkStart w:id="56" w:name="_Toc31838"/>
      <w:bookmarkStart w:id="57" w:name="_Toc4305"/>
      <w:bookmarkStart w:id="58" w:name="_Toc22676"/>
      <w:bookmarkStart w:id="59" w:name="_Toc30971"/>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13904"/>
      <w:bookmarkStart w:id="64" w:name="_Toc25357"/>
      <w:bookmarkStart w:id="65" w:name="_Toc13706"/>
    </w:p>
    <w:p>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11351"/>
      <w:bookmarkStart w:id="69" w:name="_Toc15526"/>
      <w:bookmarkStart w:id="70" w:name="_Toc27661"/>
      <w:bookmarkStart w:id="71" w:name="_Toc20589"/>
      <w:bookmarkStart w:id="72" w:name="_Toc25638"/>
      <w:bookmarkStart w:id="73" w:name="_Toc12015"/>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3967"/>
      <w:bookmarkStart w:id="75" w:name="_Toc12967"/>
      <w:bookmarkStart w:id="76" w:name="_Toc26969"/>
      <w:bookmarkStart w:id="77" w:name="_Toc1074"/>
      <w:bookmarkStart w:id="78" w:name="_Toc16435"/>
      <w:bookmarkStart w:id="79" w:name="_Toc2041"/>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31686"/>
      <w:bookmarkStart w:id="81" w:name="_Toc28634"/>
      <w:bookmarkStart w:id="82" w:name="_Toc1369"/>
      <w:bookmarkStart w:id="83" w:name="_Toc21082"/>
      <w:bookmarkStart w:id="84" w:name="_Toc24806"/>
      <w:bookmarkStart w:id="85" w:name="_Toc26839"/>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2605"/>
      <w:bookmarkStart w:id="87" w:name="_Toc3871"/>
      <w:bookmarkStart w:id="88" w:name="_Toc24494"/>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0"/>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0"/>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11"/>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0" w:name="_Toc18900"/>
            <w:r>
              <w:rPr>
                <w:rFonts w:hint="eastAsia"/>
                <w:b/>
                <w:kern w:val="0"/>
                <w:szCs w:val="21"/>
              </w:rPr>
              <w:t>序号</w:t>
            </w:r>
            <w:bookmarkEnd w:id="90"/>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1" w:name="_Toc10106"/>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21630"/>
            <w:r>
              <w:rPr>
                <w:rFonts w:hint="eastAsia"/>
                <w:b/>
                <w:kern w:val="0"/>
                <w:szCs w:val="21"/>
              </w:rPr>
              <w:t>规格型号</w:t>
            </w:r>
            <w:bookmarkEnd w:id="92"/>
          </w:p>
        </w:tc>
        <w:tc>
          <w:tcPr>
            <w:tcW w:w="908" w:type="pct"/>
            <w:vAlign w:val="center"/>
          </w:tcPr>
          <w:p>
            <w:pPr>
              <w:spacing w:line="460" w:lineRule="exact"/>
              <w:jc w:val="center"/>
              <w:outlineLvl w:val="0"/>
              <w:rPr>
                <w:b/>
                <w:kern w:val="0"/>
                <w:szCs w:val="21"/>
              </w:rPr>
            </w:pPr>
            <w:bookmarkStart w:id="93" w:name="_Toc31424"/>
            <w:r>
              <w:rPr>
                <w:rFonts w:hint="eastAsia"/>
                <w:b/>
                <w:kern w:val="0"/>
                <w:szCs w:val="21"/>
              </w:rPr>
              <w:t>制造商</w:t>
            </w:r>
            <w:bookmarkEnd w:id="93"/>
          </w:p>
        </w:tc>
        <w:tc>
          <w:tcPr>
            <w:tcW w:w="518" w:type="pct"/>
            <w:vAlign w:val="center"/>
          </w:tcPr>
          <w:p>
            <w:pPr>
              <w:spacing w:line="460" w:lineRule="exact"/>
              <w:jc w:val="center"/>
              <w:outlineLvl w:val="0"/>
              <w:rPr>
                <w:b/>
                <w:kern w:val="0"/>
                <w:szCs w:val="21"/>
              </w:rPr>
            </w:pPr>
            <w:bookmarkStart w:id="94" w:name="_Toc17023"/>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13405"/>
            <w:r>
              <w:rPr>
                <w:rFonts w:hint="eastAsia"/>
                <w:b/>
                <w:kern w:val="0"/>
                <w:szCs w:val="21"/>
              </w:rPr>
              <w:t>单价（元）</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6" w:name="_Toc22879"/>
            <w:r>
              <w:rPr>
                <w:rFonts w:hint="eastAsia"/>
                <w:kern w:val="0"/>
                <w:szCs w:val="21"/>
              </w:rPr>
              <w:t>1</w:t>
            </w:r>
            <w:bookmarkEnd w:id="96"/>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97" w:name="_Toc14524"/>
            <w:r>
              <w:rPr>
                <w:rFonts w:hint="eastAsia"/>
                <w:kern w:val="0"/>
                <w:sz w:val="20"/>
                <w:szCs w:val="21"/>
              </w:rPr>
              <w:t>2</w:t>
            </w:r>
            <w:bookmarkEnd w:id="97"/>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98" w:name="_Toc13547"/>
            <w:r>
              <w:rPr>
                <w:kern w:val="0"/>
                <w:sz w:val="20"/>
                <w:szCs w:val="21"/>
              </w:rPr>
              <w:t>…</w:t>
            </w:r>
            <w:bookmarkEnd w:id="98"/>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99" w:name="_Toc8502"/>
            <w:r>
              <w:rPr>
                <w:rFonts w:hint="eastAsia"/>
                <w:b/>
                <w:kern w:val="0"/>
                <w:szCs w:val="21"/>
              </w:rPr>
              <w:t>序号</w:t>
            </w:r>
            <w:bookmarkEnd w:id="99"/>
          </w:p>
        </w:tc>
        <w:tc>
          <w:tcPr>
            <w:tcW w:w="850" w:type="pct"/>
            <w:vAlign w:val="center"/>
          </w:tcPr>
          <w:p>
            <w:pPr>
              <w:spacing w:line="460" w:lineRule="exact"/>
              <w:jc w:val="center"/>
              <w:outlineLvl w:val="0"/>
              <w:rPr>
                <w:b/>
                <w:kern w:val="0"/>
                <w:szCs w:val="21"/>
              </w:rPr>
            </w:pPr>
            <w:bookmarkStart w:id="100" w:name="_Toc27328"/>
            <w:r>
              <w:rPr>
                <w:rFonts w:hint="eastAsia"/>
                <w:b/>
                <w:kern w:val="0"/>
                <w:szCs w:val="21"/>
              </w:rPr>
              <w:t>产品名称</w:t>
            </w:r>
            <w:bookmarkEnd w:id="100"/>
          </w:p>
        </w:tc>
        <w:tc>
          <w:tcPr>
            <w:tcW w:w="791" w:type="pct"/>
            <w:vAlign w:val="center"/>
          </w:tcPr>
          <w:p>
            <w:pPr>
              <w:spacing w:line="460" w:lineRule="exact"/>
              <w:jc w:val="center"/>
              <w:outlineLvl w:val="0"/>
              <w:rPr>
                <w:b/>
                <w:kern w:val="0"/>
                <w:szCs w:val="21"/>
              </w:rPr>
            </w:pPr>
            <w:bookmarkStart w:id="101" w:name="_Toc4118"/>
            <w:r>
              <w:rPr>
                <w:rFonts w:hint="eastAsia"/>
                <w:b/>
                <w:kern w:val="0"/>
                <w:szCs w:val="21"/>
              </w:rPr>
              <w:t>规格型号</w:t>
            </w:r>
            <w:bookmarkEnd w:id="101"/>
          </w:p>
        </w:tc>
        <w:tc>
          <w:tcPr>
            <w:tcW w:w="907" w:type="pct"/>
            <w:vAlign w:val="center"/>
          </w:tcPr>
          <w:p>
            <w:pPr>
              <w:spacing w:line="460" w:lineRule="exact"/>
              <w:jc w:val="center"/>
              <w:outlineLvl w:val="0"/>
              <w:rPr>
                <w:b/>
                <w:kern w:val="0"/>
                <w:szCs w:val="21"/>
              </w:rPr>
            </w:pPr>
            <w:bookmarkStart w:id="102" w:name="_Toc21162"/>
            <w:r>
              <w:rPr>
                <w:rFonts w:hint="eastAsia"/>
                <w:b/>
                <w:kern w:val="0"/>
                <w:szCs w:val="21"/>
              </w:rPr>
              <w:t>制造商</w:t>
            </w:r>
            <w:bookmarkEnd w:id="102"/>
          </w:p>
        </w:tc>
        <w:tc>
          <w:tcPr>
            <w:tcW w:w="516" w:type="pct"/>
            <w:vAlign w:val="center"/>
          </w:tcPr>
          <w:p>
            <w:pPr>
              <w:spacing w:line="460" w:lineRule="exact"/>
              <w:jc w:val="center"/>
              <w:outlineLvl w:val="0"/>
              <w:rPr>
                <w:b/>
                <w:kern w:val="0"/>
                <w:szCs w:val="21"/>
              </w:rPr>
            </w:pPr>
            <w:bookmarkStart w:id="103" w:name="_Toc2524"/>
            <w:r>
              <w:rPr>
                <w:rFonts w:hint="eastAsia"/>
                <w:b/>
                <w:kern w:val="0"/>
                <w:szCs w:val="21"/>
              </w:rPr>
              <w:t>单位</w:t>
            </w:r>
            <w:bookmarkEnd w:id="103"/>
          </w:p>
        </w:tc>
        <w:tc>
          <w:tcPr>
            <w:tcW w:w="747" w:type="pct"/>
            <w:vAlign w:val="center"/>
          </w:tcPr>
          <w:p>
            <w:pPr>
              <w:spacing w:line="460" w:lineRule="exact"/>
              <w:jc w:val="center"/>
              <w:outlineLvl w:val="0"/>
              <w:rPr>
                <w:b/>
                <w:kern w:val="0"/>
                <w:szCs w:val="21"/>
              </w:rPr>
            </w:pPr>
            <w:bookmarkStart w:id="104" w:name="_Toc25451"/>
            <w:r>
              <w:rPr>
                <w:rFonts w:hint="eastAsia"/>
                <w:b/>
                <w:kern w:val="0"/>
                <w:szCs w:val="21"/>
              </w:rPr>
              <w:t>单价（元）</w:t>
            </w:r>
            <w:bookmarkEnd w:id="104"/>
          </w:p>
        </w:tc>
        <w:tc>
          <w:tcPr>
            <w:tcW w:w="747" w:type="pct"/>
            <w:vAlign w:val="center"/>
          </w:tcPr>
          <w:p>
            <w:pPr>
              <w:spacing w:line="460" w:lineRule="exact"/>
              <w:jc w:val="center"/>
              <w:outlineLvl w:val="0"/>
              <w:rPr>
                <w:b/>
                <w:kern w:val="0"/>
                <w:szCs w:val="21"/>
              </w:rPr>
            </w:pPr>
            <w:bookmarkStart w:id="105" w:name="_Toc9598"/>
            <w:r>
              <w:rPr>
                <w:rFonts w:hint="eastAsia"/>
                <w:b/>
                <w:kern w:val="0"/>
                <w:szCs w:val="21"/>
              </w:rPr>
              <w:t>备注</w:t>
            </w:r>
            <w:bookmark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6" w:name="_Toc20085"/>
            <w:r>
              <w:rPr>
                <w:rFonts w:hint="eastAsia"/>
                <w:kern w:val="0"/>
                <w:szCs w:val="21"/>
              </w:rPr>
              <w:t>1</w:t>
            </w:r>
            <w:bookmarkEnd w:id="106"/>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07" w:name="_Toc13232"/>
            <w:r>
              <w:rPr>
                <w:rFonts w:hint="eastAsia"/>
                <w:kern w:val="0"/>
                <w:sz w:val="20"/>
                <w:szCs w:val="21"/>
              </w:rPr>
              <w:t>2</w:t>
            </w:r>
            <w:bookmarkEnd w:id="107"/>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08" w:name="_Toc6795"/>
            <w:r>
              <w:rPr>
                <w:kern w:val="0"/>
                <w:sz w:val="20"/>
                <w:szCs w:val="21"/>
              </w:rPr>
              <w:t>…</w:t>
            </w:r>
            <w:bookmarkEnd w:id="10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pPr>
        <w:rPr>
          <w:rFonts w:ascii="Times New Roman" w:hAnsi="Times New Roman" w:eastAsia="仿宋" w:cs="Times New Roman"/>
          <w:sz w:val="24"/>
          <w:szCs w:val="24"/>
          <w:u w:val="single"/>
        </w:rPr>
      </w:pPr>
      <w:bookmarkStart w:id="109" w:name="_Toc14685"/>
      <w:bookmarkStart w:id="110" w:name="_Toc30002"/>
      <w:bookmarkStart w:id="111" w:name="_Toc29032"/>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2"/>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109"/>
      <w:bookmarkEnd w:id="110"/>
      <w:bookmarkEnd w:id="11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5447"/>
      <w:bookmarkStart w:id="113"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7"/>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bookmarkStart w:id="115" w:name="OLE_LINK18"/>
      <w:bookmarkStart w:id="116"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29"/>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0"/>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B6FA431-37F5-45F2-ACA8-B4B4E1AB3F9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43CEEC1-096F-42FC-AA3E-CF943E672D8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6EDC7F8-7790-4DAB-BE98-9CFA46498CD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新宋体">
    <w:panose1 w:val="02010609030101010101"/>
    <w:charset w:val="86"/>
    <w:family w:val="auto"/>
    <w:pitch w:val="default"/>
    <w:sig w:usb0="00000203" w:usb1="288F0000" w:usb2="00000006" w:usb3="00000000" w:csb0="00040001" w:csb1="00000000"/>
    <w:embedRegular r:id="rId4" w:fontKey="{CFEEF0DC-B1E1-4E01-BB7F-42595500C424}"/>
  </w:font>
  <w:font w:name="Cambria Math">
    <w:panose1 w:val="02040503050406030204"/>
    <w:charset w:val="00"/>
    <w:family w:val="roman"/>
    <w:pitch w:val="default"/>
    <w:sig w:usb0="E00006FF" w:usb1="420024FF" w:usb2="02000000" w:usb3="00000000" w:csb0="2000019F" w:csb1="00000000"/>
    <w:embedRegular r:id="rId5" w:fontKey="{C281854B-82FA-4BDD-B171-DA0E1D3507FF}"/>
  </w:font>
  <w:font w:name="Segoe UI Symbol">
    <w:panose1 w:val="020B0502040204020203"/>
    <w:charset w:val="00"/>
    <w:family w:val="swiss"/>
    <w:pitch w:val="default"/>
    <w:sig w:usb0="800001E3" w:usb1="1200FFEF" w:usb2="00040000" w:usb3="04000000" w:csb0="00000001" w:csb1="40000000"/>
    <w:embedRegular r:id="rId6" w:fontKey="{BAA84022-19EB-4C45-B5AC-A1488BB9B9DE}"/>
  </w:font>
  <w:font w:name="Wingdings 2">
    <w:altName w:val="Wingdings"/>
    <w:panose1 w:val="05020102010507070707"/>
    <w:charset w:val="4D"/>
    <w:family w:val="decorative"/>
    <w:pitch w:val="default"/>
    <w:sig w:usb0="00000000" w:usb1="00000000" w:usb2="00000000" w:usb3="00000000" w:csb0="80000000" w:csb1="00000000"/>
    <w:embedRegular r:id="rId7" w:fontKey="{411A861B-AA25-45A8-9794-9DD29A47F09A}"/>
  </w:font>
  <w:font w:name="Songti SC">
    <w:altName w:val="宋体"/>
    <w:panose1 w:val="02010600040101010101"/>
    <w:charset w:val="86"/>
    <w:family w:val="auto"/>
    <w:pitch w:val="default"/>
    <w:sig w:usb0="00000000" w:usb1="00000000" w:usb2="00000010" w:usb3="00000000" w:csb0="0004009F" w:csb1="00000000"/>
    <w:embedRegular r:id="rId8" w:fontKey="{165D085B-0E48-45E4-ABAC-8C95725D0976}"/>
  </w:font>
  <w:font w:name="微软雅黑">
    <w:panose1 w:val="020B0503020204020204"/>
    <w:charset w:val="86"/>
    <w:family w:val="auto"/>
    <w:pitch w:val="default"/>
    <w:sig w:usb0="80000287" w:usb1="2ACF3C50" w:usb2="00000016" w:usb3="00000000" w:csb0="0004001F" w:csb1="00000000"/>
    <w:embedRegular r:id="rId9" w:fontKey="{1F8206DD-CCD5-412E-BD8B-E8496D6309BC}"/>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5207F64"/>
    <w:multiLevelType w:val="singleLevel"/>
    <w:tmpl w:val="25207F64"/>
    <w:lvl w:ilvl="0" w:tentative="0">
      <w:start w:val="3"/>
      <w:numFmt w:val="decimal"/>
      <w:lvlText w:val="%1."/>
      <w:lvlJc w:val="left"/>
      <w:pPr>
        <w:tabs>
          <w:tab w:val="left" w:pos="312"/>
        </w:tabs>
      </w:p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3"/>
  </w:num>
  <w:num w:numId="3">
    <w:abstractNumId w:val="20"/>
  </w:num>
  <w:num w:numId="4">
    <w:abstractNumId w:val="29"/>
  </w:num>
  <w:num w:numId="5">
    <w:abstractNumId w:val="12"/>
  </w:num>
  <w:num w:numId="6">
    <w:abstractNumId w:val="19"/>
  </w:num>
  <w:num w:numId="7">
    <w:abstractNumId w:val="2"/>
  </w:num>
  <w:num w:numId="8">
    <w:abstractNumId w:val="0"/>
  </w:num>
  <w:num w:numId="9">
    <w:abstractNumId w:val="4"/>
  </w:num>
  <w:num w:numId="10">
    <w:abstractNumId w:val="1"/>
  </w:num>
  <w:num w:numId="11">
    <w:abstractNumId w:val="13"/>
  </w:num>
  <w:num w:numId="12">
    <w:abstractNumId w:val="10"/>
  </w:num>
  <w:num w:numId="13">
    <w:abstractNumId w:val="17"/>
  </w:num>
  <w:num w:numId="14">
    <w:abstractNumId w:val="6"/>
  </w:num>
  <w:num w:numId="15">
    <w:abstractNumId w:val="30"/>
  </w:num>
  <w:num w:numId="16">
    <w:abstractNumId w:val="28"/>
  </w:num>
  <w:num w:numId="17">
    <w:abstractNumId w:val="23"/>
  </w:num>
  <w:num w:numId="18">
    <w:abstractNumId w:val="8"/>
  </w:num>
  <w:num w:numId="19">
    <w:abstractNumId w:val="14"/>
  </w:num>
  <w:num w:numId="20">
    <w:abstractNumId w:val="7"/>
  </w:num>
  <w:num w:numId="21">
    <w:abstractNumId w:val="15"/>
  </w:num>
  <w:num w:numId="22">
    <w:abstractNumId w:val="26"/>
  </w:num>
  <w:num w:numId="23">
    <w:abstractNumId w:val="25"/>
  </w:num>
  <w:num w:numId="24">
    <w:abstractNumId w:val="21"/>
  </w:num>
  <w:num w:numId="25">
    <w:abstractNumId w:val="18"/>
  </w:num>
  <w:num w:numId="26">
    <w:abstractNumId w:val="9"/>
  </w:num>
  <w:num w:numId="27">
    <w:abstractNumId w:val="5"/>
  </w:num>
  <w:num w:numId="28">
    <w:abstractNumId w:val="11"/>
  </w:num>
  <w:num w:numId="29">
    <w:abstractNumId w:val="24"/>
  </w:num>
  <w:num w:numId="30">
    <w:abstractNumId w:val="27"/>
  </w:num>
  <w:num w:numId="31">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186A33"/>
    <w:rsid w:val="058C78B0"/>
    <w:rsid w:val="05E13064"/>
    <w:rsid w:val="078A573C"/>
    <w:rsid w:val="093A3733"/>
    <w:rsid w:val="0B4508AE"/>
    <w:rsid w:val="0CA62C24"/>
    <w:rsid w:val="0CF161C9"/>
    <w:rsid w:val="0D2F228D"/>
    <w:rsid w:val="0E0B7FF0"/>
    <w:rsid w:val="0E320E7D"/>
    <w:rsid w:val="0F904004"/>
    <w:rsid w:val="117A5014"/>
    <w:rsid w:val="127F05A0"/>
    <w:rsid w:val="136D78F8"/>
    <w:rsid w:val="15CC4977"/>
    <w:rsid w:val="162A4F7D"/>
    <w:rsid w:val="16A82A66"/>
    <w:rsid w:val="187C33A6"/>
    <w:rsid w:val="1994787E"/>
    <w:rsid w:val="1ADC0421"/>
    <w:rsid w:val="1BA318B5"/>
    <w:rsid w:val="1BCC54CD"/>
    <w:rsid w:val="1DD000AF"/>
    <w:rsid w:val="1DD261D8"/>
    <w:rsid w:val="1E09745A"/>
    <w:rsid w:val="1E176351"/>
    <w:rsid w:val="22935D1D"/>
    <w:rsid w:val="23D4489F"/>
    <w:rsid w:val="262001B9"/>
    <w:rsid w:val="27B87AF9"/>
    <w:rsid w:val="27BE001F"/>
    <w:rsid w:val="27E80EA9"/>
    <w:rsid w:val="280414A1"/>
    <w:rsid w:val="28570368"/>
    <w:rsid w:val="29C5318E"/>
    <w:rsid w:val="2A3D56E4"/>
    <w:rsid w:val="2B502F98"/>
    <w:rsid w:val="2C9A0A9E"/>
    <w:rsid w:val="2DA70D65"/>
    <w:rsid w:val="33BB64B3"/>
    <w:rsid w:val="3427766B"/>
    <w:rsid w:val="343706EB"/>
    <w:rsid w:val="351A08D0"/>
    <w:rsid w:val="35CC78FE"/>
    <w:rsid w:val="36177EDE"/>
    <w:rsid w:val="36334CE5"/>
    <w:rsid w:val="39C443D2"/>
    <w:rsid w:val="3A551407"/>
    <w:rsid w:val="3B033C36"/>
    <w:rsid w:val="3E5D4E8E"/>
    <w:rsid w:val="3FE25336"/>
    <w:rsid w:val="41076015"/>
    <w:rsid w:val="42075FF8"/>
    <w:rsid w:val="42842020"/>
    <w:rsid w:val="468567BB"/>
    <w:rsid w:val="4782487D"/>
    <w:rsid w:val="48DC673C"/>
    <w:rsid w:val="4B31068E"/>
    <w:rsid w:val="4BA55220"/>
    <w:rsid w:val="4BAD0151"/>
    <w:rsid w:val="4C184E09"/>
    <w:rsid w:val="4C8F75A2"/>
    <w:rsid w:val="4DAD4403"/>
    <w:rsid w:val="4E0B0B8B"/>
    <w:rsid w:val="4E8C008E"/>
    <w:rsid w:val="4FD07798"/>
    <w:rsid w:val="4FEF758C"/>
    <w:rsid w:val="50771A9C"/>
    <w:rsid w:val="51C47F6D"/>
    <w:rsid w:val="520879A0"/>
    <w:rsid w:val="5455382C"/>
    <w:rsid w:val="5D0A3490"/>
    <w:rsid w:val="5D7E0D39"/>
    <w:rsid w:val="5E9D3F29"/>
    <w:rsid w:val="60384CD1"/>
    <w:rsid w:val="60655808"/>
    <w:rsid w:val="60F86CEE"/>
    <w:rsid w:val="639061A8"/>
    <w:rsid w:val="63A9427A"/>
    <w:rsid w:val="63D462B1"/>
    <w:rsid w:val="641A3596"/>
    <w:rsid w:val="64D96647"/>
    <w:rsid w:val="64ED255E"/>
    <w:rsid w:val="655B51E5"/>
    <w:rsid w:val="65E40ADA"/>
    <w:rsid w:val="66330B86"/>
    <w:rsid w:val="66E22203"/>
    <w:rsid w:val="674A2A33"/>
    <w:rsid w:val="68AA6162"/>
    <w:rsid w:val="68B812C9"/>
    <w:rsid w:val="69D50CF4"/>
    <w:rsid w:val="6C487AFD"/>
    <w:rsid w:val="6CB24363"/>
    <w:rsid w:val="6CDC5C6C"/>
    <w:rsid w:val="6EA93466"/>
    <w:rsid w:val="6FCF0795"/>
    <w:rsid w:val="71381023"/>
    <w:rsid w:val="71696852"/>
    <w:rsid w:val="735B2D81"/>
    <w:rsid w:val="73714961"/>
    <w:rsid w:val="74B2063B"/>
    <w:rsid w:val="754D1D92"/>
    <w:rsid w:val="758350A9"/>
    <w:rsid w:val="79260424"/>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1230</Words>
  <Characters>1300</Characters>
  <Lines>72</Lines>
  <Paragraphs>20</Paragraphs>
  <TotalTime>0</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2026-11-05T08:25:53Z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831542308D134A1B9A4AA61A30DBDC8A_13</vt:lpwstr>
  </property>
  <property fmtid="{D5CDD505-2E9C-101B-9397-08002B2CF9AE}" pid="4" name="KSOTemplateDocerSaveRecord">
    <vt:lpwstr>eyJoZGlkIjoiZTE3YzY5ZGRmMGZjYjE3ZTA2OTZlNGYxY2RlMGIzMDkiLCJ1c2VySWQiOiI3MDMxOTM4MzkifQ==</vt:lpwstr>
  </property>
</Properties>
</file>