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四川省人民医院绩效改革咨询及绩效系统维护服务项目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2"/>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2"/>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2"/>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2"/>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2"/>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2"/>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99" w:name="_GoBack"/>
    </w:p>
    <w:bookmarkEnd w:id="99"/>
    <w:p w14:paraId="7F12773D">
      <w:pPr>
        <w:pStyle w:val="2"/>
        <w:rPr>
          <w:rFonts w:ascii="Times New Roman" w:hAnsi="Times New Roman" w:cs="Times New Roman"/>
        </w:rPr>
      </w:pPr>
      <w:bookmarkStart w:id="0" w:name="_Toc20358"/>
      <w:bookmarkStart w:id="1" w:name="_Toc192583766"/>
      <w:bookmarkStart w:id="2" w:name="_Toc62832406"/>
      <w:bookmarkStart w:id="3" w:name="_Toc471310326"/>
      <w:bookmarkStart w:id="4" w:name="_Toc3240"/>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四川省人民医院绩效改革咨询及绩效系统维护服务项目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CGZX-YXX20261034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hint="default" w:ascii="Times New Roman" w:hAnsi="Times New Roman" w:eastAsia="仿宋" w:cs="Times New Roman"/>
                <w:sz w:val="22"/>
                <w:highlight w:val="none"/>
                <w:u w:val="none"/>
                <w:lang w:val="en-US" w:eastAsia="zh-CN"/>
              </w:rPr>
            </w:pPr>
            <w:r>
              <w:rPr>
                <w:rFonts w:ascii="Times New Roman" w:hAnsi="Times New Roman" w:eastAsia="仿宋" w:cs="Times New Roman"/>
                <w:sz w:val="22"/>
                <w:u w:val="none"/>
              </w:rPr>
              <w:t>人民</w:t>
            </w:r>
            <w:r>
              <w:rPr>
                <w:rFonts w:ascii="Times New Roman" w:hAnsi="Times New Roman" w:eastAsia="仿宋" w:cs="Times New Roman"/>
                <w:sz w:val="22"/>
                <w:highlight w:val="none"/>
                <w:u w:val="none"/>
              </w:rPr>
              <w:t>币</w:t>
            </w:r>
            <w:r>
              <w:rPr>
                <w:rFonts w:hint="eastAsia" w:ascii="Times New Roman" w:hAnsi="Times New Roman" w:eastAsia="仿宋" w:cs="Times New Roman"/>
                <w:sz w:val="22"/>
                <w:highlight w:val="none"/>
                <w:u w:val="none"/>
                <w:lang w:val="en-US" w:eastAsia="zh-CN"/>
              </w:rPr>
              <w:t>198800</w:t>
            </w:r>
            <w:r>
              <w:rPr>
                <w:rFonts w:ascii="Times New Roman" w:hAnsi="Times New Roman" w:eastAsia="仿宋" w:cs="Times New Roman"/>
                <w:sz w:val="22"/>
                <w:highlight w:val="none"/>
                <w:u w:val="none"/>
              </w:rPr>
              <w:t>元</w:t>
            </w:r>
            <w:r>
              <w:rPr>
                <w:rFonts w:hint="eastAsia" w:ascii="Times New Roman" w:hAnsi="Times New Roman" w:eastAsia="仿宋" w:cs="Times New Roman"/>
                <w:sz w:val="22"/>
                <w:highlight w:val="none"/>
                <w:u w:val="none"/>
                <w:lang w:eastAsia="zh-CN"/>
              </w:rPr>
              <w:t>，</w:t>
            </w:r>
            <w:r>
              <w:rPr>
                <w:rFonts w:hint="eastAsia" w:ascii="Times New Roman" w:hAnsi="Times New Roman" w:eastAsia="仿宋" w:cs="Times New Roman"/>
                <w:sz w:val="22"/>
                <w:highlight w:val="none"/>
                <w:u w:val="none"/>
                <w:lang w:val="en-US" w:eastAsia="zh-CN"/>
              </w:rPr>
              <w:t>限高单价详见第四章。</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超过最高限价的报价，其响应文件作</w:t>
            </w:r>
            <w:r>
              <w:rPr>
                <w:rFonts w:ascii="Times New Roman" w:hAnsi="Times New Roman" w:eastAsia="仿宋" w:cs="Times New Roman"/>
                <w:sz w:val="22"/>
              </w:rPr>
              <w:t>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hint="eastAsia" w:ascii="仿宋" w:hAnsi="仿宋" w:eastAsia="仿宋" w:cs="仿宋"/>
                <w:kern w:val="0"/>
                <w:sz w:val="22"/>
              </w:rPr>
            </w:pPr>
            <w:r>
              <w:rPr>
                <w:rFonts w:hint="eastAsia" w:ascii="仿宋" w:hAnsi="仿宋" w:eastAsia="仿宋" w:cs="仿宋"/>
                <w:kern w:val="0"/>
                <w:sz w:val="22"/>
              </w:rPr>
              <w:t>拟定供应商信息</w:t>
            </w:r>
          </w:p>
        </w:tc>
        <w:tc>
          <w:tcPr>
            <w:tcW w:w="7236" w:type="dxa"/>
            <w:vAlign w:val="center"/>
          </w:tcPr>
          <w:p w14:paraId="30A029FA">
            <w:pPr>
              <w:spacing w:line="360" w:lineRule="auto"/>
              <w:ind w:left="210" w:leftChars="100"/>
              <w:rPr>
                <w:rFonts w:hint="eastAsia" w:ascii="仿宋" w:hAnsi="仿宋" w:eastAsia="仿宋" w:cs="仿宋"/>
                <w:sz w:val="22"/>
              </w:rPr>
            </w:pPr>
            <w:r>
              <w:rPr>
                <w:rFonts w:hint="eastAsia" w:ascii="仿宋" w:hAnsi="仿宋" w:eastAsia="仿宋" w:cs="仿宋"/>
                <w:sz w:val="22"/>
              </w:rPr>
              <w:t>供应商名称：</w:t>
            </w:r>
            <w:r>
              <w:rPr>
                <w:rFonts w:hint="eastAsia" w:ascii="仿宋" w:hAnsi="仿宋" w:eastAsia="仿宋" w:cs="仿宋"/>
                <w:sz w:val="22"/>
                <w:lang w:val="en-US" w:eastAsia="zh-CN"/>
              </w:rPr>
              <w:t>北京保诚医院管理有限公司</w:t>
            </w:r>
          </w:p>
          <w:p w14:paraId="789161A3">
            <w:pPr>
              <w:spacing w:line="360" w:lineRule="auto"/>
              <w:ind w:left="210" w:leftChars="100"/>
              <w:rPr>
                <w:rFonts w:hint="eastAsia" w:ascii="仿宋" w:hAnsi="仿宋" w:eastAsia="仿宋" w:cs="仿宋"/>
                <w:sz w:val="22"/>
              </w:rPr>
            </w:pPr>
            <w:r>
              <w:rPr>
                <w:rFonts w:hint="eastAsia" w:ascii="仿宋" w:hAnsi="仿宋" w:eastAsia="仿宋" w:cs="仿宋"/>
                <w:sz w:val="22"/>
                <w:highlight w:val="none"/>
              </w:rPr>
              <w:t>供应商地址：</w:t>
            </w:r>
            <w:r>
              <w:rPr>
                <w:rFonts w:hint="eastAsia" w:ascii="仿宋" w:hAnsi="仿宋" w:eastAsia="仿宋" w:cs="仿宋"/>
                <w:sz w:val="22"/>
                <w:highlight w:val="none"/>
                <w:lang w:val="en-US" w:eastAsia="zh-CN"/>
              </w:rPr>
              <w:t>北京市西城区宣武门外大街26、28、30号2幢28号四层B409</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项目验收合格且服务期结束后，供应商向采购人提供合法有效票据及其他相关请款资料，采购人在90工作日内将履约保证金扣减考核金额（如涉及考核）后一次性无息退还。</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8"/>
              <w:numPr>
                <w:ilvl w:val="0"/>
                <w:numId w:val="8"/>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8277E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丁</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87393463</w:t>
            </w:r>
          </w:p>
          <w:p w14:paraId="64ABCF4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highlight w:val="none"/>
                <w:lang w:val="en-US" w:eastAsia="zh-CN"/>
              </w:rPr>
              <w:t>王</w:t>
            </w:r>
            <w:r>
              <w:rPr>
                <w:rFonts w:ascii="Times New Roman" w:hAnsi="Times New Roman" w:eastAsia="仿宋" w:cs="Times New Roman"/>
                <w:sz w:val="22"/>
                <w:highlight w:val="none"/>
              </w:rPr>
              <w:t>老师</w:t>
            </w:r>
            <w:r>
              <w:rPr>
                <w:rFonts w:hint="eastAsia" w:ascii="Times New Roman" w:hAnsi="Times New Roman" w:eastAsia="仿宋" w:cs="Times New Roman"/>
                <w:sz w:val="22"/>
                <w:highlight w:val="none"/>
                <w:lang w:val="en-US" w:eastAsia="zh-CN"/>
              </w:rPr>
              <w:t xml:space="preserve"> </w:t>
            </w:r>
            <w:r>
              <w:rPr>
                <w:rFonts w:ascii="Times New Roman" w:hAnsi="Times New Roman" w:eastAsia="仿宋" w:cs="Times New Roman"/>
                <w:sz w:val="22"/>
                <w:highlight w:val="none"/>
              </w:rPr>
              <w:t>028-</w:t>
            </w:r>
            <w:r>
              <w:rPr>
                <w:rFonts w:hint="eastAsia" w:ascii="Times New Roman" w:hAnsi="Times New Roman" w:eastAsia="仿宋" w:cs="Times New Roman"/>
                <w:sz w:val="22"/>
                <w:highlight w:val="none"/>
                <w:lang w:val="en-US" w:eastAsia="zh-CN"/>
              </w:rPr>
              <w:t>87393250</w:t>
            </w:r>
          </w:p>
          <w:p w14:paraId="2699BB77">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（3）监督部门：审计部</w:t>
            </w:r>
          </w:p>
          <w:p w14:paraId="509376EE">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92583767"/>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19258376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pageBreakBefore w:val="0"/>
        <w:widowControl w:val="0"/>
        <w:kinsoku/>
        <w:wordWrap/>
        <w:overflowPunct/>
        <w:topLinePunct w:val="0"/>
        <w:autoSpaceDE/>
        <w:autoSpaceDN/>
        <w:bidi w:val="0"/>
        <w:adjustRightInd w:val="0"/>
        <w:snapToGrid w:val="0"/>
        <w:spacing w:line="360" w:lineRule="auto"/>
        <w:ind w:left="0" w:leftChars="0" w:firstLine="723" w:firstLineChars="200"/>
        <w:textAlignment w:val="auto"/>
        <w:rPr>
          <w:rFonts w:ascii="Times New Roman" w:hAnsi="Times New Roman" w:cs="Times New Roman"/>
        </w:rPr>
      </w:pPr>
      <w:bookmarkStart w:id="12" w:name="_Toc3988"/>
      <w:bookmarkStart w:id="13" w:name="_Toc192583769"/>
      <w:bookmarkStart w:id="14" w:name="_Toc12668"/>
      <w:r>
        <w:rPr>
          <w:rFonts w:ascii="Times New Roman" w:hAnsi="Times New Roman" w:cs="Times New Roman"/>
        </w:rPr>
        <w:t>采购需求</w:t>
      </w:r>
      <w:bookmarkEnd w:id="12"/>
      <w:bookmarkEnd w:id="13"/>
      <w:bookmarkEnd w:id="14"/>
    </w:p>
    <w:p w14:paraId="728A489A">
      <w:pPr>
        <w:pStyle w:val="8"/>
        <w:pageBreakBefore w:val="0"/>
        <w:widowControl w:val="0"/>
        <w:numPr>
          <w:ilvl w:val="0"/>
          <w:numId w:val="0"/>
        </w:numPr>
        <w:kinsoku/>
        <w:wordWrap/>
        <w:overflowPunct/>
        <w:topLinePunct w:val="0"/>
        <w:autoSpaceDE/>
        <w:autoSpaceDN/>
        <w:bidi w:val="0"/>
        <w:adjustRightInd w:val="0"/>
        <w:snapToGrid w:val="0"/>
        <w:spacing w:before="0" w:after="0" w:line="360" w:lineRule="auto"/>
        <w:ind w:left="480" w:hanging="480" w:hanging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本项目拟确定一名供应商提供绩效改革咨询及绩效系统维护服务。</w:t>
      </w:r>
    </w:p>
    <w:p w14:paraId="538AB14B">
      <w:pPr>
        <w:pStyle w:val="8"/>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24"/>
          <w:szCs w:val="24"/>
        </w:rPr>
      </w:pP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b/>
          <w:bCs/>
          <w:sz w:val="24"/>
          <w:szCs w:val="24"/>
          <w:lang w:val="en-US" w:eastAsia="zh-CN"/>
        </w:rPr>
        <w:t>1.采购清单</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51"/>
        <w:gridCol w:w="2205"/>
        <w:gridCol w:w="3557"/>
        <w:gridCol w:w="786"/>
        <w:gridCol w:w="922"/>
        <w:gridCol w:w="1626"/>
      </w:tblGrid>
      <w:tr w14:paraId="68C2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1" w:type="pct"/>
            <w:shd w:val="clear" w:color="auto" w:fill="auto"/>
            <w:tcMar>
              <w:left w:w="105" w:type="dxa"/>
              <w:right w:w="105" w:type="dxa"/>
            </w:tcMar>
            <w:vAlign w:val="center"/>
          </w:tcPr>
          <w:p w14:paraId="374DB2DF">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序号</w:t>
            </w:r>
          </w:p>
        </w:tc>
        <w:tc>
          <w:tcPr>
            <w:tcW w:w="1119" w:type="pct"/>
            <w:shd w:val="clear" w:color="auto" w:fill="auto"/>
            <w:tcMar>
              <w:left w:w="105" w:type="dxa"/>
              <w:right w:w="105" w:type="dxa"/>
            </w:tcMar>
            <w:vAlign w:val="center"/>
          </w:tcPr>
          <w:p w14:paraId="71D02592">
            <w:pPr>
              <w:pStyle w:val="15"/>
              <w:keepNext w:val="0"/>
              <w:keepLines w:val="0"/>
              <w:widowControl/>
              <w:suppressLineNumbers w:val="0"/>
              <w:ind w:left="0" w:firstLine="36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品名</w:t>
            </w:r>
          </w:p>
        </w:tc>
        <w:tc>
          <w:tcPr>
            <w:tcW w:w="1805" w:type="pct"/>
            <w:shd w:val="clear" w:color="auto" w:fill="auto"/>
            <w:tcMar>
              <w:left w:w="105" w:type="dxa"/>
              <w:right w:w="105" w:type="dxa"/>
            </w:tcMar>
            <w:vAlign w:val="center"/>
          </w:tcPr>
          <w:p w14:paraId="19A6218A">
            <w:pPr>
              <w:pStyle w:val="15"/>
              <w:keepNext w:val="0"/>
              <w:keepLines w:val="0"/>
              <w:widowControl/>
              <w:suppressLineNumbers w:val="0"/>
              <w:ind w:left="0" w:firstLine="36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详细描述</w:t>
            </w:r>
          </w:p>
        </w:tc>
        <w:tc>
          <w:tcPr>
            <w:tcW w:w="399" w:type="pct"/>
            <w:shd w:val="clear" w:color="auto" w:fill="auto"/>
            <w:tcMar>
              <w:left w:w="105" w:type="dxa"/>
              <w:right w:w="105" w:type="dxa"/>
            </w:tcMar>
            <w:vAlign w:val="center"/>
          </w:tcPr>
          <w:p w14:paraId="4143034E">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数量</w:t>
            </w:r>
          </w:p>
        </w:tc>
        <w:tc>
          <w:tcPr>
            <w:tcW w:w="468" w:type="pct"/>
            <w:shd w:val="clear" w:color="auto" w:fill="auto"/>
            <w:tcMar>
              <w:left w:w="105" w:type="dxa"/>
              <w:right w:w="105" w:type="dxa"/>
            </w:tcMar>
            <w:vAlign w:val="center"/>
          </w:tcPr>
          <w:p w14:paraId="0683FA19">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单位</w:t>
            </w:r>
          </w:p>
        </w:tc>
        <w:tc>
          <w:tcPr>
            <w:tcW w:w="825" w:type="pct"/>
            <w:shd w:val="clear" w:color="auto" w:fill="auto"/>
            <w:tcMar>
              <w:left w:w="105" w:type="dxa"/>
              <w:right w:w="105" w:type="dxa"/>
            </w:tcMar>
            <w:vAlign w:val="center"/>
          </w:tcPr>
          <w:p w14:paraId="28A25562">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限高价（元）</w:t>
            </w:r>
          </w:p>
        </w:tc>
      </w:tr>
      <w:tr w14:paraId="0A44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381" w:type="pct"/>
            <w:shd w:val="clear" w:color="auto" w:fill="auto"/>
            <w:tcMar>
              <w:left w:w="105" w:type="dxa"/>
              <w:right w:w="105" w:type="dxa"/>
            </w:tcMar>
            <w:vAlign w:val="center"/>
          </w:tcPr>
          <w:p w14:paraId="5B42B014">
            <w:pPr>
              <w:pStyle w:val="15"/>
              <w:keepNext w:val="0"/>
              <w:keepLines w:val="0"/>
              <w:widowControl/>
              <w:suppressLineNumbers w:val="0"/>
              <w:jc w:val="center"/>
              <w:rPr>
                <w:rFonts w:hint="eastAsia" w:ascii="仿宋" w:hAnsi="仿宋" w:eastAsia="仿宋" w:cs="仿宋"/>
                <w:b w:val="0"/>
                <w:bCs/>
                <w:sz w:val="24"/>
                <w:szCs w:val="24"/>
                <w:u w:val="none"/>
              </w:rPr>
            </w:pPr>
            <w:r>
              <w:rPr>
                <w:rStyle w:val="21"/>
                <w:rFonts w:hint="eastAsia" w:ascii="仿宋" w:hAnsi="仿宋" w:eastAsia="仿宋" w:cs="仿宋"/>
                <w:b w:val="0"/>
                <w:bCs/>
                <w:sz w:val="24"/>
                <w:szCs w:val="24"/>
                <w:u w:val="none"/>
              </w:rPr>
              <w:t>1</w:t>
            </w:r>
          </w:p>
        </w:tc>
        <w:tc>
          <w:tcPr>
            <w:tcW w:w="1119" w:type="pct"/>
            <w:shd w:val="clear" w:color="auto" w:fill="auto"/>
            <w:tcMar>
              <w:left w:w="105" w:type="dxa"/>
              <w:right w:w="105" w:type="dxa"/>
            </w:tcMar>
            <w:vAlign w:val="center"/>
          </w:tcPr>
          <w:p w14:paraId="7B94EFE0">
            <w:pPr>
              <w:pStyle w:val="15"/>
              <w:keepNext w:val="0"/>
              <w:keepLines w:val="0"/>
              <w:widowControl/>
              <w:suppressLineNumbers w:val="0"/>
              <w:jc w:val="center"/>
              <w:rPr>
                <w:rFonts w:hint="eastAsia" w:ascii="仿宋" w:hAnsi="仿宋" w:eastAsia="仿宋" w:cs="仿宋"/>
                <w:b w:val="0"/>
                <w:bCs/>
                <w:sz w:val="24"/>
                <w:szCs w:val="24"/>
                <w:u w:val="none"/>
              </w:rPr>
            </w:pPr>
            <w:r>
              <w:rPr>
                <w:rStyle w:val="21"/>
                <w:rFonts w:hint="eastAsia" w:ascii="仿宋" w:hAnsi="仿宋" w:eastAsia="仿宋" w:cs="仿宋"/>
                <w:b w:val="0"/>
                <w:bCs/>
                <w:sz w:val="24"/>
                <w:szCs w:val="24"/>
                <w:u w:val="none"/>
              </w:rPr>
              <w:t>绩效改革咨询及绩效系统维护服务</w:t>
            </w:r>
          </w:p>
        </w:tc>
        <w:tc>
          <w:tcPr>
            <w:tcW w:w="1805" w:type="pct"/>
            <w:shd w:val="clear" w:color="auto" w:fill="auto"/>
            <w:tcMar>
              <w:left w:w="105" w:type="dxa"/>
              <w:right w:w="105" w:type="dxa"/>
            </w:tcMar>
            <w:vAlign w:val="center"/>
          </w:tcPr>
          <w:p w14:paraId="74EF8A7B">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rPr>
              <w:t>提供绩效系统的维护和升级服务，以及绩效改革咨询服务</w:t>
            </w:r>
          </w:p>
        </w:tc>
        <w:tc>
          <w:tcPr>
            <w:tcW w:w="399" w:type="pct"/>
            <w:shd w:val="clear" w:color="auto" w:fill="auto"/>
            <w:tcMar>
              <w:left w:w="105" w:type="dxa"/>
              <w:right w:w="105" w:type="dxa"/>
            </w:tcMar>
            <w:vAlign w:val="center"/>
          </w:tcPr>
          <w:p w14:paraId="4FECD060">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rPr>
              <w:t>1</w:t>
            </w:r>
          </w:p>
        </w:tc>
        <w:tc>
          <w:tcPr>
            <w:tcW w:w="468" w:type="pct"/>
            <w:shd w:val="clear" w:color="auto" w:fill="auto"/>
            <w:tcMar>
              <w:left w:w="105" w:type="dxa"/>
              <w:right w:w="105" w:type="dxa"/>
            </w:tcMar>
            <w:vAlign w:val="center"/>
          </w:tcPr>
          <w:p w14:paraId="5CA2BC50">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lang w:val="en-US" w:eastAsia="zh-CN"/>
              </w:rPr>
              <w:t>项</w:t>
            </w:r>
          </w:p>
        </w:tc>
        <w:tc>
          <w:tcPr>
            <w:tcW w:w="825" w:type="pct"/>
            <w:shd w:val="clear" w:color="auto" w:fill="auto"/>
            <w:tcMar>
              <w:left w:w="105" w:type="dxa"/>
              <w:right w:w="105" w:type="dxa"/>
            </w:tcMar>
            <w:vAlign w:val="center"/>
          </w:tcPr>
          <w:p w14:paraId="775C69FB">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lang w:val="en-US" w:eastAsia="zh-CN"/>
              </w:rPr>
              <w:t>198800</w:t>
            </w:r>
          </w:p>
        </w:tc>
      </w:tr>
    </w:tbl>
    <w:p w14:paraId="6232B5B2">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w:t>
      </w:r>
      <w:r>
        <w:rPr>
          <w:rStyle w:val="21"/>
          <w:rFonts w:hint="eastAsia" w:ascii="宋体" w:hAnsi="宋体" w:eastAsia="宋体" w:cs="宋体"/>
          <w:b/>
          <w:bCs/>
          <w:kern w:val="2"/>
          <w:sz w:val="24"/>
          <w:szCs w:val="24"/>
        </w:rPr>
        <w:t>接口清单</w:t>
      </w:r>
    </w:p>
    <w:p w14:paraId="3F1CC1C2">
      <w:pPr>
        <w:pStyle w:val="8"/>
        <w:numPr>
          <w:ilvl w:val="0"/>
          <w:numId w:val="0"/>
        </w:numPr>
        <w:ind w:firstLine="0" w:firstLineChars="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无。</w:t>
      </w:r>
    </w:p>
    <w:p w14:paraId="47BAA638">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b/>
          <w:bCs/>
          <w:sz w:val="24"/>
          <w:szCs w:val="24"/>
        </w:rPr>
        <w:cr/>
      </w:r>
      <w:r>
        <w:rPr>
          <w:rFonts w:hint="eastAsia" w:ascii="仿宋" w:hAnsi="仿宋" w:eastAsia="仿宋" w:cs="仿宋"/>
          <w:b/>
          <w:bCs/>
          <w:sz w:val="24"/>
          <w:szCs w:val="24"/>
          <w:lang w:val="en-US" w:eastAsia="zh-CN"/>
        </w:rPr>
        <w:t>1.技术要求</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47"/>
        <w:gridCol w:w="1295"/>
        <w:gridCol w:w="2264"/>
        <w:gridCol w:w="5541"/>
      </w:tblGrid>
      <w:tr w14:paraId="4FD8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shd w:val="clear" w:color="auto" w:fill="auto"/>
            <w:tcMar>
              <w:left w:w="105" w:type="dxa"/>
              <w:right w:w="105" w:type="dxa"/>
            </w:tcMar>
            <w:vAlign w:val="center"/>
          </w:tcPr>
          <w:p w14:paraId="08BE25C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序号</w:t>
            </w:r>
          </w:p>
        </w:tc>
        <w:tc>
          <w:tcPr>
            <w:tcW w:w="1295" w:type="dxa"/>
            <w:shd w:val="clear" w:color="auto" w:fill="auto"/>
            <w:tcMar>
              <w:left w:w="105" w:type="dxa"/>
              <w:right w:w="105" w:type="dxa"/>
            </w:tcMar>
            <w:vAlign w:val="center"/>
          </w:tcPr>
          <w:p w14:paraId="4E7DDAC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系统</w:t>
            </w:r>
          </w:p>
        </w:tc>
        <w:tc>
          <w:tcPr>
            <w:tcW w:w="2264" w:type="dxa"/>
            <w:shd w:val="clear" w:color="auto" w:fill="auto"/>
            <w:tcMar>
              <w:left w:w="105" w:type="dxa"/>
              <w:right w:w="105" w:type="dxa"/>
            </w:tcMar>
            <w:vAlign w:val="center"/>
          </w:tcPr>
          <w:p w14:paraId="1CCDE7C5">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模块</w:t>
            </w:r>
          </w:p>
        </w:tc>
        <w:tc>
          <w:tcPr>
            <w:tcW w:w="5541" w:type="dxa"/>
            <w:shd w:val="clear" w:color="auto" w:fill="auto"/>
            <w:tcMar>
              <w:left w:w="105" w:type="dxa"/>
              <w:right w:w="105" w:type="dxa"/>
            </w:tcMar>
            <w:vAlign w:val="center"/>
          </w:tcPr>
          <w:p w14:paraId="110DD6F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参数</w:t>
            </w:r>
          </w:p>
        </w:tc>
      </w:tr>
      <w:tr w14:paraId="1A4F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restart"/>
            <w:shd w:val="clear" w:color="auto" w:fill="auto"/>
            <w:tcMar>
              <w:left w:w="105" w:type="dxa"/>
              <w:right w:w="105" w:type="dxa"/>
            </w:tcMar>
            <w:vAlign w:val="center"/>
          </w:tcPr>
          <w:p w14:paraId="61C8F4E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1</w:t>
            </w:r>
          </w:p>
        </w:tc>
        <w:tc>
          <w:tcPr>
            <w:tcW w:w="1295" w:type="dxa"/>
            <w:vMerge w:val="restart"/>
            <w:shd w:val="clear" w:color="auto" w:fill="auto"/>
            <w:tcMar>
              <w:left w:w="105" w:type="dxa"/>
              <w:right w:w="105" w:type="dxa"/>
            </w:tcMar>
            <w:vAlign w:val="center"/>
          </w:tcPr>
          <w:p w14:paraId="48AFA4E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医师奖励性绩效工资核算模块维护</w:t>
            </w:r>
          </w:p>
        </w:tc>
        <w:tc>
          <w:tcPr>
            <w:tcW w:w="2264" w:type="dxa"/>
            <w:shd w:val="clear" w:color="auto" w:fill="auto"/>
            <w:tcMar>
              <w:left w:w="105" w:type="dxa"/>
              <w:right w:w="105" w:type="dxa"/>
            </w:tcMar>
            <w:vAlign w:val="center"/>
          </w:tcPr>
          <w:p w14:paraId="4051250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医师奖励性绩效工资公式设定维护</w:t>
            </w:r>
          </w:p>
        </w:tc>
        <w:tc>
          <w:tcPr>
            <w:tcW w:w="5541" w:type="dxa"/>
            <w:shd w:val="clear" w:color="auto" w:fill="auto"/>
            <w:tcMar>
              <w:left w:w="105" w:type="dxa"/>
              <w:right w:w="105" w:type="dxa"/>
            </w:tcMar>
            <w:vAlign w:val="center"/>
          </w:tcPr>
          <w:p w14:paraId="76B14237">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该功能需能做到根据核算单元设定不同的公式，并且能够根据年月进行复制。且能做到查询历史公式并能根据职系及科室进行联合查询。</w:t>
            </w:r>
          </w:p>
        </w:tc>
      </w:tr>
      <w:tr w14:paraId="2E4A1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1480A8A5">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6F01372">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0D9E2CE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医师奖励性绩效工资指标参数设定维护</w:t>
            </w:r>
          </w:p>
        </w:tc>
        <w:tc>
          <w:tcPr>
            <w:tcW w:w="5541" w:type="dxa"/>
            <w:shd w:val="clear" w:color="auto" w:fill="auto"/>
            <w:tcMar>
              <w:left w:w="105" w:type="dxa"/>
              <w:right w:w="105" w:type="dxa"/>
            </w:tcMar>
            <w:vAlign w:val="center"/>
          </w:tcPr>
          <w:p w14:paraId="0A911303">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以针对公式里面的指标参数进行设定。可设定结构化查询语句、核算单元代码职系等相关变量。并可增删改查。也可透过上传功能进行数据上传。</w:t>
            </w:r>
          </w:p>
        </w:tc>
      </w:tr>
      <w:tr w14:paraId="334A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633EE21">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E5E0597">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06B640F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医师RBRVS基准设定维护</w:t>
            </w:r>
          </w:p>
        </w:tc>
        <w:tc>
          <w:tcPr>
            <w:tcW w:w="5541" w:type="dxa"/>
            <w:shd w:val="clear" w:color="auto" w:fill="auto"/>
            <w:tcMar>
              <w:left w:w="105" w:type="dxa"/>
              <w:right w:w="105" w:type="dxa"/>
            </w:tcMar>
            <w:vAlign w:val="center"/>
          </w:tcPr>
          <w:p w14:paraId="29C9CDB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以针对每个收费项目的R B R V S点数进行设定。也可使用上传功能进行上传。每个新增的项目需标示新增年月。</w:t>
            </w:r>
          </w:p>
        </w:tc>
      </w:tr>
      <w:tr w14:paraId="65F6A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69A25023">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C316ECC">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00EE5C88">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医师奖励性绩效工资汇总结果维护</w:t>
            </w:r>
          </w:p>
        </w:tc>
        <w:tc>
          <w:tcPr>
            <w:tcW w:w="5541" w:type="dxa"/>
            <w:shd w:val="clear" w:color="auto" w:fill="auto"/>
            <w:tcMar>
              <w:left w:w="105" w:type="dxa"/>
              <w:right w:w="105" w:type="dxa"/>
            </w:tcMar>
            <w:vAlign w:val="center"/>
          </w:tcPr>
          <w:p w14:paraId="723FFCC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根据年月、科室、职工姓名及工号等条件查询职工绩效工资（包含个人绩效，如挂号绩效、手术绩效）。</w:t>
            </w:r>
          </w:p>
        </w:tc>
      </w:tr>
      <w:tr w14:paraId="6175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109E73CA">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22F9A28D">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0B765794">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医师工作量明细查询维护</w:t>
            </w:r>
          </w:p>
        </w:tc>
        <w:tc>
          <w:tcPr>
            <w:tcW w:w="5541" w:type="dxa"/>
            <w:shd w:val="clear" w:color="auto" w:fill="auto"/>
            <w:tcMar>
              <w:left w:w="105" w:type="dxa"/>
              <w:right w:w="105" w:type="dxa"/>
            </w:tcMar>
            <w:vAlign w:val="center"/>
          </w:tcPr>
          <w:p w14:paraId="1A3126A8">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需能做到查询核算单元内所有的医生诊查、手术、判读以及执行的工作量。并提供年月作为查询条件。也可根据执行医生及开单医生作为查询条件查询所需的资料。</w:t>
            </w:r>
          </w:p>
        </w:tc>
      </w:tr>
      <w:tr w14:paraId="499E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082515DE">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1CA49C8B">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5AA0A419">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医师奖励性绩效工资考核设定维护</w:t>
            </w:r>
          </w:p>
        </w:tc>
        <w:tc>
          <w:tcPr>
            <w:tcW w:w="5541" w:type="dxa"/>
            <w:shd w:val="clear" w:color="auto" w:fill="auto"/>
            <w:tcMar>
              <w:left w:w="105" w:type="dxa"/>
              <w:right w:w="105" w:type="dxa"/>
            </w:tcMar>
            <w:vAlign w:val="center"/>
          </w:tcPr>
          <w:p w14:paraId="5755E869">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需能做到可以设定</w:t>
            </w:r>
            <w:r>
              <w:rPr>
                <w:rFonts w:hint="eastAsia" w:ascii="仿宋" w:hAnsi="仿宋" w:eastAsia="仿宋" w:cs="仿宋"/>
                <w:color w:val="auto"/>
                <w:sz w:val="24"/>
                <w:szCs w:val="24"/>
                <w:shd w:val="clear" w:fill="FFFFFF"/>
                <w:lang w:eastAsia="zh-CN"/>
              </w:rPr>
              <w:t>采购人</w:t>
            </w:r>
            <w:r>
              <w:rPr>
                <w:rFonts w:hint="eastAsia" w:ascii="仿宋" w:hAnsi="仿宋" w:eastAsia="仿宋" w:cs="仿宋"/>
                <w:color w:val="auto"/>
                <w:sz w:val="24"/>
                <w:szCs w:val="24"/>
                <w:shd w:val="clear" w:fill="FFFFFF"/>
              </w:rPr>
              <w:t>提供的各项考核按照核算单元纳入二次分配。</w:t>
            </w:r>
          </w:p>
        </w:tc>
      </w:tr>
      <w:tr w14:paraId="5316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64A30450">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701E83F2">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3155AE23">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医师奖励性绩效工资分配设定维护</w:t>
            </w:r>
          </w:p>
        </w:tc>
        <w:tc>
          <w:tcPr>
            <w:tcW w:w="5541" w:type="dxa"/>
            <w:shd w:val="clear" w:color="auto" w:fill="auto"/>
            <w:tcMar>
              <w:left w:w="105" w:type="dxa"/>
              <w:right w:w="105" w:type="dxa"/>
            </w:tcMar>
            <w:vAlign w:val="center"/>
          </w:tcPr>
          <w:p w14:paraId="3C84D693">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需能做到二次分配奖金结构的设定。</w:t>
            </w:r>
          </w:p>
        </w:tc>
      </w:tr>
      <w:tr w14:paraId="5EF7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restart"/>
            <w:shd w:val="clear" w:color="auto" w:fill="auto"/>
            <w:tcMar>
              <w:left w:w="105" w:type="dxa"/>
              <w:right w:w="105" w:type="dxa"/>
            </w:tcMar>
            <w:vAlign w:val="center"/>
          </w:tcPr>
          <w:p w14:paraId="21DFD39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2</w:t>
            </w:r>
          </w:p>
        </w:tc>
        <w:tc>
          <w:tcPr>
            <w:tcW w:w="1295" w:type="dxa"/>
            <w:vMerge w:val="restart"/>
            <w:shd w:val="clear" w:color="auto" w:fill="auto"/>
            <w:tcMar>
              <w:left w:w="105" w:type="dxa"/>
              <w:right w:w="105" w:type="dxa"/>
            </w:tcMar>
            <w:vAlign w:val="center"/>
          </w:tcPr>
          <w:p w14:paraId="4FD7396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护理人员奖励性绩效工资核算模块</w:t>
            </w:r>
            <w:bookmarkStart w:id="15" w:name="OLE_LINK2"/>
            <w:bookmarkEnd w:id="15"/>
            <w:r>
              <w:rPr>
                <w:rFonts w:hint="eastAsia" w:ascii="仿宋" w:hAnsi="仿宋" w:eastAsia="仿宋" w:cs="仿宋"/>
                <w:color w:val="auto"/>
                <w:sz w:val="24"/>
                <w:szCs w:val="24"/>
                <w:shd w:val="clear" w:fill="FFFFFF"/>
              </w:rPr>
              <w:t>维护</w:t>
            </w:r>
          </w:p>
        </w:tc>
        <w:tc>
          <w:tcPr>
            <w:tcW w:w="2264" w:type="dxa"/>
            <w:shd w:val="clear" w:color="auto" w:fill="auto"/>
            <w:tcMar>
              <w:left w:w="105" w:type="dxa"/>
              <w:right w:w="105" w:type="dxa"/>
            </w:tcMar>
            <w:vAlign w:val="center"/>
          </w:tcPr>
          <w:p w14:paraId="0EBE5941">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护理奖励性绩效工资公式设定维护</w:t>
            </w:r>
          </w:p>
        </w:tc>
        <w:tc>
          <w:tcPr>
            <w:tcW w:w="5541" w:type="dxa"/>
            <w:shd w:val="clear" w:color="auto" w:fill="auto"/>
            <w:tcMar>
              <w:left w:w="105" w:type="dxa"/>
              <w:right w:w="105" w:type="dxa"/>
            </w:tcMar>
            <w:vAlign w:val="center"/>
          </w:tcPr>
          <w:p w14:paraId="40207BA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功能需能做到根据核算单元设定不同的公式，并且能够根据年月进行复制。且能做到查询历史公式并能根据职系及科室进行联合查询。</w:t>
            </w:r>
          </w:p>
        </w:tc>
      </w:tr>
      <w:tr w14:paraId="1CD3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634873A8">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194DBF1F">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341B13F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护理奖励性绩效工资参数设定维护</w:t>
            </w:r>
          </w:p>
        </w:tc>
        <w:tc>
          <w:tcPr>
            <w:tcW w:w="5541" w:type="dxa"/>
            <w:shd w:val="clear" w:color="auto" w:fill="auto"/>
            <w:tcMar>
              <w:left w:w="105" w:type="dxa"/>
              <w:right w:w="105" w:type="dxa"/>
            </w:tcMar>
            <w:vAlign w:val="center"/>
          </w:tcPr>
          <w:p w14:paraId="5790202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可以针对公式里面的参数进行设定。可设定结构化查询语言语句、核算单元代码职系等相关变量。并可增删改查。也可透过上传功能进行数据上传。</w:t>
            </w:r>
          </w:p>
        </w:tc>
      </w:tr>
      <w:tr w14:paraId="34B7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6F2DB6BB">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108B3A3D">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2FA89881">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护理时数基准设定维护</w:t>
            </w:r>
          </w:p>
        </w:tc>
        <w:tc>
          <w:tcPr>
            <w:tcW w:w="5541" w:type="dxa"/>
            <w:shd w:val="clear" w:color="auto" w:fill="auto"/>
            <w:tcMar>
              <w:left w:w="105" w:type="dxa"/>
              <w:right w:w="105" w:type="dxa"/>
            </w:tcMar>
            <w:vAlign w:val="center"/>
          </w:tcPr>
          <w:p w14:paraId="50B04388">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需可针对每个科室的护理时数进行单独设定。也可使用上传功能进行上传。</w:t>
            </w:r>
          </w:p>
        </w:tc>
      </w:tr>
      <w:tr w14:paraId="0634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509D6A13">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2862FC2E">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10A1E6B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护理奖励性绩效工资汇总结果维护</w:t>
            </w:r>
          </w:p>
        </w:tc>
        <w:tc>
          <w:tcPr>
            <w:tcW w:w="5541" w:type="dxa"/>
            <w:shd w:val="clear" w:color="auto" w:fill="auto"/>
            <w:tcMar>
              <w:left w:w="105" w:type="dxa"/>
              <w:right w:w="105" w:type="dxa"/>
            </w:tcMar>
            <w:vAlign w:val="center"/>
          </w:tcPr>
          <w:p w14:paraId="7FB9A54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可根据年月、科室、职工姓名等条件查询职工绩效工资（包含个人绩效，如挂号绩效、手术绩效）。</w:t>
            </w:r>
          </w:p>
        </w:tc>
      </w:tr>
      <w:tr w14:paraId="0BEA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379A332F">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73A7E260">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51A8795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护理工作量明细查询维护</w:t>
            </w:r>
          </w:p>
        </w:tc>
        <w:tc>
          <w:tcPr>
            <w:tcW w:w="5541" w:type="dxa"/>
            <w:shd w:val="clear" w:color="auto" w:fill="auto"/>
            <w:tcMar>
              <w:left w:w="105" w:type="dxa"/>
              <w:right w:w="105" w:type="dxa"/>
            </w:tcMar>
            <w:vAlign w:val="center"/>
          </w:tcPr>
          <w:p w14:paraId="78F25B6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需能做到查询核算单元内所有的护理直接护理及间接护理的工作量。并提供年月作为查询条件。也可根据科室作为查询条件查询所需的资料。</w:t>
            </w:r>
          </w:p>
        </w:tc>
      </w:tr>
      <w:tr w14:paraId="4EFB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6B6AFAFD">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29AFB5B">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2F852060">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护理奖励性绩效工资考核设定维护</w:t>
            </w:r>
          </w:p>
        </w:tc>
        <w:tc>
          <w:tcPr>
            <w:tcW w:w="5541" w:type="dxa"/>
            <w:shd w:val="clear" w:color="auto" w:fill="auto"/>
            <w:tcMar>
              <w:left w:w="105" w:type="dxa"/>
              <w:right w:w="105" w:type="dxa"/>
            </w:tcMar>
            <w:vAlign w:val="center"/>
          </w:tcPr>
          <w:p w14:paraId="60D609C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护理奖励性绩效工资考核设定。</w:t>
            </w:r>
          </w:p>
        </w:tc>
      </w:tr>
      <w:tr w14:paraId="5F37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3F43F8DE">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16174552">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637677C0">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护理奖励性绩效工资分配设定维护</w:t>
            </w:r>
          </w:p>
        </w:tc>
        <w:tc>
          <w:tcPr>
            <w:tcW w:w="5541" w:type="dxa"/>
            <w:shd w:val="clear" w:color="auto" w:fill="auto"/>
            <w:tcMar>
              <w:left w:w="105" w:type="dxa"/>
              <w:right w:w="105" w:type="dxa"/>
            </w:tcMar>
            <w:vAlign w:val="center"/>
          </w:tcPr>
          <w:p w14:paraId="2DEF177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需能做到二次分配奖金结构的设定。</w:t>
            </w:r>
          </w:p>
        </w:tc>
      </w:tr>
      <w:tr w14:paraId="5CDA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restart"/>
            <w:shd w:val="clear" w:color="auto" w:fill="auto"/>
            <w:tcMar>
              <w:left w:w="105" w:type="dxa"/>
              <w:right w:w="105" w:type="dxa"/>
            </w:tcMar>
            <w:vAlign w:val="center"/>
          </w:tcPr>
          <w:p w14:paraId="0427A1B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3</w:t>
            </w:r>
          </w:p>
        </w:tc>
        <w:tc>
          <w:tcPr>
            <w:tcW w:w="1295" w:type="dxa"/>
            <w:vMerge w:val="restart"/>
            <w:shd w:val="clear" w:color="auto" w:fill="auto"/>
            <w:tcMar>
              <w:left w:w="105" w:type="dxa"/>
              <w:right w:w="105" w:type="dxa"/>
            </w:tcMar>
            <w:vAlign w:val="center"/>
          </w:tcPr>
          <w:p w14:paraId="53C1D10C">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医技人员奖励性绩效工资核算模块维护</w:t>
            </w:r>
          </w:p>
        </w:tc>
        <w:tc>
          <w:tcPr>
            <w:tcW w:w="2264" w:type="dxa"/>
            <w:shd w:val="clear" w:color="auto" w:fill="auto"/>
            <w:tcMar>
              <w:left w:w="105" w:type="dxa"/>
              <w:right w:w="105" w:type="dxa"/>
            </w:tcMar>
            <w:vAlign w:val="center"/>
          </w:tcPr>
          <w:p w14:paraId="11C5289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医技奖励性绩效工资公式设定维护</w:t>
            </w:r>
          </w:p>
        </w:tc>
        <w:tc>
          <w:tcPr>
            <w:tcW w:w="5541" w:type="dxa"/>
            <w:shd w:val="clear" w:color="auto" w:fill="auto"/>
            <w:tcMar>
              <w:left w:w="105" w:type="dxa"/>
              <w:right w:w="105" w:type="dxa"/>
            </w:tcMar>
            <w:vAlign w:val="center"/>
          </w:tcPr>
          <w:p w14:paraId="4B940A81">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该功能需能做到根据核算单元设定不同的公式，并且能够根据年月进行复制。且能做到查询历史公式并能根据职系及科室进行联合查询。</w:t>
            </w:r>
          </w:p>
        </w:tc>
      </w:tr>
      <w:tr w14:paraId="3F09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7A13F3A">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5B64E2F9">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28C34F87">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医技奖励性绩效工资参数设定维护</w:t>
            </w:r>
          </w:p>
        </w:tc>
        <w:tc>
          <w:tcPr>
            <w:tcW w:w="5541" w:type="dxa"/>
            <w:shd w:val="clear" w:color="auto" w:fill="auto"/>
            <w:tcMar>
              <w:left w:w="105" w:type="dxa"/>
              <w:right w:w="105" w:type="dxa"/>
            </w:tcMar>
            <w:vAlign w:val="center"/>
          </w:tcPr>
          <w:p w14:paraId="45E245C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可以针对公式里面的参数进行设定。可设定S Q L语句、核算单元代码职系等相关变量。并可增删改查。也可透过上传功能进行数据上传。</w:t>
            </w:r>
          </w:p>
        </w:tc>
      </w:tr>
      <w:tr w14:paraId="332E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BFE97B6">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47B998CB">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76A4092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医技绩效基准设定维护</w:t>
            </w:r>
          </w:p>
        </w:tc>
        <w:tc>
          <w:tcPr>
            <w:tcW w:w="5541" w:type="dxa"/>
            <w:shd w:val="clear" w:color="auto" w:fill="auto"/>
            <w:tcMar>
              <w:left w:w="105" w:type="dxa"/>
              <w:right w:w="105" w:type="dxa"/>
            </w:tcMar>
            <w:vAlign w:val="center"/>
          </w:tcPr>
          <w:p w14:paraId="0345405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需可针对每个医技科室参数独立建置手工参数。</w:t>
            </w:r>
          </w:p>
        </w:tc>
      </w:tr>
      <w:tr w14:paraId="35E33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21FF9FF">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1F52DBA8">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44697FA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医技奖励性绩效工资汇总结果维护</w:t>
            </w:r>
          </w:p>
        </w:tc>
        <w:tc>
          <w:tcPr>
            <w:tcW w:w="5541" w:type="dxa"/>
            <w:shd w:val="clear" w:color="auto" w:fill="auto"/>
            <w:tcMar>
              <w:left w:w="105" w:type="dxa"/>
              <w:right w:w="105" w:type="dxa"/>
            </w:tcMar>
            <w:vAlign w:val="center"/>
          </w:tcPr>
          <w:p w14:paraId="6BD309C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可根据年月、科室、职工姓名等条件查询职工绩效工资（包含个人绩效，如挂号绩效、手术绩效）。</w:t>
            </w:r>
          </w:p>
        </w:tc>
      </w:tr>
      <w:tr w14:paraId="02EA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03E7ED8">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8F5948D">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340F359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医技工作量明细查询维护</w:t>
            </w:r>
          </w:p>
        </w:tc>
        <w:tc>
          <w:tcPr>
            <w:tcW w:w="5541" w:type="dxa"/>
            <w:shd w:val="clear" w:color="auto" w:fill="auto"/>
            <w:tcMar>
              <w:left w:w="105" w:type="dxa"/>
              <w:right w:w="105" w:type="dxa"/>
            </w:tcMar>
            <w:vAlign w:val="center"/>
          </w:tcPr>
          <w:p w14:paraId="31719E27">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需能做到查询核算单元内所有的医技人员的工作量。并提供年月作为查询条件。也可根据科室作为查询条件查询所需的资料。</w:t>
            </w:r>
          </w:p>
        </w:tc>
      </w:tr>
      <w:tr w14:paraId="5F17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412BC821">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63DE730B">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52FFD697">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医技奖励性绩效工资考核设定维护</w:t>
            </w:r>
          </w:p>
        </w:tc>
        <w:tc>
          <w:tcPr>
            <w:tcW w:w="5541" w:type="dxa"/>
            <w:shd w:val="clear" w:color="auto" w:fill="auto"/>
            <w:tcMar>
              <w:left w:w="105" w:type="dxa"/>
              <w:right w:w="105" w:type="dxa"/>
            </w:tcMar>
            <w:vAlign w:val="center"/>
          </w:tcPr>
          <w:p w14:paraId="50F60B5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需能做到可以设定采购人提供的各项考核按照核算单元纳入二次分配。</w:t>
            </w:r>
          </w:p>
        </w:tc>
      </w:tr>
      <w:tr w14:paraId="7BF70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2C21EEDA">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44CEA0F2">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7C435AD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医技奖励性绩效工资分配设定维护</w:t>
            </w:r>
          </w:p>
        </w:tc>
        <w:tc>
          <w:tcPr>
            <w:tcW w:w="5541" w:type="dxa"/>
            <w:shd w:val="clear" w:color="auto" w:fill="auto"/>
            <w:tcMar>
              <w:left w:w="105" w:type="dxa"/>
              <w:right w:w="105" w:type="dxa"/>
            </w:tcMar>
            <w:vAlign w:val="center"/>
          </w:tcPr>
          <w:p w14:paraId="37FE7F0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需能做到二次分配奖金结构的设定。</w:t>
            </w:r>
          </w:p>
        </w:tc>
      </w:tr>
      <w:tr w14:paraId="296E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restart"/>
            <w:shd w:val="clear" w:color="auto" w:fill="auto"/>
            <w:tcMar>
              <w:left w:w="105" w:type="dxa"/>
              <w:right w:w="105" w:type="dxa"/>
            </w:tcMar>
            <w:vAlign w:val="center"/>
          </w:tcPr>
          <w:p w14:paraId="0330753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p>
          <w:p w14:paraId="70AB8B9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4</w:t>
            </w:r>
          </w:p>
        </w:tc>
        <w:tc>
          <w:tcPr>
            <w:tcW w:w="1295" w:type="dxa"/>
            <w:vMerge w:val="restart"/>
            <w:shd w:val="clear" w:color="auto" w:fill="auto"/>
            <w:tcMar>
              <w:left w:w="105" w:type="dxa"/>
              <w:right w:w="105" w:type="dxa"/>
            </w:tcMar>
            <w:vAlign w:val="center"/>
          </w:tcPr>
          <w:p w14:paraId="5FBEBAE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DRGs绩效智能编码及DRGs绩效核算模块维护</w:t>
            </w:r>
          </w:p>
        </w:tc>
        <w:tc>
          <w:tcPr>
            <w:tcW w:w="2264" w:type="dxa"/>
            <w:shd w:val="clear" w:color="auto" w:fill="auto"/>
            <w:tcMar>
              <w:left w:w="105" w:type="dxa"/>
              <w:right w:w="105" w:type="dxa"/>
            </w:tcMar>
            <w:vAlign w:val="center"/>
          </w:tcPr>
          <w:p w14:paraId="4665D794">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DRGs分组预测&amp;优化推荐-科室医生事前预测、事中提醒弹框-病案首页提醒维护</w:t>
            </w:r>
          </w:p>
        </w:tc>
        <w:tc>
          <w:tcPr>
            <w:tcW w:w="5541" w:type="dxa"/>
            <w:shd w:val="clear" w:color="auto" w:fill="auto"/>
            <w:tcMar>
              <w:left w:w="105" w:type="dxa"/>
              <w:right w:w="105" w:type="dxa"/>
            </w:tcMar>
            <w:vAlign w:val="center"/>
          </w:tcPr>
          <w:p w14:paraId="392468C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需可于病案系统提供医师跟据当前病人住院号（病人号）点击连结按钮后，提示医师预测性的分组结果及优化推荐。</w:t>
            </w:r>
          </w:p>
        </w:tc>
      </w:tr>
      <w:tr w14:paraId="3EB5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0A97EF06">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56B1E9B6">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123A6B3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DRGs分组预测-科室医生书写病历事前预测、事中提醒弹框-运行病历提醒维护</w:t>
            </w:r>
          </w:p>
        </w:tc>
        <w:tc>
          <w:tcPr>
            <w:tcW w:w="5541" w:type="dxa"/>
            <w:shd w:val="clear" w:color="auto" w:fill="auto"/>
            <w:tcMar>
              <w:left w:w="105" w:type="dxa"/>
              <w:right w:w="105" w:type="dxa"/>
            </w:tcMar>
            <w:vAlign w:val="center"/>
          </w:tcPr>
          <w:p w14:paraId="2014A88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需可于电子病例提供医师跟据当前病人住院号（病人号）点击连结按钮后，提示医师预测性的分组结果及优化推荐。</w:t>
            </w:r>
          </w:p>
        </w:tc>
      </w:tr>
      <w:tr w14:paraId="3585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70D82AA5">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3124FB34">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7937E2A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运行病历DRGs管理-管理医生端维护</w:t>
            </w:r>
          </w:p>
        </w:tc>
        <w:tc>
          <w:tcPr>
            <w:tcW w:w="5541" w:type="dxa"/>
            <w:shd w:val="clear" w:color="auto" w:fill="auto"/>
            <w:tcMar>
              <w:left w:w="105" w:type="dxa"/>
              <w:right w:w="105" w:type="dxa"/>
            </w:tcMar>
            <w:vAlign w:val="center"/>
          </w:tcPr>
          <w:p w14:paraId="15E746B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需提供事中（运行病例）的管理页面。</w:t>
            </w:r>
          </w:p>
        </w:tc>
      </w:tr>
      <w:tr w14:paraId="06B2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restart"/>
            <w:shd w:val="clear" w:color="auto" w:fill="auto"/>
            <w:tcMar>
              <w:left w:w="105" w:type="dxa"/>
              <w:right w:w="105" w:type="dxa"/>
            </w:tcMar>
            <w:vAlign w:val="center"/>
          </w:tcPr>
          <w:p w14:paraId="489659F9">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5</w:t>
            </w:r>
          </w:p>
        </w:tc>
        <w:tc>
          <w:tcPr>
            <w:tcW w:w="1295" w:type="dxa"/>
            <w:vMerge w:val="restart"/>
            <w:shd w:val="clear" w:color="auto" w:fill="auto"/>
            <w:tcMar>
              <w:left w:w="105" w:type="dxa"/>
              <w:right w:w="105" w:type="dxa"/>
            </w:tcMar>
            <w:vAlign w:val="center"/>
          </w:tcPr>
          <w:p w14:paraId="75639DC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咨询服务事项</w:t>
            </w:r>
          </w:p>
        </w:tc>
        <w:tc>
          <w:tcPr>
            <w:tcW w:w="2264" w:type="dxa"/>
            <w:shd w:val="clear" w:color="auto" w:fill="auto"/>
            <w:tcMar>
              <w:left w:w="105" w:type="dxa"/>
              <w:right w:w="105" w:type="dxa"/>
            </w:tcMar>
            <w:vAlign w:val="center"/>
          </w:tcPr>
          <w:p w14:paraId="2E0CC084">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诊疗项目点值</w:t>
            </w:r>
          </w:p>
        </w:tc>
        <w:tc>
          <w:tcPr>
            <w:tcW w:w="5541" w:type="dxa"/>
            <w:shd w:val="clear" w:color="auto" w:fill="auto"/>
            <w:tcMar>
              <w:left w:w="105" w:type="dxa"/>
              <w:right w:w="105" w:type="dxa"/>
            </w:tcMar>
            <w:vAlign w:val="center"/>
          </w:tcPr>
          <w:p w14:paraId="5D213DB4">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每月维护</w:t>
            </w:r>
            <w:r>
              <w:rPr>
                <w:rFonts w:hint="eastAsia" w:ascii="仿宋" w:hAnsi="仿宋" w:eastAsia="仿宋" w:cs="仿宋"/>
                <w:color w:val="auto"/>
                <w:sz w:val="24"/>
                <w:szCs w:val="24"/>
                <w:shd w:val="clear" w:fill="FFFFFF"/>
                <w:lang w:eastAsia="zh-CN"/>
              </w:rPr>
              <w:t>采购人</w:t>
            </w:r>
            <w:r>
              <w:rPr>
                <w:rFonts w:hint="eastAsia" w:ascii="仿宋" w:hAnsi="仿宋" w:eastAsia="仿宋" w:cs="仿宋"/>
                <w:color w:val="auto"/>
                <w:sz w:val="24"/>
                <w:szCs w:val="24"/>
                <w:shd w:val="clear" w:fill="FFFFFF"/>
              </w:rPr>
              <w:t>新增诊疗项目点值，保证绩效核算持续性。</w:t>
            </w:r>
          </w:p>
        </w:tc>
      </w:tr>
      <w:tr w14:paraId="7563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363A0AB4">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47E19A75">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0E9DAE1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反馈意见的咨询</w:t>
            </w:r>
          </w:p>
        </w:tc>
        <w:tc>
          <w:tcPr>
            <w:tcW w:w="5541" w:type="dxa"/>
            <w:shd w:val="clear" w:color="auto" w:fill="auto"/>
            <w:tcMar>
              <w:left w:w="105" w:type="dxa"/>
              <w:right w:w="105" w:type="dxa"/>
            </w:tcMar>
            <w:vAlign w:val="center"/>
          </w:tcPr>
          <w:p w14:paraId="4384689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临床医技科室反馈意见的咨询管理服务（数据查询、数据核对、反馈科室意见书写、提供意见给运营部）。</w:t>
            </w:r>
          </w:p>
        </w:tc>
      </w:tr>
      <w:tr w14:paraId="5EEE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vMerge w:val="continue"/>
            <w:shd w:val="clear" w:color="auto" w:fill="auto"/>
            <w:tcMar>
              <w:left w:w="105" w:type="dxa"/>
              <w:right w:w="105" w:type="dxa"/>
            </w:tcMar>
            <w:vAlign w:val="center"/>
          </w:tcPr>
          <w:p w14:paraId="1A60B4C0">
            <w:pPr>
              <w:keepNext w:val="0"/>
              <w:keepLines w:val="0"/>
              <w:pageBreakBefore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p>
        </w:tc>
        <w:tc>
          <w:tcPr>
            <w:tcW w:w="1295" w:type="dxa"/>
            <w:vMerge w:val="continue"/>
            <w:shd w:val="clear" w:color="auto" w:fill="auto"/>
            <w:tcMar>
              <w:left w:w="105" w:type="dxa"/>
              <w:right w:w="105" w:type="dxa"/>
            </w:tcMar>
            <w:vAlign w:val="center"/>
          </w:tcPr>
          <w:p w14:paraId="77CD7A36">
            <w:pPr>
              <w:keepNext w:val="0"/>
              <w:keepLines w:val="0"/>
              <w:pageBreakBefore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p>
        </w:tc>
        <w:tc>
          <w:tcPr>
            <w:tcW w:w="2264" w:type="dxa"/>
            <w:shd w:val="clear" w:color="auto" w:fill="auto"/>
            <w:tcMar>
              <w:left w:w="105" w:type="dxa"/>
              <w:right w:w="105" w:type="dxa"/>
            </w:tcMar>
            <w:vAlign w:val="center"/>
          </w:tcPr>
          <w:p w14:paraId="1176A073">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管理咨询与相应调整服务</w:t>
            </w:r>
          </w:p>
        </w:tc>
        <w:tc>
          <w:tcPr>
            <w:tcW w:w="5541" w:type="dxa"/>
            <w:shd w:val="clear" w:color="auto" w:fill="auto"/>
            <w:tcMar>
              <w:left w:w="105" w:type="dxa"/>
              <w:right w:w="105" w:type="dxa"/>
            </w:tcMar>
            <w:vAlign w:val="center"/>
          </w:tcPr>
          <w:p w14:paraId="78FCD9B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国家政策调整、</w:t>
            </w:r>
            <w:r>
              <w:rPr>
                <w:rFonts w:hint="eastAsia" w:ascii="仿宋" w:hAnsi="仿宋" w:eastAsia="仿宋" w:cs="仿宋"/>
                <w:color w:val="auto"/>
                <w:sz w:val="24"/>
                <w:szCs w:val="24"/>
                <w:shd w:val="clear" w:fill="FFFFFF"/>
                <w:lang w:eastAsia="zh-CN"/>
              </w:rPr>
              <w:t>采购人</w:t>
            </w:r>
            <w:r>
              <w:rPr>
                <w:rFonts w:hint="eastAsia" w:ascii="仿宋" w:hAnsi="仿宋" w:eastAsia="仿宋" w:cs="仿宋"/>
                <w:color w:val="auto"/>
                <w:sz w:val="24"/>
                <w:szCs w:val="24"/>
                <w:shd w:val="clear" w:fill="FFFFFF"/>
              </w:rPr>
              <w:t>绩效政策调整时的管理咨询与相应调整服务（数据查询、数据测算、方案书写、提供修改规则给信息同事）。</w:t>
            </w:r>
          </w:p>
        </w:tc>
      </w:tr>
      <w:tr w14:paraId="0D3E5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shd w:val="clear" w:color="auto" w:fill="auto"/>
            <w:tcMar>
              <w:left w:w="105" w:type="dxa"/>
              <w:right w:w="105" w:type="dxa"/>
            </w:tcMar>
            <w:vAlign w:val="center"/>
          </w:tcPr>
          <w:p w14:paraId="166AC404">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295" w:type="dxa"/>
            <w:shd w:val="clear" w:color="auto" w:fill="auto"/>
            <w:tcMar>
              <w:left w:w="105" w:type="dxa"/>
              <w:right w:w="105" w:type="dxa"/>
            </w:tcMar>
            <w:vAlign w:val="center"/>
          </w:tcPr>
          <w:p w14:paraId="7B91F91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科室考勤上传功能升级</w:t>
            </w:r>
          </w:p>
        </w:tc>
        <w:tc>
          <w:tcPr>
            <w:tcW w:w="2264" w:type="dxa"/>
            <w:shd w:val="clear" w:color="auto" w:fill="auto"/>
            <w:tcMar>
              <w:left w:w="105" w:type="dxa"/>
              <w:right w:w="105" w:type="dxa"/>
            </w:tcMar>
            <w:vAlign w:val="center"/>
          </w:tcPr>
          <w:p w14:paraId="21725C0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科室考勤上传</w:t>
            </w:r>
          </w:p>
        </w:tc>
        <w:tc>
          <w:tcPr>
            <w:tcW w:w="5541" w:type="dxa"/>
            <w:shd w:val="clear" w:color="auto" w:fill="auto"/>
            <w:tcMar>
              <w:left w:w="105" w:type="dxa"/>
              <w:right w:w="105" w:type="dxa"/>
            </w:tcMar>
            <w:vAlign w:val="center"/>
          </w:tcPr>
          <w:p w14:paraId="41066305">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新增行政后勤人员考勤板块，每月上传行政后勤人员考勤信息，参考临床考勤的管理规则统计出勤天数，计算科室基础绩效及激励绩效人数。</w:t>
            </w:r>
          </w:p>
        </w:tc>
      </w:tr>
      <w:tr w14:paraId="71D9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638" w:hRule="atLeast"/>
        </w:trPr>
        <w:tc>
          <w:tcPr>
            <w:tcW w:w="747" w:type="dxa"/>
            <w:shd w:val="clear" w:color="auto" w:fill="auto"/>
            <w:tcMar>
              <w:left w:w="105" w:type="dxa"/>
              <w:right w:w="105" w:type="dxa"/>
            </w:tcMar>
            <w:vAlign w:val="center"/>
          </w:tcPr>
          <w:p w14:paraId="2681115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295" w:type="dxa"/>
            <w:shd w:val="clear" w:color="auto" w:fill="auto"/>
            <w:tcMar>
              <w:left w:w="105" w:type="dxa"/>
              <w:right w:w="105" w:type="dxa"/>
            </w:tcMar>
            <w:vAlign w:val="center"/>
          </w:tcPr>
          <w:p w14:paraId="5C1CA56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新建行政后勤人员奖励性绩效工资核算模块</w:t>
            </w:r>
          </w:p>
        </w:tc>
        <w:tc>
          <w:tcPr>
            <w:tcW w:w="2264" w:type="dxa"/>
            <w:shd w:val="clear" w:color="auto" w:fill="auto"/>
            <w:tcMar>
              <w:left w:w="105" w:type="dxa"/>
              <w:right w:w="105" w:type="dxa"/>
            </w:tcMar>
            <w:vAlign w:val="center"/>
          </w:tcPr>
          <w:p w14:paraId="5B04DF9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行政后勤人员奖励性绩效工资公式设定</w:t>
            </w:r>
          </w:p>
        </w:tc>
        <w:tc>
          <w:tcPr>
            <w:tcW w:w="5541" w:type="dxa"/>
            <w:shd w:val="clear" w:color="auto" w:fill="auto"/>
            <w:tcMar>
              <w:left w:w="105" w:type="dxa"/>
              <w:right w:w="105" w:type="dxa"/>
            </w:tcMar>
            <w:vAlign w:val="center"/>
          </w:tcPr>
          <w:p w14:paraId="4F31EC3B">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该模块需给所有行政后勤科室建立核算单元代码及核算单元名称，根据核算单元设定不同的公式，并且能够根据年月进行复制。且能做到查询历史公式并能根据职系行统计查询。</w:t>
            </w:r>
          </w:p>
        </w:tc>
      </w:tr>
      <w:tr w14:paraId="3FD1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shd w:val="clear" w:color="auto" w:fill="auto"/>
            <w:tcMar>
              <w:left w:w="105" w:type="dxa"/>
              <w:right w:w="105" w:type="dxa"/>
            </w:tcMar>
            <w:vAlign w:val="center"/>
          </w:tcPr>
          <w:p w14:paraId="5FEAFED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295" w:type="dxa"/>
            <w:shd w:val="clear" w:color="auto" w:fill="auto"/>
            <w:tcMar>
              <w:left w:w="105" w:type="dxa"/>
              <w:right w:w="105" w:type="dxa"/>
            </w:tcMar>
            <w:vAlign w:val="center"/>
          </w:tcPr>
          <w:p w14:paraId="0C62EAC7">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新建年终综合绩效激励部分下发及二级分配模块</w:t>
            </w:r>
          </w:p>
        </w:tc>
        <w:tc>
          <w:tcPr>
            <w:tcW w:w="2264" w:type="dxa"/>
            <w:shd w:val="clear" w:color="auto" w:fill="auto"/>
            <w:tcMar>
              <w:left w:w="105" w:type="dxa"/>
              <w:right w:w="105" w:type="dxa"/>
            </w:tcMar>
            <w:vAlign w:val="center"/>
          </w:tcPr>
          <w:p w14:paraId="0CF62E4B">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年终综合绩效激励部分下发及二级分配</w:t>
            </w:r>
          </w:p>
        </w:tc>
        <w:tc>
          <w:tcPr>
            <w:tcW w:w="5541" w:type="dxa"/>
            <w:shd w:val="clear" w:color="auto" w:fill="auto"/>
            <w:tcMar>
              <w:left w:w="105" w:type="dxa"/>
              <w:right w:w="105" w:type="dxa"/>
            </w:tcMar>
            <w:vAlign w:val="center"/>
          </w:tcPr>
          <w:p w14:paraId="2DAA230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该模块需像临床月绩效下发一样，支持按科室、职系、岗位层级等多维度配置发放规则，自动计算并生成年终绩效汇总表与明细表；同时兼容二级分配逻辑，允许科室在总额内按内部考核方案进行再分配，并留痕可追溯；支持导出Excel报表及统计汇总功能，确保下发过程合规、透明、高效。</w:t>
            </w:r>
          </w:p>
        </w:tc>
      </w:tr>
      <w:tr w14:paraId="0148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47" w:type="dxa"/>
            <w:shd w:val="clear" w:color="auto" w:fill="auto"/>
            <w:tcMar>
              <w:left w:w="105" w:type="dxa"/>
              <w:right w:w="105" w:type="dxa"/>
            </w:tcMar>
            <w:vAlign w:val="center"/>
          </w:tcPr>
          <w:p w14:paraId="6C8399E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295" w:type="dxa"/>
            <w:shd w:val="clear" w:color="auto" w:fill="auto"/>
            <w:tcMar>
              <w:left w:w="105" w:type="dxa"/>
              <w:right w:w="105" w:type="dxa"/>
            </w:tcMar>
            <w:vAlign w:val="center"/>
          </w:tcPr>
          <w:p w14:paraId="2F19B52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手工数据信息化</w:t>
            </w:r>
          </w:p>
        </w:tc>
        <w:tc>
          <w:tcPr>
            <w:tcW w:w="2264" w:type="dxa"/>
            <w:shd w:val="clear" w:color="auto" w:fill="auto"/>
            <w:tcMar>
              <w:left w:w="105" w:type="dxa"/>
              <w:right w:w="105" w:type="dxa"/>
            </w:tcMar>
            <w:vAlign w:val="center"/>
          </w:tcPr>
          <w:p w14:paraId="7CCF216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fill="FFFFFF"/>
              </w:rPr>
              <w:t>医疗组绩效实现系统核算</w:t>
            </w:r>
          </w:p>
        </w:tc>
        <w:tc>
          <w:tcPr>
            <w:tcW w:w="5541" w:type="dxa"/>
            <w:shd w:val="clear" w:color="auto" w:fill="auto"/>
            <w:tcMar>
              <w:left w:w="105" w:type="dxa"/>
              <w:right w:w="105" w:type="dxa"/>
            </w:tcMar>
            <w:vAlign w:val="center"/>
          </w:tcPr>
          <w:p w14:paraId="3945AC7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绩效系统建立医疗组绩效核算报表，系统需支持按医疗组维度配置核算规则，涵盖绩效系数、工作量，确保数据来源清晰可追溯、计算逻辑准确透明。同时，该报表需与现有绩效系统的其他模块联动，实现医疗组绩效的实时查询、历史数据对比分析，并支持导出医疗组绩效明细表与汇总表。</w:t>
            </w:r>
          </w:p>
        </w:tc>
      </w:tr>
    </w:tbl>
    <w:p w14:paraId="2A5707EC">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34"/>
        <w:gridCol w:w="1568"/>
        <w:gridCol w:w="6109"/>
        <w:gridCol w:w="1436"/>
      </w:tblGrid>
      <w:tr w14:paraId="3B1B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4" w:type="dxa"/>
            <w:shd w:val="clear" w:color="auto" w:fill="auto"/>
            <w:tcMar>
              <w:left w:w="105" w:type="dxa"/>
              <w:right w:w="105" w:type="dxa"/>
            </w:tcMar>
            <w:vAlign w:val="top"/>
          </w:tcPr>
          <w:p w14:paraId="259B7C0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568" w:type="dxa"/>
            <w:shd w:val="clear" w:color="auto" w:fill="auto"/>
            <w:tcMar>
              <w:left w:w="105" w:type="dxa"/>
              <w:right w:w="105" w:type="dxa"/>
            </w:tcMar>
            <w:vAlign w:val="top"/>
          </w:tcPr>
          <w:p w14:paraId="264125B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109" w:type="dxa"/>
            <w:shd w:val="clear" w:color="auto" w:fill="auto"/>
            <w:tcMar>
              <w:left w:w="105" w:type="dxa"/>
              <w:right w:w="105" w:type="dxa"/>
            </w:tcMar>
            <w:vAlign w:val="top"/>
          </w:tcPr>
          <w:p w14:paraId="071079B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6" w:type="dxa"/>
            <w:shd w:val="clear" w:color="auto" w:fill="auto"/>
            <w:tcMar>
              <w:left w:w="105" w:type="dxa"/>
              <w:right w:w="105" w:type="dxa"/>
            </w:tcMar>
            <w:vAlign w:val="top"/>
          </w:tcPr>
          <w:p w14:paraId="50B773A7">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29FB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4" w:type="dxa"/>
            <w:shd w:val="clear" w:color="auto" w:fill="auto"/>
            <w:tcMar>
              <w:left w:w="105" w:type="dxa"/>
              <w:right w:w="105" w:type="dxa"/>
            </w:tcMar>
            <w:vAlign w:val="center"/>
          </w:tcPr>
          <w:p w14:paraId="364EFA11">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68" w:type="dxa"/>
            <w:shd w:val="clear" w:color="auto" w:fill="auto"/>
            <w:tcMar>
              <w:left w:w="105" w:type="dxa"/>
              <w:right w:w="105" w:type="dxa"/>
            </w:tcMar>
            <w:vAlign w:val="center"/>
          </w:tcPr>
          <w:p w14:paraId="463B8856">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09" w:type="dxa"/>
            <w:shd w:val="clear" w:color="auto" w:fill="auto"/>
            <w:tcMar>
              <w:left w:w="105" w:type="dxa"/>
              <w:right w:w="105" w:type="dxa"/>
            </w:tcMar>
            <w:vAlign w:val="top"/>
          </w:tcPr>
          <w:p w14:paraId="512F2BCD">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基本服务至少满足以下内容：</w:t>
            </w:r>
          </w:p>
          <w:p w14:paraId="5CF521C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1、稳定性：</w:t>
            </w:r>
            <w:r>
              <w:rPr>
                <w:rFonts w:hint="eastAsia" w:ascii="仿宋" w:hAnsi="仿宋" w:eastAsia="仿宋" w:cs="仿宋"/>
                <w:color w:val="auto"/>
                <w:sz w:val="24"/>
                <w:szCs w:val="24"/>
              </w:rPr>
              <w:t>服务期内需保障业务稳定，不无故出现崩溃或宕机现象；凡已与外部系统完成接口对接的，须确保接口调用的稳定、传输数据的准确完整。</w:t>
            </w:r>
          </w:p>
          <w:p w14:paraId="21F40EF2">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2、安全性：</w:t>
            </w:r>
            <w:r>
              <w:rPr>
                <w:rFonts w:hint="eastAsia" w:ascii="仿宋" w:hAnsi="仿宋" w:eastAsia="仿宋" w:cs="仿宋"/>
                <w:color w:val="auto"/>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53108B0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3、数据质量：</w:t>
            </w:r>
            <w:r>
              <w:rPr>
                <w:rFonts w:hint="eastAsia" w:ascii="仿宋" w:hAnsi="仿宋" w:eastAsia="仿宋" w:cs="仿宋"/>
                <w:color w:val="auto"/>
                <w:sz w:val="24"/>
                <w:szCs w:val="24"/>
              </w:rPr>
              <w:t>供应商收到异议后，</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供应商应在5个工作日内对数据质量问题进行原因查找和反馈，30个工作日内对数据质量问题进行数据清洗；</w:t>
            </w:r>
          </w:p>
          <w:p w14:paraId="2A9408D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4、响应速度：</w:t>
            </w:r>
            <w:r>
              <w:rPr>
                <w:rFonts w:hint="eastAsia" w:ascii="仿宋" w:hAnsi="仿宋" w:eastAsia="仿宋" w:cs="仿宋"/>
                <w:color w:val="auto"/>
                <w:sz w:val="24"/>
                <w:szCs w:val="24"/>
              </w:rPr>
              <w:t>服务期内，采购人通过电话、微信、现场提出的支持需求，供应商须在需求提出的当日完成响应；</w:t>
            </w:r>
          </w:p>
          <w:p w14:paraId="1602998B">
            <w:pPr>
              <w:pStyle w:val="15"/>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shd w:val="clear"/>
              </w:rPr>
              <w:t>5、</w:t>
            </w:r>
            <w:r>
              <w:rPr>
                <w:rStyle w:val="21"/>
                <w:rFonts w:hint="eastAsia" w:ascii="仿宋" w:hAnsi="仿宋" w:eastAsia="仿宋" w:cs="仿宋"/>
                <w:color w:val="auto"/>
                <w:sz w:val="24"/>
                <w:szCs w:val="24"/>
              </w:rPr>
              <w:t>定期巡检：</w:t>
            </w:r>
            <w:r>
              <w:rPr>
                <w:rFonts w:hint="eastAsia" w:ascii="仿宋" w:hAnsi="仿宋" w:eastAsia="仿宋" w:cs="仿宋"/>
                <w:color w:val="auto"/>
                <w:sz w:val="24"/>
                <w:szCs w:val="24"/>
              </w:rPr>
              <w:t>服务期内每月提供至少1次软硬件服务期巡检报告；</w:t>
            </w:r>
          </w:p>
          <w:p w14:paraId="71C4135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val="en-US" w:eastAsia="zh-CN"/>
              </w:rPr>
              <w:t>6</w:t>
            </w:r>
            <w:r>
              <w:rPr>
                <w:rStyle w:val="21"/>
                <w:rFonts w:hint="eastAsia" w:ascii="仿宋" w:hAnsi="仿宋" w:eastAsia="仿宋" w:cs="仿宋"/>
                <w:color w:val="auto"/>
                <w:sz w:val="24"/>
                <w:szCs w:val="24"/>
              </w:rPr>
              <w:t>、培训服务：</w:t>
            </w:r>
            <w:r>
              <w:rPr>
                <w:rFonts w:hint="eastAsia" w:ascii="仿宋" w:hAnsi="仿宋" w:eastAsia="仿宋" w:cs="仿宋"/>
                <w:color w:val="auto"/>
                <w:sz w:val="24"/>
                <w:szCs w:val="24"/>
              </w:rPr>
              <w:t>每年提供≥2次培训服务，并提交培训方案和签到表；</w:t>
            </w:r>
          </w:p>
          <w:p w14:paraId="0B3381D2">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lang w:val="en-US" w:eastAsia="zh-CN"/>
              </w:rPr>
              <w:t>7</w:t>
            </w:r>
            <w:r>
              <w:rPr>
                <w:rStyle w:val="21"/>
                <w:rFonts w:hint="eastAsia" w:ascii="仿宋" w:hAnsi="仿宋" w:eastAsia="仿宋" w:cs="仿宋"/>
                <w:color w:val="auto"/>
                <w:sz w:val="24"/>
                <w:szCs w:val="24"/>
              </w:rPr>
              <w:t>、文档服务：</w:t>
            </w:r>
            <w:r>
              <w:rPr>
                <w:rFonts w:hint="eastAsia" w:ascii="仿宋" w:hAnsi="仿宋" w:eastAsia="仿宋" w:cs="仿宋"/>
                <w:color w:val="auto"/>
                <w:sz w:val="24"/>
                <w:szCs w:val="24"/>
              </w:rPr>
              <w:t>上线运行之日提交本次采购内容的《四川省人民医院应用系统档案》。服务期满后需提交本次采购内容的运维记</w:t>
            </w:r>
            <w:r>
              <w:rPr>
                <w:rFonts w:hint="eastAsia" w:ascii="仿宋" w:hAnsi="仿宋" w:eastAsia="仿宋" w:cs="仿宋"/>
                <w:color w:val="auto"/>
                <w:sz w:val="24"/>
                <w:szCs w:val="24"/>
                <w:u w:val="none"/>
              </w:rPr>
              <w:t>录签字扫描版本。</w:t>
            </w:r>
          </w:p>
          <w:p w14:paraId="376C9F8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i w:val="0"/>
                <w:iCs w:val="0"/>
                <w:color w:val="auto"/>
                <w:sz w:val="24"/>
                <w:szCs w:val="24"/>
              </w:rPr>
            </w:pPr>
            <w:r>
              <w:rPr>
                <w:rStyle w:val="21"/>
                <w:rFonts w:hint="eastAsia" w:ascii="仿宋" w:hAnsi="仿宋" w:eastAsia="仿宋" w:cs="仿宋"/>
                <w:color w:val="auto"/>
                <w:sz w:val="24"/>
                <w:szCs w:val="24"/>
                <w:u w:val="none"/>
                <w:lang w:val="en-US" w:eastAsia="zh-CN"/>
              </w:rPr>
              <w:t>8</w:t>
            </w:r>
            <w:r>
              <w:rPr>
                <w:rStyle w:val="21"/>
                <w:rFonts w:hint="eastAsia" w:ascii="仿宋" w:hAnsi="仿宋" w:eastAsia="仿宋" w:cs="仿宋"/>
                <w:color w:val="auto"/>
                <w:sz w:val="24"/>
                <w:szCs w:val="24"/>
                <w:u w:val="none"/>
              </w:rPr>
              <w:t>、人员服务：</w:t>
            </w:r>
            <w:r>
              <w:rPr>
                <w:rFonts w:hint="eastAsia" w:ascii="仿宋" w:hAnsi="仿宋" w:eastAsia="仿宋" w:cs="仿宋"/>
                <w:i w:val="0"/>
                <w:iCs w:val="0"/>
                <w:color w:val="auto"/>
                <w:sz w:val="24"/>
                <w:szCs w:val="24"/>
                <w:u w:val="none"/>
              </w:rPr>
              <w:t>提供1人驻场，驻场期间纳入</w:t>
            </w:r>
            <w:r>
              <w:rPr>
                <w:rFonts w:hint="eastAsia" w:ascii="仿宋" w:hAnsi="仿宋" w:eastAsia="仿宋" w:cs="仿宋"/>
                <w:i w:val="0"/>
                <w:iCs w:val="0"/>
                <w:color w:val="auto"/>
                <w:sz w:val="24"/>
                <w:szCs w:val="24"/>
                <w:u w:val="none"/>
                <w:lang w:eastAsia="zh-CN"/>
              </w:rPr>
              <w:t>采购人</w:t>
            </w:r>
            <w:r>
              <w:rPr>
                <w:rFonts w:hint="eastAsia" w:ascii="仿宋" w:hAnsi="仿宋" w:eastAsia="仿宋" w:cs="仿宋"/>
                <w:i w:val="0"/>
                <w:iCs w:val="0"/>
                <w:color w:val="auto"/>
                <w:sz w:val="24"/>
                <w:szCs w:val="24"/>
                <w:u w:val="none"/>
              </w:rPr>
              <w:t>统一管理。工作时间：工作日8:00</w:t>
            </w:r>
            <w:r>
              <w:rPr>
                <w:rFonts w:hint="eastAsia" w:ascii="仿宋" w:hAnsi="仿宋" w:eastAsia="仿宋" w:cs="仿宋"/>
                <w:i w:val="0"/>
                <w:iCs w:val="0"/>
                <w:color w:val="auto"/>
                <w:sz w:val="24"/>
                <w:szCs w:val="24"/>
              </w:rPr>
              <w:t>-17:30,法定节假日按照</w:t>
            </w:r>
            <w:r>
              <w:rPr>
                <w:rFonts w:hint="eastAsia" w:ascii="仿宋" w:hAnsi="仿宋" w:eastAsia="仿宋" w:cs="仿宋"/>
                <w:i w:val="0"/>
                <w:iCs w:val="0"/>
                <w:color w:val="auto"/>
                <w:sz w:val="24"/>
                <w:szCs w:val="24"/>
                <w:lang w:eastAsia="zh-CN"/>
              </w:rPr>
              <w:t>采购人</w:t>
            </w:r>
            <w:r>
              <w:rPr>
                <w:rFonts w:hint="eastAsia" w:ascii="仿宋" w:hAnsi="仿宋" w:eastAsia="仿宋" w:cs="仿宋"/>
                <w:i w:val="0"/>
                <w:iCs w:val="0"/>
                <w:color w:val="auto"/>
                <w:sz w:val="24"/>
                <w:szCs w:val="24"/>
              </w:rPr>
              <w:t>统一放假时间，节假日期间安排人员远程值班,人员轮转、变动须提前通知采购人</w:t>
            </w:r>
          </w:p>
          <w:p w14:paraId="3A8400AD">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i w:val="0"/>
                <w:iCs w:val="0"/>
                <w:color w:val="auto"/>
                <w:sz w:val="24"/>
                <w:szCs w:val="24"/>
                <w:u w:val="none"/>
              </w:rPr>
            </w:pPr>
            <w:r>
              <w:rPr>
                <w:rStyle w:val="21"/>
                <w:rFonts w:hint="eastAsia" w:ascii="仿宋" w:hAnsi="仿宋" w:eastAsia="仿宋" w:cs="仿宋"/>
                <w:i w:val="0"/>
                <w:iCs w:val="0"/>
                <w:color w:val="auto"/>
                <w:sz w:val="24"/>
                <w:szCs w:val="24"/>
                <w:lang w:val="en-US" w:eastAsia="zh-CN"/>
              </w:rPr>
              <w:t>9</w:t>
            </w:r>
            <w:r>
              <w:rPr>
                <w:rStyle w:val="21"/>
                <w:rFonts w:hint="eastAsia" w:ascii="仿宋" w:hAnsi="仿宋" w:eastAsia="仿宋" w:cs="仿宋"/>
                <w:i w:val="0"/>
                <w:iCs w:val="0"/>
                <w:color w:val="auto"/>
                <w:sz w:val="24"/>
                <w:szCs w:val="24"/>
              </w:rPr>
              <w:t>、其他：</w:t>
            </w:r>
          </w:p>
          <w:p w14:paraId="63A265CA">
            <w:pPr>
              <w:pStyle w:val="15"/>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u w:val="none"/>
              </w:rPr>
              <w:t>1）从合同签订生效之日起，采购人</w:t>
            </w:r>
            <w:r>
              <w:rPr>
                <w:rStyle w:val="21"/>
                <w:rFonts w:hint="eastAsia" w:ascii="仿宋" w:hAnsi="仿宋" w:eastAsia="仿宋" w:cs="仿宋"/>
                <w:i w:val="0"/>
                <w:iCs w:val="0"/>
                <w:color w:val="auto"/>
                <w:sz w:val="24"/>
                <w:szCs w:val="24"/>
                <w:u w:val="none"/>
              </w:rPr>
              <w:t>每月</w:t>
            </w:r>
            <w:r>
              <w:rPr>
                <w:rFonts w:hint="eastAsia" w:ascii="仿宋" w:hAnsi="仿宋" w:eastAsia="仿宋" w:cs="仿宋"/>
                <w:i w:val="0"/>
                <w:iCs w:val="0"/>
                <w:color w:val="auto"/>
                <w:sz w:val="24"/>
                <w:szCs w:val="24"/>
                <w:u w:val="none"/>
              </w:rPr>
              <w:t>按照</w:t>
            </w:r>
            <w:r>
              <w:rPr>
                <w:rStyle w:val="21"/>
                <w:rFonts w:hint="eastAsia" w:ascii="仿宋" w:hAnsi="仿宋" w:eastAsia="仿宋" w:cs="仿宋"/>
                <w:i w:val="0"/>
                <w:iCs w:val="0"/>
                <w:color w:val="auto"/>
                <w:sz w:val="24"/>
                <w:szCs w:val="24"/>
                <w:u w:val="none"/>
              </w:rPr>
              <w:t>四川省人民医院供应商考核</w:t>
            </w:r>
            <w:r>
              <w:rPr>
                <w:rFonts w:hint="eastAsia" w:ascii="仿宋" w:hAnsi="仿宋" w:eastAsia="仿宋" w:cs="仿宋"/>
                <w:i w:val="0"/>
                <w:iCs w:val="0"/>
                <w:color w:val="auto"/>
                <w:sz w:val="24"/>
                <w:szCs w:val="24"/>
                <w:u w:val="none"/>
              </w:rPr>
              <w:t>指标对供应商行为进行评价考核，考核结果关联最终付款金额和履约保证金</w:t>
            </w:r>
            <w:r>
              <w:rPr>
                <w:rFonts w:hint="eastAsia" w:ascii="仿宋" w:hAnsi="仿宋" w:eastAsia="仿宋" w:cs="仿宋"/>
                <w:i w:val="0"/>
                <w:iCs w:val="0"/>
                <w:color w:val="auto"/>
                <w:sz w:val="24"/>
                <w:szCs w:val="24"/>
                <w:u w:val="none"/>
                <w:shd w:val="clear"/>
              </w:rPr>
              <w:t>（如有履</w:t>
            </w:r>
            <w:r>
              <w:rPr>
                <w:rFonts w:hint="eastAsia" w:ascii="仿宋" w:hAnsi="仿宋" w:eastAsia="仿宋" w:cs="仿宋"/>
                <w:i w:val="0"/>
                <w:iCs w:val="0"/>
                <w:color w:val="auto"/>
                <w:sz w:val="24"/>
                <w:szCs w:val="24"/>
                <w:shd w:val="clear"/>
              </w:rPr>
              <w:t>约保证金）</w:t>
            </w:r>
            <w:r>
              <w:rPr>
                <w:rFonts w:hint="eastAsia" w:ascii="仿宋" w:hAnsi="仿宋" w:eastAsia="仿宋" w:cs="仿宋"/>
                <w:i w:val="0"/>
                <w:iCs w:val="0"/>
                <w:color w:val="auto"/>
                <w:sz w:val="24"/>
                <w:szCs w:val="24"/>
              </w:rPr>
              <w:t>。</w:t>
            </w:r>
          </w:p>
          <w:p w14:paraId="55863F94">
            <w:pPr>
              <w:pStyle w:val="15"/>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2）</w:t>
            </w:r>
            <w:r>
              <w:rPr>
                <w:rFonts w:hint="eastAsia" w:ascii="仿宋" w:hAnsi="仿宋" w:eastAsia="仿宋" w:cs="仿宋"/>
                <w:i w:val="0"/>
                <w:iCs w:val="0"/>
                <w:color w:val="auto"/>
                <w:sz w:val="24"/>
                <w:szCs w:val="24"/>
                <w:lang w:eastAsia="zh-CN"/>
              </w:rPr>
              <w:t>成交</w:t>
            </w:r>
            <w:r>
              <w:rPr>
                <w:rFonts w:hint="eastAsia" w:ascii="仿宋" w:hAnsi="仿宋" w:eastAsia="仿宋" w:cs="仿宋"/>
                <w:i w:val="0"/>
                <w:iCs w:val="0"/>
                <w:color w:val="auto"/>
                <w:sz w:val="24"/>
                <w:szCs w:val="24"/>
              </w:rPr>
              <w:t>供应商应当与本项目相关的第三方保持有痕的沟通，明确项目的具体要求和功能等方面的细节。采购人负责组织、监督和验收，以确保项目的顺利完成。</w:t>
            </w:r>
          </w:p>
          <w:p w14:paraId="6B54C95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3）如涉及因本项目开发的系统原因造成采购人的经济损失，由</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供应商负责向采购人进行赔偿。</w:t>
            </w:r>
          </w:p>
        </w:tc>
        <w:tc>
          <w:tcPr>
            <w:tcW w:w="1436" w:type="dxa"/>
            <w:vMerge w:val="restart"/>
            <w:shd w:val="clear" w:color="auto" w:fill="auto"/>
            <w:tcMar>
              <w:left w:w="105" w:type="dxa"/>
              <w:right w:w="105" w:type="dxa"/>
            </w:tcMar>
            <w:vAlign w:val="center"/>
          </w:tcPr>
          <w:p w14:paraId="2FAA24F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2027年1月9日至2028年1月8日结束</w:t>
            </w:r>
          </w:p>
        </w:tc>
      </w:tr>
      <w:tr w14:paraId="7317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54" w:hRule="atLeast"/>
        </w:trPr>
        <w:tc>
          <w:tcPr>
            <w:tcW w:w="734" w:type="dxa"/>
            <w:shd w:val="clear" w:color="auto" w:fill="auto"/>
            <w:tcMar>
              <w:left w:w="105" w:type="dxa"/>
              <w:right w:w="105" w:type="dxa"/>
            </w:tcMar>
            <w:vAlign w:val="center"/>
          </w:tcPr>
          <w:p w14:paraId="27C43182">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2</w:t>
            </w:r>
          </w:p>
        </w:tc>
        <w:tc>
          <w:tcPr>
            <w:tcW w:w="1568" w:type="dxa"/>
            <w:shd w:val="clear" w:color="auto" w:fill="auto"/>
            <w:tcMar>
              <w:left w:w="105" w:type="dxa"/>
              <w:right w:w="105" w:type="dxa"/>
            </w:tcMar>
            <w:vAlign w:val="center"/>
          </w:tcPr>
          <w:p w14:paraId="2C070B0A">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质保服务</w:t>
            </w:r>
          </w:p>
        </w:tc>
        <w:tc>
          <w:tcPr>
            <w:tcW w:w="6109" w:type="dxa"/>
            <w:shd w:val="clear" w:color="auto" w:fill="auto"/>
            <w:tcMar>
              <w:left w:w="105" w:type="dxa"/>
              <w:right w:w="105" w:type="dxa"/>
            </w:tcMar>
            <w:vAlign w:val="center"/>
          </w:tcPr>
          <w:p w14:paraId="366FF182">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保证软件功能正常运行，提供7*24小时原厂质保服务。</w:t>
            </w:r>
          </w:p>
        </w:tc>
        <w:tc>
          <w:tcPr>
            <w:tcW w:w="1436" w:type="dxa"/>
            <w:vMerge w:val="continue"/>
            <w:tcBorders/>
            <w:shd w:val="clear" w:color="auto" w:fill="auto"/>
            <w:tcMar>
              <w:left w:w="105" w:type="dxa"/>
              <w:right w:w="105" w:type="dxa"/>
            </w:tcMar>
            <w:vAlign w:val="top"/>
          </w:tcPr>
          <w:p w14:paraId="6BD5D05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p>
        </w:tc>
      </w:tr>
    </w:tbl>
    <w:p w14:paraId="6E1528B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hanging="482" w:hanging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rPr>
        <w:t>四、商务要求</w:t>
      </w:r>
    </w:p>
    <w:p w14:paraId="2B0764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1.服务地点：本项目涉及的四川省人民医院所有院区。</w:t>
      </w:r>
    </w:p>
    <w:p w14:paraId="024B48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条件：总价包干，一次性付款 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6" w:name="_Toc153964904"/>
      <w:bookmarkEnd w:id="16"/>
      <w:bookmarkStart w:id="17" w:name="_Toc18622"/>
      <w:bookmarkEnd w:id="17"/>
      <w:r>
        <w:rPr>
          <w:rFonts w:hint="eastAsia" w:ascii="仿宋" w:hAnsi="仿宋" w:eastAsia="仿宋" w:cs="仿宋"/>
          <w:sz w:val="24"/>
          <w:szCs w:val="24"/>
          <w:highlight w:val="none"/>
          <w:lang w:val="en-US" w:eastAsia="zh-CN"/>
        </w:rPr>
        <w:t>3.履约验收方案</w:t>
      </w:r>
    </w:p>
    <w:p w14:paraId="38B6A9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（5）履约验收内容：按照基于本项目采购需求编制的采购文件要求及供应商响应文件情况，由供应商向采购人提供的全部服务或货物。</w:t>
      </w:r>
    </w:p>
    <w:p w14:paraId="5778B2C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（6）履约验收时间：本次服务期满且供应商完成所有服务内容后5日内通知采购人验收，采购人接供应商通知后10日内组织验收。</w:t>
      </w:r>
    </w:p>
    <w:p w14:paraId="63BC65D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b w:val="0"/>
          <w:sz w:val="24"/>
          <w:szCs w:val="24"/>
          <w:vertAlign w:val="baseline"/>
          <w:lang w:val="en-US" w:eastAsia="zh-CN"/>
        </w:rPr>
        <w:t>如验收时，采购人与供应商认为本项目验收标准中的技术指标、质量要求等内容存在相互抵触或对其理解存在异议，应按照其中更严格的要求、标准等进行验收。</w:t>
      </w:r>
    </w:p>
    <w:p w14:paraId="408B22C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b w:val="0"/>
          <w:sz w:val="24"/>
          <w:szCs w:val="24"/>
          <w:vertAlign w:val="baseline"/>
          <w:lang w:val="en-US" w:eastAsia="zh-CN"/>
        </w:rPr>
        <w:t>按照《财政部关于进一步加强政府采购需求和履约验收管理的指导意见》（财库〔2016〕205号）的要求进行验收。（如本项目不涉及政府采购，将参照此条款）</w:t>
      </w:r>
    </w:p>
    <w:p w14:paraId="4F99EAAB">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075232A1">
      <w:pPr>
        <w:pStyle w:val="8"/>
        <w:numPr>
          <w:ilvl w:val="0"/>
          <w:numId w:val="0"/>
        </w:numPr>
        <w:ind w:firstLine="480" w:firstLineChars="200"/>
        <w:rPr>
          <w:rFonts w:hint="eastAsia" w:ascii="仿宋" w:hAnsi="仿宋" w:eastAsia="仿宋" w:cs="仿宋"/>
          <w:sz w:val="24"/>
          <w:szCs w:val="24"/>
        </w:rPr>
      </w:pPr>
      <w:r>
        <w:rPr>
          <w:rFonts w:hint="eastAsia" w:ascii="仿宋" w:hAnsi="仿宋" w:eastAsia="仿宋" w:cs="仿宋"/>
          <w:sz w:val="24"/>
          <w:szCs w:val="24"/>
          <w:highlight w:val="none"/>
          <w:lang w:val="en-US" w:eastAsia="zh-CN"/>
        </w:rPr>
        <w:t>4.其它要求：由采购人、供应商双方共同开发的项目：采购人、供应商双方共同研发的该系统软件产品，知识产权归采购人、供应商双方共同拥有，软件所有数据归采购人所有。</w:t>
      </w:r>
    </w:p>
    <w:p w14:paraId="09075411">
      <w:pPr>
        <w:pStyle w:val="8"/>
        <w:ind w:firstLine="0"/>
        <w:rPr>
          <w:rFonts w:hint="eastAsia" w:ascii="仿宋" w:hAnsi="仿宋" w:eastAsia="仿宋" w:cs="仿宋"/>
          <w:sz w:val="24"/>
          <w:szCs w:val="24"/>
        </w:rPr>
      </w:pP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44F987DC">
      <w:pPr>
        <w:pStyle w:val="2"/>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250"/>
        <w:gridCol w:w="1541"/>
        <w:gridCol w:w="1713"/>
        <w:gridCol w:w="1353"/>
        <w:gridCol w:w="3117"/>
        <w:gridCol w:w="873"/>
      </w:tblGrid>
      <w:tr w14:paraId="03B6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9847" w:type="dxa"/>
            <w:gridSpan w:val="6"/>
            <w:shd w:val="clear" w:color="auto" w:fill="auto"/>
            <w:tcMar>
              <w:left w:w="105" w:type="dxa"/>
              <w:right w:w="105" w:type="dxa"/>
            </w:tcMar>
            <w:vAlign w:val="top"/>
          </w:tcPr>
          <w:p w14:paraId="6F8AF017">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32"/>
                <w:szCs w:val="32"/>
              </w:rPr>
              <w:t>四川省人民医院供应商考核</w:t>
            </w:r>
          </w:p>
        </w:tc>
      </w:tr>
      <w:tr w14:paraId="40E7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shd w:val="clear" w:color="auto" w:fill="auto"/>
            <w:tcMar>
              <w:left w:w="105" w:type="dxa"/>
              <w:right w:w="105" w:type="dxa"/>
            </w:tcMar>
            <w:vAlign w:val="center"/>
          </w:tcPr>
          <w:p w14:paraId="5FFDB01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供应商</w:t>
            </w:r>
          </w:p>
        </w:tc>
        <w:tc>
          <w:tcPr>
            <w:tcW w:w="3254" w:type="dxa"/>
            <w:gridSpan w:val="2"/>
            <w:shd w:val="clear" w:color="auto" w:fill="auto"/>
            <w:tcMar>
              <w:left w:w="105" w:type="dxa"/>
              <w:right w:w="105" w:type="dxa"/>
            </w:tcMar>
            <w:vAlign w:val="center"/>
          </w:tcPr>
          <w:p w14:paraId="712CA14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353" w:type="dxa"/>
            <w:shd w:val="clear" w:color="auto" w:fill="auto"/>
            <w:tcMar>
              <w:left w:w="105" w:type="dxa"/>
              <w:right w:w="105" w:type="dxa"/>
            </w:tcMar>
            <w:vAlign w:val="center"/>
          </w:tcPr>
          <w:p w14:paraId="1D41641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合同名</w:t>
            </w:r>
          </w:p>
        </w:tc>
        <w:tc>
          <w:tcPr>
            <w:tcW w:w="3990" w:type="dxa"/>
            <w:gridSpan w:val="2"/>
            <w:shd w:val="clear" w:color="auto" w:fill="auto"/>
            <w:tcMar>
              <w:left w:w="105" w:type="dxa"/>
              <w:right w:w="105" w:type="dxa"/>
            </w:tcMar>
            <w:vAlign w:val="top"/>
          </w:tcPr>
          <w:p w14:paraId="2BD4877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169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shd w:val="clear" w:color="auto" w:fill="auto"/>
            <w:tcMar>
              <w:left w:w="105" w:type="dxa"/>
              <w:right w:w="105" w:type="dxa"/>
            </w:tcMar>
            <w:vAlign w:val="center"/>
          </w:tcPr>
          <w:p w14:paraId="3B96E4E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指标类别</w:t>
            </w:r>
          </w:p>
        </w:tc>
        <w:tc>
          <w:tcPr>
            <w:tcW w:w="1541" w:type="dxa"/>
            <w:shd w:val="clear" w:color="auto" w:fill="auto"/>
            <w:tcMar>
              <w:left w:w="105" w:type="dxa"/>
              <w:right w:w="105" w:type="dxa"/>
            </w:tcMar>
            <w:vAlign w:val="center"/>
          </w:tcPr>
          <w:p w14:paraId="4693C45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w:t>
            </w:r>
          </w:p>
        </w:tc>
        <w:tc>
          <w:tcPr>
            <w:tcW w:w="6183" w:type="dxa"/>
            <w:gridSpan w:val="3"/>
            <w:shd w:val="clear" w:color="auto" w:fill="auto"/>
            <w:tcMar>
              <w:left w:w="105" w:type="dxa"/>
              <w:right w:w="105" w:type="dxa"/>
            </w:tcMar>
            <w:vAlign w:val="center"/>
          </w:tcPr>
          <w:p w14:paraId="7823FAF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考核内容</w:t>
            </w:r>
          </w:p>
        </w:tc>
        <w:tc>
          <w:tcPr>
            <w:tcW w:w="873" w:type="dxa"/>
            <w:shd w:val="clear" w:color="auto" w:fill="auto"/>
            <w:tcMar>
              <w:left w:w="105" w:type="dxa"/>
              <w:right w:w="105" w:type="dxa"/>
            </w:tcMar>
            <w:vAlign w:val="center"/>
          </w:tcPr>
          <w:p w14:paraId="5748FB4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扣分</w:t>
            </w:r>
          </w:p>
        </w:tc>
      </w:tr>
      <w:tr w14:paraId="646F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restart"/>
            <w:shd w:val="clear" w:color="auto" w:fill="auto"/>
            <w:tcMar>
              <w:left w:w="105" w:type="dxa"/>
              <w:right w:w="105" w:type="dxa"/>
            </w:tcMar>
            <w:vAlign w:val="center"/>
          </w:tcPr>
          <w:p w14:paraId="39FE859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性能质</w:t>
            </w:r>
          </w:p>
          <w:p w14:paraId="28AC178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量评价</w:t>
            </w:r>
          </w:p>
          <w:p w14:paraId="5DC0C0C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 </w:t>
            </w:r>
          </w:p>
        </w:tc>
        <w:tc>
          <w:tcPr>
            <w:tcW w:w="1541" w:type="dxa"/>
            <w:shd w:val="clear" w:color="auto" w:fill="auto"/>
            <w:tcMar>
              <w:left w:w="105" w:type="dxa"/>
              <w:right w:w="105" w:type="dxa"/>
            </w:tcMar>
            <w:vAlign w:val="center"/>
          </w:tcPr>
          <w:p w14:paraId="5D3C74DA">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稳定性</w:t>
            </w:r>
          </w:p>
        </w:tc>
        <w:tc>
          <w:tcPr>
            <w:tcW w:w="6183" w:type="dxa"/>
            <w:gridSpan w:val="3"/>
            <w:shd w:val="clear" w:color="auto" w:fill="auto"/>
            <w:tcMar>
              <w:left w:w="105" w:type="dxa"/>
              <w:right w:w="105" w:type="dxa"/>
            </w:tcMar>
            <w:vAlign w:val="center"/>
          </w:tcPr>
          <w:p w14:paraId="7EAEF0C1">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w:t>
            </w:r>
            <w:r>
              <w:rPr>
                <w:rFonts w:hint="eastAsia" w:ascii="仿宋" w:hAnsi="仿宋" w:eastAsia="仿宋" w:cs="仿宋"/>
                <w:sz w:val="24"/>
                <w:szCs w:val="24"/>
                <w:lang w:eastAsia="zh-CN"/>
              </w:rPr>
              <w:t>采购人</w:t>
            </w:r>
            <w:r>
              <w:rPr>
                <w:rFonts w:hint="eastAsia" w:ascii="仿宋" w:hAnsi="仿宋" w:eastAsia="仿宋" w:cs="仿宋"/>
                <w:sz w:val="24"/>
                <w:szCs w:val="24"/>
              </w:rPr>
              <w:t>业务：出现故障时间≤30分钟扣1分，30＜分钟且≤60分钟扣2分，&gt;60分钟扣5分；</w:t>
            </w:r>
          </w:p>
        </w:tc>
        <w:tc>
          <w:tcPr>
            <w:tcW w:w="873" w:type="dxa"/>
            <w:shd w:val="clear" w:color="auto" w:fill="auto"/>
            <w:tcMar>
              <w:left w:w="105" w:type="dxa"/>
              <w:right w:w="105" w:type="dxa"/>
            </w:tcMar>
            <w:vAlign w:val="top"/>
          </w:tcPr>
          <w:p w14:paraId="0A3883E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D12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56363B1F">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3DCC12E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安全性</w:t>
            </w:r>
          </w:p>
        </w:tc>
        <w:tc>
          <w:tcPr>
            <w:tcW w:w="6183" w:type="dxa"/>
            <w:gridSpan w:val="3"/>
            <w:shd w:val="clear" w:color="auto" w:fill="auto"/>
            <w:tcMar>
              <w:left w:w="105" w:type="dxa"/>
              <w:right w:w="105" w:type="dxa"/>
            </w:tcMar>
            <w:vAlign w:val="center"/>
          </w:tcPr>
          <w:p w14:paraId="5B82695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873" w:type="dxa"/>
            <w:shd w:val="clear" w:color="auto" w:fill="auto"/>
            <w:tcMar>
              <w:left w:w="105" w:type="dxa"/>
              <w:right w:w="105" w:type="dxa"/>
            </w:tcMar>
            <w:vAlign w:val="top"/>
          </w:tcPr>
          <w:p w14:paraId="787E1C9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318C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503A7B89">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1DEFE20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用户满意度</w:t>
            </w:r>
          </w:p>
        </w:tc>
        <w:tc>
          <w:tcPr>
            <w:tcW w:w="6183" w:type="dxa"/>
            <w:gridSpan w:val="3"/>
            <w:shd w:val="clear" w:color="auto" w:fill="auto"/>
            <w:tcMar>
              <w:left w:w="105" w:type="dxa"/>
              <w:right w:w="105" w:type="dxa"/>
            </w:tcMar>
            <w:vAlign w:val="center"/>
          </w:tcPr>
          <w:p w14:paraId="649A7E9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873" w:type="dxa"/>
            <w:shd w:val="clear" w:color="auto" w:fill="auto"/>
            <w:tcMar>
              <w:left w:w="105" w:type="dxa"/>
              <w:right w:w="105" w:type="dxa"/>
            </w:tcMar>
            <w:vAlign w:val="top"/>
          </w:tcPr>
          <w:p w14:paraId="6E64E5D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78F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restart"/>
            <w:shd w:val="clear" w:color="auto" w:fill="auto"/>
            <w:tcMar>
              <w:left w:w="105" w:type="dxa"/>
              <w:right w:w="105" w:type="dxa"/>
            </w:tcMar>
            <w:vAlign w:val="center"/>
          </w:tcPr>
          <w:p w14:paraId="7AAA567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使用支</w:t>
            </w:r>
          </w:p>
          <w:p w14:paraId="35556F92">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541" w:type="dxa"/>
            <w:shd w:val="clear" w:color="auto" w:fill="auto"/>
            <w:tcMar>
              <w:left w:w="105" w:type="dxa"/>
              <w:right w:w="105" w:type="dxa"/>
            </w:tcMar>
            <w:vAlign w:val="center"/>
          </w:tcPr>
          <w:p w14:paraId="38D23AF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考勤</w:t>
            </w:r>
          </w:p>
        </w:tc>
        <w:tc>
          <w:tcPr>
            <w:tcW w:w="6183" w:type="dxa"/>
            <w:gridSpan w:val="3"/>
            <w:shd w:val="clear" w:color="auto" w:fill="auto"/>
            <w:tcMar>
              <w:left w:w="105" w:type="dxa"/>
              <w:right w:w="105" w:type="dxa"/>
            </w:tcMar>
            <w:vAlign w:val="center"/>
          </w:tcPr>
          <w:p w14:paraId="5C0391AD">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873" w:type="dxa"/>
            <w:shd w:val="clear" w:color="auto" w:fill="auto"/>
            <w:tcMar>
              <w:left w:w="105" w:type="dxa"/>
              <w:right w:w="105" w:type="dxa"/>
            </w:tcMar>
            <w:vAlign w:val="top"/>
          </w:tcPr>
          <w:p w14:paraId="1153F61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DA4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7728ACE1">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561305C7">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响应速度</w:t>
            </w:r>
          </w:p>
        </w:tc>
        <w:tc>
          <w:tcPr>
            <w:tcW w:w="6183" w:type="dxa"/>
            <w:gridSpan w:val="3"/>
            <w:shd w:val="clear" w:color="auto" w:fill="auto"/>
            <w:tcMar>
              <w:left w:w="105" w:type="dxa"/>
              <w:right w:w="105" w:type="dxa"/>
            </w:tcMar>
            <w:vAlign w:val="center"/>
          </w:tcPr>
          <w:p w14:paraId="0A0E010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873" w:type="dxa"/>
            <w:shd w:val="clear" w:color="auto" w:fill="auto"/>
            <w:tcMar>
              <w:left w:w="105" w:type="dxa"/>
              <w:right w:w="105" w:type="dxa"/>
            </w:tcMar>
            <w:vAlign w:val="top"/>
          </w:tcPr>
          <w:p w14:paraId="006AA98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79FC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2F808978">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331AC4D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备件供应</w:t>
            </w:r>
          </w:p>
          <w:p w14:paraId="0F9A8D7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(本项仅涉</w:t>
            </w:r>
          </w:p>
          <w:p w14:paraId="7E7E5947">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2CFDFAC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6183" w:type="dxa"/>
            <w:gridSpan w:val="3"/>
            <w:shd w:val="clear" w:color="auto" w:fill="auto"/>
            <w:tcMar>
              <w:left w:w="105" w:type="dxa"/>
              <w:right w:w="105" w:type="dxa"/>
            </w:tcMar>
            <w:vAlign w:val="center"/>
          </w:tcPr>
          <w:p w14:paraId="4A690C11">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873" w:type="dxa"/>
            <w:shd w:val="clear" w:color="auto" w:fill="auto"/>
            <w:tcMar>
              <w:left w:w="105" w:type="dxa"/>
              <w:right w:w="105" w:type="dxa"/>
            </w:tcMar>
            <w:vAlign w:val="top"/>
          </w:tcPr>
          <w:p w14:paraId="5301DE6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84F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060F5877">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1A53622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定期巡检</w:t>
            </w:r>
          </w:p>
        </w:tc>
        <w:tc>
          <w:tcPr>
            <w:tcW w:w="6183" w:type="dxa"/>
            <w:gridSpan w:val="3"/>
            <w:shd w:val="clear" w:color="auto" w:fill="auto"/>
            <w:tcMar>
              <w:left w:w="105" w:type="dxa"/>
              <w:right w:w="105" w:type="dxa"/>
            </w:tcMar>
            <w:vAlign w:val="center"/>
          </w:tcPr>
          <w:p w14:paraId="4691306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873" w:type="dxa"/>
            <w:shd w:val="clear" w:color="auto" w:fill="auto"/>
            <w:tcMar>
              <w:left w:w="105" w:type="dxa"/>
              <w:right w:w="105" w:type="dxa"/>
            </w:tcMar>
            <w:vAlign w:val="top"/>
          </w:tcPr>
          <w:p w14:paraId="7F8F3C6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D8B1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61BE65C3">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7B58295E">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培训服务</w:t>
            </w:r>
          </w:p>
        </w:tc>
        <w:tc>
          <w:tcPr>
            <w:tcW w:w="6183" w:type="dxa"/>
            <w:gridSpan w:val="3"/>
            <w:shd w:val="clear" w:color="auto" w:fill="auto"/>
            <w:tcMar>
              <w:left w:w="105" w:type="dxa"/>
              <w:right w:w="105" w:type="dxa"/>
            </w:tcMar>
            <w:vAlign w:val="center"/>
          </w:tcPr>
          <w:p w14:paraId="2F3B8A4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w:t>
            </w:r>
            <w:r>
              <w:rPr>
                <w:rFonts w:hint="eastAsia" w:ascii="仿宋" w:hAnsi="仿宋" w:eastAsia="仿宋" w:cs="仿宋"/>
                <w:sz w:val="24"/>
                <w:szCs w:val="24"/>
                <w:lang w:eastAsia="zh-CN"/>
              </w:rPr>
              <w:t>采购人</w:t>
            </w:r>
            <w:r>
              <w:rPr>
                <w:rFonts w:hint="eastAsia" w:ascii="仿宋" w:hAnsi="仿宋" w:eastAsia="仿宋" w:cs="仿宋"/>
                <w:sz w:val="24"/>
                <w:szCs w:val="24"/>
              </w:rPr>
              <w:t>相关人员进行使用操作、设备维修、保养等技术的培训（不少于2次/年，并提供培训方案和培训签到表），缺少一次扣1分；</w:t>
            </w:r>
          </w:p>
        </w:tc>
        <w:tc>
          <w:tcPr>
            <w:tcW w:w="873" w:type="dxa"/>
            <w:shd w:val="clear" w:color="auto" w:fill="auto"/>
            <w:tcMar>
              <w:left w:w="105" w:type="dxa"/>
              <w:right w:w="105" w:type="dxa"/>
            </w:tcMar>
            <w:vAlign w:val="top"/>
          </w:tcPr>
          <w:p w14:paraId="6A99586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9C9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6E53F5A8">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5B3EF496">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技术文档</w:t>
            </w:r>
          </w:p>
        </w:tc>
        <w:tc>
          <w:tcPr>
            <w:tcW w:w="6183" w:type="dxa"/>
            <w:gridSpan w:val="3"/>
            <w:shd w:val="clear" w:color="auto" w:fill="auto"/>
            <w:tcMar>
              <w:left w:w="105" w:type="dxa"/>
              <w:right w:w="105" w:type="dxa"/>
            </w:tcMar>
            <w:vAlign w:val="center"/>
          </w:tcPr>
          <w:p w14:paraId="7E0B84A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873" w:type="dxa"/>
            <w:shd w:val="clear" w:color="auto" w:fill="auto"/>
            <w:tcMar>
              <w:left w:w="105" w:type="dxa"/>
              <w:right w:w="105" w:type="dxa"/>
            </w:tcMar>
            <w:vAlign w:val="top"/>
          </w:tcPr>
          <w:p w14:paraId="027DD94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86E3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restart"/>
            <w:shd w:val="clear" w:color="auto" w:fill="auto"/>
            <w:tcMar>
              <w:left w:w="105" w:type="dxa"/>
              <w:right w:w="105" w:type="dxa"/>
            </w:tcMar>
            <w:vAlign w:val="center"/>
          </w:tcPr>
          <w:p w14:paraId="77A8F95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违规违</w:t>
            </w:r>
          </w:p>
          <w:p w14:paraId="2F36FF9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541" w:type="dxa"/>
            <w:shd w:val="clear" w:color="auto" w:fill="auto"/>
            <w:tcMar>
              <w:left w:w="105" w:type="dxa"/>
              <w:right w:w="105" w:type="dxa"/>
            </w:tcMar>
            <w:vAlign w:val="center"/>
          </w:tcPr>
          <w:p w14:paraId="5D1E54F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廉洁从业</w:t>
            </w:r>
          </w:p>
        </w:tc>
        <w:tc>
          <w:tcPr>
            <w:tcW w:w="6183" w:type="dxa"/>
            <w:gridSpan w:val="3"/>
            <w:shd w:val="clear" w:color="auto" w:fill="auto"/>
            <w:tcMar>
              <w:left w:w="105" w:type="dxa"/>
              <w:right w:w="105" w:type="dxa"/>
            </w:tcMar>
            <w:vAlign w:val="center"/>
          </w:tcPr>
          <w:p w14:paraId="42A56FB5">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873" w:type="dxa"/>
            <w:shd w:val="clear" w:color="auto" w:fill="auto"/>
            <w:tcMar>
              <w:left w:w="105" w:type="dxa"/>
              <w:right w:w="105" w:type="dxa"/>
            </w:tcMar>
            <w:vAlign w:val="center"/>
          </w:tcPr>
          <w:p w14:paraId="6667D74A">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一票否决</w:t>
            </w:r>
          </w:p>
        </w:tc>
      </w:tr>
      <w:tr w14:paraId="6DE98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1B50B74A">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7650390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安全规范</w:t>
            </w:r>
          </w:p>
        </w:tc>
        <w:tc>
          <w:tcPr>
            <w:tcW w:w="6183" w:type="dxa"/>
            <w:gridSpan w:val="3"/>
            <w:shd w:val="clear" w:color="auto" w:fill="auto"/>
            <w:tcMar>
              <w:left w:w="105" w:type="dxa"/>
              <w:right w:w="105" w:type="dxa"/>
            </w:tcMar>
            <w:vAlign w:val="center"/>
          </w:tcPr>
          <w:p w14:paraId="037C513D">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873" w:type="dxa"/>
            <w:shd w:val="clear" w:color="auto" w:fill="auto"/>
            <w:tcMar>
              <w:left w:w="105" w:type="dxa"/>
              <w:right w:w="105" w:type="dxa"/>
            </w:tcMar>
            <w:vAlign w:val="center"/>
          </w:tcPr>
          <w:p w14:paraId="2442329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1E8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vMerge w:val="continue"/>
            <w:shd w:val="clear" w:color="auto" w:fill="auto"/>
            <w:tcMar>
              <w:left w:w="105" w:type="dxa"/>
              <w:right w:w="105" w:type="dxa"/>
            </w:tcMar>
            <w:vAlign w:val="center"/>
          </w:tcPr>
          <w:p w14:paraId="269E4C5C">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541" w:type="dxa"/>
            <w:shd w:val="clear" w:color="auto" w:fill="auto"/>
            <w:tcMar>
              <w:left w:w="105" w:type="dxa"/>
              <w:right w:w="105" w:type="dxa"/>
            </w:tcMar>
            <w:vAlign w:val="center"/>
          </w:tcPr>
          <w:p w14:paraId="3E99A060">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其他违纪违规</w:t>
            </w:r>
          </w:p>
        </w:tc>
        <w:tc>
          <w:tcPr>
            <w:tcW w:w="6183" w:type="dxa"/>
            <w:gridSpan w:val="3"/>
            <w:shd w:val="clear" w:color="auto" w:fill="auto"/>
            <w:tcMar>
              <w:left w:w="105" w:type="dxa"/>
              <w:right w:w="105" w:type="dxa"/>
            </w:tcMar>
            <w:vAlign w:val="center"/>
          </w:tcPr>
          <w:p w14:paraId="7E71FE7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其它不利于</w:t>
            </w:r>
            <w:r>
              <w:rPr>
                <w:rFonts w:hint="eastAsia" w:ascii="仿宋" w:hAnsi="仿宋" w:eastAsia="仿宋" w:cs="仿宋"/>
                <w:sz w:val="24"/>
                <w:szCs w:val="24"/>
                <w:lang w:eastAsia="zh-CN"/>
              </w:rPr>
              <w:t>采购人</w:t>
            </w:r>
            <w:r>
              <w:rPr>
                <w:rFonts w:hint="eastAsia" w:ascii="仿宋" w:hAnsi="仿宋" w:eastAsia="仿宋" w:cs="仿宋"/>
                <w:sz w:val="24"/>
                <w:szCs w:val="24"/>
              </w:rPr>
              <w:t>信息化建设相关行为，视情节严重程度，经采购人讨论酌情扣分</w:t>
            </w:r>
          </w:p>
        </w:tc>
        <w:tc>
          <w:tcPr>
            <w:tcW w:w="873" w:type="dxa"/>
            <w:shd w:val="clear" w:color="auto" w:fill="auto"/>
            <w:tcMar>
              <w:left w:w="105" w:type="dxa"/>
              <w:right w:w="105" w:type="dxa"/>
            </w:tcMar>
            <w:vAlign w:val="center"/>
          </w:tcPr>
          <w:p w14:paraId="356A7CC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E06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shd w:val="clear" w:color="auto" w:fill="auto"/>
            <w:tcMar>
              <w:left w:w="105" w:type="dxa"/>
              <w:right w:w="105" w:type="dxa"/>
            </w:tcMar>
            <w:vAlign w:val="center"/>
          </w:tcPr>
          <w:p w14:paraId="0DA2738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8597" w:type="dxa"/>
            <w:gridSpan w:val="5"/>
            <w:shd w:val="clear" w:color="auto" w:fill="auto"/>
            <w:tcMar>
              <w:left w:w="105" w:type="dxa"/>
              <w:right w:w="105" w:type="dxa"/>
            </w:tcMar>
            <w:vAlign w:val="center"/>
          </w:tcPr>
          <w:p w14:paraId="04BC727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3FED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shd w:val="clear" w:color="auto" w:fill="auto"/>
            <w:tcMar>
              <w:left w:w="105" w:type="dxa"/>
              <w:right w:w="105" w:type="dxa"/>
            </w:tcMar>
            <w:vAlign w:val="center"/>
          </w:tcPr>
          <w:p w14:paraId="01B7780D">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8597" w:type="dxa"/>
            <w:gridSpan w:val="5"/>
            <w:shd w:val="clear" w:color="auto" w:fill="auto"/>
            <w:tcMar>
              <w:left w:w="105" w:type="dxa"/>
              <w:right w:w="105" w:type="dxa"/>
            </w:tcMar>
            <w:vAlign w:val="center"/>
          </w:tcPr>
          <w:p w14:paraId="04688DE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p w14:paraId="4269063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7DB4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10" w:hRule="atLeast"/>
        </w:trPr>
        <w:tc>
          <w:tcPr>
            <w:tcW w:w="1250" w:type="dxa"/>
            <w:shd w:val="clear" w:color="auto" w:fill="auto"/>
            <w:vAlign w:val="center"/>
          </w:tcPr>
          <w:p w14:paraId="69896F2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541" w:type="dxa"/>
            <w:shd w:val="clear" w:color="auto" w:fill="auto"/>
            <w:vAlign w:val="center"/>
          </w:tcPr>
          <w:p w14:paraId="65A9407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713" w:type="dxa"/>
            <w:shd w:val="clear" w:color="auto" w:fill="auto"/>
            <w:vAlign w:val="center"/>
          </w:tcPr>
          <w:p w14:paraId="2D5E0F5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353" w:type="dxa"/>
            <w:shd w:val="clear" w:color="auto" w:fill="auto"/>
            <w:vAlign w:val="center"/>
          </w:tcPr>
          <w:p w14:paraId="0E59559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3117" w:type="dxa"/>
            <w:shd w:val="clear" w:color="auto" w:fill="auto"/>
            <w:vAlign w:val="center"/>
          </w:tcPr>
          <w:p w14:paraId="77FA7B2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873" w:type="dxa"/>
            <w:shd w:val="clear" w:color="auto" w:fill="auto"/>
            <w:vAlign w:val="center"/>
          </w:tcPr>
          <w:p w14:paraId="0CDD787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bl>
    <w:p w14:paraId="60A3861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备注：</w:t>
      </w:r>
    </w:p>
    <w:p w14:paraId="6E9B10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1.服务期内，采购人可按照本项目采购需求内容对应的考核指标对供应商进行考核，具体指标以采购人要求为准；</w:t>
      </w:r>
    </w:p>
    <w:p w14:paraId="17C2291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2.考核关联最终付款金额，具体计算规则如下：</w:t>
      </w:r>
    </w:p>
    <w:p w14:paraId="160328D0">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lang w:eastAsia="zh-CN"/>
        </w:rPr>
      </w:pPr>
      <w:r>
        <w:rPr>
          <w:rFonts w:hint="eastAsia" w:ascii="仿宋" w:hAnsi="仿宋" w:eastAsia="仿宋" w:cs="仿宋"/>
          <w:sz w:val="24"/>
          <w:szCs w:val="24"/>
          <w:u w:val="none"/>
          <w:lang w:val="en-US" w:eastAsia="zh-CN"/>
        </w:rPr>
        <w:t>1）</w:t>
      </w:r>
      <w:r>
        <w:rPr>
          <w:rFonts w:hint="eastAsia" w:ascii="仿宋" w:hAnsi="仿宋" w:eastAsia="仿宋" w:cs="仿宋"/>
          <w:sz w:val="24"/>
          <w:szCs w:val="24"/>
          <w:u w:val="none"/>
        </w:rPr>
        <w:t>平均扣分=服务期汇总考核扣分之和÷服务期内考核次数</w:t>
      </w:r>
      <w:r>
        <w:rPr>
          <w:rFonts w:hint="eastAsia" w:ascii="仿宋" w:hAnsi="仿宋" w:eastAsia="仿宋" w:cs="仿宋"/>
          <w:sz w:val="24"/>
          <w:szCs w:val="24"/>
          <w:u w:val="none"/>
          <w:lang w:eastAsia="zh-CN"/>
        </w:rPr>
        <w:t>；</w:t>
      </w:r>
    </w:p>
    <w:p w14:paraId="3A10530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2）0分&lt;平均扣分≤3分，将对供应商进行诫勉谈话；</w:t>
      </w:r>
    </w:p>
    <w:p w14:paraId="00D4201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3）3分&lt;平均扣分≤5分，对供应商提出警告，从合同待支付金额中或履约保证金中扣除合同</w:t>
      </w:r>
      <w:r>
        <w:rPr>
          <w:rFonts w:hint="eastAsia" w:ascii="仿宋" w:hAnsi="仿宋" w:eastAsia="仿宋" w:cs="仿宋"/>
          <w:sz w:val="24"/>
          <w:szCs w:val="24"/>
          <w:u w:val="none"/>
          <w:lang w:val="en-US" w:eastAsia="zh-CN"/>
        </w:rPr>
        <w:t>总</w:t>
      </w:r>
      <w:r>
        <w:rPr>
          <w:rFonts w:hint="eastAsia" w:ascii="仿宋" w:hAnsi="仿宋" w:eastAsia="仿宋" w:cs="仿宋"/>
          <w:sz w:val="24"/>
          <w:szCs w:val="24"/>
          <w:u w:val="none"/>
        </w:rPr>
        <w:t>金额5%费用，扣完为止；</w:t>
      </w:r>
    </w:p>
    <w:p w14:paraId="4737314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4）5分&lt;平均扣分≤10分，对供应商提出严重警告，从合同待支付金额中或履约保证金中扣除合同</w:t>
      </w:r>
      <w:r>
        <w:rPr>
          <w:rFonts w:hint="eastAsia" w:ascii="仿宋" w:hAnsi="仿宋" w:eastAsia="仿宋" w:cs="仿宋"/>
          <w:sz w:val="24"/>
          <w:szCs w:val="24"/>
          <w:u w:val="none"/>
          <w:lang w:val="en-US" w:eastAsia="zh-CN"/>
        </w:rPr>
        <w:t>总</w:t>
      </w:r>
      <w:r>
        <w:rPr>
          <w:rFonts w:hint="eastAsia" w:ascii="仿宋" w:hAnsi="仿宋" w:eastAsia="仿宋" w:cs="仿宋"/>
          <w:sz w:val="24"/>
          <w:szCs w:val="24"/>
          <w:u w:val="none"/>
        </w:rPr>
        <w:t>金额10%费用，扣完为止；</w:t>
      </w:r>
    </w:p>
    <w:p w14:paraId="447B1868">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lang w:val="en-US" w:eastAsia="zh-CN"/>
        </w:rPr>
        <w:t>5</w:t>
      </w:r>
      <w:r>
        <w:rPr>
          <w:rFonts w:hint="eastAsia" w:ascii="仿宋" w:hAnsi="仿宋" w:eastAsia="仿宋" w:cs="仿宋"/>
          <w:sz w:val="24"/>
          <w:szCs w:val="24"/>
          <w:u w:val="none"/>
        </w:rPr>
        <w:t>）10分&lt;平均扣分，视为不合格，终止合同，合同待支付金额</w:t>
      </w:r>
      <w:r>
        <w:rPr>
          <w:rFonts w:hint="eastAsia" w:ascii="仿宋" w:hAnsi="仿宋" w:eastAsia="仿宋" w:cs="仿宋"/>
          <w:sz w:val="24"/>
          <w:szCs w:val="24"/>
          <w:u w:val="none"/>
          <w:lang w:val="en-US" w:eastAsia="zh-CN"/>
        </w:rPr>
        <w:t>不予支付，</w:t>
      </w:r>
      <w:r>
        <w:rPr>
          <w:rFonts w:hint="eastAsia" w:ascii="仿宋" w:hAnsi="仿宋" w:eastAsia="仿宋" w:cs="仿宋"/>
          <w:sz w:val="24"/>
          <w:szCs w:val="24"/>
          <w:u w:val="none"/>
        </w:rPr>
        <w:t>履约保</w:t>
      </w:r>
      <w:r>
        <w:rPr>
          <w:rFonts w:hint="eastAsia" w:ascii="仿宋" w:hAnsi="仿宋" w:eastAsia="仿宋" w:cs="仿宋"/>
          <w:sz w:val="24"/>
          <w:szCs w:val="24"/>
          <w:u w:val="none"/>
          <w:lang w:val="en-US" w:eastAsia="zh-CN"/>
        </w:rPr>
        <w:t>证</w:t>
      </w:r>
      <w:r>
        <w:rPr>
          <w:rFonts w:hint="eastAsia" w:ascii="仿宋" w:hAnsi="仿宋" w:eastAsia="仿宋" w:cs="仿宋"/>
          <w:sz w:val="24"/>
          <w:szCs w:val="24"/>
          <w:u w:val="none"/>
        </w:rPr>
        <w:t>金（如有履约保证金）不予退还；</w:t>
      </w:r>
    </w:p>
    <w:p w14:paraId="4DB265B8">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E7012D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lang w:eastAsia="zh-CN"/>
        </w:rPr>
      </w:pPr>
      <w:r>
        <w:rPr>
          <w:rFonts w:hint="eastAsia" w:ascii="仿宋" w:hAnsi="仿宋" w:eastAsia="仿宋" w:cs="仿宋"/>
          <w:sz w:val="24"/>
          <w:szCs w:val="24"/>
          <w:u w:val="none"/>
        </w:rPr>
        <w:t>4.如合同待支付金额或履约保证金中无款可扣且考核后出现扣款情况，</w:t>
      </w:r>
      <w:r>
        <w:rPr>
          <w:rFonts w:hint="eastAsia" w:ascii="仿宋" w:hAnsi="仿宋" w:eastAsia="仿宋" w:cs="仿宋"/>
          <w:sz w:val="24"/>
          <w:szCs w:val="24"/>
          <w:u w:val="none"/>
          <w:lang w:val="en-US" w:eastAsia="zh-CN"/>
        </w:rPr>
        <w:t>供应商</w:t>
      </w:r>
      <w:r>
        <w:rPr>
          <w:rFonts w:hint="eastAsia" w:ascii="仿宋" w:hAnsi="仿宋" w:eastAsia="仿宋" w:cs="仿宋"/>
          <w:sz w:val="24"/>
          <w:szCs w:val="24"/>
          <w:u w:val="none"/>
        </w:rPr>
        <w:t>承诺在得到</w:t>
      </w:r>
      <w:r>
        <w:rPr>
          <w:rFonts w:hint="eastAsia" w:ascii="仿宋" w:hAnsi="仿宋" w:eastAsia="仿宋" w:cs="仿宋"/>
          <w:sz w:val="24"/>
          <w:szCs w:val="24"/>
          <w:u w:val="none"/>
          <w:lang w:val="en-US" w:eastAsia="zh-CN"/>
        </w:rPr>
        <w:t>采购人</w:t>
      </w:r>
      <w:r>
        <w:rPr>
          <w:rFonts w:hint="eastAsia" w:ascii="仿宋" w:hAnsi="仿宋" w:eastAsia="仿宋" w:cs="仿宋"/>
          <w:sz w:val="24"/>
          <w:szCs w:val="24"/>
          <w:u w:val="none"/>
        </w:rPr>
        <w:t>考核结果后的10日内向</w:t>
      </w:r>
      <w:r>
        <w:rPr>
          <w:rFonts w:hint="eastAsia" w:ascii="仿宋" w:hAnsi="仿宋" w:eastAsia="仿宋" w:cs="仿宋"/>
          <w:sz w:val="24"/>
          <w:szCs w:val="24"/>
          <w:u w:val="none"/>
          <w:lang w:val="en-US" w:eastAsia="zh-CN"/>
        </w:rPr>
        <w:t>采购人</w:t>
      </w:r>
      <w:r>
        <w:rPr>
          <w:rFonts w:hint="eastAsia" w:ascii="仿宋" w:hAnsi="仿宋" w:eastAsia="仿宋" w:cs="仿宋"/>
          <w:sz w:val="24"/>
          <w:szCs w:val="24"/>
          <w:u w:val="none"/>
        </w:rPr>
        <w:t>缴纳对应的扣款金额。</w:t>
      </w:r>
      <w:r>
        <w:rPr>
          <w:rFonts w:hint="eastAsia" w:ascii="仿宋" w:hAnsi="仿宋" w:eastAsia="仿宋" w:cs="仿宋"/>
          <w:b/>
          <w:bCs/>
          <w:sz w:val="24"/>
          <w:szCs w:val="24"/>
          <w:u w:val="none"/>
          <w:lang w:eastAsia="zh-CN"/>
        </w:rPr>
        <w:t>（</w:t>
      </w:r>
      <w:r>
        <w:rPr>
          <w:rFonts w:hint="eastAsia" w:ascii="仿宋" w:hAnsi="仿宋" w:eastAsia="仿宋" w:cs="仿宋"/>
          <w:b/>
          <w:bCs/>
          <w:sz w:val="24"/>
          <w:szCs w:val="24"/>
          <w:u w:val="none"/>
          <w:lang w:val="en-US" w:eastAsia="zh-CN"/>
        </w:rPr>
        <w:t>提供承诺函</w:t>
      </w:r>
      <w:r>
        <w:rPr>
          <w:rFonts w:hint="eastAsia" w:ascii="仿宋" w:hAnsi="仿宋" w:eastAsia="仿宋" w:cs="仿宋"/>
          <w:b/>
          <w:bCs/>
          <w:sz w:val="24"/>
          <w:szCs w:val="24"/>
          <w:u w:val="none"/>
          <w:lang w:eastAsia="zh-CN"/>
        </w:rPr>
        <w:t>）</w:t>
      </w:r>
    </w:p>
    <w:p w14:paraId="6AC724E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u w:val="none"/>
        </w:rPr>
      </w:pPr>
      <w:r>
        <w:rPr>
          <w:rFonts w:hint="eastAsia" w:ascii="仿宋" w:hAnsi="仿宋" w:eastAsia="仿宋" w:cs="仿宋"/>
          <w:sz w:val="24"/>
          <w:szCs w:val="24"/>
          <w:u w:val="none"/>
        </w:rPr>
        <w:t>5.本考核指标最终解释权归四川省医学科学院·四川省人民医院。</w:t>
      </w: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192583770"/>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2485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135"/>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6482"/>
      <w:bookmarkStart w:id="51" w:name="_Toc3023"/>
      <w:bookmarkStart w:id="52" w:name="_Toc21519"/>
      <w:bookmarkStart w:id="53" w:name="_Toc11352"/>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4305"/>
      <w:bookmarkStart w:id="56" w:name="_Toc22676"/>
      <w:bookmarkStart w:id="57" w:name="_Toc30971"/>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7661"/>
      <w:bookmarkStart w:id="69" w:name="_Toc20589"/>
      <w:bookmarkStart w:id="70" w:name="_Toc15526"/>
      <w:bookmarkStart w:id="71" w:name="_Toc25638"/>
      <w:bookmarkStart w:id="72" w:name="_Toc11351"/>
      <w:r>
        <w:rPr>
          <w:rStyle w:val="40"/>
          <w:b/>
        </w:rPr>
        <w:t>法定代表人身份证明书</w:t>
      </w:r>
      <w:bookmarkEnd w:id="67"/>
      <w:bookmarkEnd w:id="68"/>
      <w:bookmarkEnd w:id="69"/>
      <w:bookmarkEnd w:id="70"/>
      <w:bookmarkEnd w:id="71"/>
      <w:bookmarkEnd w:id="72"/>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23967"/>
      <w:bookmarkStart w:id="76" w:name="_Toc2041"/>
      <w:bookmarkStart w:id="77" w:name="_Toc12967"/>
      <w:bookmarkStart w:id="78" w:name="_Toc1074"/>
      <w:r>
        <w:rPr>
          <w:rStyle w:val="40"/>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8"/>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1369"/>
      <w:bookmarkStart w:id="81" w:name="_Toc31686"/>
      <w:bookmarkStart w:id="82" w:name="_Toc26839"/>
      <w:bookmarkStart w:id="83" w:name="_Toc28634"/>
      <w:bookmarkStart w:id="84" w:name="_Toc24806"/>
      <w:r>
        <w:rPr>
          <w:rStyle w:val="40"/>
          <w:b/>
        </w:rPr>
        <w:t>评分需要提供的证明材料</w:t>
      </w:r>
      <w:bookmarkEnd w:id="79"/>
      <w:bookmarkEnd w:id="80"/>
      <w:bookmarkEnd w:id="81"/>
      <w:bookmarkEnd w:id="82"/>
      <w:bookmarkEnd w:id="83"/>
      <w:bookmarkEnd w:id="84"/>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rFonts w:hint="eastAsia" w:ascii="仿宋" w:hAnsi="仿宋" w:eastAsia="仿宋" w:cs="仿宋"/>
          <w:sz w:val="24"/>
          <w:szCs w:val="24"/>
          <w:lang w:val="zh-TW"/>
        </w:rPr>
      </w:pPr>
    </w:p>
    <w:p w14:paraId="27D10C87">
      <w:pPr>
        <w:pStyle w:val="7"/>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1.报价一览表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50"/>
        <w:gridCol w:w="2204"/>
        <w:gridCol w:w="3557"/>
        <w:gridCol w:w="786"/>
        <w:gridCol w:w="922"/>
        <w:gridCol w:w="1628"/>
      </w:tblGrid>
      <w:tr w14:paraId="7E6F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381" w:type="pct"/>
            <w:shd w:val="clear" w:color="auto" w:fill="auto"/>
            <w:tcMar>
              <w:left w:w="105" w:type="dxa"/>
              <w:right w:w="105" w:type="dxa"/>
            </w:tcMar>
            <w:vAlign w:val="center"/>
          </w:tcPr>
          <w:p w14:paraId="4775950C">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序号</w:t>
            </w:r>
          </w:p>
        </w:tc>
        <w:tc>
          <w:tcPr>
            <w:tcW w:w="1119" w:type="pct"/>
            <w:shd w:val="clear" w:color="auto" w:fill="auto"/>
            <w:tcMar>
              <w:left w:w="105" w:type="dxa"/>
              <w:right w:w="105" w:type="dxa"/>
            </w:tcMar>
            <w:vAlign w:val="center"/>
          </w:tcPr>
          <w:p w14:paraId="11235B73">
            <w:pPr>
              <w:pStyle w:val="15"/>
              <w:keepNext w:val="0"/>
              <w:keepLines w:val="0"/>
              <w:widowControl/>
              <w:suppressLineNumbers w:val="0"/>
              <w:ind w:left="0" w:firstLine="36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品名</w:t>
            </w:r>
          </w:p>
        </w:tc>
        <w:tc>
          <w:tcPr>
            <w:tcW w:w="1806" w:type="pct"/>
            <w:shd w:val="clear" w:color="auto" w:fill="auto"/>
            <w:tcMar>
              <w:left w:w="105" w:type="dxa"/>
              <w:right w:w="105" w:type="dxa"/>
            </w:tcMar>
            <w:vAlign w:val="center"/>
          </w:tcPr>
          <w:p w14:paraId="6DA82518">
            <w:pPr>
              <w:pStyle w:val="15"/>
              <w:keepNext w:val="0"/>
              <w:keepLines w:val="0"/>
              <w:widowControl/>
              <w:suppressLineNumbers w:val="0"/>
              <w:ind w:left="0" w:firstLine="36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详细描述</w:t>
            </w:r>
          </w:p>
        </w:tc>
        <w:tc>
          <w:tcPr>
            <w:tcW w:w="399" w:type="pct"/>
            <w:shd w:val="clear" w:color="auto" w:fill="auto"/>
            <w:tcMar>
              <w:left w:w="105" w:type="dxa"/>
              <w:right w:w="105" w:type="dxa"/>
            </w:tcMar>
            <w:vAlign w:val="center"/>
          </w:tcPr>
          <w:p w14:paraId="2B95346A">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数量</w:t>
            </w:r>
          </w:p>
        </w:tc>
        <w:tc>
          <w:tcPr>
            <w:tcW w:w="468" w:type="pct"/>
            <w:shd w:val="clear" w:color="auto" w:fill="auto"/>
            <w:tcMar>
              <w:left w:w="105" w:type="dxa"/>
              <w:right w:w="105" w:type="dxa"/>
            </w:tcMar>
            <w:vAlign w:val="center"/>
          </w:tcPr>
          <w:p w14:paraId="0576D9AC">
            <w:pPr>
              <w:pStyle w:val="15"/>
              <w:keepNext w:val="0"/>
              <w:keepLines w:val="0"/>
              <w:widowControl/>
              <w:suppressLineNumbers w:val="0"/>
              <w:jc w:val="center"/>
              <w:rPr>
                <w:rFonts w:hint="eastAsia" w:ascii="仿宋" w:hAnsi="仿宋" w:eastAsia="仿宋" w:cs="仿宋"/>
                <w:b/>
                <w:bCs w:val="0"/>
                <w:sz w:val="24"/>
                <w:szCs w:val="24"/>
                <w:u w:val="none"/>
              </w:rPr>
            </w:pPr>
            <w:r>
              <w:rPr>
                <w:rStyle w:val="21"/>
                <w:rFonts w:hint="eastAsia" w:ascii="仿宋" w:hAnsi="仿宋" w:eastAsia="仿宋" w:cs="仿宋"/>
                <w:b/>
                <w:bCs w:val="0"/>
                <w:sz w:val="24"/>
                <w:szCs w:val="24"/>
                <w:u w:val="none"/>
              </w:rPr>
              <w:t>单位</w:t>
            </w:r>
          </w:p>
        </w:tc>
        <w:tc>
          <w:tcPr>
            <w:tcW w:w="825" w:type="pct"/>
            <w:shd w:val="clear" w:color="auto" w:fill="auto"/>
            <w:tcMar>
              <w:left w:w="105" w:type="dxa"/>
              <w:right w:w="105" w:type="dxa"/>
            </w:tcMar>
            <w:vAlign w:val="center"/>
          </w:tcPr>
          <w:p w14:paraId="67E79159">
            <w:pPr>
              <w:pStyle w:val="15"/>
              <w:keepNext w:val="0"/>
              <w:keepLines w:val="0"/>
              <w:widowControl/>
              <w:suppressLineNumbers w:val="0"/>
              <w:jc w:val="center"/>
              <w:rPr>
                <w:rFonts w:hint="eastAsia" w:ascii="仿宋" w:hAnsi="仿宋" w:eastAsia="仿宋" w:cs="仿宋"/>
                <w:b/>
                <w:bCs w:val="0"/>
                <w:sz w:val="24"/>
                <w:szCs w:val="24"/>
                <w:u w:val="none"/>
                <w:lang w:eastAsia="zh-CN"/>
              </w:rPr>
            </w:pPr>
            <w:r>
              <w:rPr>
                <w:rStyle w:val="21"/>
                <w:rFonts w:hint="eastAsia" w:ascii="仿宋" w:hAnsi="仿宋" w:eastAsia="仿宋" w:cs="仿宋"/>
                <w:b/>
                <w:bCs w:val="0"/>
                <w:sz w:val="24"/>
                <w:szCs w:val="24"/>
                <w:u w:val="none"/>
                <w:lang w:val="en-US" w:eastAsia="zh-CN"/>
              </w:rPr>
              <w:t>报价</w:t>
            </w:r>
          </w:p>
        </w:tc>
      </w:tr>
      <w:tr w14:paraId="6FC6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381" w:type="pct"/>
            <w:shd w:val="clear" w:color="auto" w:fill="auto"/>
            <w:tcMar>
              <w:left w:w="105" w:type="dxa"/>
              <w:right w:w="105" w:type="dxa"/>
            </w:tcMar>
            <w:vAlign w:val="center"/>
          </w:tcPr>
          <w:p w14:paraId="5C66B400">
            <w:pPr>
              <w:pStyle w:val="15"/>
              <w:keepNext w:val="0"/>
              <w:keepLines w:val="0"/>
              <w:widowControl/>
              <w:suppressLineNumbers w:val="0"/>
              <w:jc w:val="center"/>
              <w:rPr>
                <w:rFonts w:hint="eastAsia" w:ascii="仿宋" w:hAnsi="仿宋" w:eastAsia="仿宋" w:cs="仿宋"/>
                <w:b w:val="0"/>
                <w:bCs/>
                <w:sz w:val="24"/>
                <w:szCs w:val="24"/>
                <w:u w:val="none"/>
              </w:rPr>
            </w:pPr>
            <w:r>
              <w:rPr>
                <w:rStyle w:val="21"/>
                <w:rFonts w:hint="eastAsia" w:ascii="仿宋" w:hAnsi="仿宋" w:eastAsia="仿宋" w:cs="仿宋"/>
                <w:b w:val="0"/>
                <w:bCs/>
                <w:sz w:val="24"/>
                <w:szCs w:val="24"/>
                <w:u w:val="none"/>
              </w:rPr>
              <w:t>1</w:t>
            </w:r>
          </w:p>
        </w:tc>
        <w:tc>
          <w:tcPr>
            <w:tcW w:w="1119" w:type="pct"/>
            <w:shd w:val="clear" w:color="auto" w:fill="auto"/>
            <w:tcMar>
              <w:left w:w="105" w:type="dxa"/>
              <w:right w:w="105" w:type="dxa"/>
            </w:tcMar>
            <w:vAlign w:val="center"/>
          </w:tcPr>
          <w:p w14:paraId="5B237421">
            <w:pPr>
              <w:pStyle w:val="15"/>
              <w:keepNext w:val="0"/>
              <w:keepLines w:val="0"/>
              <w:widowControl/>
              <w:suppressLineNumbers w:val="0"/>
              <w:jc w:val="center"/>
              <w:rPr>
                <w:rFonts w:hint="eastAsia" w:ascii="仿宋" w:hAnsi="仿宋" w:eastAsia="仿宋" w:cs="仿宋"/>
                <w:b w:val="0"/>
                <w:bCs/>
                <w:sz w:val="24"/>
                <w:szCs w:val="24"/>
                <w:u w:val="none"/>
              </w:rPr>
            </w:pPr>
            <w:r>
              <w:rPr>
                <w:rStyle w:val="21"/>
                <w:rFonts w:hint="eastAsia" w:ascii="仿宋" w:hAnsi="仿宋" w:eastAsia="仿宋" w:cs="仿宋"/>
                <w:b w:val="0"/>
                <w:bCs/>
                <w:sz w:val="24"/>
                <w:szCs w:val="24"/>
                <w:u w:val="none"/>
              </w:rPr>
              <w:t>绩效改革咨询及绩效系统维护服务</w:t>
            </w:r>
          </w:p>
        </w:tc>
        <w:tc>
          <w:tcPr>
            <w:tcW w:w="1806" w:type="pct"/>
            <w:shd w:val="clear" w:color="auto" w:fill="auto"/>
            <w:tcMar>
              <w:left w:w="105" w:type="dxa"/>
              <w:right w:w="105" w:type="dxa"/>
            </w:tcMar>
            <w:vAlign w:val="center"/>
          </w:tcPr>
          <w:p w14:paraId="6EE6DDC4">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rPr>
              <w:t>提供绩效系统的维护和升级服务，以及绩效改革咨询服务</w:t>
            </w:r>
          </w:p>
        </w:tc>
        <w:tc>
          <w:tcPr>
            <w:tcW w:w="399" w:type="pct"/>
            <w:shd w:val="clear" w:color="auto" w:fill="auto"/>
            <w:tcMar>
              <w:left w:w="105" w:type="dxa"/>
              <w:right w:w="105" w:type="dxa"/>
            </w:tcMar>
            <w:vAlign w:val="center"/>
          </w:tcPr>
          <w:p w14:paraId="257BD1F5">
            <w:pPr>
              <w:pStyle w:val="15"/>
              <w:keepNext w:val="0"/>
              <w:keepLines w:val="0"/>
              <w:widowControl/>
              <w:suppressLineNumbers w:val="0"/>
              <w:jc w:val="center"/>
              <w:rPr>
                <w:rFonts w:hint="eastAsia" w:ascii="仿宋" w:hAnsi="仿宋" w:eastAsia="仿宋" w:cs="仿宋"/>
                <w:b w:val="0"/>
                <w:bCs/>
                <w:sz w:val="24"/>
                <w:szCs w:val="24"/>
                <w:u w:val="none"/>
              </w:rPr>
            </w:pPr>
            <w:r>
              <w:rPr>
                <w:rFonts w:hint="eastAsia" w:ascii="仿宋" w:hAnsi="仿宋" w:eastAsia="仿宋" w:cs="仿宋"/>
                <w:b w:val="0"/>
                <w:bCs/>
                <w:sz w:val="24"/>
                <w:szCs w:val="24"/>
                <w:u w:val="none"/>
              </w:rPr>
              <w:t>1</w:t>
            </w:r>
          </w:p>
        </w:tc>
        <w:tc>
          <w:tcPr>
            <w:tcW w:w="468" w:type="pct"/>
            <w:shd w:val="clear" w:color="auto" w:fill="auto"/>
            <w:tcMar>
              <w:left w:w="105" w:type="dxa"/>
              <w:right w:w="105" w:type="dxa"/>
            </w:tcMar>
            <w:vAlign w:val="center"/>
          </w:tcPr>
          <w:p w14:paraId="23E76124">
            <w:pPr>
              <w:pStyle w:val="15"/>
              <w:keepNext w:val="0"/>
              <w:keepLines w:val="0"/>
              <w:widowControl/>
              <w:suppressLineNumbers w:val="0"/>
              <w:jc w:val="center"/>
              <w:rPr>
                <w:rFonts w:hint="eastAsia" w:ascii="仿宋" w:hAnsi="仿宋" w:eastAsia="仿宋" w:cs="仿宋"/>
                <w:b w:val="0"/>
                <w:bCs/>
                <w:sz w:val="24"/>
                <w:szCs w:val="24"/>
                <w:u w:val="none"/>
                <w:lang w:eastAsia="zh-CN"/>
              </w:rPr>
            </w:pPr>
            <w:r>
              <w:rPr>
                <w:rFonts w:hint="eastAsia" w:ascii="仿宋" w:hAnsi="仿宋" w:eastAsia="仿宋" w:cs="仿宋"/>
                <w:b w:val="0"/>
                <w:bCs/>
                <w:sz w:val="24"/>
                <w:szCs w:val="24"/>
                <w:u w:val="none"/>
                <w:lang w:val="en-US" w:eastAsia="zh-CN"/>
              </w:rPr>
              <w:t>项</w:t>
            </w:r>
          </w:p>
        </w:tc>
        <w:tc>
          <w:tcPr>
            <w:tcW w:w="825" w:type="pct"/>
            <w:shd w:val="clear" w:color="auto" w:fill="auto"/>
            <w:tcMar>
              <w:left w:w="105" w:type="dxa"/>
              <w:right w:w="105" w:type="dxa"/>
            </w:tcMar>
            <w:vAlign w:val="center"/>
          </w:tcPr>
          <w:p w14:paraId="3CBED42D">
            <w:pPr>
              <w:pStyle w:val="15"/>
              <w:keepNext w:val="0"/>
              <w:keepLines w:val="0"/>
              <w:widowControl/>
              <w:suppressLineNumbers w:val="0"/>
              <w:jc w:val="center"/>
              <w:rPr>
                <w:rFonts w:hint="eastAsia" w:ascii="仿宋" w:hAnsi="仿宋" w:eastAsia="仿宋" w:cs="仿宋"/>
                <w:b w:val="0"/>
                <w:bCs/>
                <w:sz w:val="24"/>
                <w:szCs w:val="24"/>
                <w:u w:val="none"/>
              </w:rPr>
            </w:pPr>
          </w:p>
        </w:tc>
      </w:tr>
      <w:tr w14:paraId="4809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89" w:hRule="atLeast"/>
          <w:jc w:val="center"/>
        </w:trPr>
        <w:tc>
          <w:tcPr>
            <w:tcW w:w="1500" w:type="pct"/>
            <w:gridSpan w:val="2"/>
            <w:shd w:val="clear" w:color="auto" w:fill="auto"/>
            <w:tcMar>
              <w:left w:w="105" w:type="dxa"/>
              <w:right w:w="105" w:type="dxa"/>
            </w:tcMar>
            <w:vAlign w:val="center"/>
          </w:tcPr>
          <w:p w14:paraId="084A7F2A">
            <w:pPr>
              <w:pStyle w:val="15"/>
              <w:keepNext w:val="0"/>
              <w:keepLines w:val="0"/>
              <w:widowControl/>
              <w:suppressLineNumbers w:val="0"/>
              <w:jc w:val="center"/>
              <w:rPr>
                <w:rStyle w:val="21"/>
                <w:rFonts w:hint="eastAsia" w:ascii="仿宋" w:hAnsi="仿宋" w:eastAsia="仿宋" w:cs="仿宋"/>
                <w:b w:val="0"/>
                <w:bCs/>
                <w:sz w:val="24"/>
                <w:szCs w:val="24"/>
                <w:u w:val="none"/>
                <w:lang w:val="en-US" w:eastAsia="zh-CN"/>
              </w:rPr>
            </w:pPr>
            <w:r>
              <w:rPr>
                <w:rStyle w:val="21"/>
                <w:rFonts w:hint="eastAsia" w:ascii="仿宋" w:hAnsi="仿宋" w:eastAsia="仿宋" w:cs="仿宋"/>
                <w:b w:val="0"/>
                <w:bCs/>
                <w:sz w:val="24"/>
                <w:szCs w:val="24"/>
                <w:u w:val="none"/>
                <w:lang w:val="en-US" w:eastAsia="zh-CN"/>
              </w:rPr>
              <w:t>合计</w:t>
            </w:r>
          </w:p>
        </w:tc>
        <w:tc>
          <w:tcPr>
            <w:tcW w:w="3499" w:type="pct"/>
            <w:gridSpan w:val="4"/>
            <w:shd w:val="clear" w:color="auto" w:fill="auto"/>
            <w:tcMar>
              <w:left w:w="105" w:type="dxa"/>
              <w:right w:w="105" w:type="dxa"/>
            </w:tcMar>
            <w:vAlign w:val="center"/>
          </w:tcPr>
          <w:p w14:paraId="669C3E2C">
            <w:pPr>
              <w:pStyle w:val="15"/>
              <w:keepNext w:val="0"/>
              <w:keepLines w:val="0"/>
              <w:widowControl/>
              <w:suppressLineNumbers w:val="0"/>
              <w:jc w:val="center"/>
              <w:rPr>
                <w:rFonts w:hint="default"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 xml:space="preserve">大写：              小写：           </w:t>
            </w:r>
          </w:p>
        </w:tc>
      </w:tr>
    </w:tbl>
    <w:p w14:paraId="5C0CA9C9">
      <w:pPr>
        <w:widowControl/>
        <w:jc w:val="left"/>
        <w:rPr>
          <w:rFonts w:ascii="Times New Roman" w:hAnsi="Times New Roman" w:eastAsia="仿宋" w:cs="Times New Roman"/>
          <w:szCs w:val="21"/>
          <w:lang w:val="zh-TW"/>
        </w:rPr>
      </w:pPr>
    </w:p>
    <w:p w14:paraId="6A61EBF0">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9" w:name="_Toc29032"/>
      <w:bookmarkStart w:id="90" w:name="_Toc14685"/>
      <w:bookmarkStart w:id="91" w:name="_Toc3000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92583771"/>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00809F2">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5A9F303">
      <w:pPr>
        <w:contextualSpacing/>
        <w:rPr>
          <w:rFonts w:hint="eastAsia" w:ascii="Times New Roman" w:hAnsi="Times New Roman"/>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251C2640">
        <w:tblPrEx>
          <w:tblCellMar>
            <w:top w:w="0" w:type="dxa"/>
            <w:left w:w="0" w:type="dxa"/>
            <w:bottom w:w="0" w:type="dxa"/>
            <w:right w:w="0" w:type="dxa"/>
          </w:tblCellMar>
        </w:tblPrEx>
        <w:trPr>
          <w:trHeight w:val="767" w:hRule="atLeast"/>
          <w:jc w:val="center"/>
        </w:trPr>
        <w:tc>
          <w:tcPr>
            <w:tcW w:w="10204" w:type="dxa"/>
            <w:gridSpan w:val="2"/>
            <w:noWrap w:val="0"/>
            <w:vAlign w:val="top"/>
          </w:tcPr>
          <w:p w14:paraId="0F8CA8A5">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0EE2A737">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7F6B3FA3">
        <w:tblPrEx>
          <w:tblCellMar>
            <w:top w:w="0" w:type="dxa"/>
            <w:left w:w="0" w:type="dxa"/>
            <w:bottom w:w="0" w:type="dxa"/>
            <w:right w:w="0" w:type="dxa"/>
          </w:tblCellMar>
        </w:tblPrEx>
        <w:trPr>
          <w:jc w:val="center"/>
        </w:trPr>
        <w:tc>
          <w:tcPr>
            <w:tcW w:w="4962" w:type="dxa"/>
            <w:noWrap w:val="0"/>
            <w:vAlign w:val="top"/>
          </w:tcPr>
          <w:p w14:paraId="69E8C76F">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5DB176A7">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03918DC8">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3A7B3E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35FDF8D1">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15195E18">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7E4399D1">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tbl>
    <w:p w14:paraId="3CB0C331">
      <w:pPr>
        <w:adjustRightInd w:val="0"/>
        <w:snapToGrid w:val="0"/>
        <w:spacing w:before="312" w:beforeLines="100" w:after="312" w:afterLines="100"/>
        <w:contextualSpacing/>
        <w:jc w:val="left"/>
        <w:rPr>
          <w:rFonts w:ascii="Times New Roman" w:hAnsi="Times New Roman"/>
          <w:color w:val="000000"/>
          <w:szCs w:val="21"/>
          <w:highlight w:val="none"/>
        </w:rPr>
      </w:pPr>
      <w:bookmarkStart w:id="95" w:name="OLE_LINK6"/>
      <w:bookmarkStart w:id="96" w:name="OLE_LINK5"/>
    </w:p>
    <w:p w14:paraId="3D2509C9">
      <w:pPr>
        <w:adjustRightInd w:val="0"/>
        <w:snapToGrid w:val="0"/>
        <w:spacing w:before="312" w:beforeLines="100" w:after="312" w:afterLines="100"/>
        <w:ind w:firstLine="420" w:firstLineChars="200"/>
        <w:contextualSpacing/>
        <w:jc w:val="left"/>
        <w:rPr>
          <w:rFonts w:ascii="Times New Roman" w:hAnsi="Times New Roman"/>
          <w:b/>
          <w:szCs w:val="21"/>
          <w:highlight w:val="none"/>
        </w:rPr>
      </w:pPr>
      <w:r>
        <w:rPr>
          <w:rFonts w:ascii="Times New Roman" w:hAnsi="Times New Roman"/>
          <w:color w:val="000000"/>
          <w:szCs w:val="21"/>
          <w:highlight w:val="none"/>
        </w:rPr>
        <w:t>根据《中华人民共和国民法典》及甲方</w:t>
      </w:r>
      <w:r>
        <w:rPr>
          <w:rFonts w:hint="eastAsia" w:ascii="Times New Roman" w:hAnsi="Times New Roman"/>
          <w:color w:val="000000"/>
          <w:szCs w:val="21"/>
          <w:highlight w:val="none"/>
        </w:rPr>
        <w:t>发布</w:t>
      </w:r>
      <w:r>
        <w:rPr>
          <w:rFonts w:ascii="Times New Roman" w:hAnsi="Times New Roman"/>
          <w:color w:val="000000"/>
          <w:szCs w:val="21"/>
          <w:highlight w:val="none"/>
        </w:rPr>
        <w:t>的</w:t>
      </w:r>
      <w:r>
        <w:rPr>
          <w:rFonts w:hint="eastAsia" w:ascii="Times New Roman" w:hAnsi="Times New Roman"/>
          <w:color w:val="000000"/>
          <w:szCs w:val="21"/>
          <w:highlight w:val="none"/>
        </w:rPr>
        <w:t>*</w:t>
      </w:r>
      <w:r>
        <w:rPr>
          <w:rFonts w:ascii="Times New Roman" w:hAnsi="Times New Roman"/>
          <w:color w:val="000000"/>
          <w:szCs w:val="21"/>
          <w:highlight w:val="none"/>
        </w:rPr>
        <w:t>**项目（项目编号：</w:t>
      </w:r>
      <w:r>
        <w:rPr>
          <w:rFonts w:ascii="Times New Roman" w:hAnsi="Times New Roman"/>
          <w:szCs w:val="21"/>
          <w:highlight w:val="none"/>
        </w:rPr>
        <w:t>***</w:t>
      </w:r>
      <w:r>
        <w:rPr>
          <w:rFonts w:ascii="Times New Roman" w:hAnsi="Times New Roman"/>
          <w:color w:val="000000"/>
          <w:szCs w:val="21"/>
          <w:highlight w:val="none"/>
        </w:rPr>
        <w:t>）《采购文件》、乙方的《</w:t>
      </w:r>
      <w:r>
        <w:rPr>
          <w:rFonts w:hint="eastAsia" w:ascii="Times New Roman" w:hAnsi="Times New Roman"/>
          <w:color w:val="000000"/>
          <w:szCs w:val="21"/>
          <w:highlight w:val="none"/>
        </w:rPr>
        <w:t>响应</w:t>
      </w:r>
      <w:r>
        <w:rPr>
          <w:rFonts w:ascii="Times New Roman" w:hAnsi="Times New Roman"/>
          <w:color w:val="000000"/>
          <w:szCs w:val="21"/>
          <w:highlight w:val="none"/>
        </w:rPr>
        <w:t>文件》，甲、乙双方同意签订本合同。详细技术说明及其他有关合同项目的特定信息</w:t>
      </w:r>
      <w:r>
        <w:rPr>
          <w:rFonts w:hint="eastAsia" w:ascii="Times New Roman" w:hAnsi="Times New Roman"/>
          <w:color w:val="000000"/>
          <w:szCs w:val="21"/>
          <w:highlight w:val="none"/>
        </w:rPr>
        <w:t>可</w:t>
      </w:r>
      <w:r>
        <w:rPr>
          <w:rFonts w:ascii="Times New Roman" w:hAnsi="Times New Roman"/>
          <w:color w:val="000000"/>
          <w:szCs w:val="21"/>
          <w:highlight w:val="none"/>
        </w:rPr>
        <w:t>由合同附件予以说明，合同附件及本项目的《采购文件》、《</w:t>
      </w:r>
      <w:r>
        <w:rPr>
          <w:rFonts w:hint="eastAsia" w:ascii="Times New Roman" w:hAnsi="Times New Roman"/>
          <w:color w:val="000000"/>
          <w:szCs w:val="21"/>
          <w:highlight w:val="none"/>
        </w:rPr>
        <w:t>响应</w:t>
      </w:r>
      <w:r>
        <w:rPr>
          <w:rFonts w:ascii="Times New Roman" w:hAnsi="Times New Roman"/>
          <w:color w:val="000000"/>
          <w:szCs w:val="21"/>
          <w:highlight w:val="none"/>
        </w:rPr>
        <w:t>文件》等均为本合同不可分割的部分。双方同意共同遵守</w:t>
      </w:r>
      <w:r>
        <w:rPr>
          <w:rFonts w:hint="eastAsia" w:ascii="Times New Roman" w:hAnsi="Times New Roman"/>
          <w:color w:val="000000"/>
          <w:szCs w:val="21"/>
          <w:highlight w:val="none"/>
        </w:rPr>
        <w:t>以下</w:t>
      </w:r>
      <w:r>
        <w:rPr>
          <w:rFonts w:ascii="Times New Roman" w:hAnsi="Times New Roman"/>
          <w:color w:val="000000"/>
          <w:szCs w:val="21"/>
          <w:highlight w:val="none"/>
        </w:rPr>
        <w:t>条款：</w:t>
      </w:r>
    </w:p>
    <w:bookmarkEnd w:id="95"/>
    <w:bookmarkEnd w:id="96"/>
    <w:p w14:paraId="446F67DD">
      <w:pPr>
        <w:ind w:firstLine="420" w:firstLineChars="200"/>
        <w:rPr>
          <w:rFonts w:ascii="Times New Roman" w:hAnsi="Times New Roman"/>
          <w:color w:val="000000"/>
          <w:szCs w:val="21"/>
          <w:highlight w:val="none"/>
        </w:rPr>
      </w:pPr>
    </w:p>
    <w:p w14:paraId="2E74E6A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开发项目</w:t>
      </w:r>
      <w:r>
        <w:rPr>
          <w:rFonts w:ascii="Times New Roman" w:hAnsi="Times New Roman"/>
          <w:b/>
          <w:bCs/>
          <w:szCs w:val="21"/>
          <w:highlight w:val="none"/>
        </w:rPr>
        <w:t>信息</w:t>
      </w:r>
    </w:p>
    <w:p w14:paraId="1C6B59B1">
      <w:pPr>
        <w:pStyle w:val="29"/>
        <w:numPr>
          <w:ilvl w:val="0"/>
          <w:numId w:val="13"/>
        </w:numPr>
        <w:ind w:left="0" w:firstLine="0" w:firstLineChars="0"/>
        <w:contextualSpacing/>
        <w:rPr>
          <w:rFonts w:ascii="Times New Roman" w:hAnsi="Times New Roman"/>
          <w:color w:val="000000"/>
          <w:szCs w:val="21"/>
          <w:highlight w:val="none"/>
        </w:rPr>
      </w:pPr>
      <w:r>
        <w:rPr>
          <w:rFonts w:hint="eastAsia" w:ascii="Times New Roman" w:hAnsi="Times New Roman"/>
          <w:color w:val="000000"/>
          <w:szCs w:val="21"/>
          <w:highlight w:val="none"/>
        </w:rPr>
        <w:t>软件名称：*</w:t>
      </w:r>
      <w:r>
        <w:rPr>
          <w:rFonts w:ascii="Times New Roman" w:hAnsi="Times New Roman"/>
          <w:color w:val="000000"/>
          <w:szCs w:val="21"/>
          <w:highlight w:val="none"/>
        </w:rPr>
        <w:t>**</w:t>
      </w:r>
      <w:r>
        <w:rPr>
          <w:rFonts w:hint="eastAsia" w:ascii="Times New Roman" w:hAnsi="Times New Roman"/>
          <w:color w:val="000000"/>
          <w:szCs w:val="21"/>
          <w:highlight w:val="none"/>
        </w:rPr>
        <w:t>。</w:t>
      </w:r>
    </w:p>
    <w:p w14:paraId="21CA1F25">
      <w:pPr>
        <w:pStyle w:val="29"/>
        <w:numPr>
          <w:ilvl w:val="0"/>
          <w:numId w:val="13"/>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highlight w:val="none"/>
        </w:rPr>
        <w:t>软件的主要功能：</w:t>
      </w:r>
      <w:bookmarkStart w:id="97"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97"/>
      <w:r>
        <w:rPr>
          <w:rFonts w:hint="eastAsia" w:ascii="Times New Roman" w:hAnsi="Times New Roman"/>
          <w:i/>
          <w:iCs/>
          <w:color w:val="000000"/>
          <w:szCs w:val="21"/>
          <w:highlight w:val="none"/>
        </w:rPr>
        <w:t>&gt;</w:t>
      </w:r>
    </w:p>
    <w:p w14:paraId="461998F5">
      <w:pPr>
        <w:pStyle w:val="29"/>
        <w:numPr>
          <w:ilvl w:val="0"/>
          <w:numId w:val="13"/>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58523C8">
      <w:pPr>
        <w:pStyle w:val="29"/>
        <w:numPr>
          <w:ilvl w:val="0"/>
          <w:numId w:val="13"/>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4130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8541E83">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2977" w:type="dxa"/>
            <w:noWrap w:val="0"/>
            <w:vAlign w:val="center"/>
          </w:tcPr>
          <w:p w14:paraId="3CD4306A">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分项名称</w:t>
            </w:r>
          </w:p>
        </w:tc>
        <w:tc>
          <w:tcPr>
            <w:tcW w:w="3686" w:type="dxa"/>
            <w:noWrap w:val="0"/>
            <w:vAlign w:val="center"/>
          </w:tcPr>
          <w:p w14:paraId="5E940E42">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具体内容</w:t>
            </w:r>
          </w:p>
        </w:tc>
        <w:tc>
          <w:tcPr>
            <w:tcW w:w="963" w:type="dxa"/>
            <w:noWrap w:val="0"/>
            <w:vAlign w:val="center"/>
          </w:tcPr>
          <w:p w14:paraId="657B6817">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分项价格（万元）</w:t>
            </w:r>
          </w:p>
        </w:tc>
        <w:tc>
          <w:tcPr>
            <w:tcW w:w="2016" w:type="dxa"/>
            <w:noWrap w:val="0"/>
            <w:vAlign w:val="top"/>
          </w:tcPr>
          <w:p w14:paraId="36D5B8A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备注</w:t>
            </w:r>
          </w:p>
        </w:tc>
      </w:tr>
      <w:tr w14:paraId="3A8C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018C4208">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2977" w:type="dxa"/>
            <w:noWrap w:val="0"/>
            <w:vAlign w:val="center"/>
          </w:tcPr>
          <w:p w14:paraId="478C0A68">
            <w:pPr>
              <w:pStyle w:val="29"/>
              <w:ind w:firstLine="0" w:firstLineChars="0"/>
              <w:rPr>
                <w:rFonts w:ascii="Times New Roman" w:hAnsi="Times New Roman"/>
                <w:color w:val="000000"/>
                <w:szCs w:val="21"/>
                <w:highlight w:val="none"/>
              </w:rPr>
            </w:pPr>
          </w:p>
        </w:tc>
        <w:tc>
          <w:tcPr>
            <w:tcW w:w="3686" w:type="dxa"/>
            <w:noWrap w:val="0"/>
            <w:vAlign w:val="center"/>
          </w:tcPr>
          <w:p w14:paraId="62669DDD">
            <w:pPr>
              <w:pStyle w:val="29"/>
              <w:ind w:firstLine="0" w:firstLineChars="0"/>
              <w:rPr>
                <w:rFonts w:ascii="Times New Roman" w:hAnsi="Times New Roman"/>
                <w:color w:val="000000"/>
                <w:szCs w:val="21"/>
                <w:highlight w:val="none"/>
              </w:rPr>
            </w:pPr>
          </w:p>
        </w:tc>
        <w:tc>
          <w:tcPr>
            <w:tcW w:w="963" w:type="dxa"/>
            <w:noWrap w:val="0"/>
            <w:vAlign w:val="center"/>
          </w:tcPr>
          <w:p w14:paraId="57DCB8A5">
            <w:pPr>
              <w:pStyle w:val="29"/>
              <w:ind w:firstLine="0" w:firstLineChars="0"/>
              <w:jc w:val="center"/>
              <w:rPr>
                <w:rFonts w:ascii="Times New Roman" w:hAnsi="Times New Roman"/>
                <w:color w:val="000000"/>
                <w:szCs w:val="21"/>
                <w:highlight w:val="none"/>
              </w:rPr>
            </w:pPr>
          </w:p>
        </w:tc>
        <w:tc>
          <w:tcPr>
            <w:tcW w:w="2016" w:type="dxa"/>
            <w:noWrap w:val="0"/>
            <w:vAlign w:val="top"/>
          </w:tcPr>
          <w:p w14:paraId="59134A2A">
            <w:pPr>
              <w:pStyle w:val="29"/>
              <w:ind w:firstLine="0" w:firstLineChars="0"/>
              <w:rPr>
                <w:rFonts w:ascii="Times New Roman" w:hAnsi="Times New Roman"/>
                <w:color w:val="000000"/>
                <w:szCs w:val="21"/>
                <w:highlight w:val="none"/>
              </w:rPr>
            </w:pPr>
          </w:p>
        </w:tc>
      </w:tr>
      <w:tr w14:paraId="78A5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ABEE2AC">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2977" w:type="dxa"/>
            <w:noWrap w:val="0"/>
            <w:vAlign w:val="center"/>
          </w:tcPr>
          <w:p w14:paraId="5D0654A7">
            <w:pPr>
              <w:pStyle w:val="29"/>
              <w:ind w:firstLine="0" w:firstLineChars="0"/>
              <w:rPr>
                <w:rFonts w:ascii="Times New Roman" w:hAnsi="Times New Roman"/>
                <w:color w:val="000000"/>
                <w:szCs w:val="21"/>
                <w:highlight w:val="none"/>
              </w:rPr>
            </w:pPr>
          </w:p>
        </w:tc>
        <w:tc>
          <w:tcPr>
            <w:tcW w:w="3686" w:type="dxa"/>
            <w:noWrap w:val="0"/>
            <w:vAlign w:val="center"/>
          </w:tcPr>
          <w:p w14:paraId="0772B457">
            <w:pPr>
              <w:pStyle w:val="29"/>
              <w:ind w:firstLine="0" w:firstLineChars="0"/>
              <w:rPr>
                <w:rFonts w:ascii="Times New Roman" w:hAnsi="Times New Roman"/>
                <w:color w:val="000000"/>
                <w:szCs w:val="21"/>
                <w:highlight w:val="none"/>
              </w:rPr>
            </w:pPr>
          </w:p>
        </w:tc>
        <w:tc>
          <w:tcPr>
            <w:tcW w:w="963" w:type="dxa"/>
            <w:noWrap w:val="0"/>
            <w:vAlign w:val="center"/>
          </w:tcPr>
          <w:p w14:paraId="2786964E">
            <w:pPr>
              <w:pStyle w:val="29"/>
              <w:ind w:firstLine="0" w:firstLineChars="0"/>
              <w:jc w:val="center"/>
              <w:rPr>
                <w:rFonts w:ascii="Times New Roman" w:hAnsi="Times New Roman"/>
                <w:color w:val="000000"/>
                <w:szCs w:val="21"/>
                <w:highlight w:val="none"/>
              </w:rPr>
            </w:pPr>
          </w:p>
        </w:tc>
        <w:tc>
          <w:tcPr>
            <w:tcW w:w="2016" w:type="dxa"/>
            <w:noWrap w:val="0"/>
            <w:vAlign w:val="top"/>
          </w:tcPr>
          <w:p w14:paraId="02EAB91B">
            <w:pPr>
              <w:pStyle w:val="29"/>
              <w:ind w:firstLine="0" w:firstLineChars="0"/>
              <w:rPr>
                <w:rFonts w:ascii="Times New Roman" w:hAnsi="Times New Roman"/>
                <w:color w:val="000000"/>
                <w:szCs w:val="21"/>
                <w:highlight w:val="none"/>
              </w:rPr>
            </w:pPr>
          </w:p>
        </w:tc>
      </w:tr>
      <w:tr w14:paraId="33AD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2A61608A">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2977" w:type="dxa"/>
            <w:noWrap w:val="0"/>
            <w:vAlign w:val="center"/>
          </w:tcPr>
          <w:p w14:paraId="7A00E933">
            <w:pPr>
              <w:pStyle w:val="29"/>
              <w:ind w:firstLine="0" w:firstLineChars="0"/>
              <w:rPr>
                <w:rFonts w:ascii="Times New Roman" w:hAnsi="Times New Roman"/>
                <w:color w:val="000000"/>
                <w:szCs w:val="21"/>
                <w:highlight w:val="none"/>
              </w:rPr>
            </w:pPr>
          </w:p>
        </w:tc>
        <w:tc>
          <w:tcPr>
            <w:tcW w:w="3686" w:type="dxa"/>
            <w:noWrap w:val="0"/>
            <w:vAlign w:val="center"/>
          </w:tcPr>
          <w:p w14:paraId="79B2CFDD">
            <w:pPr>
              <w:pStyle w:val="29"/>
              <w:ind w:firstLine="0" w:firstLineChars="0"/>
              <w:rPr>
                <w:rFonts w:ascii="Times New Roman" w:hAnsi="Times New Roman"/>
                <w:color w:val="000000"/>
                <w:szCs w:val="21"/>
                <w:highlight w:val="none"/>
              </w:rPr>
            </w:pPr>
          </w:p>
        </w:tc>
        <w:tc>
          <w:tcPr>
            <w:tcW w:w="963" w:type="dxa"/>
            <w:noWrap w:val="0"/>
            <w:vAlign w:val="center"/>
          </w:tcPr>
          <w:p w14:paraId="400095B1">
            <w:pPr>
              <w:pStyle w:val="29"/>
              <w:ind w:firstLine="0" w:firstLineChars="0"/>
              <w:jc w:val="center"/>
              <w:rPr>
                <w:rFonts w:ascii="Times New Roman" w:hAnsi="Times New Roman"/>
                <w:color w:val="000000"/>
                <w:szCs w:val="21"/>
                <w:highlight w:val="none"/>
              </w:rPr>
            </w:pPr>
          </w:p>
        </w:tc>
        <w:tc>
          <w:tcPr>
            <w:tcW w:w="2016" w:type="dxa"/>
            <w:noWrap w:val="0"/>
            <w:vAlign w:val="top"/>
          </w:tcPr>
          <w:p w14:paraId="4D060498">
            <w:pPr>
              <w:pStyle w:val="29"/>
              <w:ind w:firstLine="0" w:firstLineChars="0"/>
              <w:rPr>
                <w:rFonts w:ascii="Times New Roman" w:hAnsi="Times New Roman"/>
                <w:color w:val="000000"/>
                <w:szCs w:val="21"/>
                <w:highlight w:val="none"/>
              </w:rPr>
            </w:pPr>
          </w:p>
        </w:tc>
      </w:tr>
      <w:tr w14:paraId="37FC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105501E">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2977" w:type="dxa"/>
            <w:noWrap w:val="0"/>
            <w:vAlign w:val="center"/>
          </w:tcPr>
          <w:p w14:paraId="1B02C872">
            <w:pPr>
              <w:pStyle w:val="29"/>
              <w:ind w:firstLine="0" w:firstLineChars="0"/>
              <w:rPr>
                <w:rFonts w:ascii="Times New Roman" w:hAnsi="Times New Roman"/>
                <w:color w:val="000000"/>
                <w:szCs w:val="21"/>
                <w:highlight w:val="none"/>
              </w:rPr>
            </w:pPr>
          </w:p>
        </w:tc>
        <w:tc>
          <w:tcPr>
            <w:tcW w:w="3686" w:type="dxa"/>
            <w:noWrap w:val="0"/>
            <w:vAlign w:val="center"/>
          </w:tcPr>
          <w:p w14:paraId="47B677F2">
            <w:pPr>
              <w:pStyle w:val="29"/>
              <w:ind w:firstLine="0" w:firstLineChars="0"/>
              <w:rPr>
                <w:rFonts w:ascii="Times New Roman" w:hAnsi="Times New Roman"/>
                <w:color w:val="000000"/>
                <w:szCs w:val="21"/>
                <w:highlight w:val="none"/>
              </w:rPr>
            </w:pPr>
          </w:p>
        </w:tc>
        <w:tc>
          <w:tcPr>
            <w:tcW w:w="963" w:type="dxa"/>
            <w:noWrap w:val="0"/>
            <w:vAlign w:val="center"/>
          </w:tcPr>
          <w:p w14:paraId="13F4616E">
            <w:pPr>
              <w:pStyle w:val="29"/>
              <w:ind w:firstLine="0" w:firstLineChars="0"/>
              <w:jc w:val="center"/>
              <w:rPr>
                <w:rFonts w:ascii="Times New Roman" w:hAnsi="Times New Roman"/>
                <w:color w:val="000000"/>
                <w:szCs w:val="21"/>
                <w:highlight w:val="none"/>
              </w:rPr>
            </w:pPr>
          </w:p>
        </w:tc>
        <w:tc>
          <w:tcPr>
            <w:tcW w:w="2016" w:type="dxa"/>
            <w:noWrap w:val="0"/>
            <w:vAlign w:val="top"/>
          </w:tcPr>
          <w:p w14:paraId="38E080D5">
            <w:pPr>
              <w:pStyle w:val="29"/>
              <w:ind w:firstLine="0" w:firstLineChars="0"/>
              <w:rPr>
                <w:rFonts w:ascii="Times New Roman" w:hAnsi="Times New Roman"/>
                <w:color w:val="000000"/>
                <w:szCs w:val="21"/>
                <w:highlight w:val="none"/>
              </w:rPr>
            </w:pPr>
          </w:p>
        </w:tc>
      </w:tr>
    </w:tbl>
    <w:p w14:paraId="6F5CAF31">
      <w:pPr>
        <w:pStyle w:val="29"/>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合同总价</w:t>
      </w:r>
    </w:p>
    <w:p w14:paraId="499781D2">
      <w:pPr>
        <w:pStyle w:val="29"/>
        <w:numPr>
          <w:ilvl w:val="3"/>
          <w:numId w:val="12"/>
        </w:numPr>
        <w:ind w:left="0" w:firstLine="0" w:firstLineChars="0"/>
        <w:contextualSpacing/>
        <w:jc w:val="left"/>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合同总价（含税）为人民币大写：*** 圆整，即RMB *** 元，该合同总价已包括</w:t>
      </w:r>
      <w:r>
        <w:rPr>
          <w:rFonts w:hint="eastAsia" w:ascii="Times New Roman" w:hAnsi="Times New Roman"/>
          <w:szCs w:val="21"/>
          <w:highlight w:val="none"/>
        </w:rPr>
        <w:t>软件</w:t>
      </w:r>
      <w:r>
        <w:rPr>
          <w:rFonts w:ascii="Times New Roman" w:hAnsi="Times New Roman"/>
          <w:szCs w:val="21"/>
          <w:highlight w:val="none"/>
        </w:rPr>
        <w:t>设计、</w:t>
      </w:r>
      <w:r>
        <w:rPr>
          <w:rFonts w:hint="eastAsia" w:ascii="Times New Roman" w:hAnsi="Times New Roman"/>
          <w:szCs w:val="21"/>
          <w:highlight w:val="none"/>
        </w:rPr>
        <w:t>开发、交付、培训等服务、与其它第三方软件的全部接口、技术支持</w:t>
      </w:r>
      <w:r>
        <w:rPr>
          <w:rFonts w:ascii="Times New Roman" w:hAnsi="Times New Roman"/>
          <w:szCs w:val="21"/>
          <w:highlight w:val="none"/>
        </w:rPr>
        <w:t>以及乙方为全面履行</w:t>
      </w:r>
      <w:r>
        <w:rPr>
          <w:rFonts w:hint="eastAsia" w:ascii="Times New Roman" w:hAnsi="Times New Roman"/>
          <w:szCs w:val="21"/>
          <w:highlight w:val="none"/>
        </w:rPr>
        <w:t>本</w:t>
      </w:r>
      <w:r>
        <w:rPr>
          <w:rFonts w:ascii="Times New Roman" w:hAnsi="Times New Roman"/>
          <w:szCs w:val="21"/>
          <w:highlight w:val="none"/>
        </w:rPr>
        <w:t>合同义务所完成的</w:t>
      </w:r>
      <w:r>
        <w:rPr>
          <w:rFonts w:hint="eastAsia" w:ascii="Times New Roman" w:hAnsi="Times New Roman"/>
          <w:szCs w:val="21"/>
          <w:highlight w:val="none"/>
        </w:rPr>
        <w:t>其它</w:t>
      </w:r>
      <w:r>
        <w:rPr>
          <w:rFonts w:ascii="Times New Roman" w:hAnsi="Times New Roman"/>
          <w:szCs w:val="21"/>
          <w:highlight w:val="none"/>
        </w:rPr>
        <w:t>所有事项的含税费用。</w:t>
      </w:r>
    </w:p>
    <w:p w14:paraId="3D18DB98">
      <w:pPr>
        <w:pStyle w:val="29"/>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4DEC0927">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工期</w:t>
      </w:r>
    </w:p>
    <w:p w14:paraId="184F3994">
      <w:pPr>
        <w:pStyle w:val="29"/>
        <w:numPr>
          <w:ilvl w:val="0"/>
          <w:numId w:val="14"/>
        </w:numPr>
        <w:ind w:left="0" w:firstLine="0" w:firstLineChars="0"/>
        <w:rPr>
          <w:rFonts w:ascii="Times New Roman" w:hAnsi="Times New Roman"/>
          <w:szCs w:val="21"/>
          <w:highlight w:val="none"/>
        </w:rPr>
      </w:pPr>
      <w:r>
        <w:rPr>
          <w:rFonts w:hint="eastAsia" w:ascii="Times New Roman" w:hAnsi="Times New Roman"/>
          <w:szCs w:val="21"/>
          <w:highlight w:val="none"/>
        </w:rPr>
        <w:t>工期：</w:t>
      </w:r>
    </w:p>
    <w:p w14:paraId="67E87980">
      <w:pPr>
        <w:pStyle w:val="29"/>
        <w:numPr>
          <w:ilvl w:val="0"/>
          <w:numId w:val="15"/>
        </w:numPr>
        <w:snapToGrid w:val="0"/>
        <w:ind w:firstLineChars="0"/>
        <w:rPr>
          <w:rFonts w:ascii="Times New Roman" w:hAnsi="Times New Roman"/>
          <w:szCs w:val="21"/>
          <w:highlight w:val="none"/>
        </w:rPr>
      </w:pPr>
      <w:r>
        <w:rPr>
          <w:rFonts w:hint="eastAsia"/>
          <w:highlight w:val="none"/>
        </w:rPr>
        <w:t>实施时间：</w:t>
      </w:r>
      <w:r>
        <w:rPr>
          <w:rFonts w:hint="eastAsia" w:ascii="宋体" w:hAnsi="宋体" w:cs="宋体"/>
          <w:szCs w:val="21"/>
          <w:highlight w:val="none"/>
        </w:rPr>
        <w:t>从合同签订生效之日起，需在</w:t>
      </w:r>
      <w:r>
        <w:rPr>
          <w:rFonts w:hint="eastAsia" w:ascii="宋体" w:hAnsi="宋体" w:cs="宋体"/>
          <w:szCs w:val="21"/>
          <w:highlight w:val="none"/>
          <w:u w:val="single"/>
        </w:rPr>
        <w:t xml:space="preserve">5 </w:t>
      </w:r>
      <w:r>
        <w:rPr>
          <w:rFonts w:hint="eastAsia" w:ascii="宋体" w:hAnsi="宋体" w:cs="宋体"/>
          <w:szCs w:val="21"/>
          <w:highlight w:val="none"/>
        </w:rPr>
        <w:t>个工作日内开始实施</w:t>
      </w:r>
      <w:r>
        <w:rPr>
          <w:rFonts w:hint="eastAsia" w:ascii="Times New Roman" w:hAnsi="Times New Roman"/>
          <w:szCs w:val="21"/>
          <w:highlight w:val="none"/>
        </w:rPr>
        <w:t>。</w:t>
      </w:r>
    </w:p>
    <w:p w14:paraId="502A8B41">
      <w:pPr>
        <w:pStyle w:val="29"/>
        <w:numPr>
          <w:ilvl w:val="0"/>
          <w:numId w:val="15"/>
        </w:numPr>
        <w:snapToGrid w:val="0"/>
        <w:ind w:firstLineChars="0"/>
        <w:rPr>
          <w:rFonts w:ascii="Times New Roman" w:hAnsi="Times New Roman"/>
          <w:szCs w:val="21"/>
          <w:highlight w:val="none"/>
        </w:rPr>
      </w:pPr>
      <w:r>
        <w:rPr>
          <w:rFonts w:hint="eastAsia" w:ascii="宋体" w:hAnsi="宋体" w:cs="宋体"/>
          <w:szCs w:val="21"/>
          <w:highlight w:val="none"/>
        </w:rPr>
        <w:t>实施周期：本项目开始实施之日起</w:t>
      </w:r>
      <w:r>
        <w:rPr>
          <w:rFonts w:hint="eastAsia" w:ascii="宋体" w:hAnsi="宋体" w:cs="宋体"/>
          <w:b/>
          <w:bCs/>
          <w:szCs w:val="21"/>
          <w:highlight w:val="none"/>
          <w:u w:val="single"/>
        </w:rPr>
        <w:t xml:space="preserve">  60 </w:t>
      </w:r>
      <w:r>
        <w:rPr>
          <w:rFonts w:hint="eastAsia" w:ascii="宋体" w:hAnsi="宋体" w:cs="宋体"/>
          <w:szCs w:val="21"/>
          <w:highlight w:val="none"/>
        </w:rPr>
        <w:t>日内，完成本项目包含的所有</w:t>
      </w:r>
      <w:r>
        <w:rPr>
          <w:rFonts w:hint="eastAsia" w:ascii="宋体" w:hAnsi="宋体" w:cs="宋体"/>
          <w:b/>
          <w:bCs/>
          <w:szCs w:val="21"/>
          <w:highlight w:val="none"/>
          <w:u w:val="single"/>
        </w:rPr>
        <w:t>软件</w:t>
      </w:r>
      <w:r>
        <w:rPr>
          <w:rFonts w:hint="eastAsia" w:ascii="宋体" w:hAnsi="宋体" w:cs="宋体"/>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000000"/>
          <w:highlight w:val="none"/>
        </w:rPr>
        <w:t>（如有履约保证金，</w:t>
      </w:r>
      <w:r>
        <w:rPr>
          <w:rFonts w:hint="eastAsia" w:ascii="宋体" w:hAnsi="宋体" w:cs="宋体"/>
          <w:szCs w:val="21"/>
          <w:highlight w:val="none"/>
        </w:rPr>
        <w:t>将不予退还</w:t>
      </w:r>
      <w:r>
        <w:rPr>
          <w:rFonts w:hint="eastAsia" w:ascii="宋体" w:hAnsi="宋体" w:cs="宋体"/>
          <w:bCs/>
          <w:color w:val="000000"/>
          <w:highlight w:val="none"/>
        </w:rPr>
        <w:t>），</w:t>
      </w:r>
      <w:r>
        <w:rPr>
          <w:rFonts w:hint="eastAsia"/>
          <w:highlight w:val="none"/>
        </w:rPr>
        <w:t>已支付款项，供乙方应于7个工作日内退还甲方</w:t>
      </w:r>
      <w:r>
        <w:rPr>
          <w:rFonts w:hint="eastAsia" w:ascii="Times New Roman" w:hAnsi="Times New Roman"/>
          <w:szCs w:val="21"/>
          <w:highlight w:val="none"/>
        </w:rPr>
        <w:t>。</w:t>
      </w:r>
    </w:p>
    <w:p w14:paraId="71B40E58">
      <w:pPr>
        <w:pStyle w:val="29"/>
        <w:numPr>
          <w:ilvl w:val="0"/>
          <w:numId w:val="15"/>
        </w:numPr>
        <w:snapToGrid w:val="0"/>
        <w:ind w:firstLineChars="0"/>
        <w:rPr>
          <w:rFonts w:ascii="Times New Roman" w:hAnsi="Times New Roman"/>
          <w:szCs w:val="21"/>
          <w:highlight w:val="none"/>
        </w:rPr>
      </w:pPr>
      <w:r>
        <w:rPr>
          <w:rFonts w:hint="eastAsia" w:ascii="Times New Roman" w:hAnsi="Times New Roman"/>
          <w:szCs w:val="21"/>
          <w:highlight w:val="none"/>
        </w:rPr>
        <w:t>开发完成时间：</w:t>
      </w:r>
      <w:r>
        <w:rPr>
          <w:rFonts w:ascii="Times New Roman" w:hAnsi="Times New Roman"/>
          <w:szCs w:val="21"/>
          <w:highlight w:val="none"/>
        </w:rPr>
        <w:t>202*</w:t>
      </w:r>
      <w:r>
        <w:rPr>
          <w:rFonts w:hint="eastAsia" w:ascii="Times New Roman" w:hAnsi="Times New Roman"/>
          <w:szCs w:val="21"/>
          <w:highlight w:val="none"/>
        </w:rPr>
        <w:t>年*</w:t>
      </w:r>
      <w:r>
        <w:rPr>
          <w:rFonts w:ascii="Times New Roman" w:hAnsi="Times New Roman"/>
          <w:szCs w:val="21"/>
          <w:highlight w:val="none"/>
        </w:rPr>
        <w:t>**</w:t>
      </w:r>
      <w:r>
        <w:rPr>
          <w:rFonts w:hint="eastAsia" w:ascii="Times New Roman" w:hAnsi="Times New Roman"/>
          <w:szCs w:val="21"/>
          <w:highlight w:val="none"/>
        </w:rPr>
        <w:t>月*</w:t>
      </w:r>
      <w:r>
        <w:rPr>
          <w:rFonts w:ascii="Times New Roman" w:hAnsi="Times New Roman"/>
          <w:szCs w:val="21"/>
          <w:highlight w:val="none"/>
        </w:rPr>
        <w:t>**</w:t>
      </w:r>
      <w:r>
        <w:rPr>
          <w:rFonts w:hint="eastAsia" w:ascii="Times New Roman" w:hAnsi="Times New Roman"/>
          <w:szCs w:val="21"/>
          <w:highlight w:val="none"/>
        </w:rPr>
        <w:t>日。</w:t>
      </w:r>
    </w:p>
    <w:p w14:paraId="66B9D431">
      <w:pPr>
        <w:pStyle w:val="29"/>
        <w:numPr>
          <w:ilvl w:val="0"/>
          <w:numId w:val="15"/>
        </w:numPr>
        <w:snapToGrid w:val="0"/>
        <w:ind w:firstLineChars="0"/>
        <w:rPr>
          <w:rFonts w:ascii="Times New Roman" w:hAnsi="Times New Roman"/>
          <w:szCs w:val="21"/>
          <w:highlight w:val="none"/>
          <w:u w:val="single"/>
        </w:rPr>
      </w:pPr>
      <w:r>
        <w:rPr>
          <w:rFonts w:hint="eastAsia" w:ascii="Times New Roman" w:hAnsi="Times New Roman"/>
          <w:szCs w:val="21"/>
          <w:highlight w:val="none"/>
          <w:u w:val="single"/>
        </w:rPr>
        <w:t>软件开发进度见附件：《开发进度表》</w:t>
      </w:r>
      <w:r>
        <w:rPr>
          <w:rFonts w:hint="eastAsia" w:ascii="Times New Roman" w:hAnsi="Times New Roman"/>
          <w:i/>
          <w:iCs/>
          <w:szCs w:val="21"/>
          <w:highlight w:val="none"/>
        </w:rPr>
        <w:t>&lt;根据项目实际情况编制&gt;</w:t>
      </w:r>
    </w:p>
    <w:p w14:paraId="392688B0">
      <w:pPr>
        <w:pStyle w:val="29"/>
        <w:numPr>
          <w:ilvl w:val="0"/>
          <w:numId w:val="14"/>
        </w:numPr>
        <w:ind w:left="0" w:firstLine="0" w:firstLineChars="0"/>
        <w:rPr>
          <w:rFonts w:hint="eastAsia" w:ascii="Times New Roman" w:hAnsi="Times New Roman"/>
          <w:szCs w:val="21"/>
          <w:highlight w:val="none"/>
        </w:rPr>
      </w:pPr>
      <w:r>
        <w:rPr>
          <w:rFonts w:hint="eastAsia" w:ascii="Times New Roman" w:hAnsi="Times New Roman"/>
          <w:szCs w:val="21"/>
          <w:highlight w:val="none"/>
        </w:rPr>
        <w:t>如甲方原因推迟开发，甲方应向乙方提供书面延期通知书，并在确定继续开发时提供开工通知书，同时计算工期时应扣除因甲方原因造成的延期时间。</w:t>
      </w:r>
    </w:p>
    <w:p w14:paraId="78B0E22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73F521B4">
      <w:pPr>
        <w:pStyle w:val="29"/>
        <w:numPr>
          <w:ilvl w:val="0"/>
          <w:numId w:val="16"/>
        </w:numPr>
        <w:ind w:left="0" w:firstLine="0" w:firstLineChars="0"/>
        <w:rPr>
          <w:rFonts w:ascii="Times New Roman" w:hAnsi="Times New Roman"/>
          <w:szCs w:val="21"/>
          <w:highlight w:val="none"/>
        </w:rPr>
      </w:pPr>
      <w:r>
        <w:rPr>
          <w:rFonts w:hint="eastAsia" w:ascii="Times New Roman" w:hAnsi="Times New Roman"/>
          <w:szCs w:val="21"/>
          <w:highlight w:val="none"/>
        </w:rPr>
        <w:t>交付的内容、形式及数量：</w:t>
      </w:r>
      <w:r>
        <w:rPr>
          <w:rFonts w:hint="eastAsia" w:ascii="Times New Roman" w:hAnsi="Times New Roman"/>
          <w:i/>
          <w:iCs/>
          <w:szCs w:val="21"/>
          <w:highlight w:val="none"/>
        </w:rPr>
        <w:t>&lt;</w:t>
      </w:r>
      <w:r>
        <w:rPr>
          <w:rFonts w:ascii="Times New Roman" w:hAnsi="Times New Roman"/>
          <w:i/>
          <w:iCs/>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szCs w:val="21"/>
          <w:highlight w:val="none"/>
        </w:rPr>
        <w:t>，根据项目实际情况编制本条款具体内容，如内容较多可附附件&gt;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2"/>
        <w:gridCol w:w="1711"/>
        <w:gridCol w:w="2532"/>
        <w:gridCol w:w="2001"/>
        <w:gridCol w:w="544"/>
        <w:gridCol w:w="545"/>
        <w:gridCol w:w="1872"/>
      </w:tblGrid>
      <w:tr w14:paraId="4C65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BB3664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1815" w:type="dxa"/>
            <w:noWrap w:val="0"/>
            <w:vAlign w:val="center"/>
          </w:tcPr>
          <w:p w14:paraId="58367E3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交付事项</w:t>
            </w:r>
          </w:p>
        </w:tc>
        <w:tc>
          <w:tcPr>
            <w:tcW w:w="2694" w:type="dxa"/>
            <w:noWrap w:val="0"/>
            <w:vAlign w:val="center"/>
          </w:tcPr>
          <w:p w14:paraId="62AFF85C">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交付内容</w:t>
            </w:r>
          </w:p>
        </w:tc>
        <w:tc>
          <w:tcPr>
            <w:tcW w:w="2126" w:type="dxa"/>
            <w:noWrap w:val="0"/>
            <w:vAlign w:val="center"/>
          </w:tcPr>
          <w:p w14:paraId="0760ABF2">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交付形式</w:t>
            </w:r>
          </w:p>
        </w:tc>
        <w:tc>
          <w:tcPr>
            <w:tcW w:w="567" w:type="dxa"/>
            <w:noWrap w:val="0"/>
            <w:vAlign w:val="top"/>
          </w:tcPr>
          <w:p w14:paraId="3384DA5A">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单位</w:t>
            </w:r>
          </w:p>
        </w:tc>
        <w:tc>
          <w:tcPr>
            <w:tcW w:w="567" w:type="dxa"/>
            <w:noWrap w:val="0"/>
            <w:vAlign w:val="top"/>
          </w:tcPr>
          <w:p w14:paraId="08EFF49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数量</w:t>
            </w:r>
          </w:p>
        </w:tc>
        <w:tc>
          <w:tcPr>
            <w:tcW w:w="1987" w:type="dxa"/>
            <w:noWrap w:val="0"/>
            <w:vAlign w:val="top"/>
          </w:tcPr>
          <w:p w14:paraId="1FC7481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备注</w:t>
            </w:r>
          </w:p>
        </w:tc>
      </w:tr>
      <w:tr w14:paraId="14EB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C659B9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1815" w:type="dxa"/>
            <w:noWrap w:val="0"/>
            <w:vAlign w:val="center"/>
          </w:tcPr>
          <w:p w14:paraId="27176DEB">
            <w:pPr>
              <w:pStyle w:val="29"/>
              <w:ind w:firstLine="0" w:firstLineChars="0"/>
              <w:rPr>
                <w:rFonts w:ascii="Times New Roman" w:hAnsi="Times New Roman"/>
                <w:color w:val="000000"/>
                <w:szCs w:val="21"/>
                <w:highlight w:val="none"/>
              </w:rPr>
            </w:pPr>
          </w:p>
        </w:tc>
        <w:tc>
          <w:tcPr>
            <w:tcW w:w="2694" w:type="dxa"/>
            <w:noWrap w:val="0"/>
            <w:vAlign w:val="center"/>
          </w:tcPr>
          <w:p w14:paraId="0DA980B9">
            <w:pPr>
              <w:pStyle w:val="29"/>
              <w:ind w:firstLine="0" w:firstLineChars="0"/>
              <w:rPr>
                <w:rFonts w:ascii="Times New Roman" w:hAnsi="Times New Roman"/>
                <w:color w:val="000000"/>
                <w:szCs w:val="21"/>
                <w:highlight w:val="none"/>
              </w:rPr>
            </w:pPr>
          </w:p>
        </w:tc>
        <w:tc>
          <w:tcPr>
            <w:tcW w:w="2126" w:type="dxa"/>
            <w:noWrap w:val="0"/>
            <w:vAlign w:val="center"/>
          </w:tcPr>
          <w:p w14:paraId="1DD6C1EE">
            <w:pPr>
              <w:pStyle w:val="29"/>
              <w:ind w:firstLine="0" w:firstLineChars="0"/>
              <w:rPr>
                <w:rFonts w:ascii="Times New Roman" w:hAnsi="Times New Roman"/>
                <w:color w:val="000000"/>
                <w:szCs w:val="21"/>
                <w:highlight w:val="none"/>
              </w:rPr>
            </w:pPr>
          </w:p>
        </w:tc>
        <w:tc>
          <w:tcPr>
            <w:tcW w:w="567" w:type="dxa"/>
            <w:noWrap w:val="0"/>
            <w:vAlign w:val="center"/>
          </w:tcPr>
          <w:p w14:paraId="1B74E586">
            <w:pPr>
              <w:pStyle w:val="29"/>
              <w:ind w:firstLine="0" w:firstLineChars="0"/>
              <w:jc w:val="center"/>
              <w:rPr>
                <w:rFonts w:ascii="Times New Roman" w:hAnsi="Times New Roman"/>
                <w:color w:val="000000"/>
                <w:szCs w:val="21"/>
                <w:highlight w:val="none"/>
              </w:rPr>
            </w:pPr>
          </w:p>
        </w:tc>
        <w:tc>
          <w:tcPr>
            <w:tcW w:w="567" w:type="dxa"/>
            <w:noWrap w:val="0"/>
            <w:vAlign w:val="center"/>
          </w:tcPr>
          <w:p w14:paraId="0E582B89">
            <w:pPr>
              <w:pStyle w:val="29"/>
              <w:ind w:firstLine="0" w:firstLineChars="0"/>
              <w:jc w:val="center"/>
              <w:rPr>
                <w:rFonts w:ascii="Times New Roman" w:hAnsi="Times New Roman"/>
                <w:color w:val="000000"/>
                <w:szCs w:val="21"/>
                <w:highlight w:val="none"/>
              </w:rPr>
            </w:pPr>
          </w:p>
        </w:tc>
        <w:tc>
          <w:tcPr>
            <w:tcW w:w="1987" w:type="dxa"/>
            <w:noWrap w:val="0"/>
            <w:vAlign w:val="center"/>
          </w:tcPr>
          <w:p w14:paraId="3C38C102">
            <w:pPr>
              <w:pStyle w:val="29"/>
              <w:ind w:firstLine="0" w:firstLineChars="0"/>
              <w:rPr>
                <w:rFonts w:ascii="Times New Roman" w:hAnsi="Times New Roman"/>
                <w:color w:val="000000"/>
                <w:szCs w:val="21"/>
                <w:highlight w:val="none"/>
              </w:rPr>
            </w:pPr>
          </w:p>
        </w:tc>
      </w:tr>
      <w:tr w14:paraId="1CBC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8D01DE0">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1815" w:type="dxa"/>
            <w:noWrap w:val="0"/>
            <w:vAlign w:val="center"/>
          </w:tcPr>
          <w:p w14:paraId="18CEE41C">
            <w:pPr>
              <w:pStyle w:val="29"/>
              <w:ind w:firstLine="0" w:firstLineChars="0"/>
              <w:rPr>
                <w:rFonts w:ascii="Times New Roman" w:hAnsi="Times New Roman"/>
                <w:color w:val="000000"/>
                <w:szCs w:val="21"/>
                <w:highlight w:val="none"/>
              </w:rPr>
            </w:pPr>
          </w:p>
        </w:tc>
        <w:tc>
          <w:tcPr>
            <w:tcW w:w="2694" w:type="dxa"/>
            <w:noWrap w:val="0"/>
            <w:vAlign w:val="center"/>
          </w:tcPr>
          <w:p w14:paraId="13A658B7">
            <w:pPr>
              <w:pStyle w:val="29"/>
              <w:ind w:firstLine="0" w:firstLineChars="0"/>
              <w:rPr>
                <w:rFonts w:ascii="Times New Roman" w:hAnsi="Times New Roman"/>
                <w:color w:val="000000"/>
                <w:szCs w:val="21"/>
                <w:highlight w:val="none"/>
              </w:rPr>
            </w:pPr>
          </w:p>
        </w:tc>
        <w:tc>
          <w:tcPr>
            <w:tcW w:w="2126" w:type="dxa"/>
            <w:noWrap w:val="0"/>
            <w:vAlign w:val="center"/>
          </w:tcPr>
          <w:p w14:paraId="1F6F7E5D">
            <w:pPr>
              <w:pStyle w:val="29"/>
              <w:ind w:firstLine="0" w:firstLineChars="0"/>
              <w:rPr>
                <w:rFonts w:ascii="Times New Roman" w:hAnsi="Times New Roman"/>
                <w:color w:val="000000"/>
                <w:szCs w:val="21"/>
                <w:highlight w:val="none"/>
              </w:rPr>
            </w:pPr>
          </w:p>
        </w:tc>
        <w:tc>
          <w:tcPr>
            <w:tcW w:w="567" w:type="dxa"/>
            <w:noWrap w:val="0"/>
            <w:vAlign w:val="center"/>
          </w:tcPr>
          <w:p w14:paraId="4D1CE4D3">
            <w:pPr>
              <w:pStyle w:val="29"/>
              <w:ind w:firstLine="0" w:firstLineChars="0"/>
              <w:jc w:val="center"/>
              <w:rPr>
                <w:rFonts w:ascii="Times New Roman" w:hAnsi="Times New Roman"/>
                <w:color w:val="000000"/>
                <w:szCs w:val="21"/>
                <w:highlight w:val="none"/>
              </w:rPr>
            </w:pPr>
          </w:p>
        </w:tc>
        <w:tc>
          <w:tcPr>
            <w:tcW w:w="567" w:type="dxa"/>
            <w:noWrap w:val="0"/>
            <w:vAlign w:val="center"/>
          </w:tcPr>
          <w:p w14:paraId="3E45C71F">
            <w:pPr>
              <w:pStyle w:val="29"/>
              <w:ind w:firstLine="0" w:firstLineChars="0"/>
              <w:jc w:val="center"/>
              <w:rPr>
                <w:rFonts w:ascii="Times New Roman" w:hAnsi="Times New Roman"/>
                <w:color w:val="000000"/>
                <w:szCs w:val="21"/>
                <w:highlight w:val="none"/>
              </w:rPr>
            </w:pPr>
          </w:p>
        </w:tc>
        <w:tc>
          <w:tcPr>
            <w:tcW w:w="1987" w:type="dxa"/>
            <w:noWrap w:val="0"/>
            <w:vAlign w:val="center"/>
          </w:tcPr>
          <w:p w14:paraId="2BE73FDE">
            <w:pPr>
              <w:pStyle w:val="29"/>
              <w:ind w:firstLine="0" w:firstLineChars="0"/>
              <w:rPr>
                <w:rFonts w:ascii="Times New Roman" w:hAnsi="Times New Roman"/>
                <w:color w:val="000000"/>
                <w:szCs w:val="21"/>
                <w:highlight w:val="none"/>
              </w:rPr>
            </w:pPr>
          </w:p>
        </w:tc>
      </w:tr>
      <w:tr w14:paraId="48B8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41D3FB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1815" w:type="dxa"/>
            <w:noWrap w:val="0"/>
            <w:vAlign w:val="center"/>
          </w:tcPr>
          <w:p w14:paraId="1B77A709">
            <w:pPr>
              <w:pStyle w:val="29"/>
              <w:ind w:firstLine="0" w:firstLineChars="0"/>
              <w:rPr>
                <w:rFonts w:ascii="Times New Roman" w:hAnsi="Times New Roman"/>
                <w:color w:val="000000"/>
                <w:szCs w:val="21"/>
                <w:highlight w:val="none"/>
              </w:rPr>
            </w:pPr>
          </w:p>
        </w:tc>
        <w:tc>
          <w:tcPr>
            <w:tcW w:w="2694" w:type="dxa"/>
            <w:noWrap w:val="0"/>
            <w:vAlign w:val="center"/>
          </w:tcPr>
          <w:p w14:paraId="4EB6B33A">
            <w:pPr>
              <w:pStyle w:val="29"/>
              <w:ind w:firstLine="0" w:firstLineChars="0"/>
              <w:rPr>
                <w:rFonts w:ascii="Times New Roman" w:hAnsi="Times New Roman"/>
                <w:color w:val="000000"/>
                <w:szCs w:val="21"/>
                <w:highlight w:val="none"/>
              </w:rPr>
            </w:pPr>
          </w:p>
        </w:tc>
        <w:tc>
          <w:tcPr>
            <w:tcW w:w="2126" w:type="dxa"/>
            <w:noWrap w:val="0"/>
            <w:vAlign w:val="center"/>
          </w:tcPr>
          <w:p w14:paraId="5E878469">
            <w:pPr>
              <w:pStyle w:val="29"/>
              <w:ind w:firstLine="0" w:firstLineChars="0"/>
              <w:rPr>
                <w:rFonts w:ascii="Times New Roman" w:hAnsi="Times New Roman"/>
                <w:color w:val="000000"/>
                <w:szCs w:val="21"/>
                <w:highlight w:val="none"/>
              </w:rPr>
            </w:pPr>
          </w:p>
        </w:tc>
        <w:tc>
          <w:tcPr>
            <w:tcW w:w="567" w:type="dxa"/>
            <w:noWrap w:val="0"/>
            <w:vAlign w:val="center"/>
          </w:tcPr>
          <w:p w14:paraId="085371EA">
            <w:pPr>
              <w:pStyle w:val="29"/>
              <w:ind w:firstLine="0" w:firstLineChars="0"/>
              <w:jc w:val="center"/>
              <w:rPr>
                <w:rFonts w:ascii="Times New Roman" w:hAnsi="Times New Roman"/>
                <w:color w:val="000000"/>
                <w:szCs w:val="21"/>
                <w:highlight w:val="none"/>
              </w:rPr>
            </w:pPr>
          </w:p>
        </w:tc>
        <w:tc>
          <w:tcPr>
            <w:tcW w:w="567" w:type="dxa"/>
            <w:noWrap w:val="0"/>
            <w:vAlign w:val="center"/>
          </w:tcPr>
          <w:p w14:paraId="0722EB85">
            <w:pPr>
              <w:pStyle w:val="29"/>
              <w:ind w:firstLine="0" w:firstLineChars="0"/>
              <w:jc w:val="center"/>
              <w:rPr>
                <w:rFonts w:ascii="Times New Roman" w:hAnsi="Times New Roman"/>
                <w:color w:val="000000"/>
                <w:szCs w:val="21"/>
                <w:highlight w:val="none"/>
              </w:rPr>
            </w:pPr>
          </w:p>
        </w:tc>
        <w:tc>
          <w:tcPr>
            <w:tcW w:w="1987" w:type="dxa"/>
            <w:noWrap w:val="0"/>
            <w:vAlign w:val="center"/>
          </w:tcPr>
          <w:p w14:paraId="1893047B">
            <w:pPr>
              <w:pStyle w:val="29"/>
              <w:ind w:firstLine="0" w:firstLineChars="0"/>
              <w:rPr>
                <w:rFonts w:ascii="Times New Roman" w:hAnsi="Times New Roman"/>
                <w:color w:val="000000"/>
                <w:szCs w:val="21"/>
                <w:highlight w:val="none"/>
              </w:rPr>
            </w:pPr>
          </w:p>
        </w:tc>
      </w:tr>
      <w:tr w14:paraId="266E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03F54AB">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1815" w:type="dxa"/>
            <w:noWrap w:val="0"/>
            <w:vAlign w:val="center"/>
          </w:tcPr>
          <w:p w14:paraId="46EB1CAA">
            <w:pPr>
              <w:pStyle w:val="29"/>
              <w:ind w:firstLine="0" w:firstLineChars="0"/>
              <w:rPr>
                <w:rFonts w:ascii="Times New Roman" w:hAnsi="Times New Roman"/>
                <w:color w:val="000000"/>
                <w:szCs w:val="21"/>
                <w:highlight w:val="none"/>
              </w:rPr>
            </w:pPr>
          </w:p>
        </w:tc>
        <w:tc>
          <w:tcPr>
            <w:tcW w:w="2694" w:type="dxa"/>
            <w:noWrap w:val="0"/>
            <w:vAlign w:val="center"/>
          </w:tcPr>
          <w:p w14:paraId="5FDF07AC">
            <w:pPr>
              <w:pStyle w:val="29"/>
              <w:ind w:firstLine="0" w:firstLineChars="0"/>
              <w:rPr>
                <w:rFonts w:ascii="Times New Roman" w:hAnsi="Times New Roman"/>
                <w:color w:val="000000"/>
                <w:szCs w:val="21"/>
                <w:highlight w:val="none"/>
              </w:rPr>
            </w:pPr>
          </w:p>
        </w:tc>
        <w:tc>
          <w:tcPr>
            <w:tcW w:w="2126" w:type="dxa"/>
            <w:noWrap w:val="0"/>
            <w:vAlign w:val="center"/>
          </w:tcPr>
          <w:p w14:paraId="2EBEA69E">
            <w:pPr>
              <w:pStyle w:val="29"/>
              <w:ind w:firstLine="0" w:firstLineChars="0"/>
              <w:rPr>
                <w:rFonts w:ascii="Times New Roman" w:hAnsi="Times New Roman"/>
                <w:color w:val="000000"/>
                <w:szCs w:val="21"/>
                <w:highlight w:val="none"/>
              </w:rPr>
            </w:pPr>
          </w:p>
        </w:tc>
        <w:tc>
          <w:tcPr>
            <w:tcW w:w="567" w:type="dxa"/>
            <w:noWrap w:val="0"/>
            <w:vAlign w:val="center"/>
          </w:tcPr>
          <w:p w14:paraId="0A0A3A7E">
            <w:pPr>
              <w:pStyle w:val="29"/>
              <w:ind w:firstLine="0" w:firstLineChars="0"/>
              <w:jc w:val="center"/>
              <w:rPr>
                <w:rFonts w:ascii="Times New Roman" w:hAnsi="Times New Roman"/>
                <w:color w:val="000000"/>
                <w:szCs w:val="21"/>
                <w:highlight w:val="none"/>
              </w:rPr>
            </w:pPr>
          </w:p>
        </w:tc>
        <w:tc>
          <w:tcPr>
            <w:tcW w:w="567" w:type="dxa"/>
            <w:noWrap w:val="0"/>
            <w:vAlign w:val="center"/>
          </w:tcPr>
          <w:p w14:paraId="5613A8E3">
            <w:pPr>
              <w:pStyle w:val="29"/>
              <w:ind w:firstLine="0" w:firstLineChars="0"/>
              <w:jc w:val="center"/>
              <w:rPr>
                <w:rFonts w:ascii="Times New Roman" w:hAnsi="Times New Roman"/>
                <w:color w:val="000000"/>
                <w:szCs w:val="21"/>
                <w:highlight w:val="none"/>
              </w:rPr>
            </w:pPr>
          </w:p>
        </w:tc>
        <w:tc>
          <w:tcPr>
            <w:tcW w:w="1987" w:type="dxa"/>
            <w:noWrap w:val="0"/>
            <w:vAlign w:val="center"/>
          </w:tcPr>
          <w:p w14:paraId="6239191B">
            <w:pPr>
              <w:pStyle w:val="29"/>
              <w:ind w:firstLine="0" w:firstLineChars="0"/>
              <w:rPr>
                <w:rFonts w:ascii="Times New Roman" w:hAnsi="Times New Roman"/>
                <w:color w:val="000000"/>
                <w:szCs w:val="21"/>
                <w:highlight w:val="none"/>
              </w:rPr>
            </w:pPr>
          </w:p>
        </w:tc>
      </w:tr>
    </w:tbl>
    <w:p w14:paraId="354CC1D6">
      <w:pPr>
        <w:pStyle w:val="29"/>
        <w:numPr>
          <w:ilvl w:val="0"/>
          <w:numId w:val="16"/>
        </w:numPr>
        <w:ind w:left="0" w:firstLine="0" w:firstLineChars="0"/>
        <w:rPr>
          <w:rFonts w:ascii="Times New Roman" w:hAnsi="Times New Roman"/>
          <w:szCs w:val="21"/>
          <w:highlight w:val="none"/>
        </w:rPr>
      </w:pPr>
      <w:r>
        <w:rPr>
          <w:rFonts w:hint="eastAsia" w:ascii="宋体" w:hAnsi="宋体" w:cs="宋体"/>
          <w:szCs w:val="21"/>
          <w:highlight w:val="none"/>
        </w:rPr>
        <w:t>服务地点：本项目涉及的四川省人民医院所有院区</w:t>
      </w:r>
      <w:r>
        <w:rPr>
          <w:rFonts w:hint="eastAsia" w:ascii="Times New Roman" w:hAnsi="Times New Roman"/>
          <w:szCs w:val="21"/>
          <w:highlight w:val="none"/>
        </w:rPr>
        <w:t>。</w:t>
      </w:r>
    </w:p>
    <w:p w14:paraId="46152D40">
      <w:pPr>
        <w:pStyle w:val="29"/>
        <w:numPr>
          <w:ilvl w:val="0"/>
          <w:numId w:val="12"/>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682B5B6F">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甲、乙双方确定，按照本合同约定的验收方案对乙方交付的开发成果进行验收。</w:t>
      </w:r>
    </w:p>
    <w:p w14:paraId="076CCC66">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验收方案：</w:t>
      </w:r>
    </w:p>
    <w:p w14:paraId="5B4D126E">
      <w:pPr>
        <w:pStyle w:val="29"/>
        <w:numPr>
          <w:ilvl w:val="0"/>
          <w:numId w:val="18"/>
        </w:numPr>
        <w:ind w:firstLineChars="0"/>
        <w:contextualSpacing/>
        <w:rPr>
          <w:color w:val="000000"/>
          <w:szCs w:val="21"/>
          <w:highlight w:val="none"/>
        </w:rPr>
      </w:pPr>
      <w:r>
        <w:rPr>
          <w:rFonts w:hint="eastAsia"/>
          <w:color w:val="000000"/>
          <w:szCs w:val="21"/>
          <w:highlight w:val="none"/>
        </w:rPr>
        <w:t>验收主体：甲方</w:t>
      </w:r>
    </w:p>
    <w:p w14:paraId="7A67B2B8">
      <w:pPr>
        <w:pStyle w:val="29"/>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0534FD79">
      <w:pPr>
        <w:pStyle w:val="29"/>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369AFA2F">
      <w:pPr>
        <w:pStyle w:val="29"/>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0AEA8D8E">
      <w:pPr>
        <w:pStyle w:val="29"/>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按照甲方的采购文件要求及乙方响应文件响应情况，由乙方向甲方交付的</w:t>
      </w:r>
      <w:r>
        <w:rPr>
          <w:rFonts w:hint="eastAsia"/>
          <w:szCs w:val="21"/>
          <w:highlight w:val="none"/>
          <w:u w:val="single"/>
        </w:rPr>
        <w:t>全部内容</w:t>
      </w:r>
      <w:r>
        <w:rPr>
          <w:rFonts w:hint="eastAsia"/>
          <w:szCs w:val="21"/>
          <w:highlight w:val="none"/>
        </w:rPr>
        <w:t>。</w:t>
      </w:r>
    </w:p>
    <w:p w14:paraId="6415E4A3">
      <w:pPr>
        <w:pStyle w:val="29"/>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86A7ABF">
      <w:pPr>
        <w:pStyle w:val="29"/>
        <w:ind w:left="420" w:leftChars="200" w:firstLine="0" w:firstLineChars="0"/>
        <w:contextualSpacing/>
        <w:rPr>
          <w:rFonts w:hint="eastAsia"/>
          <w:color w:val="000000"/>
          <w:szCs w:val="21"/>
          <w:highlight w:val="none"/>
        </w:rPr>
      </w:pPr>
      <w:r>
        <w:rPr>
          <w:highlight w:val="none"/>
        </w:rPr>
        <w:sym w:font="Wingdings 2" w:char="F052"/>
      </w:r>
      <w:r>
        <w:rPr>
          <w:rFonts w:hint="eastAsia" w:ascii="Times New Roman" w:hAnsi="Times New Roman"/>
          <w:color w:val="000000"/>
          <w:szCs w:val="21"/>
          <w:highlight w:val="none"/>
        </w:rPr>
        <w:t>乙方</w:t>
      </w:r>
      <w:r>
        <w:rPr>
          <w:rFonts w:ascii="Times New Roman" w:hAnsi="Times New Roman"/>
          <w:color w:val="000000"/>
          <w:szCs w:val="21"/>
          <w:highlight w:val="none"/>
        </w:rPr>
        <w:t>完成</w:t>
      </w:r>
      <w:r>
        <w:rPr>
          <w:rFonts w:hint="eastAsia" w:ascii="Times New Roman" w:hAnsi="Times New Roman"/>
          <w:color w:val="000000"/>
          <w:szCs w:val="21"/>
          <w:highlight w:val="none"/>
        </w:rPr>
        <w:t>全部交付</w:t>
      </w:r>
      <w:r>
        <w:rPr>
          <w:rFonts w:ascii="Times New Roman" w:hAnsi="Times New Roman"/>
          <w:color w:val="000000"/>
          <w:szCs w:val="21"/>
          <w:highlight w:val="none"/>
        </w:rPr>
        <w:t>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CDE9BC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00A3"/>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1CEB236">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778C478">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1F6FDF8E">
      <w:pPr>
        <w:pStyle w:val="8"/>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170357EE">
      <w:pPr>
        <w:pStyle w:val="29"/>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8A8372B">
      <w:pPr>
        <w:pStyle w:val="29"/>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28CAD53">
      <w:pPr>
        <w:pStyle w:val="29"/>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A205296">
      <w:pPr>
        <w:pStyle w:val="29"/>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EA3965F">
      <w:pPr>
        <w:pStyle w:val="29"/>
        <w:numPr>
          <w:ilvl w:val="0"/>
          <w:numId w:val="18"/>
        </w:numPr>
        <w:ind w:firstLineChars="0"/>
        <w:contextualSpacing/>
        <w:rPr>
          <w:szCs w:val="21"/>
          <w:highlight w:val="none"/>
        </w:rPr>
      </w:pPr>
      <w:r>
        <w:rPr>
          <w:szCs w:val="21"/>
          <w:highlight w:val="none"/>
        </w:rPr>
        <w:t>验收标准：</w:t>
      </w:r>
    </w:p>
    <w:p w14:paraId="6E16E55F">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45DD5B1B">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05CB9E6F">
      <w:pPr>
        <w:pStyle w:val="8"/>
        <w:numPr>
          <w:ilvl w:val="0"/>
          <w:numId w:val="19"/>
        </w:numPr>
        <w:spacing w:after="0"/>
        <w:ind w:firstLineChars="0"/>
        <w:contextualSpacing/>
        <w:rPr>
          <w:rFonts w:hint="eastAsia" w:ascii="Times New Roman" w:hAnsi="Times New Roman"/>
          <w:szCs w:val="21"/>
          <w:highlight w:val="none"/>
        </w:rPr>
      </w:pPr>
      <w:r>
        <w:rPr>
          <w:rFonts w:hint="eastAsia" w:ascii="Times New Roman" w:hAnsi="Times New Roman"/>
          <w:szCs w:val="21"/>
          <w:highlight w:val="none"/>
        </w:rPr>
        <w:t>产品生产厂家出具的产品说明书、技术白皮书等官方技术资料（如涉及）。</w:t>
      </w:r>
    </w:p>
    <w:p w14:paraId="7F1FA2BC">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5198E7D7">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26A8523B">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0150C4E3">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31344303">
      <w:pPr>
        <w:pStyle w:val="29"/>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9C47D0D">
      <w:pPr>
        <w:pStyle w:val="29"/>
        <w:numPr>
          <w:ilvl w:val="0"/>
          <w:numId w:val="17"/>
        </w:numPr>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乙方按照本合同向甲方交付的软件：</w:t>
      </w:r>
      <w:bookmarkStart w:id="98" w:name="OLE_LINK3"/>
      <w:r>
        <w:rPr>
          <w:rFonts w:hint="eastAsia" w:ascii="Times New Roman" w:hAnsi="Times New Roman"/>
          <w:i/>
          <w:iCs/>
          <w:color w:val="000000"/>
          <w:szCs w:val="21"/>
          <w:highlight w:val="none"/>
        </w:rPr>
        <w:t>&lt;根据项目实际情况选择</w:t>
      </w:r>
      <w:bookmarkEnd w:id="98"/>
      <w:r>
        <w:rPr>
          <w:rFonts w:hint="eastAsia" w:ascii="Times New Roman" w:hAnsi="Times New Roman"/>
          <w:i/>
          <w:iCs/>
          <w:color w:val="000000"/>
          <w:szCs w:val="21"/>
          <w:highlight w:val="none"/>
        </w:rPr>
        <w:t>&gt;</w:t>
      </w:r>
    </w:p>
    <w:p w14:paraId="4B98FDB6">
      <w:pPr>
        <w:pStyle w:val="29"/>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试运行期间，如发现软件有缺陷，或性能和质量不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乙方须对相关问题进行修改和更正，同时试运行期时限按照上述修改、更正期进行相应顺延。</w:t>
      </w:r>
    </w:p>
    <w:p w14:paraId="6C0C92DD">
      <w:pPr>
        <w:pStyle w:val="29"/>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63578A7E">
      <w:pPr>
        <w:pStyle w:val="29"/>
        <w:numPr>
          <w:ilvl w:val="0"/>
          <w:numId w:val="17"/>
        </w:numPr>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4DB30FC3">
      <w:pPr>
        <w:pStyle w:val="29"/>
        <w:numPr>
          <w:ilvl w:val="0"/>
          <w:numId w:val="17"/>
        </w:numPr>
        <w:ind w:left="0" w:firstLine="0" w:firstLineChars="0"/>
        <w:rPr>
          <w:rFonts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34886CB7">
      <w:pPr>
        <w:pStyle w:val="29"/>
        <w:numPr>
          <w:ilvl w:val="0"/>
          <w:numId w:val="12"/>
        </w:numPr>
        <w:snapToGrid w:val="0"/>
        <w:ind w:firstLineChars="0"/>
        <w:rPr>
          <w:rFonts w:hint="eastAsia" w:ascii="Times New Roman" w:hAnsi="Times New Roman"/>
          <w:b/>
          <w:bCs/>
          <w:szCs w:val="21"/>
          <w:highlight w:val="none"/>
        </w:rPr>
      </w:pPr>
      <w:r>
        <w:rPr>
          <w:rFonts w:ascii="Times New Roman" w:hAnsi="Times New Roman"/>
          <w:b/>
          <w:bCs/>
          <w:szCs w:val="21"/>
          <w:highlight w:val="none"/>
        </w:rPr>
        <w:t>知识产权</w:t>
      </w:r>
      <w:r>
        <w:rPr>
          <w:rFonts w:hint="eastAsia" w:ascii="Times New Roman" w:hAnsi="Times New Roman"/>
          <w:b/>
          <w:bCs/>
          <w:szCs w:val="21"/>
          <w:highlight w:val="none"/>
        </w:rPr>
        <w:t>及保密</w:t>
      </w:r>
    </w:p>
    <w:p w14:paraId="2F7AF8FB">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甲、乙双方确定，因履行本合同所产生的开发成果及其相关知识产权归属</w:t>
      </w:r>
      <w:r>
        <w:rPr>
          <w:rFonts w:hint="eastAsia" w:ascii="Times New Roman" w:hAnsi="Times New Roman"/>
          <w:szCs w:val="21"/>
          <w:highlight w:val="none"/>
          <w:u w:val="single"/>
        </w:rPr>
        <w:t>甲方所有</w:t>
      </w:r>
      <w:r>
        <w:rPr>
          <w:rFonts w:hint="eastAsia" w:ascii="Times New Roman" w:hAnsi="Times New Roman"/>
          <w:szCs w:val="21"/>
          <w:highlight w:val="none"/>
        </w:rPr>
        <w:t>。</w:t>
      </w:r>
    </w:p>
    <w:p w14:paraId="156AB6DC">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乙方不得在向甲方交付开发成果之前，自行将开发成果转让给第三方。</w:t>
      </w:r>
    </w:p>
    <w:p w14:paraId="7C86DFE0">
      <w:pPr>
        <w:pStyle w:val="29"/>
        <w:numPr>
          <w:ilvl w:val="0"/>
          <w:numId w:val="20"/>
        </w:numPr>
        <w:ind w:left="0" w:firstLine="0" w:firstLineChars="0"/>
        <w:rPr>
          <w:rFonts w:hint="eastAsia" w:ascii="Times New Roman" w:hAnsi="Times New Roman"/>
          <w:szCs w:val="21"/>
          <w:highlight w:val="none"/>
        </w:rPr>
      </w:pPr>
      <w:r>
        <w:rPr>
          <w:rFonts w:hint="eastAsia" w:ascii="Times New Roman" w:hAnsi="Times New Roman"/>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62FC368A">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甲、乙双方确定，甲方有权利用乙方按照本合同约定提供的产品，进行后续改进，由此产生的具有实质性或创造性技术进步特征的新的技术成果及其权利归属，由甲方享有。</w:t>
      </w:r>
    </w:p>
    <w:p w14:paraId="79A0F926">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甲、乙双方确定，本合同价格已</w:t>
      </w:r>
      <w:r>
        <w:rPr>
          <w:rFonts w:ascii="Times New Roman" w:hAnsi="Times New Roman"/>
          <w:szCs w:val="21"/>
          <w:highlight w:val="none"/>
        </w:rPr>
        <w:t>包含向</w:t>
      </w:r>
      <w:r>
        <w:rPr>
          <w:rFonts w:hint="eastAsia" w:ascii="Times New Roman" w:hAnsi="Times New Roman"/>
          <w:szCs w:val="21"/>
          <w:highlight w:val="none"/>
        </w:rPr>
        <w:t>本合同涉及的相关</w:t>
      </w:r>
      <w:r>
        <w:rPr>
          <w:rFonts w:ascii="Times New Roman" w:hAnsi="Times New Roman"/>
          <w:szCs w:val="21"/>
          <w:highlight w:val="none"/>
        </w:rPr>
        <w:t>所有权人支付的专利权、商标权或其他知识产权的有关费用及税费。</w:t>
      </w:r>
    </w:p>
    <w:p w14:paraId="3F294998">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甲乙双方均应对本合同内容，包括但不限于项目关键技术、实施方案等予以保密，非经双方一致同意，任何一方不得将协议内容泄露、提供给第三方或用作其他不正当用途。</w:t>
      </w:r>
    </w:p>
    <w:p w14:paraId="42C2BF4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08E40771">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履约保证金：</w:t>
      </w:r>
    </w:p>
    <w:p w14:paraId="31658C1F">
      <w:pPr>
        <w:pStyle w:val="8"/>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；项目</w:t>
      </w:r>
      <w:r>
        <w:rPr>
          <w:rFonts w:ascii="Times New Roman" w:hAnsi="Times New Roman"/>
          <w:color w:val="000000"/>
          <w:szCs w:val="21"/>
          <w:highlight w:val="none"/>
        </w:rPr>
        <w:t>验收合格</w:t>
      </w:r>
      <w:r>
        <w:rPr>
          <w:rFonts w:hint="eastAsia" w:ascii="Times New Roman" w:hAnsi="Times New Roman"/>
          <w:color w:val="000000"/>
          <w:szCs w:val="21"/>
          <w:highlight w:val="none"/>
        </w:rPr>
        <w:t>且服务期结束</w:t>
      </w:r>
      <w:r>
        <w:rPr>
          <w:rFonts w:ascii="Times New Roman" w:hAnsi="Times New Roman"/>
          <w:color w:val="000000"/>
          <w:szCs w:val="21"/>
          <w:highlight w:val="none"/>
        </w:rPr>
        <w:t>之</w:t>
      </w:r>
      <w:r>
        <w:rPr>
          <w:rFonts w:hint="eastAsia" w:ascii="Times New Roman" w:hAnsi="Times New Roman"/>
          <w:color w:val="000000"/>
          <w:szCs w:val="21"/>
          <w:highlight w:val="none"/>
        </w:rPr>
        <w:t>后</w:t>
      </w:r>
      <w:r>
        <w:rPr>
          <w:rFonts w:ascii="Times New Roman" w:hAnsi="Times New Roman"/>
          <w:color w:val="000000"/>
          <w:szCs w:val="21"/>
          <w:highlight w:val="none"/>
        </w:rPr>
        <w:t>，</w:t>
      </w:r>
      <w:r>
        <w:rPr>
          <w:rFonts w:hint="eastAsia" w:ascii="宋体" w:hAnsi="宋体" w:cs="宋体"/>
          <w:szCs w:val="21"/>
          <w:highlight w:val="none"/>
        </w:rPr>
        <w:t>乙方向甲方提供合法有效票据及其他相关请款资料，甲方在</w:t>
      </w:r>
      <w:r>
        <w:rPr>
          <w:rFonts w:hint="eastAsia" w:ascii="宋体" w:hAnsi="宋体" w:cs="宋体"/>
          <w:szCs w:val="21"/>
          <w:highlight w:val="none"/>
          <w:u w:val="single"/>
        </w:rPr>
        <w:t xml:space="preserve"> 50 </w:t>
      </w:r>
      <w:r>
        <w:rPr>
          <w:rFonts w:hint="eastAsia" w:ascii="宋体" w:hAnsi="宋体" w:cs="宋体"/>
          <w:szCs w:val="21"/>
          <w:highlight w:val="none"/>
        </w:rPr>
        <w:t>工作日内将履约保证金扣减考核金额（如涉及考核）后一次性无息退还</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5D7D426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2FE0B5AD">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本项目价款采用以下方式支付，以人民币结算：</w:t>
      </w:r>
    </w:p>
    <w:p w14:paraId="265BC6FC">
      <w:pPr>
        <w:pStyle w:val="8"/>
        <w:spacing w:after="0"/>
        <w:ind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一次性支付：甲方</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w:t>
      </w:r>
      <w:r>
        <w:rPr>
          <w:rFonts w:hint="eastAsia" w:ascii="宋体" w:hAnsi="宋体" w:cs="宋体"/>
          <w:szCs w:val="21"/>
          <w:highlight w:val="none"/>
        </w:rPr>
        <w:t>向乙方支付合同总价100%的金额</w:t>
      </w:r>
      <w:r>
        <w:rPr>
          <w:rFonts w:hint="eastAsia" w:ascii="Times New Roman" w:hAnsi="Times New Roman"/>
          <w:color w:val="000000"/>
          <w:szCs w:val="21"/>
          <w:highlight w:val="none"/>
        </w:rPr>
        <w:t>。</w:t>
      </w:r>
    </w:p>
    <w:p w14:paraId="54C52F72">
      <w:pPr>
        <w:pStyle w:val="8"/>
        <w:spacing w:after="0"/>
        <w:ind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w:t>
      </w:r>
    </w:p>
    <w:p w14:paraId="4B9EA76F">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w:t>
      </w:r>
      <w:r>
        <w:rPr>
          <w:rFonts w:hint="eastAsia" w:ascii="宋体" w:hAnsi="宋体" w:cs="宋体"/>
          <w:szCs w:val="21"/>
          <w:highlight w:val="none"/>
        </w:rPr>
        <w:t>第一次付款：合同签订生效且</w:t>
      </w:r>
      <w:r>
        <w:rPr>
          <w:rFonts w:ascii="宋体" w:hAnsi="宋体" w:cs="宋体"/>
          <w:szCs w:val="21"/>
          <w:highlight w:val="none"/>
        </w:rPr>
        <w:t>项目验收通过后，</w:t>
      </w:r>
      <w:r>
        <w:rPr>
          <w:rFonts w:hint="eastAsia" w:ascii="宋体" w:hAnsi="宋体" w:cs="宋体"/>
          <w:szCs w:val="21"/>
          <w:highlight w:val="none"/>
        </w:rPr>
        <w:t>乙方</w:t>
      </w:r>
      <w:r>
        <w:rPr>
          <w:rFonts w:ascii="宋体" w:hAnsi="宋体" w:cs="宋体"/>
          <w:szCs w:val="21"/>
          <w:highlight w:val="none"/>
        </w:rPr>
        <w:t xml:space="preserve">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日内，向</w:t>
      </w:r>
      <w:r>
        <w:rPr>
          <w:rFonts w:hint="eastAsia" w:ascii="宋体" w:hAnsi="宋体" w:cs="宋体"/>
          <w:szCs w:val="21"/>
          <w:highlight w:val="none"/>
        </w:rPr>
        <w:t>乙方</w:t>
      </w:r>
      <w:r>
        <w:rPr>
          <w:rFonts w:ascii="宋体" w:hAnsi="宋体" w:cs="宋体"/>
          <w:szCs w:val="21"/>
          <w:highlight w:val="none"/>
        </w:rPr>
        <w:t xml:space="preserve">支付本次合同金额的 </w:t>
      </w:r>
      <w:r>
        <w:rPr>
          <w:rFonts w:hint="eastAsia" w:ascii="宋体" w:hAnsi="宋体" w:cs="宋体"/>
          <w:szCs w:val="21"/>
          <w:highlight w:val="none"/>
        </w:rPr>
        <w:t>80</w:t>
      </w:r>
      <w:r>
        <w:rPr>
          <w:rFonts w:ascii="宋体" w:hAnsi="宋体" w:cs="宋体"/>
          <w:szCs w:val="21"/>
          <w:highlight w:val="none"/>
        </w:rPr>
        <w:t>%</w:t>
      </w:r>
      <w:r>
        <w:rPr>
          <w:rFonts w:hint="eastAsia" w:ascii="Times New Roman" w:hAnsi="Times New Roman"/>
          <w:color w:val="000000"/>
          <w:szCs w:val="21"/>
          <w:highlight w:val="none"/>
        </w:rPr>
        <w:t>。</w:t>
      </w:r>
    </w:p>
    <w:p w14:paraId="389A3859">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w:t>
      </w:r>
      <w:r>
        <w:rPr>
          <w:rFonts w:hint="eastAsia" w:ascii="宋体" w:hAnsi="宋体" w:cs="宋体"/>
          <w:szCs w:val="21"/>
          <w:highlight w:val="none"/>
        </w:rPr>
        <w:t>第二次付款：服务期满后，乙方 5 日内向甲方提供合法有效票据及其他相关请款资料，甲方接到乙方请款资料以后</w:t>
      </w:r>
      <w:r>
        <w:rPr>
          <w:rFonts w:ascii="宋体" w:hAnsi="宋体" w:cs="宋体"/>
          <w:szCs w:val="21"/>
          <w:highlight w:val="none"/>
        </w:rPr>
        <w:t>的</w:t>
      </w:r>
      <w:r>
        <w:rPr>
          <w:rFonts w:hint="eastAsia" w:ascii="宋体" w:hAnsi="宋体" w:cs="宋体"/>
          <w:szCs w:val="21"/>
          <w:highlight w:val="none"/>
        </w:rPr>
        <w:t>90</w:t>
      </w:r>
      <w:r>
        <w:rPr>
          <w:rFonts w:ascii="宋体" w:hAnsi="宋体" w:cs="宋体"/>
          <w:szCs w:val="21"/>
          <w:highlight w:val="none"/>
        </w:rPr>
        <w:t>日内，</w:t>
      </w:r>
      <w:r>
        <w:rPr>
          <w:rFonts w:hint="eastAsia" w:ascii="宋体" w:hAnsi="宋体" w:cs="宋体"/>
          <w:szCs w:val="21"/>
          <w:highlight w:val="none"/>
        </w:rPr>
        <w:t>向乙方支付合同总价20%减去考核扣除金额（若有考核）</w:t>
      </w:r>
      <w:r>
        <w:rPr>
          <w:rFonts w:hint="eastAsia" w:ascii="Times New Roman" w:hAnsi="Times New Roman"/>
          <w:color w:val="000000"/>
          <w:szCs w:val="21"/>
          <w:highlight w:val="none"/>
        </w:rPr>
        <w:t>。</w:t>
      </w:r>
    </w:p>
    <w:p w14:paraId="13CF5142">
      <w:pPr>
        <w:pStyle w:val="8"/>
        <w:spacing w:after="0"/>
        <w:ind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00A8"/>
      </w:r>
      <w:r>
        <w:rPr>
          <w:rFonts w:hint="eastAsia" w:ascii="Times New Roman" w:hAnsi="Times New Roman"/>
          <w:color w:val="000000"/>
          <w:szCs w:val="21"/>
          <w:highlight w:val="none"/>
        </w:rPr>
        <w:t>实结算方式：</w:t>
      </w:r>
      <w:r>
        <w:rPr>
          <w:rFonts w:ascii="宋体" w:hAnsi="宋体" w:cs="宋体"/>
          <w:szCs w:val="21"/>
          <w:highlight w:val="none"/>
        </w:rPr>
        <w:t>本项目</w:t>
      </w:r>
      <w:r>
        <w:rPr>
          <w:rFonts w:ascii="宋体" w:hAnsi="宋体" w:cs="宋体"/>
          <w:szCs w:val="21"/>
          <w:highlight w:val="none"/>
          <w:u w:val="single"/>
        </w:rPr>
        <w:t>每月/每季度</w:t>
      </w:r>
      <w:r>
        <w:rPr>
          <w:rFonts w:ascii="宋体" w:hAnsi="宋体" w:cs="宋体"/>
          <w:szCs w:val="21"/>
          <w:highlight w:val="none"/>
        </w:rPr>
        <w:t>结算一次 ，</w:t>
      </w:r>
      <w:r>
        <w:rPr>
          <w:rFonts w:hint="eastAsia"/>
          <w:highlight w:val="none"/>
        </w:rPr>
        <w:t>根据本项目成交单价及实际验收数量</w:t>
      </w:r>
      <w:r>
        <w:rPr>
          <w:rFonts w:ascii="宋体" w:hAnsi="宋体" w:cs="宋体"/>
          <w:szCs w:val="21"/>
          <w:highlight w:val="none"/>
        </w:rPr>
        <w:t>，</w:t>
      </w:r>
      <w:r>
        <w:rPr>
          <w:rFonts w:hint="eastAsia" w:ascii="宋体" w:hAnsi="宋体" w:cs="宋体"/>
          <w:szCs w:val="21"/>
          <w:highlight w:val="none"/>
        </w:rPr>
        <w:t>乙方</w:t>
      </w:r>
      <w:r>
        <w:rPr>
          <w:rFonts w:ascii="宋体" w:hAnsi="宋体" w:cs="宋体"/>
          <w:szCs w:val="21"/>
          <w:highlight w:val="none"/>
        </w:rPr>
        <w:t>需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日内支付相应价款，最终结算总价不得超过</w:t>
      </w:r>
      <w:r>
        <w:rPr>
          <w:rFonts w:hint="eastAsia" w:ascii="宋体" w:hAnsi="宋体" w:cs="宋体"/>
          <w:szCs w:val="21"/>
          <w:highlight w:val="none"/>
          <w:u w:val="single"/>
        </w:rPr>
        <w:t xml:space="preserve">     </w:t>
      </w:r>
      <w:r>
        <w:rPr>
          <w:rFonts w:ascii="宋体" w:hAnsi="宋体" w:cs="宋体"/>
          <w:szCs w:val="21"/>
          <w:highlight w:val="none"/>
        </w:rPr>
        <w:t>元</w:t>
      </w:r>
      <w:r>
        <w:rPr>
          <w:rFonts w:hint="eastAsia" w:ascii="Times New Roman" w:hAnsi="Times New Roman"/>
          <w:color w:val="000000"/>
          <w:szCs w:val="21"/>
          <w:highlight w:val="none"/>
        </w:rPr>
        <w:t>。</w:t>
      </w:r>
    </w:p>
    <w:p w14:paraId="4EE91459">
      <w:pPr>
        <w:pStyle w:val="29"/>
        <w:numPr>
          <w:ilvl w:val="0"/>
          <w:numId w:val="21"/>
        </w:numPr>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w:t>
      </w:r>
      <w:r>
        <w:rPr>
          <w:rFonts w:hint="eastAsia" w:ascii="宋体" w:hAnsi="宋体" w:cs="宋体"/>
          <w:szCs w:val="21"/>
          <w:highlight w:val="none"/>
        </w:rPr>
        <w:t>提供合法有效票据及其他相关请款资料</w:t>
      </w:r>
      <w:r>
        <w:rPr>
          <w:rFonts w:hint="eastAsia" w:ascii="Times New Roman" w:hAnsi="Times New Roman"/>
          <w:szCs w:val="21"/>
          <w:highlight w:val="none"/>
        </w:rPr>
        <w:t>，否则甲方有权拒绝支付且不承担任何违约责任，且乙方不得因此停止工作。</w:t>
      </w:r>
    </w:p>
    <w:p w14:paraId="7BCB6AA9">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中的软件</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软件</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006FA72A">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734CFD97">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5551B44E">
      <w:pPr>
        <w:pStyle w:val="29"/>
        <w:numPr>
          <w:ilvl w:val="0"/>
          <w:numId w:val="22"/>
        </w:numPr>
        <w:ind w:firstLineChars="0"/>
        <w:rPr>
          <w:rFonts w:ascii="Times New Roman" w:hAnsi="Times New Roman"/>
          <w:szCs w:val="21"/>
          <w:highlight w:val="none"/>
        </w:rPr>
      </w:pPr>
      <w:r>
        <w:rPr>
          <w:rFonts w:hint="eastAsia" w:ascii="Times New Roman" w:hAnsi="Times New Roman"/>
          <w:szCs w:val="21"/>
          <w:highlight w:val="none"/>
        </w:rPr>
        <w:t>软件完成安装后，乙</w:t>
      </w:r>
      <w:r>
        <w:rPr>
          <w:rFonts w:ascii="Times New Roman" w:hAnsi="Times New Roman"/>
          <w:szCs w:val="21"/>
          <w:highlight w:val="none"/>
        </w:rPr>
        <w:t>方应对甲方工作人员进行培训：</w:t>
      </w:r>
      <w:r>
        <w:rPr>
          <w:rFonts w:hint="eastAsia" w:ascii="Times New Roman" w:hAnsi="Times New Roman"/>
          <w:szCs w:val="21"/>
          <w:highlight w:val="none"/>
        </w:rPr>
        <w:t>*</w:t>
      </w:r>
      <w:r>
        <w:rPr>
          <w:rFonts w:ascii="Times New Roman" w:hAnsi="Times New Roman"/>
          <w:szCs w:val="21"/>
          <w:highlight w:val="none"/>
        </w:rPr>
        <w:t>**</w:t>
      </w:r>
      <w:r>
        <w:rPr>
          <w:rFonts w:ascii="Times New Roman" w:hAnsi="Times New Roman"/>
          <w:highlight w:val="none"/>
        </w:rPr>
        <w:t>。</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szCs w:val="21"/>
          <w:highlight w:val="none"/>
        </w:rPr>
        <w:t>并保证甲方受训技术人员熟练掌握</w:t>
      </w:r>
      <w:r>
        <w:rPr>
          <w:rFonts w:hint="eastAsia" w:ascii="Times New Roman" w:hAnsi="Times New Roman"/>
          <w:szCs w:val="21"/>
          <w:highlight w:val="none"/>
        </w:rPr>
        <w:t>软件的使用方法</w:t>
      </w:r>
      <w:r>
        <w:rPr>
          <w:rFonts w:ascii="Times New Roman" w:hAnsi="Times New Roman"/>
          <w:szCs w:val="21"/>
          <w:highlight w:val="none"/>
        </w:rPr>
        <w:t>，直至甲方受训技术人员能保证</w:t>
      </w:r>
      <w:r>
        <w:rPr>
          <w:rFonts w:hint="eastAsia" w:ascii="Times New Roman" w:hAnsi="Times New Roman"/>
          <w:szCs w:val="21"/>
          <w:highlight w:val="none"/>
        </w:rPr>
        <w:t>软件日常</w:t>
      </w:r>
      <w:r>
        <w:rPr>
          <w:rFonts w:ascii="Times New Roman" w:hAnsi="Times New Roman"/>
          <w:szCs w:val="21"/>
          <w:highlight w:val="none"/>
        </w:rPr>
        <w:t>运行并能排除一般</w:t>
      </w:r>
      <w:r>
        <w:rPr>
          <w:rFonts w:hint="eastAsia" w:ascii="Times New Roman" w:hAnsi="Times New Roman"/>
          <w:szCs w:val="21"/>
          <w:highlight w:val="none"/>
        </w:rPr>
        <w:t>性</w:t>
      </w:r>
      <w:r>
        <w:rPr>
          <w:rFonts w:ascii="Times New Roman" w:hAnsi="Times New Roman"/>
          <w:szCs w:val="21"/>
          <w:highlight w:val="none"/>
        </w:rPr>
        <w:t>故障。</w:t>
      </w:r>
    </w:p>
    <w:p w14:paraId="73249DB3">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质保期为验收合格后***年（合同签订后甲方验收合格且</w:t>
      </w:r>
      <w:r>
        <w:rPr>
          <w:rFonts w:hint="eastAsia" w:ascii="Times New Roman" w:hAnsi="Times New Roman"/>
          <w:szCs w:val="21"/>
          <w:highlight w:val="none"/>
        </w:rPr>
        <w:t>甲乙双方签署</w:t>
      </w:r>
      <w:r>
        <w:rPr>
          <w:rFonts w:ascii="Times New Roman" w:hAnsi="Times New Roman"/>
          <w:szCs w:val="21"/>
          <w:highlight w:val="none"/>
        </w:rPr>
        <w:t>验收报告之日起）</w:t>
      </w:r>
      <w:r>
        <w:rPr>
          <w:rFonts w:hint="eastAsia" w:ascii="Times New Roman" w:hAnsi="Times New Roman"/>
          <w:szCs w:val="21"/>
          <w:highlight w:val="none"/>
        </w:rPr>
        <w:t>。</w:t>
      </w:r>
    </w:p>
    <w:p w14:paraId="1B709BCE">
      <w:pPr>
        <w:pStyle w:val="29"/>
        <w:numPr>
          <w:ilvl w:val="0"/>
          <w:numId w:val="22"/>
        </w:numPr>
        <w:ind w:firstLineChars="0"/>
        <w:rPr>
          <w:rFonts w:hint="eastAsia" w:ascii="Times New Roman" w:hAnsi="Times New Roman"/>
          <w:highlight w:val="none"/>
        </w:rPr>
      </w:pPr>
      <w:r>
        <w:rPr>
          <w:rFonts w:ascii="Times New Roman" w:hAnsi="Times New Roman"/>
          <w:szCs w:val="21"/>
          <w:highlight w:val="none"/>
        </w:rPr>
        <w:t>质保范围：</w:t>
      </w:r>
      <w:r>
        <w:rPr>
          <w:rFonts w:hint="eastAsia" w:ascii="Times New Roman" w:hAnsi="Times New Roman"/>
          <w:highlight w:val="none"/>
        </w:rPr>
        <w:t>质保期内发现软件不符合本合同约定的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，乙方在接到通知后</w:t>
      </w:r>
      <w:r>
        <w:rPr>
          <w:rFonts w:ascii="Times New Roman" w:hAnsi="Times New Roman"/>
          <w:highlight w:val="none"/>
        </w:rPr>
        <w:t>***</w:t>
      </w:r>
      <w:r>
        <w:rPr>
          <w:rFonts w:hint="eastAsia" w:ascii="Times New Roman" w:hAnsi="Times New Roman"/>
          <w:highlight w:val="none"/>
        </w:rPr>
        <w:t>小时内响应到场，</w:t>
      </w:r>
      <w:r>
        <w:rPr>
          <w:rFonts w:ascii="Times New Roman" w:hAnsi="Times New Roman"/>
          <w:highlight w:val="none"/>
        </w:rPr>
        <w:t>***</w:t>
      </w:r>
      <w:r>
        <w:rPr>
          <w:rFonts w:hint="eastAsia" w:ascii="Times New Roman" w:hAnsi="Times New Roman"/>
          <w:highlight w:val="none"/>
        </w:rPr>
        <w:t>小时内完成调试或维修，并承担相关费用；如经乙方3次调试或维修仍不能达到本合同约定的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，甲方有权退货并追究乙方的违约责任。</w:t>
      </w:r>
    </w:p>
    <w:p w14:paraId="50112506">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在</w:t>
      </w:r>
      <w:r>
        <w:rPr>
          <w:rFonts w:hint="eastAsia" w:ascii="Times New Roman" w:hAnsi="Times New Roman"/>
          <w:szCs w:val="21"/>
          <w:highlight w:val="none"/>
        </w:rPr>
        <w:t>质保</w:t>
      </w:r>
      <w:r>
        <w:rPr>
          <w:rFonts w:ascii="Times New Roman" w:hAnsi="Times New Roman"/>
          <w:szCs w:val="21"/>
          <w:highlight w:val="none"/>
        </w:rPr>
        <w:t>期内乙方应保证甲方对</w:t>
      </w:r>
      <w:r>
        <w:rPr>
          <w:rFonts w:hint="eastAsia" w:ascii="Times New Roman" w:hAnsi="Times New Roman"/>
          <w:szCs w:val="21"/>
          <w:highlight w:val="none"/>
        </w:rPr>
        <w:t>软件</w:t>
      </w:r>
      <w:r>
        <w:rPr>
          <w:rFonts w:ascii="Times New Roman" w:hAnsi="Times New Roman"/>
          <w:szCs w:val="21"/>
          <w:highlight w:val="none"/>
        </w:rPr>
        <w:t>的使用因故障停用时间小于***个工作日。</w:t>
      </w:r>
    </w:p>
    <w:p w14:paraId="12BA0292">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售后服务涉及费用均</w:t>
      </w:r>
      <w:r>
        <w:rPr>
          <w:rFonts w:hint="eastAsia" w:ascii="Times New Roman" w:hAnsi="Times New Roman"/>
          <w:szCs w:val="21"/>
          <w:highlight w:val="none"/>
        </w:rPr>
        <w:t>已</w:t>
      </w:r>
      <w:r>
        <w:rPr>
          <w:rFonts w:ascii="Times New Roman" w:hAnsi="Times New Roman"/>
          <w:szCs w:val="21"/>
          <w:highlight w:val="none"/>
        </w:rPr>
        <w:t>包含在</w:t>
      </w:r>
      <w:r>
        <w:rPr>
          <w:rFonts w:hint="eastAsia" w:ascii="Times New Roman" w:hAnsi="Times New Roman"/>
          <w:szCs w:val="21"/>
          <w:highlight w:val="none"/>
        </w:rPr>
        <w:t>本</w:t>
      </w:r>
      <w:r>
        <w:rPr>
          <w:rFonts w:ascii="Times New Roman" w:hAnsi="Times New Roman"/>
          <w:szCs w:val="21"/>
          <w:highlight w:val="none"/>
        </w:rPr>
        <w:t>合同总价中。</w:t>
      </w:r>
    </w:p>
    <w:p w14:paraId="5D220ABE">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无论是质保期内还是在质保期外，若出现故障，乙方应在***小时内提供技术支持</w:t>
      </w:r>
      <w:r>
        <w:rPr>
          <w:rFonts w:hint="eastAsia" w:ascii="Times New Roman" w:hAnsi="Times New Roman"/>
          <w:szCs w:val="21"/>
          <w:highlight w:val="none"/>
        </w:rPr>
        <w:t>并</w:t>
      </w:r>
      <w:r>
        <w:rPr>
          <w:rFonts w:ascii="Times New Roman" w:hAnsi="Times New Roman"/>
          <w:szCs w:val="21"/>
          <w:highlight w:val="none"/>
        </w:rPr>
        <w:t>作出答复</w:t>
      </w:r>
      <w:r>
        <w:rPr>
          <w:rFonts w:hint="eastAsia" w:ascii="Times New Roman" w:hAnsi="Times New Roman"/>
          <w:szCs w:val="21"/>
          <w:highlight w:val="none"/>
        </w:rPr>
        <w:t>。质保期满后甲方委托乙方继续提供维护服务的，因此产生的维护费用由甲乙双方另行商议，每年费用最高不超过</w:t>
      </w:r>
      <w:r>
        <w:rPr>
          <w:rFonts w:hint="eastAsia" w:ascii="Times New Roman" w:hAnsi="Times New Roman"/>
          <w:szCs w:val="21"/>
          <w:highlight w:val="none"/>
          <w:u w:val="single"/>
        </w:rPr>
        <w:t>本合同总价</w:t>
      </w:r>
      <w:r>
        <w:rPr>
          <w:rFonts w:hint="eastAsia" w:ascii="Times New Roman" w:hAnsi="Times New Roman"/>
          <w:szCs w:val="21"/>
          <w:highlight w:val="none"/>
        </w:rPr>
        <w:t>的</w:t>
      </w:r>
      <w:r>
        <w:rPr>
          <w:rFonts w:hint="eastAsia" w:ascii="Times New Roman" w:hAnsi="Times New Roman"/>
          <w:szCs w:val="21"/>
          <w:highlight w:val="none"/>
          <w:u w:val="single"/>
        </w:rPr>
        <w:t>***</w:t>
      </w:r>
      <w:r>
        <w:rPr>
          <w:rFonts w:hint="eastAsia" w:ascii="Times New Roman" w:hAnsi="Times New Roman"/>
          <w:szCs w:val="21"/>
          <w:highlight w:val="none"/>
        </w:rPr>
        <w:t>%。</w:t>
      </w:r>
    </w:p>
    <w:p w14:paraId="5C6C48B4">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w:t>
      </w:r>
      <w:r>
        <w:rPr>
          <w:rFonts w:hint="eastAsia" w:ascii="Times New Roman" w:hAnsi="Times New Roman"/>
          <w:szCs w:val="21"/>
          <w:highlight w:val="none"/>
        </w:rPr>
        <w:t>致使软件不能达到</w:t>
      </w:r>
      <w:r>
        <w:rPr>
          <w:rFonts w:hint="eastAsia" w:ascii="Times New Roman" w:hAnsi="Times New Roman"/>
          <w:highlight w:val="none"/>
        </w:rPr>
        <w:t>本合同约定的</w:t>
      </w:r>
      <w:r>
        <w:rPr>
          <w:rFonts w:hint="eastAsia" w:ascii="Times New Roman" w:hAnsi="Times New Roman"/>
          <w:szCs w:val="21"/>
          <w:highlight w:val="none"/>
        </w:rPr>
        <w:t>功能</w:t>
      </w:r>
      <w:r>
        <w:rPr>
          <w:rFonts w:ascii="Times New Roman" w:hAnsi="Times New Roman"/>
          <w:szCs w:val="21"/>
          <w:highlight w:val="none"/>
        </w:rPr>
        <w:t>要求和技术指标，按甲方实际</w:t>
      </w:r>
      <w:r>
        <w:rPr>
          <w:rFonts w:hint="eastAsia" w:ascii="Times New Roman" w:hAnsi="Times New Roman"/>
          <w:szCs w:val="21"/>
          <w:highlight w:val="none"/>
        </w:rPr>
        <w:t>停用</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和维保费用的支付时间，并追究因此引发的乙方相应法律责任。</w:t>
      </w:r>
    </w:p>
    <w:p w14:paraId="46E89335">
      <w:pPr>
        <w:pStyle w:val="29"/>
        <w:numPr>
          <w:ilvl w:val="0"/>
          <w:numId w:val="22"/>
        </w:numPr>
        <w:ind w:firstLineChars="0"/>
        <w:rPr>
          <w:rFonts w:hint="eastAsia" w:ascii="Times New Roman" w:hAnsi="Times New Roman"/>
          <w:szCs w:val="21"/>
          <w:highlight w:val="none"/>
        </w:rPr>
      </w:pPr>
      <w:r>
        <w:rPr>
          <w:rFonts w:hint="eastAsia" w:ascii="Times New Roman" w:hAnsi="Times New Roman"/>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318BDBC2">
      <w:pPr>
        <w:pStyle w:val="29"/>
        <w:numPr>
          <w:ilvl w:val="0"/>
          <w:numId w:val="12"/>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6AA18A0E">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1ACB2C84">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甲方有权获得乙方所提交的软件交付成果及相关服务。</w:t>
      </w:r>
    </w:p>
    <w:p w14:paraId="592A927C">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甲方有权及时了解和监督软件开发的进展情况。</w:t>
      </w:r>
    </w:p>
    <w:p w14:paraId="51497BC3">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甲方应向乙方提供完成软件开发所必需的资料和工作条件。</w:t>
      </w:r>
    </w:p>
    <w:p w14:paraId="0850DB0C">
      <w:pPr>
        <w:pStyle w:val="29"/>
        <w:numPr>
          <w:ilvl w:val="0"/>
          <w:numId w:val="24"/>
        </w:numPr>
        <w:snapToGrid w:val="0"/>
        <w:ind w:firstLineChars="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29FC55F3">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4BCDC70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715AEB9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乙方有权要求甲方提供软件开发所必需的资料和支持。</w:t>
      </w:r>
    </w:p>
    <w:p w14:paraId="6A9AD2B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7CB6F2BC">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乙方应派遣身体健康、有相关工作经验和相应技能的技术人员到甲方现场并提供开发、安装、调试、测试、试运行、维护及培训等技术服务，该技术服务费用包括在本合同总价内。</w:t>
      </w:r>
    </w:p>
    <w:p w14:paraId="15FCA36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0E4BB1C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6835C000">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4116C38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28F9B12A">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ECD038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04CD968">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0FD8124D">
      <w:pPr>
        <w:pStyle w:val="29"/>
        <w:ind w:firstLine="0" w:firstLineChars="0"/>
        <w:rPr>
          <w:rFonts w:ascii="Times New Roman" w:hAnsi="Times New Roman"/>
          <w:szCs w:val="21"/>
          <w:highlight w:val="none"/>
        </w:rPr>
      </w:pPr>
      <w:r>
        <w:rPr>
          <w:rFonts w:ascii="Times New Roman" w:hAnsi="Times New Roman"/>
          <w:szCs w:val="21"/>
          <w:highlight w:val="none"/>
        </w:rPr>
        <w:t>1.甲方违约责任：甲方无正当理由</w:t>
      </w:r>
      <w:r>
        <w:rPr>
          <w:rFonts w:hint="eastAsia" w:ascii="Times New Roman" w:hAnsi="Times New Roman"/>
          <w:szCs w:val="21"/>
          <w:highlight w:val="none"/>
        </w:rPr>
        <w:t>拒绝交付及验收的</w:t>
      </w:r>
      <w:r>
        <w:rPr>
          <w:rFonts w:ascii="Times New Roman" w:hAnsi="Times New Roman"/>
          <w:szCs w:val="21"/>
          <w:highlight w:val="none"/>
        </w:rPr>
        <w:t>，甲方应偿付合同总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7C0BBD00">
      <w:pPr>
        <w:pStyle w:val="29"/>
        <w:ind w:firstLine="0" w:firstLineChars="0"/>
        <w:rPr>
          <w:rFonts w:ascii="Times New Roman" w:hAnsi="Times New Roman"/>
          <w:szCs w:val="21"/>
          <w:highlight w:val="none"/>
        </w:rPr>
      </w:pPr>
      <w:r>
        <w:rPr>
          <w:rFonts w:ascii="Times New Roman" w:hAnsi="Times New Roman"/>
          <w:szCs w:val="21"/>
          <w:highlight w:val="none"/>
        </w:rPr>
        <w:t>2.乙方违约责任：</w:t>
      </w:r>
    </w:p>
    <w:p w14:paraId="11B9D72D">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4648C14F">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w:t>
      </w:r>
      <w:r>
        <w:rPr>
          <w:rFonts w:ascii="Times New Roman" w:hAnsi="Times New Roman"/>
          <w:szCs w:val="21"/>
          <w:highlight w:val="none"/>
        </w:rPr>
        <w:t>经</w:t>
      </w:r>
      <w:r>
        <w:rPr>
          <w:rFonts w:hint="eastAsia" w:ascii="Times New Roman" w:hAnsi="Times New Roman"/>
          <w:szCs w:val="21"/>
          <w:highlight w:val="none"/>
          <w:u w:val="single"/>
        </w:rPr>
        <w:t>2</w:t>
      </w:r>
      <w:r>
        <w:rPr>
          <w:rFonts w:hint="eastAsia" w:ascii="Times New Roman" w:hAnsi="Times New Roman"/>
          <w:szCs w:val="21"/>
          <w:highlight w:val="none"/>
        </w:rPr>
        <w:t>次</w:t>
      </w:r>
      <w:r>
        <w:rPr>
          <w:rFonts w:hint="eastAsia" w:ascii="Times New Roman" w:hAnsi="Times New Roman"/>
          <w:highlight w:val="none"/>
        </w:rPr>
        <w:t>调试或维修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要求和技术指标，甲方有权解除合同并要求退货，乙方按照合同总额的</w:t>
      </w:r>
      <w:r>
        <w:rPr>
          <w:rFonts w:hint="eastAsia" w:ascii="Times New Roman" w:hAnsi="Times New Roman"/>
          <w:szCs w:val="21"/>
          <w:highlight w:val="none"/>
          <w:u w:val="single"/>
        </w:rPr>
        <w:t>10</w:t>
      </w:r>
      <w:r>
        <w:rPr>
          <w:rFonts w:ascii="Times New Roman" w:hAnsi="Times New Roman"/>
          <w:szCs w:val="21"/>
          <w:highlight w:val="none"/>
        </w:rPr>
        <w:t>%向甲方支付违约金</w:t>
      </w:r>
      <w:r>
        <w:rPr>
          <w:rFonts w:hint="eastAsia" w:ascii="Times New Roman" w:hAnsi="Times New Roman"/>
          <w:szCs w:val="21"/>
          <w:highlight w:val="none"/>
        </w:rPr>
        <w:t>。</w:t>
      </w:r>
    </w:p>
    <w:p w14:paraId="1D72A06A">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w:t>
      </w:r>
      <w:r>
        <w:rPr>
          <w:rFonts w:hint="eastAsia" w:ascii="Times New Roman" w:hAnsi="Times New Roman"/>
          <w:szCs w:val="21"/>
          <w:highlight w:val="none"/>
        </w:rPr>
        <w:t>总金额的</w:t>
      </w:r>
      <w:r>
        <w:rPr>
          <w:rFonts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ascii="Times New Roman" w:hAnsi="Times New Roman"/>
          <w:szCs w:val="21"/>
          <w:highlight w:val="none"/>
          <w:u w:val="single"/>
        </w:rPr>
        <w:t>***</w:t>
      </w:r>
      <w:r>
        <w:rPr>
          <w:rFonts w:ascii="Times New Roman" w:hAnsi="Times New Roman"/>
          <w:szCs w:val="21"/>
          <w:highlight w:val="none"/>
        </w:rPr>
        <w:t>天，甲方有权</w:t>
      </w:r>
      <w:r>
        <w:rPr>
          <w:rFonts w:hint="eastAsia" w:ascii="Times New Roman" w:hAnsi="Times New Roman"/>
          <w:szCs w:val="21"/>
          <w:highlight w:val="none"/>
        </w:rPr>
        <w:t>终止</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4F1B128A">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乙方未按合同约定及时履行培训及维护义务时，每发生一次，乙方应按合同总金额的</w:t>
      </w:r>
      <w:r>
        <w:rPr>
          <w:rFonts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‰向甲方支付违约金，乙方支付违约金的同时，仍有义务对甲方进行培训及对软件维护。</w:t>
      </w:r>
    </w:p>
    <w:p w14:paraId="703D5485">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支付违约金。</w:t>
      </w:r>
    </w:p>
    <w:p w14:paraId="6EEE1A66">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w:t>
      </w:r>
      <w:r>
        <w:rPr>
          <w:rFonts w:ascii="Times New Roman" w:hAnsi="Times New Roman"/>
          <w:szCs w:val="21"/>
          <w:highlight w:val="none"/>
        </w:rPr>
        <w:t>违约金。</w:t>
      </w:r>
    </w:p>
    <w:p w14:paraId="233512B9">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1E9F2EAE">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交付软件因</w:t>
      </w:r>
      <w:r>
        <w:rPr>
          <w:rFonts w:ascii="Times New Roman" w:hAnsi="Times New Roman"/>
          <w:szCs w:val="21"/>
          <w:highlight w:val="none"/>
        </w:rPr>
        <w:t>质量问题导致甲方及第三方人身、财产损失的，乙方承担由此造成的全部法律责任。</w:t>
      </w:r>
    </w:p>
    <w:p w14:paraId="025D7D02">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36C44F88">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19A359CE">
      <w:pPr>
        <w:pStyle w:val="29"/>
        <w:numPr>
          <w:ilvl w:val="0"/>
          <w:numId w:val="26"/>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6B75D8E">
      <w:pPr>
        <w:pStyle w:val="29"/>
        <w:snapToGrid w:val="0"/>
        <w:ind w:firstLine="0" w:firstLineChars="0"/>
        <w:rPr>
          <w:rFonts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4543A6D0">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2B720162">
      <w:pPr>
        <w:pStyle w:val="29"/>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szCs w:val="21"/>
          <w:highlight w:val="none"/>
          <w:u w:val="single"/>
        </w:rPr>
        <w:t>***</w:t>
      </w:r>
      <w:r>
        <w:rPr>
          <w:rFonts w:hint="eastAsia" w:ascii="Times New Roman" w:hAnsi="Times New Roman"/>
          <w:bCs/>
          <w:szCs w:val="21"/>
          <w:highlight w:val="none"/>
          <w:u w:val="single"/>
        </w:rPr>
        <w:t>日</w:t>
      </w:r>
      <w:r>
        <w:rPr>
          <w:rFonts w:ascii="Times New Roman" w:hAnsi="Times New Roman"/>
          <w:bCs/>
          <w:szCs w:val="21"/>
          <w:highlight w:val="none"/>
        </w:rPr>
        <w:t>，甲方有权解除合同，双方互不承担违约责任。</w:t>
      </w:r>
    </w:p>
    <w:p w14:paraId="0C9A50AA">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6D34D5BD">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软件</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70BBC008">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027AD60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3CA15EA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6CC98D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7DDCAD8B">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32E8AE43">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10B1552B">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2AF92006">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009D96C1">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520E11DA">
      <w:pPr>
        <w:rPr>
          <w:rFonts w:ascii="Times New Roman" w:hAnsi="Times New Roman"/>
          <w:i/>
          <w:iCs/>
          <w:szCs w:val="21"/>
          <w:highlight w:val="none"/>
        </w:rPr>
      </w:pPr>
      <w:r>
        <w:rPr>
          <w:rFonts w:hint="eastAsia" w:ascii="Times New Roman" w:hAnsi="Times New Roman"/>
          <w:szCs w:val="21"/>
          <w:highlight w:val="none"/>
        </w:rPr>
        <w:t>本合同为</w:t>
      </w:r>
      <w:r>
        <w:rPr>
          <w:rFonts w:hint="eastAsia" w:ascii="Times New Roman" w:hAnsi="Times New Roman"/>
          <w:szCs w:val="21"/>
          <w:highlight w:val="none"/>
          <w:u w:val="single"/>
        </w:rPr>
        <w:t>有</w:t>
      </w:r>
      <w:r>
        <w:rPr>
          <w:rFonts w:hint="eastAsia" w:ascii="Times New Roman" w:hAnsi="Times New Roman"/>
          <w:szCs w:val="21"/>
          <w:highlight w:val="none"/>
        </w:rPr>
        <w:t>附件合同。</w:t>
      </w:r>
      <w:r>
        <w:rPr>
          <w:rFonts w:hint="eastAsia" w:ascii="Times New Roman" w:hAnsi="Times New Roman"/>
          <w:i/>
          <w:iCs/>
          <w:szCs w:val="21"/>
          <w:highlight w:val="none"/>
        </w:rPr>
        <w:t>&lt;根据项目实际情况编制&gt;</w:t>
      </w:r>
    </w:p>
    <w:p w14:paraId="330054BD">
      <w:pPr>
        <w:pStyle w:val="7"/>
        <w:rPr>
          <w:rFonts w:hint="eastAsia"/>
        </w:rPr>
      </w:pPr>
      <w:r>
        <w:rPr>
          <w:rFonts w:hint="eastAsia" w:ascii="Times New Roman" w:hAnsi="Times New Roman"/>
          <w:szCs w:val="21"/>
          <w:u w:val="single"/>
        </w:rPr>
        <w:t>附件：《开发进度表》</w:t>
      </w:r>
    </w:p>
    <w:p w14:paraId="1BD63CDA">
      <w:pPr>
        <w:jc w:val="center"/>
        <w:rPr>
          <w:rFonts w:hint="eastAsia"/>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201BBA2C">
        <w:tblPrEx>
          <w:tblCellMar>
            <w:top w:w="0" w:type="dxa"/>
            <w:left w:w="0" w:type="dxa"/>
            <w:bottom w:w="0" w:type="dxa"/>
            <w:right w:w="0" w:type="dxa"/>
          </w:tblCellMar>
        </w:tblPrEx>
        <w:trPr>
          <w:trHeight w:val="519" w:hRule="atLeast"/>
          <w:jc w:val="center"/>
        </w:trPr>
        <w:tc>
          <w:tcPr>
            <w:tcW w:w="10214" w:type="dxa"/>
            <w:gridSpan w:val="2"/>
            <w:noWrap w:val="0"/>
            <w:vAlign w:val="top"/>
          </w:tcPr>
          <w:p w14:paraId="4BB0622E">
            <w:pPr>
              <w:rPr>
                <w:rFonts w:hint="eastAsia"/>
              </w:rPr>
            </w:pPr>
            <w:r>
              <w:rPr>
                <w:rFonts w:hint="eastAsia"/>
              </w:rPr>
              <w:t>签订时间：</w:t>
            </w:r>
            <w:r>
              <w:t>202</w:t>
            </w:r>
            <w:r>
              <w:rPr>
                <w:rFonts w:hint="eastAsia"/>
              </w:rPr>
              <w:t>*</w:t>
            </w:r>
            <w:r>
              <w:t>年</w:t>
            </w:r>
            <w:r>
              <w:rPr>
                <w:rFonts w:hint="eastAsia"/>
              </w:rPr>
              <w:t>*</w:t>
            </w:r>
            <w:r>
              <w:t>**月</w:t>
            </w:r>
            <w:r>
              <w:rPr>
                <w:rFonts w:hint="eastAsia"/>
              </w:rPr>
              <w:t>*</w:t>
            </w:r>
            <w:r>
              <w:t>**</w:t>
            </w:r>
            <w:r>
              <w:rPr>
                <w:rFonts w:hint="eastAsia"/>
              </w:rPr>
              <w:t>日</w:t>
            </w:r>
          </w:p>
        </w:tc>
      </w:tr>
      <w:tr w14:paraId="142C65EB">
        <w:tblPrEx>
          <w:tblCellMar>
            <w:top w:w="0" w:type="dxa"/>
            <w:left w:w="0" w:type="dxa"/>
            <w:bottom w:w="0" w:type="dxa"/>
            <w:right w:w="0" w:type="dxa"/>
          </w:tblCellMar>
        </w:tblPrEx>
        <w:trPr>
          <w:jc w:val="center"/>
        </w:trPr>
        <w:tc>
          <w:tcPr>
            <w:tcW w:w="4967" w:type="dxa"/>
            <w:noWrap w:val="0"/>
            <w:vAlign w:val="top"/>
          </w:tcPr>
          <w:p w14:paraId="42CFB3DD">
            <w:r>
              <w:t>甲方：四川省人民医院（盖章）</w:t>
            </w:r>
          </w:p>
          <w:p w14:paraId="10F061BF">
            <w:r>
              <w:t>法定代表人（授权代表签字）：</w:t>
            </w:r>
          </w:p>
          <w:p w14:paraId="2356B37A">
            <w:r>
              <w:t>地    址：四川省成都市一环路西二段32号</w:t>
            </w:r>
          </w:p>
          <w:p w14:paraId="04A1885E">
            <w:r>
              <w:t>开户银行：建设银行成都青羊支行</w:t>
            </w:r>
          </w:p>
          <w:p w14:paraId="46D80296">
            <w:pPr>
              <w:rPr>
                <w:rFonts w:hint="eastAsia"/>
              </w:rPr>
            </w:pPr>
            <w:r>
              <w:t>账号：5100 1446 4360 5037 4282</w:t>
            </w:r>
          </w:p>
        </w:tc>
        <w:tc>
          <w:tcPr>
            <w:tcW w:w="5247" w:type="dxa"/>
            <w:noWrap w:val="0"/>
            <w:vAlign w:val="top"/>
          </w:tcPr>
          <w:p w14:paraId="5261C723">
            <w:r>
              <w:t>乙方：***（盖章）</w:t>
            </w:r>
          </w:p>
          <w:p w14:paraId="1882164D">
            <w:r>
              <w:t>法定代表人（授权代表签字）：</w:t>
            </w:r>
          </w:p>
          <w:p w14:paraId="61ABA052">
            <w:r>
              <w:t>地址：***</w:t>
            </w:r>
          </w:p>
          <w:p w14:paraId="5D64ACD6">
            <w:r>
              <w:t>开户银行：***</w:t>
            </w:r>
          </w:p>
          <w:p w14:paraId="273198A9">
            <w:pPr>
              <w:rPr>
                <w:rFonts w:hint="eastAsia"/>
              </w:rPr>
            </w:pPr>
            <w:r>
              <w:t>账号：***</w:t>
            </w:r>
          </w:p>
        </w:tc>
      </w:tr>
    </w:tbl>
    <w:p w14:paraId="16E35848">
      <w:pPr>
        <w:rPr>
          <w:rFonts w:hint="eastAsia" w:ascii="Times New Roman" w:hAnsi="Times New Roman"/>
          <w:b/>
          <w:bCs/>
          <w:szCs w:val="21"/>
        </w:rPr>
      </w:pPr>
      <w:r>
        <w:rPr>
          <w:rFonts w:hint="eastAsia" w:ascii="Times New Roman" w:hAnsi="Times New Roman"/>
          <w:b/>
          <w:bCs/>
          <w:szCs w:val="21"/>
        </w:rPr>
        <w:br w:type="page"/>
      </w:r>
    </w:p>
    <w:p w14:paraId="199C5AF7">
      <w:pPr>
        <w:rPr>
          <w:rFonts w:ascii="Times New Roman" w:hAnsi="Times New Roman"/>
          <w:b/>
          <w:bCs/>
          <w:szCs w:val="21"/>
        </w:rPr>
      </w:pPr>
      <w:r>
        <w:rPr>
          <w:rFonts w:hint="eastAsia" w:ascii="Times New Roman" w:hAnsi="Times New Roman"/>
          <w:b/>
          <w:bCs/>
          <w:szCs w:val="21"/>
        </w:rPr>
        <w:t>附件：开发进度表</w:t>
      </w:r>
    </w:p>
    <w:p w14:paraId="5E869B76">
      <w:pPr>
        <w:pStyle w:val="8"/>
        <w:ind w:firstLine="0" w:firstLineChars="0"/>
        <w:contextualSpacing/>
        <w:rPr>
          <w:rFonts w:ascii="Times New Roman" w:hAnsi="Times New Roman"/>
        </w:rPr>
      </w:pPr>
    </w:p>
    <w:p w14:paraId="551F41CB">
      <w:pPr>
        <w:pStyle w:val="8"/>
        <w:ind w:firstLine="0" w:firstLineChars="0"/>
        <w:rPr>
          <w:rFonts w:hint="eastAsia"/>
        </w:rPr>
      </w:pPr>
      <w:r>
        <w:rPr>
          <w:rFonts w:hint="eastAsia"/>
        </w:rPr>
        <w:t>*</w:t>
      </w:r>
      <w:r>
        <w:t>**</w:t>
      </w:r>
    </w:p>
    <w:p w14:paraId="2C51A505">
      <w:pPr>
        <w:rPr>
          <w:rFonts w:ascii="Times New Roman" w:hAnsi="Times New Roman" w:cs="Times New Roman"/>
          <w:b/>
          <w:bCs/>
          <w:sz w:val="44"/>
          <w:szCs w:val="52"/>
        </w:rPr>
      </w:pP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7B74785">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5A5D4A2-3108-405F-81EB-FA60A91BBEC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28A7670-2135-4B4B-92C8-5D4D04FF11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7563EFE-853B-4CD2-A4F2-95F58C66418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17369D31-8953-4272-AC65-E441324CB7D8}"/>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48B33EC"/>
    <w:multiLevelType w:val="singleLevel"/>
    <w:tmpl w:val="F48B33EC"/>
    <w:lvl w:ilvl="0" w:tentative="0">
      <w:start w:val="1"/>
      <w:numFmt w:val="decimal"/>
      <w:suff w:val="nothing"/>
      <w:lvlText w:val="（%1）"/>
      <w:lvlJc w:val="left"/>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2"/>
  </w:num>
  <w:num w:numId="3">
    <w:abstractNumId w:val="18"/>
  </w:num>
  <w:num w:numId="4">
    <w:abstractNumId w:val="28"/>
  </w:num>
  <w:num w:numId="5">
    <w:abstractNumId w:val="10"/>
  </w:num>
  <w:num w:numId="6">
    <w:abstractNumId w:val="23"/>
  </w:num>
  <w:num w:numId="7">
    <w:abstractNumId w:val="17"/>
  </w:num>
  <w:num w:numId="8">
    <w:abstractNumId w:val="3"/>
  </w:num>
  <w:num w:numId="9">
    <w:abstractNumId w:val="1"/>
  </w:num>
  <w:num w:numId="10">
    <w:abstractNumId w:val="0"/>
  </w:num>
  <w:num w:numId="11">
    <w:abstractNumId w:val="4"/>
  </w:num>
  <w:num w:numId="12">
    <w:abstractNumId w:val="6"/>
  </w:num>
  <w:num w:numId="13">
    <w:abstractNumId w:val="25"/>
  </w:num>
  <w:num w:numId="14">
    <w:abstractNumId w:val="5"/>
  </w:num>
  <w:num w:numId="15">
    <w:abstractNumId w:val="16"/>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52A18"/>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4174CC4"/>
    <w:rsid w:val="058C78B0"/>
    <w:rsid w:val="05E13064"/>
    <w:rsid w:val="078A573C"/>
    <w:rsid w:val="093A3733"/>
    <w:rsid w:val="0AA2576C"/>
    <w:rsid w:val="0B4508AE"/>
    <w:rsid w:val="0C8B7F7D"/>
    <w:rsid w:val="0CF161C9"/>
    <w:rsid w:val="0DC161D1"/>
    <w:rsid w:val="0E0B7FF0"/>
    <w:rsid w:val="0E65470A"/>
    <w:rsid w:val="0F8B4CE8"/>
    <w:rsid w:val="117A5014"/>
    <w:rsid w:val="127F05A0"/>
    <w:rsid w:val="136D78F8"/>
    <w:rsid w:val="15CC4977"/>
    <w:rsid w:val="162A4F7D"/>
    <w:rsid w:val="16A82A66"/>
    <w:rsid w:val="17AD5A18"/>
    <w:rsid w:val="187D3DBA"/>
    <w:rsid w:val="192F5006"/>
    <w:rsid w:val="1994787E"/>
    <w:rsid w:val="1AF35E37"/>
    <w:rsid w:val="1DD000AF"/>
    <w:rsid w:val="1DD45AAC"/>
    <w:rsid w:val="1E09745A"/>
    <w:rsid w:val="201B291E"/>
    <w:rsid w:val="21521B0A"/>
    <w:rsid w:val="238B1303"/>
    <w:rsid w:val="23D4489F"/>
    <w:rsid w:val="24D64800"/>
    <w:rsid w:val="25303D6A"/>
    <w:rsid w:val="262001B9"/>
    <w:rsid w:val="272A6FE5"/>
    <w:rsid w:val="27930786"/>
    <w:rsid w:val="27B87AF9"/>
    <w:rsid w:val="27E80EA9"/>
    <w:rsid w:val="280414A1"/>
    <w:rsid w:val="28300F1A"/>
    <w:rsid w:val="28570368"/>
    <w:rsid w:val="29C5318E"/>
    <w:rsid w:val="2B502F98"/>
    <w:rsid w:val="2C9A0A9E"/>
    <w:rsid w:val="2CD77367"/>
    <w:rsid w:val="2DA70D65"/>
    <w:rsid w:val="2DEF4D32"/>
    <w:rsid w:val="2EBF2F4F"/>
    <w:rsid w:val="2EFD0262"/>
    <w:rsid w:val="31AD0696"/>
    <w:rsid w:val="3210344F"/>
    <w:rsid w:val="338C3D33"/>
    <w:rsid w:val="3427766B"/>
    <w:rsid w:val="343706EB"/>
    <w:rsid w:val="351A08D0"/>
    <w:rsid w:val="359F479A"/>
    <w:rsid w:val="36334CE5"/>
    <w:rsid w:val="3652180C"/>
    <w:rsid w:val="36CC2CC0"/>
    <w:rsid w:val="39B3630B"/>
    <w:rsid w:val="3A551407"/>
    <w:rsid w:val="3B033C36"/>
    <w:rsid w:val="3BF75330"/>
    <w:rsid w:val="3C591B47"/>
    <w:rsid w:val="3CBE016E"/>
    <w:rsid w:val="3E5D4E8E"/>
    <w:rsid w:val="3F00274D"/>
    <w:rsid w:val="3FE25336"/>
    <w:rsid w:val="409D57A8"/>
    <w:rsid w:val="41842500"/>
    <w:rsid w:val="42075FF8"/>
    <w:rsid w:val="42842020"/>
    <w:rsid w:val="439A5D2A"/>
    <w:rsid w:val="462C5BD6"/>
    <w:rsid w:val="468567BB"/>
    <w:rsid w:val="470637FB"/>
    <w:rsid w:val="471A14B7"/>
    <w:rsid w:val="4782487D"/>
    <w:rsid w:val="498779AB"/>
    <w:rsid w:val="49B605D8"/>
    <w:rsid w:val="4AEF78B9"/>
    <w:rsid w:val="4B31068E"/>
    <w:rsid w:val="4BA55220"/>
    <w:rsid w:val="4BAD0151"/>
    <w:rsid w:val="4C8F75A2"/>
    <w:rsid w:val="4CA02E7A"/>
    <w:rsid w:val="4CD46FC7"/>
    <w:rsid w:val="4D066C0A"/>
    <w:rsid w:val="4DAD4403"/>
    <w:rsid w:val="4DB85903"/>
    <w:rsid w:val="4E5E7A74"/>
    <w:rsid w:val="4E8C008E"/>
    <w:rsid w:val="4F695058"/>
    <w:rsid w:val="4FEF758C"/>
    <w:rsid w:val="50771A9C"/>
    <w:rsid w:val="51C47F6D"/>
    <w:rsid w:val="522C3C23"/>
    <w:rsid w:val="53191BD8"/>
    <w:rsid w:val="53574AE5"/>
    <w:rsid w:val="5455382C"/>
    <w:rsid w:val="54D25B7B"/>
    <w:rsid w:val="565E0520"/>
    <w:rsid w:val="58296D4A"/>
    <w:rsid w:val="58DB1253"/>
    <w:rsid w:val="5A113973"/>
    <w:rsid w:val="5BE523F7"/>
    <w:rsid w:val="5D0A3490"/>
    <w:rsid w:val="5D79574D"/>
    <w:rsid w:val="5D7E0D39"/>
    <w:rsid w:val="5E9D3F29"/>
    <w:rsid w:val="5EDC2437"/>
    <w:rsid w:val="60384CD1"/>
    <w:rsid w:val="60655808"/>
    <w:rsid w:val="60C457EE"/>
    <w:rsid w:val="61250DED"/>
    <w:rsid w:val="63A9427A"/>
    <w:rsid w:val="63D462B1"/>
    <w:rsid w:val="641A3596"/>
    <w:rsid w:val="643B19AE"/>
    <w:rsid w:val="643B5D39"/>
    <w:rsid w:val="64D96647"/>
    <w:rsid w:val="655B51E5"/>
    <w:rsid w:val="65E40ADA"/>
    <w:rsid w:val="65EE0CA2"/>
    <w:rsid w:val="66330B86"/>
    <w:rsid w:val="66E22203"/>
    <w:rsid w:val="68B812C9"/>
    <w:rsid w:val="69D50CF4"/>
    <w:rsid w:val="6B256F14"/>
    <w:rsid w:val="6C487AFD"/>
    <w:rsid w:val="6CB24363"/>
    <w:rsid w:val="6EA93466"/>
    <w:rsid w:val="6EC76ECB"/>
    <w:rsid w:val="6F09224A"/>
    <w:rsid w:val="6F241291"/>
    <w:rsid w:val="6FCF0795"/>
    <w:rsid w:val="71381023"/>
    <w:rsid w:val="727662A7"/>
    <w:rsid w:val="73714961"/>
    <w:rsid w:val="74E53276"/>
    <w:rsid w:val="754D1D92"/>
    <w:rsid w:val="758350A9"/>
    <w:rsid w:val="76F039DE"/>
    <w:rsid w:val="77071BC4"/>
    <w:rsid w:val="77541AA4"/>
    <w:rsid w:val="77A2369A"/>
    <w:rsid w:val="7B560FD7"/>
    <w:rsid w:val="7B5F74F8"/>
    <w:rsid w:val="7B66335D"/>
    <w:rsid w:val="7B690630"/>
    <w:rsid w:val="7C195991"/>
    <w:rsid w:val="7C5123F4"/>
    <w:rsid w:val="7C5179EB"/>
    <w:rsid w:val="7D040AB6"/>
    <w:rsid w:val="7D4119E6"/>
    <w:rsid w:val="7DAF162B"/>
    <w:rsid w:val="7DC42B41"/>
    <w:rsid w:val="7E0A5351"/>
    <w:rsid w:val="7F8B02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8"/>
    <w:qFormat/>
    <w:uiPriority w:val="0"/>
    <w:pPr>
      <w:spacing w:after="120"/>
    </w:pPr>
  </w:style>
  <w:style w:type="paragraph" w:styleId="8">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8"/>
    <w:qFormat/>
    <w:uiPriority w:val="0"/>
    <w:rPr>
      <w:b/>
      <w:bCs/>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8"/>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1043</Words>
  <Characters>1123</Characters>
  <Lines>68</Lines>
  <Paragraphs>19</Paragraphs>
  <TotalTime>6</TotalTime>
  <ScaleCrop>false</ScaleCrop>
  <LinksUpToDate>false</LinksUpToDate>
  <CharactersWithSpaces>1196</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2026-07-17T07:08:16Z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