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四川省人民医院中国知网学术不端系统（科研成果检测）采购项目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192583766"/>
      <w:bookmarkStart w:id="2" w:name="_Toc3240"/>
      <w:bookmarkStart w:id="3" w:name="_Toc62832406"/>
      <w:bookmarkStart w:id="4" w:name="_Toc1907"/>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1"/>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7"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7"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7"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四川省人民医院中国知网学术不端系统（科研成果检测）采购项目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E15CA3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7" w:type="dxa"/>
            <w:vAlign w:val="center"/>
          </w:tcPr>
          <w:p w14:paraId="027F4916">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CGZX-TSQ20260809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7"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7" w:type="dxa"/>
            <w:vAlign w:val="center"/>
          </w:tcPr>
          <w:p w14:paraId="1D0C1EB9">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本项目最高限价为人民币25000元，超过最高限价的报价，其响应文件作无效处理。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7"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拟定供应商信息</w:t>
            </w:r>
          </w:p>
        </w:tc>
        <w:tc>
          <w:tcPr>
            <w:tcW w:w="7237" w:type="dxa"/>
            <w:vAlign w:val="center"/>
          </w:tcPr>
          <w:p w14:paraId="4381388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供应商</w:t>
            </w:r>
            <w:r>
              <w:rPr>
                <w:rFonts w:hint="eastAsia" w:ascii="Times New Roman" w:hAnsi="Times New Roman" w:eastAsia="仿宋" w:cs="Times New Roman"/>
                <w:kern w:val="0"/>
                <w:sz w:val="22"/>
              </w:rPr>
              <w:t>名称：</w:t>
            </w:r>
            <w:r>
              <w:rPr>
                <w:rFonts w:hint="eastAsia" w:ascii="Times New Roman" w:hAnsi="Times New Roman" w:eastAsia="仿宋" w:cs="Times New Roman"/>
                <w:kern w:val="0"/>
                <w:sz w:val="22"/>
              </w:rPr>
              <w:br w:type="textWrapping"/>
            </w:r>
            <w:r>
              <w:rPr>
                <w:rFonts w:hint="eastAsia" w:ascii="Times New Roman" w:hAnsi="Times New Roman" w:eastAsia="仿宋" w:cs="Times New Roman"/>
                <w:kern w:val="0"/>
                <w:sz w:val="22"/>
              </w:rPr>
              <w:t>同方知网数字科技有限公司</w:t>
            </w:r>
            <w:bookmarkStart w:id="101" w:name="_GoBack"/>
            <w:bookmarkEnd w:id="101"/>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7"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7"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7"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7" w:type="dxa"/>
            <w:tcBorders>
              <w:top w:val="single" w:color="auto" w:sz="4" w:space="0"/>
            </w:tcBorders>
            <w:vAlign w:val="center"/>
          </w:tcPr>
          <w:p w14:paraId="2C331044">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7"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7"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7"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7"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7"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7"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7"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87393665</w:t>
            </w:r>
          </w:p>
          <w:p w14:paraId="45425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u w:val="single"/>
                <w:lang w:val="en-US" w:eastAsia="zh-CN"/>
              </w:rPr>
              <w:t>图书期刊部</w:t>
            </w:r>
          </w:p>
          <w:p w14:paraId="1D8AFF4A">
            <w:pPr>
              <w:spacing w:line="360" w:lineRule="auto"/>
              <w:ind w:left="210" w:leftChars="100"/>
              <w:rPr>
                <w:rFonts w:hint="default" w:ascii="Times New Roman" w:hAnsi="Times New Roman" w:cs="Times New Roman" w:eastAsiaTheme="minorEastAsia"/>
                <w:sz w:val="22"/>
                <w:lang w:val="en-US" w:eastAsia="zh-CN"/>
              </w:rPr>
            </w:pPr>
            <w:r>
              <w:rPr>
                <w:rFonts w:ascii="Times New Roman" w:hAnsi="Times New Roman" w:eastAsia="仿宋" w:cs="Times New Roman"/>
                <w:sz w:val="22"/>
              </w:rPr>
              <w:t>联系方式：</w:t>
            </w:r>
            <w:r>
              <w:rPr>
                <w:rFonts w:hint="default" w:ascii="Times New Roman" w:hAnsi="Times New Roman" w:eastAsia="仿宋" w:cs="Times New Roman"/>
                <w:sz w:val="22"/>
                <w:lang w:val="en-US" w:eastAsia="zh-CN"/>
              </w:rPr>
              <w:t>郭老师 028-87394691</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192583767"/>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2583768"/>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4398" w:type="dxa"/>
            <w:vAlign w:val="center"/>
          </w:tcPr>
          <w:p w14:paraId="5974F786">
            <w:pPr>
              <w:rPr>
                <w:rFonts w:ascii="Times New Roman" w:hAnsi="Times New Roman" w:eastAsia="仿宋" w:cs="Times New Roman"/>
                <w:sz w:val="22"/>
                <w:u w:val="single"/>
              </w:rPr>
            </w:pP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92583769"/>
      <w:r>
        <w:rPr>
          <w:rFonts w:ascii="Times New Roman" w:hAnsi="Times New Roman" w:cs="Times New Roman"/>
        </w:rPr>
        <w:t>采购需求</w:t>
      </w:r>
      <w:bookmarkEnd w:id="12"/>
      <w:bookmarkEnd w:id="13"/>
      <w:bookmarkEnd w:id="14"/>
    </w:p>
    <w:p w14:paraId="3435AD8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482" w:leftChars="0" w:hanging="482" w:hangingChars="200"/>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2"/>
          <w:sz w:val="24"/>
          <w:szCs w:val="24"/>
          <w:lang w:val="en-US" w:eastAsia="zh-CN" w:bidi="ar-SA"/>
        </w:rPr>
        <w:t>一、</w:t>
      </w:r>
      <w:r>
        <w:rPr>
          <w:rFonts w:ascii="Times New Roman" w:hAnsi="Times New Roman" w:eastAsia="仿宋" w:cs="Times New Roman"/>
          <w:b/>
          <w:bCs/>
          <w:sz w:val="24"/>
          <w:szCs w:val="24"/>
        </w:rPr>
        <w:t>项目简介</w:t>
      </w:r>
    </w:p>
    <w:p w14:paraId="4B64EF4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为全面提升四川省人民医院研究生学位论文质量，加强学术诚信建设，优化论文管理流程，拟采购一套集论文检测系统。该系统需具备强大的底层数据资源、先进智能的检测技术，实现对学位论文的质量把控。</w:t>
      </w:r>
      <w:r>
        <w:rPr>
          <w:rFonts w:ascii="Times New Roman" w:hAnsi="Times New Roman" w:eastAsia="仿宋" w:cs="Times New Roman"/>
          <w:sz w:val="24"/>
          <w:szCs w:val="24"/>
        </w:rPr>
        <w:cr/>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服务内容及要求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科研成果检测系统套餐内容：500人以内，10个子账号。一般可检测量为教科研职工人数的2倍，根据用户实际检测情况，可酌情增减。原则上单篇检测字符数不超过30万字符。</w:t>
      </w:r>
    </w:p>
    <w:p w14:paraId="67EF6E3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比对库资源涵盖国内主要学术期刊8500 种以上，总量至少达6300 万篇以上。</w:t>
      </w:r>
    </w:p>
    <w:p w14:paraId="2A438B4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1、比对库资源涵盖国内大多数高校的博硕士学位论文，总量达700万篇以上。</w:t>
      </w:r>
    </w:p>
    <w:p w14:paraId="27D018C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2、比对库资源涵盖国内外学术会议论文380万篇以上。</w:t>
      </w:r>
    </w:p>
    <w:p w14:paraId="14F2C51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3、比对库资源涵盖专利数据库，《中国专利全文数据库》《海外专利数据库》，共计收录专利1.5亿条。</w:t>
      </w:r>
    </w:p>
    <w:p w14:paraId="35443E8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4、含互联网资源，港澳台数据资源和第三方英文数据库，同时支持用户自建比对库，实现比对资源的持续扩充，最大程度保证检测结果的客观可靠。</w:t>
      </w:r>
    </w:p>
    <w:p w14:paraId="33F4633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5、系统支持英文检测、支持跨语言检测（中英文互抄识别）、表格自动抽取检测、繁简体转化识别检测。</w:t>
      </w:r>
    </w:p>
    <w:p w14:paraId="4D0913B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6、支持已发表文献检测功能。</w:t>
      </w:r>
    </w:p>
    <w:p w14:paraId="47FA21E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7、支持可对各文件夹的文献进行转移工作，方便对检测结果进行归档管理工作</w:t>
      </w:r>
    </w:p>
    <w:p w14:paraId="145B54B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8、系统支持问题库管理，可以把检测过程中发现的疑似抄袭剽窃的文献统一放到问题库集中处理。</w:t>
      </w:r>
    </w:p>
    <w:p w14:paraId="6918EAE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9、支持多手段的文献上传功能（支持批量上传检测、批量报告单导出）。</w:t>
      </w:r>
    </w:p>
    <w:p w14:paraId="5AE836D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10、支持多格式的文献自动解析功能（支持wps、doc、docx、pdf、caj、txt 等格式文档自动处理）。</w:t>
      </w:r>
    </w:p>
    <w:p w14:paraId="686C706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11、快速准确的自动定位功能，可迅速定位某一段文字的出处；高效的文献溯源功能，快速定位某一段文字的最早出处。</w:t>
      </w:r>
    </w:p>
    <w:p w14:paraId="372D9F4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12、灵活的账号分级管理，可设置管理员账号与子账号两级账号；管理员可自主分配子账号，可设置子账号的检测篇数，可修改子账号信息，停用子账号；可查阅所有子账号的检测文献，提供丰富的检索功能。</w:t>
      </w:r>
    </w:p>
    <w:p w14:paraId="09DB53A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13、比对数据库定期更新，保证比对数据全面。</w:t>
      </w:r>
    </w:p>
    <w:p w14:paraId="61EB83D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14、目录、创作型声明、参考文献不参与全文比对。</w:t>
      </w:r>
    </w:p>
    <w:p w14:paraId="106C7DF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15、能够提供多种详细的检测报告，包含总的文字复制比、去除引用文献后的复制比、去除作者本人的复制比，提供单独的跨语言抄袭检测复制比；支持引用，非引用区分检测并标注引用内容所占比例，用不同的颜色将引用内容与疑似抄袭内容区别开。</w:t>
      </w:r>
    </w:p>
    <w:p w14:paraId="2CEC6F3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16、自动生成检测指标结果，包括剽窃观点、自我剽窃、过度引用、整体剽窃和剽窃文字等内容，有效减少使用部门通过组织专家进行判别所耗费的时间和成本。</w:t>
      </w:r>
    </w:p>
    <w:p w14:paraId="16E8774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17、知识产权：投标产品必须完全解决版权问题，保证所供的数据库信息内容符合中华人民共和国相关法律，保证所供信息不会引起知识产权纠纷等法律责任。</w:t>
      </w:r>
    </w:p>
    <w:p w14:paraId="022B932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18、保密：除非根据有关法律、法规、政府部门、司法部门的要求外，任何一方在未取得对方事先书面同意的情况下，永久不得向任何其他人士或机构透露任何与本合同有关的资料或信息，包括但不限于技术信息、商业信息。</w:t>
      </w:r>
    </w:p>
    <w:p w14:paraId="68F4D28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19、售后服务</w:t>
      </w:r>
    </w:p>
    <w:p w14:paraId="0586BBE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1）更新服务：系统自动提供比对资源库的更新服务。</w:t>
      </w:r>
    </w:p>
    <w:p w14:paraId="240FA6B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2）技术培训服务：有专门系统管理人员为学校提供至少一次论文检测系统技术培训，时间和方式由双方商定。</w:t>
      </w:r>
    </w:p>
    <w:p w14:paraId="3A132F5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3）售后问题解决服务：有专门的服务人员通过线上或者线下方式为学校管理员解决在使用过程中遇到的问题。</w:t>
      </w:r>
    </w:p>
    <w:p w14:paraId="18BFBDA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仿宋" w:hAnsi="仿宋" w:eastAsia="仿宋" w:cs="仿宋"/>
          <w:color w:val="auto"/>
          <w:sz w:val="24"/>
          <w:szCs w:val="24"/>
          <w:highlight w:val="none"/>
          <w:lang w:val="en-US" w:eastAsia="zh-CN"/>
        </w:rPr>
      </w:pPr>
      <w:r>
        <w:rPr>
          <w:rFonts w:hint="eastAsia" w:ascii="Times New Roman" w:hAnsi="Times New Roman" w:eastAsia="仿宋" w:cs="Times New Roman"/>
          <w:b/>
          <w:bCs/>
          <w:sz w:val="24"/>
          <w:szCs w:val="24"/>
          <w:lang w:val="en-US" w:eastAsia="zh-CN"/>
        </w:rPr>
        <w:t>三</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资金支付条款：                                  </w:t>
      </w:r>
    </w:p>
    <w:p w14:paraId="15451BD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供应商须在完成验收之日起5日内，向采购人提供合法有效票据及其他相关请款资料，采购人接到上述票据及资料后的55日内，向供应商全额支付上述结算费用。</w:t>
      </w:r>
    </w:p>
    <w:p w14:paraId="538C481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付款前，供应商需出具合法有效票据及其他相关请款资料，否则采购人有权拒绝支付且不承担任何违约责任，且供应商不得因此停止履约。供应商开票信息中的货物名称与合同中货物名称应一致。供应商开票信息应与合同预留账户信息一致，如有变更，供应商应当在变更后3日内通知采购人，否则，由此造成的损失由供应商自行承担。</w:t>
      </w:r>
    </w:p>
    <w:p w14:paraId="4BC72A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2.服务地点：四川省人民医院（包括所有院区）</w:t>
      </w:r>
    </w:p>
    <w:p w14:paraId="306B7F4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3.服务期：自合同签订生效之日起1年 </w:t>
      </w:r>
    </w:p>
    <w:p w14:paraId="0000DC5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4.验收要求：</w:t>
      </w:r>
    </w:p>
    <w:p w14:paraId="22C75F8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r>
        <w:rPr>
          <w:rFonts w:hint="default" w:ascii="仿宋" w:hAnsi="仿宋" w:eastAsia="仿宋" w:cs="仿宋"/>
          <w:color w:val="auto"/>
          <w:sz w:val="24"/>
          <w:szCs w:val="24"/>
          <w:highlight w:val="none"/>
          <w:lang w:val="en-US" w:eastAsia="zh-CN"/>
        </w:rPr>
        <w:t>验收时间：供应商完成账号开通并确保</w:t>
      </w:r>
      <w:r>
        <w:rPr>
          <w:rFonts w:hint="eastAsia" w:ascii="仿宋" w:hAnsi="仿宋" w:eastAsia="仿宋" w:cs="仿宋"/>
          <w:color w:val="auto"/>
          <w:sz w:val="24"/>
          <w:szCs w:val="24"/>
          <w:highlight w:val="none"/>
          <w:lang w:val="en-US" w:eastAsia="zh-CN"/>
        </w:rPr>
        <w:t>采购人</w:t>
      </w:r>
      <w:r>
        <w:rPr>
          <w:rFonts w:hint="default" w:ascii="仿宋" w:hAnsi="仿宋" w:eastAsia="仿宋" w:cs="仿宋"/>
          <w:color w:val="auto"/>
          <w:sz w:val="24"/>
          <w:szCs w:val="24"/>
          <w:highlight w:val="none"/>
          <w:lang w:val="en-US" w:eastAsia="zh-CN"/>
        </w:rPr>
        <w:t>可正常使用即完成验收。</w:t>
      </w:r>
    </w:p>
    <w:p w14:paraId="052EFA8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r>
        <w:rPr>
          <w:rFonts w:hint="default" w:ascii="仿宋" w:hAnsi="仿宋" w:eastAsia="仿宋" w:cs="仿宋"/>
          <w:color w:val="auto"/>
          <w:sz w:val="24"/>
          <w:szCs w:val="24"/>
          <w:highlight w:val="none"/>
          <w:lang w:val="en-US" w:eastAsia="zh-CN"/>
        </w:rPr>
        <w:t xml:space="preserve">验收主体：采购人      </w:t>
      </w:r>
    </w:p>
    <w:p w14:paraId="1E77AF6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r>
        <w:rPr>
          <w:rFonts w:hint="default" w:ascii="仿宋" w:hAnsi="仿宋" w:eastAsia="仿宋" w:cs="仿宋"/>
          <w:color w:val="auto"/>
          <w:sz w:val="24"/>
          <w:szCs w:val="24"/>
          <w:highlight w:val="none"/>
          <w:lang w:val="en-US" w:eastAsia="zh-CN"/>
        </w:rPr>
        <w:t>验收方式：现场整体验收</w:t>
      </w:r>
    </w:p>
    <w:p w14:paraId="2BD0E51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r>
        <w:rPr>
          <w:rFonts w:hint="default" w:ascii="仿宋" w:hAnsi="仿宋" w:eastAsia="仿宋" w:cs="仿宋"/>
          <w:color w:val="auto"/>
          <w:sz w:val="24"/>
          <w:szCs w:val="24"/>
          <w:highlight w:val="none"/>
          <w:lang w:val="en-US" w:eastAsia="zh-CN"/>
        </w:rPr>
        <w:t>验收程序：</w:t>
      </w:r>
      <w:r>
        <w:rPr>
          <w:rFonts w:hint="eastAsia" w:ascii="仿宋" w:hAnsi="仿宋" w:eastAsia="仿宋" w:cs="仿宋"/>
          <w:color w:val="auto"/>
          <w:sz w:val="24"/>
          <w:szCs w:val="24"/>
          <w:highlight w:val="none"/>
          <w:lang w:val="en-US" w:eastAsia="zh-CN"/>
        </w:rPr>
        <w:t>一次性验收</w:t>
      </w:r>
    </w:p>
    <w:p w14:paraId="6D28157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4.5验收组织方式：自行验收</w:t>
      </w:r>
    </w:p>
    <w:p w14:paraId="21973E1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r>
        <w:rPr>
          <w:rFonts w:hint="default" w:ascii="仿宋" w:hAnsi="仿宋" w:eastAsia="仿宋" w:cs="仿宋"/>
          <w:color w:val="auto"/>
          <w:sz w:val="24"/>
          <w:szCs w:val="24"/>
          <w:highlight w:val="none"/>
          <w:lang w:val="en-US" w:eastAsia="zh-CN"/>
        </w:rPr>
        <w:t>验收内容：按照基于本项目采购需求编制的采购文件要求及供应商响应文件情况，由供应商向采购人提供的全部服务。</w:t>
      </w:r>
    </w:p>
    <w:p w14:paraId="1C943D9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r>
        <w:rPr>
          <w:rFonts w:hint="default" w:ascii="仿宋" w:hAnsi="仿宋" w:eastAsia="仿宋" w:cs="仿宋"/>
          <w:color w:val="auto"/>
          <w:sz w:val="24"/>
          <w:szCs w:val="24"/>
          <w:highlight w:val="none"/>
          <w:lang w:val="en-US" w:eastAsia="zh-CN"/>
        </w:rPr>
        <w:t>验收标准：</w:t>
      </w:r>
    </w:p>
    <w:p w14:paraId="20BFD6A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default" w:ascii="仿宋" w:hAnsi="仿宋" w:eastAsia="仿宋" w:cs="仿宋"/>
          <w:color w:val="auto"/>
          <w:sz w:val="24"/>
          <w:szCs w:val="24"/>
          <w:highlight w:val="none"/>
          <w:lang w:val="en-US" w:eastAsia="zh-CN"/>
        </w:rPr>
        <w:t>国家相关法律法规、行业标准、技术规范。</w:t>
      </w:r>
    </w:p>
    <w:p w14:paraId="08779ED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（2）基于本项目采购需求编制的采购文件相关技术、服务要求、供应商响应文件相关响应内容</w:t>
      </w:r>
      <w:r>
        <w:rPr>
          <w:rFonts w:hint="default" w:ascii="仿宋" w:hAnsi="仿宋" w:eastAsia="仿宋" w:cs="仿宋"/>
          <w:color w:val="auto"/>
          <w:sz w:val="24"/>
          <w:szCs w:val="24"/>
          <w:highlight w:val="none"/>
          <w:lang w:val="en-US" w:eastAsia="zh-CN"/>
        </w:rPr>
        <w:t>。</w:t>
      </w:r>
    </w:p>
    <w:p w14:paraId="7DCDEB6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产品生产厂家出具的产品说明书、技术白皮书、医疗器械注册证或备案凭证等技术资料（如涉及）。</w:t>
      </w:r>
    </w:p>
    <w:p w14:paraId="5E2A398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r>
        <w:rPr>
          <w:rFonts w:hint="default" w:ascii="仿宋" w:hAnsi="仿宋" w:eastAsia="仿宋" w:cs="仿宋"/>
          <w:color w:val="auto"/>
          <w:sz w:val="24"/>
          <w:szCs w:val="24"/>
          <w:highlight w:val="none"/>
          <w:lang w:val="en-US" w:eastAsia="zh-CN"/>
        </w:rPr>
        <w:t>。</w:t>
      </w:r>
    </w:p>
    <w:p w14:paraId="4A67405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r>
        <w:rPr>
          <w:rFonts w:hint="default" w:ascii="仿宋" w:hAnsi="仿宋" w:eastAsia="仿宋" w:cs="仿宋"/>
          <w:color w:val="auto"/>
          <w:sz w:val="24"/>
          <w:szCs w:val="24"/>
          <w:highlight w:val="none"/>
          <w:lang w:val="en-US" w:eastAsia="zh-CN"/>
        </w:rPr>
        <w:t>参照《财政部关于进一步加强政府采购需求和履约验收管理的指导意见》（财库〔2016〕205号）的要求进行验收（如涉及）。</w:t>
      </w:r>
    </w:p>
    <w:p w14:paraId="5FE40E2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（6）如本项目验收方式为考核验收，则考核结果须为合格。</w:t>
      </w:r>
    </w:p>
    <w:p w14:paraId="31423F0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（7）其它标准：无</w:t>
      </w:r>
    </w:p>
    <w:p w14:paraId="447D33C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r>
        <w:rPr>
          <w:rFonts w:hint="default" w:ascii="仿宋" w:hAnsi="仿宋" w:eastAsia="仿宋" w:cs="仿宋"/>
          <w:color w:val="auto"/>
          <w:sz w:val="24"/>
          <w:szCs w:val="24"/>
          <w:highlight w:val="none"/>
          <w:lang w:val="en-US" w:eastAsia="zh-CN"/>
        </w:rPr>
        <w:t>是否邀请本项目的其它潜在供应商：否</w:t>
      </w:r>
    </w:p>
    <w:p w14:paraId="205087F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r>
        <w:rPr>
          <w:rFonts w:hint="default" w:ascii="仿宋" w:hAnsi="仿宋" w:eastAsia="仿宋" w:cs="仿宋"/>
          <w:color w:val="auto"/>
          <w:sz w:val="24"/>
          <w:szCs w:val="24"/>
          <w:highlight w:val="none"/>
          <w:lang w:val="en-US" w:eastAsia="zh-CN"/>
        </w:rPr>
        <w:t>是否邀请专家：否</w:t>
      </w:r>
    </w:p>
    <w:p w14:paraId="4BBF3F0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w:t>
      </w:r>
      <w:r>
        <w:rPr>
          <w:rFonts w:hint="default" w:ascii="仿宋" w:hAnsi="仿宋" w:eastAsia="仿宋" w:cs="仿宋"/>
          <w:color w:val="auto"/>
          <w:sz w:val="24"/>
          <w:szCs w:val="24"/>
          <w:highlight w:val="none"/>
          <w:lang w:val="en-US" w:eastAsia="zh-CN"/>
        </w:rPr>
        <w:t>是否邀请第三方检测机构：否</w:t>
      </w:r>
    </w:p>
    <w:p w14:paraId="045393A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4.11是否邀请服务对象：否</w:t>
      </w:r>
    </w:p>
    <w:p w14:paraId="7C4C2F7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w:t>
      </w:r>
      <w:r>
        <w:rPr>
          <w:rFonts w:hint="default" w:ascii="仿宋" w:hAnsi="仿宋" w:eastAsia="仿宋" w:cs="仿宋"/>
          <w:color w:val="auto"/>
          <w:sz w:val="24"/>
          <w:szCs w:val="24"/>
          <w:highlight w:val="none"/>
          <w:lang w:val="en-US" w:eastAsia="zh-CN"/>
        </w:rPr>
        <w:t>其它验收要求：无</w:t>
      </w:r>
    </w:p>
    <w:p w14:paraId="3EB3A98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eastAsia" w:ascii="Times New Roman" w:hAnsi="Times New Roman" w:eastAsia="仿宋" w:cs="Times New Roman"/>
          <w:sz w:val="24"/>
          <w:szCs w:val="24"/>
          <w:lang w:val="en-US" w:eastAsia="zh-CN"/>
        </w:rPr>
      </w:pPr>
      <w:r>
        <w:rPr>
          <w:rFonts w:hint="eastAsia" w:ascii="仿宋" w:hAnsi="仿宋" w:eastAsia="仿宋" w:cs="仿宋"/>
          <w:color w:val="auto"/>
          <w:sz w:val="24"/>
          <w:szCs w:val="24"/>
          <w:highlight w:val="none"/>
          <w:lang w:val="en-US" w:eastAsia="zh-CN"/>
        </w:rPr>
        <w:t>5.</w:t>
      </w:r>
      <w:r>
        <w:rPr>
          <w:rFonts w:hint="eastAsia" w:ascii="Times New Roman" w:hAnsi="Times New Roman" w:eastAsia="仿宋" w:cs="Times New Roman"/>
          <w:sz w:val="24"/>
          <w:szCs w:val="24"/>
          <w:lang w:val="en-US" w:eastAsia="zh-CN"/>
        </w:rPr>
        <w:t>违约责任</w:t>
      </w:r>
    </w:p>
    <w:p w14:paraId="6950FAF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1）如由于供应商原因，供应商逾期提供服务，每逾期一天，应按照采购人已付服务费的 3‰，向采购人支付累计违约金。</w:t>
      </w:r>
    </w:p>
    <w:p w14:paraId="4437196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2）如采购人逾期支付服务费，每逾期一天，应按照逾期服务费的 3‰，向供应商支付累计违约金。</w:t>
      </w:r>
    </w:p>
    <w:p w14:paraId="091E287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采购人承诺在本项目合同约定条款下使用“中国知网”科研成果检测系统，如违反本项目合同约定条款使用，采购人应向供应商支付数额为本项目合同服务费的违约金；违约金低于给供应商造成的实际损失的，采购人应赔偿供应商的实际损失；供应商并可解除本项目合同。</w:t>
      </w:r>
    </w:p>
    <w:p w14:paraId="56CC3E3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720" w:firstLineChars="300"/>
        <w:textAlignment w:val="auto"/>
        <w:rPr>
          <w:rFonts w:hint="default" w:ascii="仿宋" w:hAnsi="仿宋" w:eastAsia="仿宋" w:cs="仿宋"/>
          <w:color w:val="auto"/>
          <w:sz w:val="24"/>
          <w:szCs w:val="24"/>
          <w:highlight w:val="none"/>
          <w:lang w:val="en-US" w:eastAsia="zh-CN"/>
        </w:rPr>
      </w:pPr>
    </w:p>
    <w:p w14:paraId="5E16B79D">
      <w:pPr>
        <w:pStyle w:val="17"/>
        <w:ind w:firstLine="0"/>
        <w:rPr>
          <w:rFonts w:ascii="Times New Roman" w:hAnsi="Times New Roman" w:eastAsia="仿宋" w:cs="Times New Roman"/>
          <w:sz w:val="24"/>
          <w:szCs w:val="24"/>
        </w:rPr>
      </w:pPr>
    </w:p>
    <w:p w14:paraId="288EFCFF">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w:t>
      </w:r>
      <w:r>
        <w:rPr>
          <w:rFonts w:hint="eastAsia" w:ascii="Times New Roman" w:hAnsi="Times New Roman" w:eastAsia="仿宋" w:cs="Times New Roman"/>
          <w:sz w:val="24"/>
          <w:szCs w:val="24"/>
          <w:lang w:val="en-US" w:eastAsia="zh-CN"/>
        </w:rPr>
        <w:t>所有</w:t>
      </w:r>
      <w:r>
        <w:rPr>
          <w:rFonts w:ascii="Times New Roman" w:hAnsi="Times New Roman" w:eastAsia="仿宋" w:cs="Times New Roman"/>
          <w:sz w:val="24"/>
          <w:szCs w:val="24"/>
        </w:rPr>
        <w:t>的条款为实质性要求，不满足将被作为无效响应处理。</w:t>
      </w:r>
    </w:p>
    <w:p w14:paraId="0720AC8A">
      <w:pPr>
        <w:rPr>
          <w:rFonts w:ascii="Times New Roman" w:hAnsi="Times New Roman" w:cs="Times New Roman"/>
        </w:rPr>
      </w:pPr>
      <w:bookmarkStart w:id="15" w:name="_Toc22827"/>
      <w:bookmarkStart w:id="16" w:name="_Toc192583770"/>
      <w:bookmarkStart w:id="17" w:name="_Toc3094"/>
      <w:r>
        <w:rPr>
          <w:rFonts w:ascii="Times New Roman" w:hAnsi="Times New Roman" w:cs="Times New Roman"/>
        </w:rPr>
        <w:br w:type="page"/>
      </w:r>
    </w:p>
    <w:p w14:paraId="58682A99">
      <w:pPr>
        <w:pStyle w:val="2"/>
        <w:rPr>
          <w:rFonts w:ascii="Times New Roman" w:hAnsi="Times New Roman" w:cs="Times New Roman"/>
        </w:rPr>
      </w:pPr>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3274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21519"/>
      <w:bookmarkStart w:id="47" w:name="_Toc3023"/>
      <w:bookmarkStart w:id="48" w:name="_Toc11352"/>
      <w:bookmarkStart w:id="49" w:name="_Toc16029"/>
      <w:bookmarkStart w:id="50" w:name="_Toc14829"/>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8"/>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4305"/>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8"/>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3"/>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2015"/>
      <w:bookmarkStart w:id="66" w:name="_Toc20589"/>
      <w:bookmarkStart w:id="67" w:name="_Toc15526"/>
      <w:bookmarkStart w:id="68" w:name="_Toc25638"/>
      <w:bookmarkStart w:id="69" w:name="_Toc11351"/>
      <w:r>
        <w:rPr>
          <w:rStyle w:val="41"/>
          <w:b/>
        </w:rPr>
        <w:t>法定代表人身份证明书</w:t>
      </w:r>
      <w:bookmarkEnd w:id="64"/>
      <w:bookmarkEnd w:id="65"/>
      <w:bookmarkEnd w:id="66"/>
      <w:bookmarkEnd w:id="67"/>
      <w:bookmarkEnd w:id="68"/>
      <w:bookmarkEnd w:id="69"/>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8"/>
        <w:snapToGrid w:val="0"/>
        <w:spacing w:after="0" w:line="500" w:lineRule="exact"/>
        <w:ind w:firstLine="480" w:firstLineChars="200"/>
        <w:rPr>
          <w:rFonts w:ascii="Times New Roman" w:hAnsi="Times New Roman" w:eastAsia="仿宋" w:cs="Times New Roman"/>
          <w:sz w:val="24"/>
        </w:rPr>
      </w:pPr>
    </w:p>
    <w:p w14:paraId="03E9978B">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3967"/>
      <w:bookmarkStart w:id="72" w:name="_Toc2041"/>
      <w:bookmarkStart w:id="73" w:name="_Toc12967"/>
      <w:bookmarkStart w:id="74" w:name="_Toc16435"/>
      <w:bookmarkStart w:id="75" w:name="_Toc1074"/>
      <w:r>
        <w:rPr>
          <w:rStyle w:val="41"/>
          <w:b/>
        </w:rPr>
        <w:t>采购需求偏离表</w:t>
      </w:r>
      <w:bookmarkEnd w:id="70"/>
      <w:bookmarkEnd w:id="71"/>
      <w:bookmarkEnd w:id="72"/>
      <w:bookmarkEnd w:id="73"/>
      <w:bookmarkEnd w:id="74"/>
      <w:bookmarkEnd w:id="75"/>
    </w:p>
    <w:p w14:paraId="3FB92ECD">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7"/>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1369"/>
      <w:bookmarkStart w:id="78" w:name="_Toc26839"/>
      <w:bookmarkStart w:id="79" w:name="_Toc28634"/>
      <w:bookmarkStart w:id="80" w:name="_Toc31686"/>
      <w:bookmarkStart w:id="81" w:name="_Toc24806"/>
      <w:r>
        <w:rPr>
          <w:rStyle w:val="41"/>
          <w:b/>
        </w:rPr>
        <w:t>评分需要提供的证明材料</w:t>
      </w:r>
      <w:bookmarkEnd w:id="76"/>
      <w:bookmarkEnd w:id="77"/>
      <w:bookmarkEnd w:id="78"/>
      <w:bookmarkEnd w:id="79"/>
      <w:bookmarkEnd w:id="80"/>
      <w:bookmarkEnd w:id="81"/>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05758452">
      <w:pPr>
        <w:pStyle w:val="3"/>
        <w:ind w:firstLine="0"/>
      </w:pPr>
      <w:bookmarkStart w:id="85" w:name="_Toc15065"/>
      <w:r>
        <w:t>报价单</w:t>
      </w:r>
      <w:bookmarkEnd w:id="85"/>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8"/>
        <w:gridCol w:w="3688"/>
        <w:gridCol w:w="3739"/>
        <w:gridCol w:w="1221"/>
      </w:tblGrid>
      <w:tr w14:paraId="5CC5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08" w:type="pct"/>
            <w:noWrap w:val="0"/>
            <w:vAlign w:val="center"/>
          </w:tcPr>
          <w:p w14:paraId="10D0437E">
            <w:pPr>
              <w:pStyle w:val="8"/>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1872" w:type="pct"/>
            <w:noWrap w:val="0"/>
            <w:vAlign w:val="center"/>
          </w:tcPr>
          <w:p w14:paraId="18D8C408">
            <w:pPr>
              <w:pStyle w:val="8"/>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报价内容</w:t>
            </w:r>
          </w:p>
        </w:tc>
        <w:tc>
          <w:tcPr>
            <w:tcW w:w="1898" w:type="pct"/>
            <w:noWrap w:val="0"/>
            <w:vAlign w:val="center"/>
          </w:tcPr>
          <w:p w14:paraId="61B17E5B">
            <w:pPr>
              <w:pStyle w:val="8"/>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报价（元）</w:t>
            </w:r>
          </w:p>
        </w:tc>
        <w:tc>
          <w:tcPr>
            <w:tcW w:w="620" w:type="pct"/>
            <w:noWrap w:val="0"/>
            <w:vAlign w:val="center"/>
          </w:tcPr>
          <w:p w14:paraId="0F9E3B38">
            <w:pPr>
              <w:pStyle w:val="8"/>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27B7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08" w:type="pct"/>
            <w:noWrap w:val="0"/>
            <w:vAlign w:val="center"/>
          </w:tcPr>
          <w:p w14:paraId="5C8CA829">
            <w:pPr>
              <w:pStyle w:val="8"/>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872" w:type="pct"/>
            <w:noWrap w:val="0"/>
            <w:vAlign w:val="center"/>
          </w:tcPr>
          <w:p w14:paraId="2682CE62">
            <w:pPr>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jc w:val="center"/>
              <w:textAlignment w:val="baseline"/>
              <w:rPr>
                <w:rFonts w:hint="default" w:ascii="仿宋" w:hAnsi="仿宋" w:eastAsia="仿宋" w:cs="仿宋"/>
                <w:color w:val="auto"/>
                <w:sz w:val="24"/>
                <w:szCs w:val="24"/>
                <w:highlight w:val="none"/>
                <w:vertAlign w:val="baseline"/>
                <w:lang w:val="en-US"/>
              </w:rPr>
            </w:pPr>
            <w:r>
              <w:rPr>
                <w:rFonts w:hint="default" w:ascii="仿宋" w:hAnsi="仿宋" w:eastAsia="仿宋" w:cs="仿宋"/>
                <w:color w:val="auto"/>
                <w:sz w:val="24"/>
                <w:szCs w:val="24"/>
                <w:highlight w:val="none"/>
                <w:vertAlign w:val="baseline"/>
                <w:lang w:val="en-US" w:eastAsia="zh-CN"/>
              </w:rPr>
              <w:t>四川省人民医院中国知网学术不端系统（科研成果检测）</w:t>
            </w:r>
          </w:p>
        </w:tc>
        <w:tc>
          <w:tcPr>
            <w:tcW w:w="1898" w:type="pct"/>
            <w:noWrap w:val="0"/>
            <w:vAlign w:val="center"/>
          </w:tcPr>
          <w:p w14:paraId="7EB10CC3">
            <w:pPr>
              <w:pStyle w:val="8"/>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大写：</w:t>
            </w:r>
          </w:p>
          <w:p w14:paraId="597BBDDA">
            <w:pPr>
              <w:pStyle w:val="8"/>
              <w:jc w:val="both"/>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小写：</w:t>
            </w:r>
          </w:p>
        </w:tc>
        <w:tc>
          <w:tcPr>
            <w:tcW w:w="620" w:type="pct"/>
            <w:noWrap w:val="0"/>
            <w:vAlign w:val="center"/>
          </w:tcPr>
          <w:p w14:paraId="4C560034">
            <w:pPr>
              <w:pStyle w:val="8"/>
              <w:jc w:val="center"/>
              <w:rPr>
                <w:rFonts w:hint="default" w:ascii="仿宋" w:hAnsi="仿宋" w:eastAsia="仿宋" w:cs="仿宋"/>
                <w:color w:val="auto"/>
                <w:sz w:val="24"/>
                <w:szCs w:val="24"/>
                <w:highlight w:val="none"/>
                <w:vertAlign w:val="baseline"/>
                <w:lang w:val="en-US" w:eastAsia="zh-CN"/>
              </w:rPr>
            </w:pPr>
          </w:p>
        </w:tc>
      </w:tr>
    </w:tbl>
    <w:p w14:paraId="22BFF989">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8"/>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6" w:name="_Toc14685"/>
      <w:bookmarkStart w:id="87" w:name="_Toc30002"/>
      <w:bookmarkStart w:id="88"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2"/>
      <w:bookmarkEnd w:id="83"/>
      <w:bookmarkEnd w:id="84"/>
      <w:bookmarkEnd w:id="86"/>
      <w:bookmarkEnd w:id="87"/>
      <w:bookmarkEnd w:id="88"/>
    </w:p>
    <w:p w14:paraId="0B7EBBB4">
      <w:pPr>
        <w:pStyle w:val="8"/>
        <w:jc w:val="center"/>
        <w:rPr>
          <w:rFonts w:ascii="Times New Roman" w:hAnsi="Times New Roman" w:eastAsia="仿宋" w:cs="Times New Roman"/>
        </w:rPr>
      </w:pPr>
    </w:p>
    <w:p w14:paraId="17F3ACE1">
      <w:pPr>
        <w:pStyle w:val="8"/>
        <w:jc w:val="center"/>
        <w:rPr>
          <w:rFonts w:ascii="Times New Roman" w:hAnsi="Times New Roman" w:eastAsia="仿宋" w:cs="Times New Roman"/>
        </w:rPr>
      </w:pPr>
    </w:p>
    <w:p w14:paraId="7A3BE7F6">
      <w:pPr>
        <w:pStyle w:val="8"/>
        <w:jc w:val="center"/>
        <w:rPr>
          <w:rFonts w:ascii="Times New Roman" w:hAnsi="Times New Roman" w:eastAsia="仿宋" w:cs="Times New Roman"/>
        </w:rPr>
      </w:pPr>
    </w:p>
    <w:p w14:paraId="673EB95B">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9" w:name="_Toc20691"/>
      <w:bookmarkStart w:id="90"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1" w:name="_Toc192583771"/>
      <w:r>
        <w:rPr>
          <w:rFonts w:ascii="Times New Roman" w:hAnsi="Times New Roman" w:cs="Times New Roman"/>
        </w:rPr>
        <w:t>合同条款（仅成交后使用）</w:t>
      </w:r>
      <w:bookmarkEnd w:id="89"/>
      <w:bookmarkEnd w:id="90"/>
      <w:bookmarkEnd w:id="91"/>
    </w:p>
    <w:p w14:paraId="71EB9D4A">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2"/>
        </w:numPr>
        <w:ind w:left="0" w:firstLine="0" w:firstLineChars="0"/>
        <w:contextualSpacing/>
        <w:jc w:val="left"/>
        <w:rPr>
          <w:b/>
          <w:szCs w:val="21"/>
        </w:rPr>
      </w:pPr>
      <w:r>
        <w:rPr>
          <w:b/>
          <w:szCs w:val="21"/>
        </w:rPr>
        <w:t>合同标的</w:t>
      </w:r>
    </w:p>
    <w:p w14:paraId="2E385537">
      <w:pPr>
        <w:pStyle w:val="10"/>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2" w:name="OLE_LINK1"/>
      <w:bookmarkStart w:id="93"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4" w:name="OLE_LINK28"/>
      <w:r>
        <w:rPr>
          <w:szCs w:val="21"/>
        </w:rPr>
        <w:t>人民币大写：*** 圆整，即RMB *** 元</w:t>
      </w:r>
      <w:bookmarkEnd w:id="94"/>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2"/>
    <w:bookmarkEnd w:id="93"/>
    <w:p w14:paraId="61352334">
      <w:pPr>
        <w:pStyle w:val="30"/>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5" w:name="OLE_LINK29"/>
      <w:r>
        <w:rPr>
          <w:rFonts w:hint="eastAsia"/>
          <w:bCs/>
          <w:szCs w:val="21"/>
        </w:rPr>
        <w:t>，考核标准详见附件</w:t>
      </w:r>
      <w:r>
        <w:rPr>
          <w:rFonts w:hint="eastAsia"/>
          <w:bCs/>
          <w:szCs w:val="21"/>
          <w:u w:val="single"/>
        </w:rPr>
        <w:t>2</w:t>
      </w:r>
      <w:r>
        <w:rPr>
          <w:rFonts w:hint="eastAsia"/>
          <w:bCs/>
          <w:szCs w:val="21"/>
        </w:rPr>
        <w:t>《考核标准》</w:t>
      </w:r>
      <w:bookmarkEnd w:id="95"/>
      <w:r>
        <w:rPr>
          <w:bCs/>
          <w:szCs w:val="21"/>
        </w:rPr>
        <w:t>。</w:t>
      </w:r>
    </w:p>
    <w:p w14:paraId="1B257405">
      <w:pPr>
        <w:pStyle w:val="30"/>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2"/>
        </w:numPr>
        <w:ind w:left="0" w:firstLine="0" w:firstLineChars="0"/>
        <w:contextualSpacing/>
        <w:jc w:val="left"/>
        <w:rPr>
          <w:b/>
          <w:szCs w:val="21"/>
        </w:rPr>
      </w:pPr>
      <w:r>
        <w:rPr>
          <w:b/>
          <w:szCs w:val="21"/>
        </w:rPr>
        <w:t>验收</w:t>
      </w:r>
    </w:p>
    <w:p w14:paraId="57707485">
      <w:pPr>
        <w:pStyle w:val="30"/>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4"/>
        </w:numPr>
        <w:ind w:left="0" w:firstLine="0" w:firstLineChars="0"/>
        <w:contextualSpacing/>
        <w:rPr>
          <w:szCs w:val="21"/>
        </w:rPr>
      </w:pPr>
      <w:r>
        <w:rPr>
          <w:szCs w:val="21"/>
        </w:rPr>
        <w:t>验收方案：</w:t>
      </w:r>
    </w:p>
    <w:p w14:paraId="10719FFA">
      <w:pPr>
        <w:pStyle w:val="30"/>
        <w:numPr>
          <w:ilvl w:val="0"/>
          <w:numId w:val="15"/>
        </w:numPr>
        <w:ind w:firstLineChars="0"/>
        <w:contextualSpacing/>
        <w:rPr>
          <w:color w:val="000000"/>
          <w:szCs w:val="21"/>
        </w:rPr>
      </w:pPr>
      <w:r>
        <w:rPr>
          <w:rFonts w:hint="eastAsia"/>
          <w:color w:val="000000"/>
          <w:szCs w:val="21"/>
        </w:rPr>
        <w:t>验收主体：甲方</w:t>
      </w:r>
    </w:p>
    <w:p w14:paraId="7212F6E2">
      <w:pPr>
        <w:pStyle w:val="30"/>
        <w:numPr>
          <w:ilvl w:val="0"/>
          <w:numId w:val="15"/>
        </w:numPr>
        <w:ind w:firstLineChars="0"/>
        <w:contextualSpacing/>
        <w:rPr>
          <w:color w:val="000000"/>
          <w:szCs w:val="21"/>
        </w:rPr>
      </w:pPr>
      <w:r>
        <w:rPr>
          <w:rFonts w:hint="eastAsia"/>
          <w:color w:val="000000"/>
          <w:szCs w:val="21"/>
        </w:rPr>
        <w:t>验收组织方式：自行验收</w:t>
      </w:r>
    </w:p>
    <w:p w14:paraId="5C963DBA">
      <w:pPr>
        <w:pStyle w:val="30"/>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5"/>
        </w:numPr>
        <w:ind w:firstLineChars="0"/>
        <w:contextualSpacing/>
        <w:rPr>
          <w:szCs w:val="21"/>
        </w:rPr>
      </w:pPr>
      <w:r>
        <w:rPr>
          <w:szCs w:val="21"/>
        </w:rPr>
        <w:t>验收标准：</w:t>
      </w:r>
    </w:p>
    <w:p w14:paraId="24757C73">
      <w:pPr>
        <w:pStyle w:val="17"/>
        <w:numPr>
          <w:ilvl w:val="0"/>
          <w:numId w:val="16"/>
        </w:numPr>
        <w:spacing w:after="0"/>
        <w:ind w:firstLineChars="0"/>
        <w:contextualSpacing/>
        <w:rPr>
          <w:rFonts w:ascii="Times New Roman" w:hAnsi="Times New Roman"/>
          <w:szCs w:val="21"/>
        </w:rPr>
      </w:pPr>
      <w:bookmarkStart w:id="96" w:name="OLE_LINK4"/>
      <w:r>
        <w:rPr>
          <w:rFonts w:ascii="Times New Roman" w:hAnsi="Times New Roman"/>
          <w:szCs w:val="21"/>
          <w:shd w:val="clear" w:color="auto" w:fill="FFFFFF"/>
        </w:rPr>
        <w:t>国家相关法律法规、行业标准、技术规范。</w:t>
      </w:r>
    </w:p>
    <w:p w14:paraId="4A341926">
      <w:pPr>
        <w:pStyle w:val="17"/>
        <w:numPr>
          <w:ilvl w:val="0"/>
          <w:numId w:val="16"/>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6"/>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6"/>
    <w:p w14:paraId="2BFFECC6">
      <w:pPr>
        <w:pStyle w:val="17"/>
        <w:numPr>
          <w:ilvl w:val="0"/>
          <w:numId w:val="16"/>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6"/>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6"/>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2"/>
        </w:numPr>
        <w:ind w:left="0" w:firstLine="0" w:firstLineChars="0"/>
        <w:contextualSpacing/>
        <w:jc w:val="left"/>
        <w:rPr>
          <w:b/>
          <w:szCs w:val="21"/>
        </w:rPr>
      </w:pPr>
      <w:r>
        <w:rPr>
          <w:b/>
          <w:szCs w:val="21"/>
        </w:rPr>
        <w:t>付款方式</w:t>
      </w:r>
    </w:p>
    <w:p w14:paraId="5CC20725">
      <w:pPr>
        <w:pStyle w:val="10"/>
        <w:numPr>
          <w:ilvl w:val="0"/>
          <w:numId w:val="17"/>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97" w:name="OLE_LINK30"/>
      <w:r>
        <w:rPr>
          <w:rFonts w:hint="eastAsia"/>
          <w:szCs w:val="21"/>
        </w:rPr>
        <w:t>固定部分价款</w:t>
      </w:r>
      <w:bookmarkEnd w:id="97"/>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2"/>
        </w:numPr>
        <w:ind w:left="0" w:firstLine="0" w:firstLineChars="0"/>
        <w:contextualSpacing/>
        <w:jc w:val="left"/>
        <w:rPr>
          <w:b/>
          <w:szCs w:val="21"/>
        </w:rPr>
      </w:pPr>
      <w:r>
        <w:rPr>
          <w:b/>
          <w:szCs w:val="21"/>
        </w:rPr>
        <w:t>双方权利与义务</w:t>
      </w:r>
    </w:p>
    <w:p w14:paraId="581F8AA0">
      <w:pPr>
        <w:pStyle w:val="10"/>
        <w:numPr>
          <w:ilvl w:val="0"/>
          <w:numId w:val="18"/>
        </w:numPr>
        <w:spacing w:after="0" w:line="240" w:lineRule="auto"/>
        <w:ind w:left="227" w:leftChars="0" w:hanging="227"/>
        <w:contextualSpacing/>
        <w:jc w:val="left"/>
        <w:rPr>
          <w:szCs w:val="21"/>
        </w:rPr>
      </w:pPr>
      <w:r>
        <w:rPr>
          <w:szCs w:val="21"/>
        </w:rPr>
        <w:t>甲方权利与义务</w:t>
      </w:r>
    </w:p>
    <w:p w14:paraId="4D16113D">
      <w:pPr>
        <w:pStyle w:val="30"/>
        <w:numPr>
          <w:ilvl w:val="0"/>
          <w:numId w:val="19"/>
        </w:numPr>
        <w:adjustRightInd w:val="0"/>
        <w:ind w:left="525" w:hanging="525" w:hangingChars="250"/>
        <w:contextualSpacing/>
        <w:jc w:val="left"/>
        <w:rPr>
          <w:szCs w:val="21"/>
        </w:rPr>
      </w:pPr>
      <w:r>
        <w:rPr>
          <w:szCs w:val="21"/>
        </w:rPr>
        <w:t>按合同约定向乙方支付费用。</w:t>
      </w:r>
    </w:p>
    <w:p w14:paraId="62A02753">
      <w:pPr>
        <w:pStyle w:val="30"/>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8"/>
        </w:numPr>
        <w:spacing w:after="0" w:line="240" w:lineRule="auto"/>
        <w:ind w:left="227" w:leftChars="0" w:hanging="227"/>
        <w:contextualSpacing/>
        <w:jc w:val="left"/>
        <w:rPr>
          <w:szCs w:val="21"/>
        </w:rPr>
      </w:pPr>
      <w:r>
        <w:rPr>
          <w:szCs w:val="21"/>
        </w:rPr>
        <w:t>乙方权利与义务</w:t>
      </w:r>
    </w:p>
    <w:p w14:paraId="319B30B1">
      <w:pPr>
        <w:pStyle w:val="10"/>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1"/>
        </w:numPr>
        <w:ind w:left="0" w:firstLine="0" w:firstLineChars="0"/>
        <w:rPr>
          <w:szCs w:val="21"/>
        </w:rPr>
      </w:pPr>
      <w:r>
        <w:rPr>
          <w:szCs w:val="21"/>
        </w:rPr>
        <w:t>乙方违约责任：</w:t>
      </w:r>
    </w:p>
    <w:p w14:paraId="354B31C5">
      <w:pPr>
        <w:pStyle w:val="10"/>
        <w:numPr>
          <w:ilvl w:val="0"/>
          <w:numId w:val="22"/>
        </w:numPr>
        <w:spacing w:after="0" w:line="240" w:lineRule="auto"/>
        <w:ind w:left="525" w:leftChars="0" w:hanging="525" w:hangingChars="250"/>
        <w:contextualSpacing/>
        <w:jc w:val="left"/>
        <w:rPr>
          <w:szCs w:val="21"/>
        </w:rPr>
      </w:pPr>
      <w:bookmarkStart w:id="98" w:name="OLE_LINK18"/>
      <w:bookmarkStart w:id="99"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98"/>
    <w:bookmarkEnd w:id="99"/>
    <w:p w14:paraId="79DD140B">
      <w:pPr>
        <w:pStyle w:val="10"/>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2"/>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2"/>
        </w:numPr>
        <w:ind w:left="0" w:firstLine="0" w:firstLineChars="0"/>
        <w:contextualSpacing/>
        <w:jc w:val="left"/>
        <w:rPr>
          <w:b/>
          <w:szCs w:val="21"/>
        </w:rPr>
      </w:pPr>
      <w:r>
        <w:rPr>
          <w:b/>
          <w:szCs w:val="21"/>
        </w:rPr>
        <w:t>合同终止及解除</w:t>
      </w:r>
    </w:p>
    <w:p w14:paraId="275C61D9">
      <w:pPr>
        <w:pStyle w:val="30"/>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3"/>
        </w:numPr>
        <w:ind w:left="0" w:firstLine="0" w:firstLineChars="0"/>
        <w:rPr>
          <w:szCs w:val="21"/>
        </w:rPr>
      </w:pPr>
      <w:r>
        <w:rPr>
          <w:szCs w:val="21"/>
        </w:rPr>
        <w:t>在甲、乙任何一方有严重违约行为时，另一方有权单方解除合同。</w:t>
      </w:r>
    </w:p>
    <w:p w14:paraId="2BA7B89E">
      <w:pPr>
        <w:pStyle w:val="30"/>
        <w:numPr>
          <w:ilvl w:val="0"/>
          <w:numId w:val="12"/>
        </w:numPr>
        <w:ind w:left="0" w:firstLine="0" w:firstLineChars="0"/>
        <w:contextualSpacing/>
        <w:jc w:val="left"/>
        <w:rPr>
          <w:b/>
          <w:szCs w:val="21"/>
        </w:rPr>
      </w:pPr>
      <w:r>
        <w:rPr>
          <w:b/>
          <w:szCs w:val="21"/>
        </w:rPr>
        <w:t>争议解决办法</w:t>
      </w:r>
    </w:p>
    <w:p w14:paraId="5C6244A3">
      <w:pPr>
        <w:pStyle w:val="30"/>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2"/>
        </w:numPr>
        <w:ind w:left="0" w:firstLine="0" w:firstLineChars="0"/>
        <w:contextualSpacing/>
        <w:jc w:val="left"/>
        <w:rPr>
          <w:b/>
          <w:szCs w:val="21"/>
        </w:rPr>
      </w:pPr>
      <w:r>
        <w:rPr>
          <w:b/>
          <w:szCs w:val="21"/>
        </w:rPr>
        <w:t>其他</w:t>
      </w:r>
    </w:p>
    <w:p w14:paraId="162904B6">
      <w:pPr>
        <w:pStyle w:val="30"/>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0" w:name="OLE_LINK32"/>
      <w:r>
        <w:rPr>
          <w:rFonts w:hint="eastAsia"/>
          <w:szCs w:val="21"/>
        </w:rPr>
        <w:t>结算单价清单</w:t>
      </w:r>
      <w:bookmarkEnd w:id="100"/>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76F5C2A7">
            <w:pPr>
              <w:widowControl/>
              <w:jc w:val="center"/>
              <w:rPr>
                <w:b/>
                <w:bCs/>
                <w:szCs w:val="21"/>
              </w:rPr>
            </w:pPr>
            <w:r>
              <w:rPr>
                <w:rFonts w:hint="eastAsia"/>
                <w:b/>
                <w:bCs/>
                <w:szCs w:val="21"/>
              </w:rPr>
              <w:t>序号</w:t>
            </w:r>
          </w:p>
        </w:tc>
        <w:tc>
          <w:tcPr>
            <w:tcW w:w="3686" w:type="dxa"/>
            <w:noWrap w:val="0"/>
            <w:vAlign w:val="center"/>
          </w:tcPr>
          <w:p w14:paraId="6138C8A7">
            <w:pPr>
              <w:widowControl/>
              <w:jc w:val="center"/>
              <w:rPr>
                <w:b/>
                <w:bCs/>
                <w:szCs w:val="21"/>
              </w:rPr>
            </w:pPr>
            <w:r>
              <w:rPr>
                <w:rFonts w:hint="eastAsia"/>
                <w:b/>
                <w:bCs/>
                <w:szCs w:val="21"/>
              </w:rPr>
              <w:t>结算项目名称</w:t>
            </w:r>
          </w:p>
        </w:tc>
        <w:tc>
          <w:tcPr>
            <w:tcW w:w="3402" w:type="dxa"/>
            <w:noWrap w:val="0"/>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56BCD53">
            <w:pPr>
              <w:widowControl/>
              <w:jc w:val="center"/>
              <w:rPr>
                <w:szCs w:val="21"/>
              </w:rPr>
            </w:pPr>
            <w:r>
              <w:rPr>
                <w:rFonts w:hint="eastAsia"/>
                <w:szCs w:val="21"/>
              </w:rPr>
              <w:t>1</w:t>
            </w:r>
          </w:p>
        </w:tc>
        <w:tc>
          <w:tcPr>
            <w:tcW w:w="3686" w:type="dxa"/>
            <w:noWrap w:val="0"/>
            <w:vAlign w:val="center"/>
          </w:tcPr>
          <w:p w14:paraId="466C56FF">
            <w:pPr>
              <w:widowControl/>
              <w:jc w:val="left"/>
              <w:rPr>
                <w:szCs w:val="21"/>
              </w:rPr>
            </w:pPr>
          </w:p>
        </w:tc>
        <w:tc>
          <w:tcPr>
            <w:tcW w:w="3402" w:type="dxa"/>
            <w:noWrap w:val="0"/>
            <w:vAlign w:val="center"/>
          </w:tcPr>
          <w:p w14:paraId="3BC0C217">
            <w:pPr>
              <w:widowControl/>
              <w:jc w:val="left"/>
              <w:rPr>
                <w:szCs w:val="21"/>
              </w:rPr>
            </w:pPr>
          </w:p>
        </w:tc>
        <w:tc>
          <w:tcPr>
            <w:tcW w:w="992" w:type="dxa"/>
            <w:noWrap w:val="0"/>
            <w:vAlign w:val="center"/>
          </w:tcPr>
          <w:p w14:paraId="1338F166">
            <w:pPr>
              <w:widowControl/>
              <w:jc w:val="center"/>
              <w:rPr>
                <w:szCs w:val="21"/>
              </w:rPr>
            </w:pPr>
          </w:p>
        </w:tc>
        <w:tc>
          <w:tcPr>
            <w:tcW w:w="986" w:type="dxa"/>
            <w:noWrap w:val="0"/>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F21EF6E">
            <w:pPr>
              <w:widowControl/>
              <w:jc w:val="center"/>
              <w:rPr>
                <w:szCs w:val="21"/>
              </w:rPr>
            </w:pPr>
            <w:r>
              <w:rPr>
                <w:rFonts w:hint="eastAsia"/>
                <w:szCs w:val="21"/>
              </w:rPr>
              <w:t>2</w:t>
            </w:r>
          </w:p>
        </w:tc>
        <w:tc>
          <w:tcPr>
            <w:tcW w:w="3686" w:type="dxa"/>
            <w:noWrap w:val="0"/>
            <w:vAlign w:val="center"/>
          </w:tcPr>
          <w:p w14:paraId="638D463C">
            <w:pPr>
              <w:widowControl/>
              <w:jc w:val="left"/>
              <w:rPr>
                <w:szCs w:val="21"/>
              </w:rPr>
            </w:pPr>
          </w:p>
        </w:tc>
        <w:tc>
          <w:tcPr>
            <w:tcW w:w="3402" w:type="dxa"/>
            <w:noWrap w:val="0"/>
            <w:vAlign w:val="center"/>
          </w:tcPr>
          <w:p w14:paraId="1E1EDFDE">
            <w:pPr>
              <w:widowControl/>
              <w:jc w:val="left"/>
              <w:rPr>
                <w:szCs w:val="21"/>
              </w:rPr>
            </w:pPr>
          </w:p>
        </w:tc>
        <w:tc>
          <w:tcPr>
            <w:tcW w:w="992" w:type="dxa"/>
            <w:noWrap w:val="0"/>
            <w:vAlign w:val="center"/>
          </w:tcPr>
          <w:p w14:paraId="3C44F2A1">
            <w:pPr>
              <w:widowControl/>
              <w:jc w:val="center"/>
              <w:rPr>
                <w:szCs w:val="21"/>
              </w:rPr>
            </w:pPr>
          </w:p>
        </w:tc>
        <w:tc>
          <w:tcPr>
            <w:tcW w:w="986" w:type="dxa"/>
            <w:noWrap w:val="0"/>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9356817">
            <w:pPr>
              <w:widowControl/>
              <w:jc w:val="center"/>
              <w:rPr>
                <w:szCs w:val="21"/>
              </w:rPr>
            </w:pPr>
            <w:r>
              <w:rPr>
                <w:szCs w:val="21"/>
              </w:rPr>
              <w:t>…</w:t>
            </w:r>
          </w:p>
        </w:tc>
        <w:tc>
          <w:tcPr>
            <w:tcW w:w="3686" w:type="dxa"/>
            <w:noWrap w:val="0"/>
            <w:vAlign w:val="center"/>
          </w:tcPr>
          <w:p w14:paraId="670196F7">
            <w:pPr>
              <w:widowControl/>
              <w:jc w:val="left"/>
              <w:rPr>
                <w:szCs w:val="21"/>
              </w:rPr>
            </w:pPr>
          </w:p>
        </w:tc>
        <w:tc>
          <w:tcPr>
            <w:tcW w:w="3402" w:type="dxa"/>
            <w:noWrap w:val="0"/>
            <w:vAlign w:val="center"/>
          </w:tcPr>
          <w:p w14:paraId="5104BE78">
            <w:pPr>
              <w:widowControl/>
              <w:jc w:val="left"/>
              <w:rPr>
                <w:szCs w:val="21"/>
              </w:rPr>
            </w:pPr>
          </w:p>
        </w:tc>
        <w:tc>
          <w:tcPr>
            <w:tcW w:w="992" w:type="dxa"/>
            <w:noWrap w:val="0"/>
            <w:vAlign w:val="center"/>
          </w:tcPr>
          <w:p w14:paraId="22F4BD02">
            <w:pPr>
              <w:widowControl/>
              <w:jc w:val="center"/>
              <w:rPr>
                <w:szCs w:val="21"/>
              </w:rPr>
            </w:pPr>
          </w:p>
        </w:tc>
        <w:tc>
          <w:tcPr>
            <w:tcW w:w="986" w:type="dxa"/>
            <w:noWrap w:val="0"/>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fmt="decimal" w:start="1"/>
          <w:cols w:space="720" w:num="1"/>
          <w:docGrid w:linePitch="312" w:charSpace="0"/>
        </w:sectPr>
      </w:pPr>
      <w:r>
        <w:rPr>
          <w:szCs w:val="21"/>
        </w:rPr>
        <w:br w:type="page"/>
      </w:r>
    </w:p>
    <w:p w14:paraId="7C0E56F4">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2</w:t>
      </w:r>
      <w:r>
        <w:rPr>
          <w:rFonts w:hint="eastAsia" w:ascii="宋体" w:hAnsi="宋体"/>
          <w:b/>
          <w:bCs/>
          <w:szCs w:val="21"/>
        </w:rPr>
        <w:t>：</w:t>
      </w:r>
      <w:r>
        <w:rPr>
          <w:rFonts w:hint="eastAsia" w:ascii="宋体" w:hAnsi="宋体"/>
          <w:b/>
          <w:bCs/>
          <w:szCs w:val="21"/>
          <w:lang w:val="en-US" w:eastAsia="zh-CN"/>
        </w:rPr>
        <w:t>考核标准</w:t>
      </w:r>
    </w:p>
    <w:p w14:paraId="2C21E9B8"/>
    <w:p w14:paraId="5BF6043E">
      <w:r>
        <w:rPr>
          <w:rFonts w:hint="eastAsia"/>
        </w:rPr>
        <w:t>*</w:t>
      </w:r>
      <w:r>
        <w:t>**</w:t>
      </w:r>
    </w:p>
    <w:p w14:paraId="05CB4E39">
      <w:pPr>
        <w:pStyle w:val="8"/>
        <w:rPr>
          <w:rFonts w:hint="eastAsia" w:ascii="仿宋" w:hAnsi="仿宋" w:eastAsia="仿宋" w:cs="仿宋"/>
          <w:color w:val="auto"/>
          <w:sz w:val="28"/>
          <w:szCs w:val="36"/>
          <w:highlight w:val="none"/>
        </w:rPr>
      </w:pPr>
    </w:p>
    <w:p w14:paraId="5A954D06">
      <w:pPr>
        <w:pStyle w:val="8"/>
        <w:rPr>
          <w:rFonts w:hint="eastAsia" w:ascii="仿宋" w:hAnsi="仿宋" w:eastAsia="仿宋" w:cs="仿宋"/>
          <w:color w:val="auto"/>
          <w:sz w:val="28"/>
          <w:szCs w:val="36"/>
          <w:highlight w:val="none"/>
        </w:rPr>
      </w:pPr>
    </w:p>
    <w:p w14:paraId="1C759154">
      <w:pPr>
        <w:pStyle w:val="8"/>
        <w:rPr>
          <w:rFonts w:hint="eastAsia" w:ascii="仿宋" w:hAnsi="仿宋" w:eastAsia="仿宋" w:cs="仿宋"/>
          <w:color w:val="auto"/>
          <w:sz w:val="28"/>
          <w:szCs w:val="36"/>
          <w:highlight w:val="none"/>
        </w:rPr>
      </w:pPr>
    </w:p>
    <w:p w14:paraId="7A5531E3">
      <w:pPr>
        <w:pStyle w:val="8"/>
        <w:rPr>
          <w:rFonts w:hint="eastAsia" w:ascii="仿宋" w:hAnsi="仿宋" w:eastAsia="仿宋" w:cs="仿宋"/>
          <w:color w:val="auto"/>
          <w:sz w:val="28"/>
          <w:szCs w:val="36"/>
          <w:highlight w:val="none"/>
        </w:rPr>
      </w:pPr>
    </w:p>
    <w:p w14:paraId="4E875001">
      <w:pPr>
        <w:rPr>
          <w:rFonts w:ascii="Times New Roman" w:hAnsi="Times New Roman"/>
        </w:rPr>
      </w:pPr>
      <w:r>
        <w:rPr>
          <w:rFonts w:ascii="Times New Roman" w:hAnsi="Times New Roman"/>
        </w:rPr>
        <w:br w:type="page"/>
      </w:r>
    </w:p>
    <w:p w14:paraId="363FF3E9">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3</w:t>
      </w:r>
      <w:r>
        <w:rPr>
          <w:rFonts w:hint="eastAsia" w:ascii="宋体" w:hAnsi="宋体"/>
          <w:b/>
          <w:bCs/>
          <w:szCs w:val="21"/>
        </w:rPr>
        <w:t>：</w:t>
      </w:r>
      <w:r>
        <w:rPr>
          <w:rFonts w:hint="eastAsia" w:ascii="宋体" w:hAnsi="宋体"/>
          <w:b/>
          <w:bCs/>
          <w:szCs w:val="21"/>
          <w:lang w:val="en-US" w:eastAsia="zh-CN"/>
        </w:rPr>
        <w:t>服务方案</w:t>
      </w:r>
    </w:p>
    <w:p w14:paraId="370E0AEC">
      <w:pPr>
        <w:pStyle w:val="27"/>
        <w:rPr>
          <w:rFonts w:ascii="Times New Roman" w:hAnsi="Times New Roman"/>
        </w:rPr>
      </w:pPr>
    </w:p>
    <w:p w14:paraId="57B74785">
      <w:pPr>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8CA8C46-71C5-4F07-B2B5-BC29D6724FE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3BBBA87-12B7-4EF4-AA3C-F991B4390E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A84289E-AAEE-4BFC-96EA-C032E3DEC70C}"/>
  </w:font>
  <w:font w:name="Calibri Light">
    <w:panose1 w:val="020F0302020204030204"/>
    <w:charset w:val="00"/>
    <w:family w:val="auto"/>
    <w:pitch w:val="default"/>
    <w:sig w:usb0="E4002EFF" w:usb1="C200247B" w:usb2="00000009" w:usb3="00000000" w:csb0="200001FF" w:csb1="0000000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947F1522-0963-451E-BF7C-9A72282CCD47}"/>
  </w:font>
  <w:font w:name="微软雅黑">
    <w:panose1 w:val="020B0503020204020204"/>
    <w:charset w:val="86"/>
    <w:family w:val="auto"/>
    <w:pitch w:val="default"/>
    <w:sig w:usb0="80000287" w:usb1="2ACF3C50" w:usb2="00000016" w:usb3="00000000" w:csb0="0004001F" w:csb1="00000000"/>
    <w:embedRegular r:id="rId5" w:fontKey="{37681C39-B53E-4A00-9559-4A094FD7E51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9707A">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09707A">
                    <w:pPr>
                      <w:pStyle w:val="1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2FAE1">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B52FAE1">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2783976"/>
    <w:rsid w:val="058C78B0"/>
    <w:rsid w:val="05E13064"/>
    <w:rsid w:val="07116EDD"/>
    <w:rsid w:val="078A573C"/>
    <w:rsid w:val="093A3733"/>
    <w:rsid w:val="0B4508AE"/>
    <w:rsid w:val="0CF161C9"/>
    <w:rsid w:val="0E0B7FF0"/>
    <w:rsid w:val="117A5014"/>
    <w:rsid w:val="127F05A0"/>
    <w:rsid w:val="136D78F8"/>
    <w:rsid w:val="15CC4977"/>
    <w:rsid w:val="162A4F7D"/>
    <w:rsid w:val="16A82A66"/>
    <w:rsid w:val="17DA0AD6"/>
    <w:rsid w:val="1994787E"/>
    <w:rsid w:val="1DD000AF"/>
    <w:rsid w:val="1E09745A"/>
    <w:rsid w:val="21604496"/>
    <w:rsid w:val="23D4489F"/>
    <w:rsid w:val="24230DCC"/>
    <w:rsid w:val="262001B9"/>
    <w:rsid w:val="272A6FE5"/>
    <w:rsid w:val="27B87AF9"/>
    <w:rsid w:val="27E80EA9"/>
    <w:rsid w:val="280414A1"/>
    <w:rsid w:val="28570368"/>
    <w:rsid w:val="29C5318E"/>
    <w:rsid w:val="2A570260"/>
    <w:rsid w:val="2B502F98"/>
    <w:rsid w:val="2C9A0A9E"/>
    <w:rsid w:val="2DA70D65"/>
    <w:rsid w:val="30D67675"/>
    <w:rsid w:val="31CD0AF7"/>
    <w:rsid w:val="3427766B"/>
    <w:rsid w:val="343706EB"/>
    <w:rsid w:val="351A08D0"/>
    <w:rsid w:val="36334CE5"/>
    <w:rsid w:val="3821545C"/>
    <w:rsid w:val="3A551407"/>
    <w:rsid w:val="3B033C36"/>
    <w:rsid w:val="3B1E6A1D"/>
    <w:rsid w:val="3E5D4E8E"/>
    <w:rsid w:val="3FE25336"/>
    <w:rsid w:val="42075FF8"/>
    <w:rsid w:val="42842020"/>
    <w:rsid w:val="439A5D2A"/>
    <w:rsid w:val="468567BB"/>
    <w:rsid w:val="4782487D"/>
    <w:rsid w:val="4B31068E"/>
    <w:rsid w:val="4B3C5A6A"/>
    <w:rsid w:val="4BA55220"/>
    <w:rsid w:val="4BAD0151"/>
    <w:rsid w:val="4C8F75A2"/>
    <w:rsid w:val="4D066C0A"/>
    <w:rsid w:val="4DAD4403"/>
    <w:rsid w:val="4E8C008E"/>
    <w:rsid w:val="4FEF758C"/>
    <w:rsid w:val="50771A9C"/>
    <w:rsid w:val="51C47F6D"/>
    <w:rsid w:val="53574AE5"/>
    <w:rsid w:val="5455382C"/>
    <w:rsid w:val="5D0A3490"/>
    <w:rsid w:val="5D7E0D39"/>
    <w:rsid w:val="5E9D3F29"/>
    <w:rsid w:val="5F203F6E"/>
    <w:rsid w:val="60384CD1"/>
    <w:rsid w:val="60655808"/>
    <w:rsid w:val="61200D74"/>
    <w:rsid w:val="63A9427A"/>
    <w:rsid w:val="63D462B1"/>
    <w:rsid w:val="641A3596"/>
    <w:rsid w:val="64D96647"/>
    <w:rsid w:val="655B51E5"/>
    <w:rsid w:val="65E40ADA"/>
    <w:rsid w:val="66330B86"/>
    <w:rsid w:val="66E22203"/>
    <w:rsid w:val="66FF3660"/>
    <w:rsid w:val="68B812C9"/>
    <w:rsid w:val="69D50CF4"/>
    <w:rsid w:val="6C487AFD"/>
    <w:rsid w:val="6CB24363"/>
    <w:rsid w:val="6EA93466"/>
    <w:rsid w:val="6F282489"/>
    <w:rsid w:val="6FCF0795"/>
    <w:rsid w:val="71381023"/>
    <w:rsid w:val="71F30D33"/>
    <w:rsid w:val="73714961"/>
    <w:rsid w:val="754D1D92"/>
    <w:rsid w:val="758350A9"/>
    <w:rsid w:val="77071BC4"/>
    <w:rsid w:val="78BE1B5F"/>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keepNext/>
      <w:keepLines/>
      <w:spacing w:before="200"/>
      <w:outlineLvl w:val="3"/>
    </w:pPr>
    <w:rPr>
      <w:rFonts w:asciiTheme="majorHAnsi" w:hAnsiTheme="majorHAnsi" w:eastAsiaTheme="majorEastAsia" w:cstheme="majorBidi"/>
      <w:b/>
      <w:bCs/>
      <w:i/>
      <w:iCs/>
      <w:color w:val="00000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w:basedOn w:val="1"/>
    <w:next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9"/>
    <w:qFormat/>
    <w:uiPriority w:val="0"/>
    <w:rPr>
      <w:b/>
      <w:bCs/>
    </w:rPr>
  </w:style>
  <w:style w:type="paragraph" w:styleId="17">
    <w:name w:val="Body Text First Indent"/>
    <w:basedOn w:val="8"/>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unhideWhenUsed/>
    <w:qFormat/>
    <w:uiPriority w:val="99"/>
    <w:rPr>
      <w:color w:val="0563C1" w:themeColor="hyperlink"/>
      <w:u w:val="single"/>
      <w14:textFill>
        <w14:solidFill>
          <w14:schemeClr w14:val="hlink"/>
        </w14:solidFill>
      </w14:textFill>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7"/>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段落正文"/>
    <w:basedOn w:val="1"/>
    <w:qFormat/>
    <w:uiPriority w:val="0"/>
    <w:pPr>
      <w:spacing w:beforeLines="50" w:line="360" w:lineRule="auto"/>
      <w:ind w:firstLine="200" w:firstLineChars="200"/>
    </w:pPr>
    <w:rPr>
      <w:spacing w:val="2"/>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120</Words>
  <Characters>126</Characters>
  <Lines>68</Lines>
  <Paragraphs>19</Paragraphs>
  <TotalTime>0</TotalTime>
  <ScaleCrop>false</ScaleCrop>
  <LinksUpToDate>false</LinksUpToDate>
  <CharactersWithSpaces>143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2026-06-02T09:24:19Z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EB8842E6EACA44E990EBDE0CDAB0ECA3_13</vt:lpwstr>
  </property>
  <property fmtid="{D5CDD505-2E9C-101B-9397-08002B2CF9AE}" pid="4" name="KSOTemplateDocerSaveRecord">
    <vt:lpwstr>eyJoZGlkIjoiZjQ1ZDk1MmU3MjAyNzI4MjAzOTVhMjZhNTA1ZWNlMmEiLCJ1c2VySWQiOiI2NTgwMTYxNjcifQ==</vt:lpwstr>
  </property>
</Properties>
</file>