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四川省人民医院2026年全院维修改造造价咨询服务采购项目</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pPr>
        <w:spacing w:line="440" w:lineRule="exact"/>
        <w:jc w:val="center"/>
        <w:rPr>
          <w:rFonts w:ascii="Times New Roman" w:hAnsi="Times New Roman" w:eastAsia="黑体" w:cs="Times New Roman"/>
          <w:b/>
          <w:sz w:val="36"/>
          <w:szCs w:val="36"/>
        </w:rPr>
      </w:pPr>
    </w:p>
    <w:p>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pPr>
        <w:pStyle w:val="2"/>
        <w:rPr>
          <w:rFonts w:ascii="Times New Roman" w:hAnsi="Times New Roman" w:cs="Times New Roman"/>
        </w:rPr>
      </w:pPr>
      <w:bookmarkStart w:id="0" w:name="_Toc471310326"/>
      <w:bookmarkStart w:id="1" w:name="_Toc1907"/>
      <w:bookmarkStart w:id="2" w:name="_Toc3240"/>
      <w:bookmarkStart w:id="3" w:name="_Toc62832406"/>
      <w:bookmarkStart w:id="4" w:name="_Toc21919"/>
      <w:bookmarkStart w:id="5" w:name="_Toc20358"/>
      <w:r>
        <w:rPr>
          <w:rFonts w:ascii="Times New Roman" w:hAnsi="Times New Roman" w:cs="Times New Roman"/>
        </w:rPr>
        <w:t>谈判邀请</w:t>
      </w:r>
      <w:bookmarkEnd w:id="0"/>
      <w:bookmarkEnd w:id="1"/>
      <w:bookmarkEnd w:id="2"/>
      <w:bookmarkEnd w:id="3"/>
      <w:bookmarkEnd w:id="4"/>
      <w:bookmarkEnd w:id="5"/>
    </w:p>
    <w:tbl>
      <w:tblPr>
        <w:tblStyle w:val="18"/>
        <w:tblW w:w="5023"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1"/>
        <w:gridCol w:w="1888"/>
        <w:gridCol w:w="7270"/>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568"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四川省人民医院2026年全院维修改造造价咨询服务采购项目</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568" w:type="dxa"/>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CGZX-JJG20261453</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568" w:type="dxa"/>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568" w:type="dxa"/>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人民币</w:t>
            </w:r>
            <w:r>
              <w:rPr>
                <w:rFonts w:hint="eastAsia" w:ascii="Times New Roman" w:hAnsi="Times New Roman" w:eastAsia="仿宋" w:cs="Times New Roman"/>
                <w:sz w:val="22"/>
              </w:rPr>
              <w:t>300000.00</w:t>
            </w:r>
            <w:r>
              <w:rPr>
                <w:rFonts w:ascii="Times New Roman" w:hAnsi="Times New Roman" w:eastAsia="仿宋" w:cs="Times New Roman"/>
                <w:sz w:val="22"/>
              </w:rPr>
              <w:t>元</w:t>
            </w:r>
            <w:r>
              <w:rPr>
                <w:rFonts w:hint="eastAsia" w:ascii="Times New Roman" w:hAnsi="Times New Roman" w:eastAsia="仿宋" w:cs="Times New Roman"/>
                <w:sz w:val="22"/>
                <w:lang w:eastAsia="zh-CN"/>
              </w:rPr>
              <w:t>，单个工程项目咨询费计取：以单个工程项目合同金额为计费基数，按照川价发〔2008〕141号文的费率标准计算出基准价格，供应商响应时报统一下浮比例，以基准价格按成交下浮比例计算最终成交单价，其中，若</w:t>
            </w:r>
            <w:r>
              <w:rPr>
                <w:rFonts w:hint="eastAsia" w:ascii="Times New Roman" w:hAnsi="Times New Roman" w:eastAsia="仿宋" w:cs="Times New Roman"/>
                <w:sz w:val="22"/>
                <w:lang w:val="en-US" w:eastAsia="zh-CN"/>
              </w:rPr>
              <w:t>最终</w:t>
            </w:r>
            <w:r>
              <w:rPr>
                <w:rFonts w:hint="eastAsia" w:ascii="Times New Roman" w:hAnsi="Times New Roman" w:eastAsia="仿宋" w:cs="Times New Roman"/>
                <w:sz w:val="22"/>
                <w:lang w:eastAsia="zh-CN"/>
              </w:rPr>
              <w:t>单项成交单价不足3000元的，均按3000元固定单价支付。</w:t>
            </w:r>
            <w:r>
              <w:rPr>
                <w:rFonts w:hint="eastAsia" w:ascii="Times New Roman" w:hAnsi="Times New Roman" w:eastAsia="仿宋" w:cs="Times New Roman"/>
                <w:sz w:val="22"/>
                <w:highlight w:val="none"/>
                <w:lang w:val="en-US" w:eastAsia="zh-CN"/>
              </w:rPr>
              <w:t>本项目支付金额不超过30万元</w:t>
            </w:r>
            <w:r>
              <w:rPr>
                <w:rFonts w:hint="eastAsia" w:ascii="Times New Roman" w:hAnsi="Times New Roman" w:eastAsia="仿宋" w:cs="Times New Roman"/>
                <w:sz w:val="22"/>
                <w:lang w:eastAsia="zh-CN"/>
              </w:rPr>
              <w:t>。下浮比例为负数或大于等于100%视为无效投标处理。</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568" w:type="dxa"/>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不接受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pStyle w:val="28"/>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568" w:type="dxa"/>
            <w:vMerge w:val="restart"/>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568" w:type="dxa"/>
            <w:vMerge w:val="continue"/>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568" w:type="dxa"/>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568" w:type="dxa"/>
            <w:vMerge w:val="restart"/>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pPr>
              <w:pStyle w:val="27"/>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trPr>
        <w:tc>
          <w:tcPr>
            <w:tcW w:w="568" w:type="dxa"/>
            <w:vMerge w:val="continue"/>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pPr>
              <w:pStyle w:val="27"/>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pPr>
              <w:pStyle w:val="27"/>
              <w:numPr>
                <w:ilvl w:val="0"/>
                <w:numId w:val="6"/>
              </w:numPr>
              <w:tabs>
                <w:tab w:val="left" w:pos="220"/>
                <w:tab w:val="clear" w:pos="0"/>
              </w:tabs>
              <w:spacing w:line="360" w:lineRule="auto"/>
              <w:ind w:left="210" w:leftChars="100" w:firstLine="10"/>
              <w:jc w:val="both"/>
              <w:rPr>
                <w:rFonts w:hint="eastAsia"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en-US" w:eastAsia="zh-CN"/>
              </w:rPr>
              <w:t>合同支付上限的10%</w:t>
            </w:r>
          </w:p>
          <w:p>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rPr>
              <w:t>履约保证金可以以支票、汇票、本票或者金融机构出具的保函等非现金形式提交（包括网银转账，电汇等方式）</w:t>
            </w:r>
            <w:r>
              <w:rPr>
                <w:rFonts w:ascii="Times New Roman" w:hAnsi="Times New Roman" w:eastAsia="仿宋" w:cs="Times New Roman"/>
                <w:sz w:val="22"/>
                <w:szCs w:val="22"/>
                <w:lang w:val="zh-CN"/>
              </w:rPr>
              <w:t>；</w:t>
            </w:r>
          </w:p>
          <w:p>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pPr>
              <w:pStyle w:val="27"/>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pPr>
              <w:pStyle w:val="27"/>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服务期满且验收合格后</w:t>
            </w:r>
            <w:r>
              <w:rPr>
                <w:rFonts w:hint="eastAsia" w:ascii="Times New Roman" w:hAnsi="Times New Roman" w:eastAsia="仿宋" w:cs="Times New Roman"/>
                <w:sz w:val="22"/>
                <w:szCs w:val="22"/>
                <w:lang w:val="zh-CN" w:eastAsia="zh-CN"/>
              </w:rPr>
              <w:t>采购人接到供应商退款申请之日起30个工作日内一次性无息退还</w:t>
            </w:r>
            <w:r>
              <w:rPr>
                <w:rFonts w:ascii="Times New Roman" w:hAnsi="Times New Roman" w:eastAsia="仿宋" w:cs="Times New Roman"/>
                <w:sz w:val="22"/>
                <w:szCs w:val="22"/>
                <w:lang w:val="zh-CN"/>
              </w:rPr>
              <w:t>；</w:t>
            </w:r>
          </w:p>
          <w:p>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供应商不履行与采购人订立的合同的，给采购人造成的损失超过履约保证金数额的，还应当对超过部分予以赔偿</w:t>
            </w:r>
            <w:r>
              <w:rPr>
                <w:rFonts w:ascii="Times New Roman" w:hAnsi="Times New Roman" w:eastAsia="仿宋" w:cs="Times New Roman"/>
                <w:sz w:val="22"/>
                <w:szCs w:val="22"/>
                <w:lang w:val="zh-CN"/>
              </w:rPr>
              <w:t>；</w:t>
            </w:r>
          </w:p>
          <w:p>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项目验收结果不合格的；</w:t>
            </w:r>
          </w:p>
          <w:p>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68" w:type="dxa"/>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w:t>
            </w:r>
            <w:r>
              <w:rPr>
                <w:rFonts w:hint="eastAsia" w:ascii="Times New Roman" w:hAnsi="Times New Roman" w:eastAsia="仿宋" w:cs="Times New Roman"/>
                <w:i/>
                <w:iCs/>
                <w:sz w:val="22"/>
                <w:highlight w:val="yellow"/>
              </w:rPr>
              <w:t>&lt;下浮率最高&gt;</w:t>
            </w:r>
            <w:r>
              <w:rPr>
                <w:rFonts w:hint="eastAsia" w:ascii="Times New Roman" w:hAnsi="Times New Roman" w:eastAsia="仿宋" w:cs="Times New Roman"/>
                <w:sz w:val="22"/>
              </w:rPr>
              <w:t>的为成交供应商。若得分相同且报价亦相同，则采取随机抽取的方式确定成交供应商。</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r>
              <w:rPr>
                <w:rFonts w:hint="eastAsia" w:ascii="Times New Roman" w:hAnsi="Times New Roman" w:eastAsia="仿宋" w:cs="Times New Roman"/>
                <w:sz w:val="22"/>
                <w:lang w:val="en-US" w:eastAsia="zh-CN"/>
              </w:rPr>
              <w:t>若</w:t>
            </w:r>
            <w:r>
              <w:rPr>
                <w:rFonts w:ascii="Times New Roman" w:hAnsi="Times New Roman" w:eastAsia="仿宋" w:cs="Times New Roman"/>
                <w:sz w:val="22"/>
              </w:rPr>
              <w:t>报价相同则采取随机抽取的方式确定成交供应商。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568" w:type="dxa"/>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568" w:type="dxa"/>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568" w:type="dxa"/>
            <w:vAlign w:val="center"/>
          </w:tcPr>
          <w:p>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u w:val="single"/>
                <w:lang w:val="en-US" w:eastAsia="zh-CN"/>
              </w:rPr>
              <w:t>仇</w:t>
            </w:r>
            <w:r>
              <w:rPr>
                <w:rFonts w:ascii="Times New Roman" w:hAnsi="Times New Roman" w:eastAsia="仿宋" w:cs="Times New Roman"/>
                <w:sz w:val="22"/>
              </w:rPr>
              <w:t>老师028-</w:t>
            </w:r>
            <w:r>
              <w:rPr>
                <w:rFonts w:hint="eastAsia" w:ascii="Times New Roman" w:hAnsi="Times New Roman" w:eastAsia="仿宋" w:cs="Times New Roman"/>
                <w:sz w:val="22"/>
                <w:u w:val="single"/>
                <w:lang w:val="en-US" w:eastAsia="zh-CN"/>
              </w:rPr>
              <w:t>87393255</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（2）归口部门：基建管理部门</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u w:val="single"/>
                <w:lang w:val="en-US" w:eastAsia="zh-CN"/>
              </w:rPr>
              <w:t>黄</w:t>
            </w:r>
            <w:r>
              <w:rPr>
                <w:rFonts w:ascii="Times New Roman" w:hAnsi="Times New Roman" w:eastAsia="仿宋" w:cs="Times New Roman"/>
                <w:sz w:val="22"/>
              </w:rPr>
              <w:t>老师028-</w:t>
            </w:r>
            <w:r>
              <w:rPr>
                <w:rFonts w:hint="eastAsia" w:ascii="Times New Roman" w:hAnsi="Times New Roman" w:eastAsia="仿宋" w:cs="Times New Roman"/>
                <w:sz w:val="22"/>
                <w:u w:val="single"/>
                <w:lang w:val="en-US" w:eastAsia="zh-CN"/>
              </w:rPr>
              <w:t>87393395</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6" w:name="_Toc22329"/>
      <w:bookmarkStart w:id="7" w:name="_Toc14460"/>
      <w:bookmarkStart w:id="8" w:name="_Toc24154"/>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7"/>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lang w:val="en-US" w:eastAsia="zh-CN"/>
              </w:rPr>
              <w:t>3255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u w:val="single"/>
              </w:rPr>
              <w:t>sbc3214@vip.163.com</w:t>
            </w:r>
            <w:r>
              <w:rPr>
                <w:rFonts w:ascii="Times New Roman" w:hAnsi="Times New Roman" w:eastAsia="仿宋" w:cs="Times New Roman"/>
                <w:sz w:val="22"/>
                <w:szCs w:val="22"/>
              </w:rPr>
              <w:t>。</w:t>
            </w:r>
          </w:p>
          <w:p>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9"/>
        <w:gridCol w:w="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pPr>
              <w:rPr>
                <w:rFonts w:ascii="Times New Roman" w:hAnsi="Times New Roman" w:cs="Times New Roman"/>
              </w:rPr>
            </w:pPr>
            <w:r>
              <w:rPr>
                <w:rFonts w:ascii="Times New Roman" w:hAnsi="Times New Roman" w:eastAsia="仿宋" w:cs="Times New Roman"/>
              </w:rPr>
              <w:t>（4）若为自然人：提供“身份证明材料”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pPr>
              <w:widowControl/>
              <w:jc w:val="left"/>
              <w:rPr>
                <w:rFonts w:hint="eastAsia"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lang w:val="en-US" w:eastAsia="zh-CN"/>
              </w:rPr>
              <w:t>无</w:t>
            </w:r>
          </w:p>
        </w:tc>
        <w:tc>
          <w:tcPr>
            <w:tcW w:w="2846" w:type="pct"/>
            <w:vAlign w:val="center"/>
          </w:tcPr>
          <w:p>
            <w:pPr>
              <w:rPr>
                <w:rFonts w:ascii="Times New Roman" w:hAnsi="Times New Roman" w:eastAsia="仿宋" w:cs="Times New Roman"/>
                <w:sz w:val="22"/>
                <w:u w:val="single"/>
              </w:rPr>
            </w:pPr>
            <w:r>
              <w:rPr>
                <w:rFonts w:ascii="Times New Roman" w:hAnsi="Times New Roman" w:eastAsia="仿宋" w:cs="Times New Roman"/>
                <w:sz w:val="22"/>
              </w:rPr>
              <w:t xml:space="preserve">提供 </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w:t>
            </w:r>
            <w:r>
              <w:rPr>
                <w:rFonts w:ascii="Times New Roman" w:hAnsi="Times New Roman" w:eastAsia="仿宋" w:cs="Times New Roman"/>
                <w:sz w:val="22"/>
                <w:u w:val="single"/>
              </w:rPr>
              <w:t xml:space="preserve"> </w:t>
            </w:r>
          </w:p>
        </w:tc>
      </w:tr>
    </w:tbl>
    <w:p>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8"/>
        <w:gridCol w:w="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pPr>
        <w:pStyle w:val="16"/>
        <w:keepNext w:val="0"/>
        <w:keepLines w:val="0"/>
        <w:pageBreakBefore w:val="0"/>
        <w:widowControl w:val="0"/>
        <w:numPr>
          <w:ilvl w:val="0"/>
          <w:numId w:val="12"/>
        </w:numPr>
        <w:kinsoku/>
        <w:wordWrap/>
        <w:overflowPunct/>
        <w:topLinePunct w:val="0"/>
        <w:autoSpaceDE/>
        <w:autoSpaceDN/>
        <w:bidi w:val="0"/>
        <w:adjustRightInd/>
        <w:snapToGrid w:val="0"/>
        <w:spacing w:before="0" w:after="0" w:line="240" w:lineRule="auto"/>
        <w:ind w:firstLine="0"/>
        <w:jc w:val="left"/>
        <w:textAlignment w:val="auto"/>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ascii="Times New Roman" w:hAnsi="Times New Roman" w:eastAsia="仿宋" w:cs="Times New Roman"/>
          <w:b/>
          <w:bCs/>
          <w:sz w:val="24"/>
          <w:szCs w:val="24"/>
        </w:rPr>
      </w:pPr>
      <w:r>
        <w:rPr>
          <w:rFonts w:hint="eastAsia" w:ascii="Times New Roman" w:hAnsi="Times New Roman" w:eastAsia="仿宋" w:cs="Times New Roman"/>
          <w:sz w:val="24"/>
          <w:szCs w:val="24"/>
          <w:lang w:eastAsia="zh-CN"/>
        </w:rPr>
        <w:t>该项目内容为全院改造定点工程提供造价咨询服务，</w:t>
      </w:r>
      <w:r>
        <w:rPr>
          <w:rFonts w:hint="eastAsia" w:ascii="Times New Roman" w:hAnsi="Times New Roman" w:eastAsia="仿宋" w:cs="Times New Roman"/>
          <w:sz w:val="24"/>
          <w:szCs w:val="24"/>
          <w:lang w:val="en-US" w:eastAsia="zh-CN"/>
        </w:rPr>
        <w:t>拟招一位供应商为本项目提供服务。</w:t>
      </w:r>
      <w:r>
        <w:rPr>
          <w:rFonts w:hint="eastAsia" w:ascii="Times New Roman" w:hAnsi="Times New Roman" w:eastAsia="仿宋" w:cs="Times New Roman"/>
          <w:sz w:val="24"/>
          <w:szCs w:val="24"/>
          <w:lang w:eastAsia="zh-CN"/>
        </w:rPr>
        <w:t>具体服务内容以</w:t>
      </w:r>
      <w:r>
        <w:rPr>
          <w:rFonts w:hint="eastAsia" w:ascii="Times New Roman" w:hAnsi="Times New Roman" w:eastAsia="仿宋" w:cs="Times New Roman"/>
          <w:sz w:val="24"/>
          <w:szCs w:val="24"/>
          <w:lang w:val="en-US" w:eastAsia="zh-CN"/>
        </w:rPr>
        <w:t>采购人</w:t>
      </w:r>
      <w:r>
        <w:rPr>
          <w:rFonts w:hint="eastAsia" w:ascii="Times New Roman" w:hAnsi="Times New Roman" w:eastAsia="仿宋" w:cs="Times New Roman"/>
          <w:sz w:val="24"/>
          <w:szCs w:val="24"/>
          <w:lang w:eastAsia="zh-CN"/>
        </w:rPr>
        <w:t>需求为准。</w:t>
      </w:r>
      <w:r>
        <w:rPr>
          <w:rFonts w:ascii="Times New Roman" w:hAnsi="Times New Roman" w:eastAsia="仿宋" w:cs="Times New Roman"/>
          <w:sz w:val="24"/>
          <w:szCs w:val="24"/>
        </w:rPr>
        <w:cr/>
      </w:r>
      <w:r>
        <w:rPr>
          <w:rFonts w:ascii="Segoe UI Symbol" w:hAnsi="Segoe UI Symbol" w:eastAsia="仿宋" w:cs="Segoe UI Symbol"/>
          <w:b/>
          <w:bCs/>
          <w:sz w:val="24"/>
          <w:szCs w:val="22"/>
        </w:rPr>
        <w:t>★</w:t>
      </w:r>
      <w:r>
        <w:rPr>
          <w:rFonts w:ascii="Times New Roman" w:hAnsi="Times New Roman" w:eastAsia="仿宋" w:cs="Times New Roman"/>
          <w:b/>
          <w:bCs/>
          <w:sz w:val="24"/>
          <w:szCs w:val="24"/>
        </w:rPr>
        <w:t>二、采购内容</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1、审核、管理过程经济资料。</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2、参与现场收方，完成清标工作。</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3、变更管理（包括但不限于设计变更、技术核定单、经济签证的审核以及材料认质认价等）。</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4、进度款审核。</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5、索赔与反索赔管理。</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6、竣工计算初审（满足竣工结算审核要求，在第三方竣工结算审核过程中做好配合工作，并出具竣工结算初审报告书）。</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7、为</w:t>
      </w:r>
      <w:r>
        <w:rPr>
          <w:rFonts w:hint="eastAsia" w:ascii="仿宋" w:hAnsi="仿宋" w:eastAsia="仿宋" w:cs="仿宋"/>
          <w:sz w:val="24"/>
          <w:szCs w:val="24"/>
          <w:lang w:val="en-US" w:eastAsia="zh-CN"/>
        </w:rPr>
        <w:t>采购人</w:t>
      </w:r>
      <w:r>
        <w:rPr>
          <w:rFonts w:hint="eastAsia" w:ascii="仿宋" w:hAnsi="仿宋" w:eastAsia="仿宋" w:cs="仿宋"/>
          <w:sz w:val="24"/>
          <w:szCs w:val="24"/>
          <w:lang w:eastAsia="zh-CN"/>
        </w:rPr>
        <w:t>提供必要的造价管理工作咨询服务，如：施工过程中的控制管理工作、提供材料参考价、询价记录、本项目竣工结算配合工作、变更审核等工作。</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8、完成</w:t>
      </w:r>
      <w:r>
        <w:rPr>
          <w:rFonts w:hint="eastAsia" w:ascii="仿宋" w:hAnsi="仿宋" w:eastAsia="仿宋" w:cs="仿宋"/>
          <w:sz w:val="24"/>
          <w:szCs w:val="24"/>
          <w:lang w:val="en-US" w:eastAsia="zh-CN"/>
        </w:rPr>
        <w:t>采购人</w:t>
      </w:r>
      <w:r>
        <w:rPr>
          <w:rFonts w:hint="eastAsia" w:ascii="仿宋" w:hAnsi="仿宋" w:eastAsia="仿宋" w:cs="仿宋"/>
          <w:sz w:val="24"/>
          <w:szCs w:val="24"/>
          <w:lang w:eastAsia="zh-CN"/>
        </w:rPr>
        <w:t>要求的其它涉及工程造价的相关工作。</w:t>
      </w:r>
    </w:p>
    <w:p>
      <w:pPr>
        <w:pStyle w:val="16"/>
        <w:numPr>
          <w:ilvl w:val="0"/>
          <w:numId w:val="0"/>
        </w:numPr>
        <w:snapToGrid w:val="0"/>
        <w:spacing w:line="288" w:lineRule="auto"/>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9、须派至少2名人员在服务期限内全过程驻项目所在地开展工作，服从并配合采购人管理，开展项目相关造价服务工作及采购人安排的其他工作。</w:t>
      </w:r>
    </w:p>
    <w:p>
      <w:pPr>
        <w:pStyle w:val="16"/>
        <w:numPr>
          <w:ilvl w:val="0"/>
          <w:numId w:val="0"/>
        </w:numPr>
        <w:snapToGrid w:val="0"/>
        <w:spacing w:line="288" w:lineRule="auto"/>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10、拟派项目负责人及其他人员原则上不能更换，若需更换须经采购人同意。</w:t>
      </w:r>
    </w:p>
    <w:p>
      <w:pPr>
        <w:pStyle w:val="16"/>
        <w:numPr>
          <w:ilvl w:val="0"/>
          <w:numId w:val="0"/>
        </w:numPr>
        <w:snapToGrid w:val="0"/>
        <w:spacing w:line="288" w:lineRule="auto"/>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11、其他要求：</w:t>
      </w:r>
    </w:p>
    <w:p>
      <w:pPr>
        <w:pStyle w:val="16"/>
        <w:numPr>
          <w:ilvl w:val="0"/>
          <w:numId w:val="0"/>
        </w:numPr>
        <w:snapToGrid w:val="0"/>
        <w:spacing w:line="288" w:lineRule="auto"/>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（1）能够在2小时内及时响应采购人需求，并及时处理完毕采购人需求。</w:t>
      </w:r>
    </w:p>
    <w:p>
      <w:pPr>
        <w:pStyle w:val="16"/>
        <w:numPr>
          <w:ilvl w:val="0"/>
          <w:numId w:val="0"/>
        </w:numPr>
        <w:snapToGrid w:val="0"/>
        <w:spacing w:line="288" w:lineRule="auto"/>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（2）每次接采购人通知后准时参加例会。</w:t>
      </w:r>
    </w:p>
    <w:p>
      <w:pPr>
        <w:pStyle w:val="16"/>
        <w:numPr>
          <w:ilvl w:val="0"/>
          <w:numId w:val="0"/>
        </w:numPr>
        <w:snapToGrid w:val="0"/>
        <w:spacing w:line="288" w:lineRule="auto"/>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（3）完全按项目要求进行在岗工作，不得擅自脱岗、离岗、更换服务人员。</w:t>
      </w:r>
    </w:p>
    <w:p>
      <w:pPr>
        <w:pStyle w:val="16"/>
        <w:numPr>
          <w:ilvl w:val="0"/>
          <w:numId w:val="0"/>
        </w:numPr>
        <w:snapToGrid w:val="0"/>
        <w:spacing w:line="288" w:lineRule="auto"/>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（4）完全按照本项目要求编制完成资料（项目齐全），及时交付资料。</w:t>
      </w:r>
    </w:p>
    <w:p>
      <w:pPr>
        <w:pStyle w:val="16"/>
        <w:numPr>
          <w:ilvl w:val="0"/>
          <w:numId w:val="0"/>
        </w:numPr>
        <w:snapToGrid w:val="0"/>
        <w:spacing w:line="288" w:lineRule="auto"/>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（5）不得存在商业贿赂等不良记录、违法违纪、行政处罚、行政强制，以及消防安全或安全生产责任事故对采购人单位产生重大不良影响等情形。</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ascii="Times New Roman" w:hAnsi="Times New Roman" w:eastAsia="仿宋" w:cs="Times New Roman"/>
          <w:b/>
          <w:bCs/>
          <w:sz w:val="24"/>
          <w:szCs w:val="24"/>
        </w:rPr>
      </w:pPr>
      <w:r>
        <w:rPr>
          <w:rFonts w:hint="eastAsia" w:ascii="仿宋" w:hAnsi="仿宋" w:eastAsia="仿宋" w:cs="仿宋"/>
          <w:sz w:val="24"/>
          <w:szCs w:val="24"/>
          <w:lang w:val="en-US" w:eastAsia="zh-CN"/>
        </w:rPr>
        <w:t>12、采购人按照《考核评价表》、《供应商年度考核评价表》对供应商进行考核评价（评价表详见附件）。</w:t>
      </w:r>
      <w:r>
        <w:rPr>
          <w:rFonts w:hint="eastAsia" w:ascii="仿宋" w:hAnsi="仿宋" w:eastAsia="仿宋" w:cs="仿宋"/>
          <w:sz w:val="24"/>
          <w:szCs w:val="24"/>
        </w:rPr>
        <w:cr/>
      </w:r>
      <w:r>
        <w:rPr>
          <w:rFonts w:ascii="Segoe UI Symbol" w:hAnsi="Segoe UI Symbol" w:eastAsia="仿宋" w:cs="Segoe UI Symbol"/>
          <w:b/>
          <w:bCs/>
          <w:sz w:val="24"/>
          <w:szCs w:val="22"/>
        </w:rPr>
        <w:t>★</w:t>
      </w:r>
      <w:r>
        <w:rPr>
          <w:rFonts w:ascii="Times New Roman" w:hAnsi="Times New Roman" w:eastAsia="仿宋" w:cs="Times New Roman"/>
          <w:b/>
          <w:bCs/>
          <w:sz w:val="24"/>
          <w:szCs w:val="24"/>
        </w:rPr>
        <w:t>三、商务要求：</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sz w:val="24"/>
          <w:szCs w:val="24"/>
          <w:lang w:val="en-US" w:eastAsia="zh-CN"/>
        </w:rPr>
        <w:t>1.服务期：</w:t>
      </w:r>
      <w:r>
        <w:rPr>
          <w:rFonts w:hint="eastAsia" w:ascii="仿宋" w:hAnsi="仿宋" w:eastAsia="仿宋" w:cs="仿宋"/>
          <w:b w:val="0"/>
          <w:sz w:val="24"/>
          <w:szCs w:val="24"/>
          <w:vertAlign w:val="baseline"/>
          <w:lang w:val="en-US" w:eastAsia="zh-CN"/>
        </w:rPr>
        <w:t>合同签订之日起一年。</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2.服务地点：四川省人民医院本部、龙泉院区、老年医学中心、护士学校、皮肤病研究所、实验动物研究所、以及采购人指定地点。</w:t>
      </w:r>
    </w:p>
    <w:p>
      <w:pPr>
        <w:keepNext w:val="0"/>
        <w:keepLines w:val="0"/>
        <w:pageBreakBefore w:val="0"/>
        <w:widowControl w:val="0"/>
        <w:kinsoku/>
        <w:wordWrap/>
        <w:overflowPunct/>
        <w:topLinePunct w:val="0"/>
        <w:autoSpaceDE/>
        <w:autoSpaceDN/>
        <w:bidi w:val="0"/>
        <w:adjustRightInd/>
        <w:snapToGrid/>
        <w:spacing w:beforeAutospacing="0" w:afterAutospacing="0" w:line="288" w:lineRule="auto"/>
        <w:ind w:firstLine="480" w:firstLineChars="200"/>
        <w:jc w:val="left"/>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3.付款条件：按实结算：本项目支付上限为30万元。</w:t>
      </w:r>
    </w:p>
    <w:p>
      <w:pPr>
        <w:keepNext w:val="0"/>
        <w:keepLines w:val="0"/>
        <w:pageBreakBefore w:val="0"/>
        <w:widowControl w:val="0"/>
        <w:kinsoku/>
        <w:wordWrap/>
        <w:overflowPunct/>
        <w:topLinePunct w:val="0"/>
        <w:autoSpaceDE/>
        <w:autoSpaceDN/>
        <w:bidi w:val="0"/>
        <w:adjustRightInd/>
        <w:snapToGrid/>
        <w:spacing w:beforeAutospacing="0" w:afterAutospacing="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（1）单个工程项目竣工验收完成后，供应商在 5 日内须向采购人提供合法有效票据及其他相关请款资料，自采购人接到供应商请款资料后依据合同约定收费标准在 55 日内向供应商支付单个工程项目工程咨询服务费的 50%。</w:t>
      </w:r>
    </w:p>
    <w:p>
      <w:pPr>
        <w:keepNext w:val="0"/>
        <w:keepLines w:val="0"/>
        <w:pageBreakBefore w:val="0"/>
        <w:widowControl w:val="0"/>
        <w:kinsoku/>
        <w:wordWrap/>
        <w:overflowPunct/>
        <w:topLinePunct w:val="0"/>
        <w:autoSpaceDE/>
        <w:autoSpaceDN/>
        <w:bidi w:val="0"/>
        <w:adjustRightInd/>
        <w:snapToGrid/>
        <w:spacing w:beforeAutospacing="0" w:afterAutospacing="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（2）供应商出示正式版本的竣工结算初审报告后 5 日内向采购人提供合法有效票据及其他相关请款资料，自采购人接到供应商请款资料后依据合同约定收费标准在 55 日内向供应商支付至单个工程项目工程咨询服务费的 80%。</w:t>
      </w:r>
    </w:p>
    <w:p>
      <w:pPr>
        <w:keepNext w:val="0"/>
        <w:keepLines w:val="0"/>
        <w:pageBreakBefore w:val="0"/>
        <w:widowControl w:val="0"/>
        <w:kinsoku/>
        <w:wordWrap/>
        <w:overflowPunct/>
        <w:topLinePunct w:val="0"/>
        <w:autoSpaceDE/>
        <w:autoSpaceDN/>
        <w:bidi w:val="0"/>
        <w:adjustRightInd/>
        <w:snapToGrid/>
        <w:spacing w:beforeAutospacing="0" w:afterAutospacing="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（3）第三方竣工结算审核完成后 5 日内供应商向采购人提供合法有效票据及其他相关请款资料，自采购人接到供应商请款资料后依据合同约定收费标准在 55 日内向供应商支付至单个工程项目工程咨询服务费的 100%。</w:t>
      </w:r>
    </w:p>
    <w:p>
      <w:pPr>
        <w:keepNext w:val="0"/>
        <w:keepLines w:val="0"/>
        <w:pageBreakBefore w:val="0"/>
        <w:widowControl w:val="0"/>
        <w:kinsoku/>
        <w:wordWrap/>
        <w:overflowPunct/>
        <w:topLinePunct w:val="0"/>
        <w:autoSpaceDE/>
        <w:autoSpaceDN/>
        <w:bidi w:val="0"/>
        <w:adjustRightInd/>
        <w:snapToGrid/>
        <w:spacing w:beforeAutospacing="0" w:afterAutospacing="0" w:line="288" w:lineRule="auto"/>
        <w:ind w:firstLine="480" w:firstLineChars="200"/>
        <w:jc w:val="left"/>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（4）供应商应在支付前向采购人提交支付申请以及所需的相关资料和票据。采购人只在收到所有合格的支付凭证后，才向供应商支付。</w:t>
      </w:r>
    </w:p>
    <w:p>
      <w:pPr>
        <w:keepNext w:val="0"/>
        <w:keepLines w:val="0"/>
        <w:pageBreakBefore w:val="0"/>
        <w:widowControl w:val="0"/>
        <w:kinsoku/>
        <w:wordWrap/>
        <w:overflowPunct/>
        <w:topLinePunct w:val="0"/>
        <w:autoSpaceDE/>
        <w:autoSpaceDN/>
        <w:bidi w:val="0"/>
        <w:adjustRightInd/>
        <w:snapToGrid/>
        <w:spacing w:beforeAutospacing="0" w:afterAutospacing="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b w:val="0"/>
          <w:sz w:val="24"/>
          <w:szCs w:val="24"/>
          <w:vertAlign w:val="baseline"/>
          <w:lang w:val="en-US" w:eastAsia="zh-CN"/>
        </w:rPr>
        <w:t>（5）如因供应商未能及时提交所需的相关资料和票据、或提交的资料和票据不能满足采购人的付款要求，造成付款延误的，采购人不承担逾期付款的责任；如因采购人原因造成逾期付款的责任按合同标准条件的相关条款执行。</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仿宋" w:hAnsi="仿宋" w:eastAsia="仿宋" w:cs="仿宋"/>
          <w:b w:val="0"/>
          <w:sz w:val="24"/>
          <w:szCs w:val="24"/>
          <w:vertAlign w:val="baseline"/>
          <w:lang w:val="en-US" w:eastAsia="zh-CN"/>
        </w:rPr>
        <w:t>4.</w:t>
      </w:r>
      <w:r>
        <w:rPr>
          <w:rFonts w:hint="eastAsia" w:ascii="Times New Roman" w:hAnsi="Times New Roman" w:eastAsia="仿宋" w:cs="Times New Roman"/>
          <w:sz w:val="24"/>
          <w:szCs w:val="24"/>
          <w:lang w:val="en-US" w:eastAsia="zh-CN"/>
        </w:rPr>
        <w:t>验收方案：</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(1)验收主体：采购人。</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(2)验收组织方式：自行验收。</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(3)验收程序:分期/分段验收。</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(4)验收方式:现场整体验收。</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(5)履约验收内容:按照基于本项目采购需求编制的采购文件要求及供应商响应文件情况，由供应商向采购人提供的单个工程造价咨询的全部服务。</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(6)履约验收时间：供应商完成单个工程造价咨询的全部服务后5日内通知采购人验收，采购人接供应商通知后10日内组织验收。</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(7)是否邀请本项目的其他供应商：否。</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(8)是否邀请专家：否。</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(9)是否邀请服务对象：否。</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(10)是否邀请第三方检测机构：否。</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(11)验收标准：</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1）国家相关法律法规、行业标准、技术规范。</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2）基于本项目采购需求编制的采购文件相关技术、服务要求、供应商响应文件相关响应内容。</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3）产品生产厂家出具的产品说明书、技术白皮书、医疗器械注册证或备案凭证等官方技术资料（如涉及）。</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4）如验收时，采购人与供应商认为本项目验收标准中的技术指标、质量要求等内容存在相互抵触或对其理解存在异议，应按照其中更严格的要求、标准等进行验收。</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5）按照《财政部关于进一步加强政府采购需求和履约验收管理的指导意见》（财库〔2016〕205号）的要求进行验收。（如本项目不涉及政府采购，将参照此条款）</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6）如本项目验收方式为考核验收，则考核结果须为合格。</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7）其它标准：应符合《建设工程造价咨询规范》（GB/T51095-2015）、《建设工程造价咨询成果文件质量标准》（CECA/GC7-2012)、《建设项目全过程造价咨询规程》（CECA/GC4-2017)和《四川省工程造价咨询服务标准》（川建价师协〔2017〕11号）等国家相关法律法规制度。</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(12)履约验收其它事项：无。</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default"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5.知识产权归属：归采购人所有。</w:t>
      </w:r>
    </w:p>
    <w:p>
      <w:pPr>
        <w:pStyle w:val="16"/>
        <w:keepNext w:val="0"/>
        <w:keepLines w:val="0"/>
        <w:pageBreakBefore w:val="0"/>
        <w:widowControl w:val="0"/>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四、其他要求</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b w:val="0"/>
          <w:bCs w:val="0"/>
          <w:sz w:val="24"/>
          <w:szCs w:val="24"/>
          <w:lang w:val="en-US" w:eastAsia="zh-CN"/>
        </w:rPr>
      </w:pPr>
      <w:r>
        <w:rPr>
          <w:rFonts w:hint="eastAsia" w:ascii="Times New Roman" w:hAnsi="Times New Roman" w:eastAsia="仿宋" w:cs="Times New Roman"/>
          <w:b w:val="0"/>
          <w:bCs w:val="0"/>
          <w:sz w:val="24"/>
          <w:szCs w:val="24"/>
        </w:rPr>
        <w:t>★</w:t>
      </w:r>
      <w:r>
        <w:rPr>
          <w:rFonts w:hint="eastAsia" w:ascii="Times New Roman" w:hAnsi="Times New Roman" w:eastAsia="仿宋" w:cs="Times New Roman"/>
          <w:b w:val="0"/>
          <w:bCs w:val="0"/>
          <w:sz w:val="24"/>
          <w:szCs w:val="24"/>
          <w:lang w:val="en-US" w:eastAsia="zh-CN"/>
        </w:rPr>
        <w:t>（一）供应商违约责任</w:t>
      </w:r>
      <w:bookmarkStart w:id="104" w:name="_GoBack"/>
      <w:bookmarkEnd w:id="104"/>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b w:val="0"/>
          <w:sz w:val="24"/>
          <w:szCs w:val="24"/>
          <w:vertAlign w:val="baseline"/>
          <w:lang w:val="en-US" w:eastAsia="zh-CN"/>
        </w:rPr>
      </w:pPr>
      <w:r>
        <w:rPr>
          <w:rFonts w:hint="eastAsia" w:ascii="Times New Roman" w:hAnsi="Times New Roman" w:eastAsia="仿宋" w:cs="Times New Roman"/>
          <w:b w:val="0"/>
          <w:bCs w:val="0"/>
          <w:sz w:val="24"/>
          <w:szCs w:val="24"/>
          <w:lang w:val="en-US" w:eastAsia="zh-CN"/>
        </w:rPr>
        <w:t>供应商赔偿金额按下列方法确定并支付：</w:t>
      </w:r>
      <w:r>
        <w:rPr>
          <w:rFonts w:hint="eastAsia" w:ascii="Times New Roman" w:hAnsi="Times New Roman" w:eastAsia="仿宋" w:cs="Times New Roman"/>
          <w:b w:val="0"/>
          <w:sz w:val="24"/>
          <w:szCs w:val="24"/>
          <w:vertAlign w:val="baseline"/>
          <w:lang w:val="en-US" w:eastAsia="zh-CN"/>
        </w:rPr>
        <w:t>1、若未能做好进度款支付控制，致使已支付金额超最终竣工结算审核后应支付金额，则供应商向采购人支付违约金30000元。违约金采购人优先从供应商履约保证金中扣除。</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b w:val="0"/>
          <w:sz w:val="24"/>
          <w:szCs w:val="24"/>
          <w:vertAlign w:val="baseline"/>
          <w:lang w:val="en-US" w:eastAsia="zh-CN"/>
        </w:rPr>
      </w:pPr>
      <w:r>
        <w:rPr>
          <w:rFonts w:hint="eastAsia" w:ascii="Times New Roman" w:hAnsi="Times New Roman" w:eastAsia="仿宋" w:cs="Times New Roman"/>
          <w:b w:val="0"/>
          <w:kern w:val="2"/>
          <w:sz w:val="24"/>
          <w:szCs w:val="24"/>
          <w:vertAlign w:val="baseline"/>
          <w:lang w:val="en-US" w:eastAsia="zh-CN" w:bidi="ar-SA"/>
        </w:rPr>
        <w:t>2、</w:t>
      </w:r>
      <w:r>
        <w:rPr>
          <w:rFonts w:hint="eastAsia" w:ascii="Times New Roman" w:hAnsi="Times New Roman" w:eastAsia="仿宋" w:cs="Times New Roman"/>
          <w:b w:val="0"/>
          <w:sz w:val="24"/>
          <w:szCs w:val="24"/>
          <w:vertAlign w:val="baseline"/>
          <w:lang w:val="en-US" w:eastAsia="zh-CN"/>
        </w:rPr>
        <w:t>若单个项目竣工结算审核金额超竣工结算初审报告金额的7%，供应商支付采购人违约金3000元；若竣工结算审核金额超竣工结算初审报告金额的10%，供应商支付采购人违约金10000元；若竣工结算审核金额超竣工结算初审报告金额的15%，供应商支付采购人违约金30000元；违约金采购人优先从供应商履约保证金中扣除。</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b w:val="0"/>
          <w:sz w:val="24"/>
          <w:szCs w:val="24"/>
          <w:vertAlign w:val="baseline"/>
          <w:lang w:val="en-US" w:eastAsia="zh-CN"/>
        </w:rPr>
      </w:pPr>
      <w:r>
        <w:rPr>
          <w:rFonts w:hint="eastAsia" w:ascii="Times New Roman" w:hAnsi="Times New Roman" w:eastAsia="仿宋" w:cs="Times New Roman"/>
          <w:b w:val="0"/>
          <w:sz w:val="24"/>
          <w:szCs w:val="24"/>
          <w:vertAlign w:val="baseline"/>
          <w:lang w:val="en-US" w:eastAsia="zh-CN"/>
        </w:rPr>
        <w:t>3、若在工程项目的咨询服务过程中，供应商不配合并收到采购人三次及以上函告，采购人有权扣留履约保证金并解除合同。</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b w:val="0"/>
          <w:sz w:val="24"/>
          <w:szCs w:val="24"/>
          <w:vertAlign w:val="baseline"/>
          <w:lang w:val="en-US" w:eastAsia="zh-CN"/>
        </w:rPr>
      </w:pPr>
      <w:r>
        <w:rPr>
          <w:rFonts w:hint="eastAsia" w:ascii="Times New Roman" w:hAnsi="Times New Roman" w:eastAsia="仿宋" w:cs="Times New Roman"/>
          <w:b w:val="0"/>
          <w:sz w:val="24"/>
          <w:szCs w:val="24"/>
          <w:vertAlign w:val="baseline"/>
          <w:lang w:val="en-US" w:eastAsia="zh-CN"/>
        </w:rPr>
        <w:t>4、采购人初审报告，要求在施工单位交付完整版竣工资料后10日历天内完成。</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b w:val="0"/>
          <w:sz w:val="24"/>
          <w:szCs w:val="24"/>
          <w:vertAlign w:val="baseline"/>
          <w:lang w:val="en-US" w:eastAsia="zh-CN"/>
        </w:rPr>
        <w:t>注：以上1至4条，因供应商原因造成采购人遭受重大损失，以至于扣除供应商进度款、结算尾款、履约保证金都无法弥补采购人的损失，供应商应向采购人支付全部损失。</w:t>
      </w:r>
    </w:p>
    <w:p>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88" w:lineRule="auto"/>
        <w:ind w:firstLine="480" w:firstLineChars="200"/>
        <w:jc w:val="left"/>
        <w:textAlignment w:val="auto"/>
        <w:rPr>
          <w:rFonts w:hint="eastAsia" w:ascii="Times New Roman" w:hAnsi="Times New Roman" w:eastAsia="仿宋" w:cs="Times New Roman"/>
          <w:b w:val="0"/>
          <w:bCs w:val="0"/>
          <w:sz w:val="24"/>
          <w:szCs w:val="24"/>
          <w:lang w:val="en-US" w:eastAsia="zh-CN"/>
        </w:rPr>
      </w:pPr>
      <w:r>
        <w:rPr>
          <w:rFonts w:hint="eastAsia" w:ascii="Times New Roman" w:hAnsi="Times New Roman" w:eastAsia="仿宋" w:cs="Times New Roman"/>
          <w:b w:val="0"/>
          <w:bCs w:val="0"/>
          <w:sz w:val="24"/>
          <w:szCs w:val="24"/>
          <w:lang w:val="en-US" w:eastAsia="zh-CN"/>
        </w:rPr>
        <w:t>（二）履约要求</w:t>
      </w:r>
    </w:p>
    <w:p>
      <w:pPr>
        <w:pStyle w:val="16"/>
        <w:keepNext w:val="0"/>
        <w:keepLines w:val="0"/>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jc w:val="left"/>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lang w:val="en-US" w:eastAsia="zh-CN"/>
        </w:rPr>
        <w:t>1、业绩要求：（1）企业业绩：</w:t>
      </w:r>
      <w:r>
        <w:rPr>
          <w:rFonts w:hint="default" w:ascii="仿宋" w:hAnsi="仿宋" w:eastAsia="仿宋" w:cs="仿宋"/>
          <w:sz w:val="24"/>
          <w:szCs w:val="24"/>
          <w:highlight w:val="none"/>
          <w:lang w:val="en-US" w:eastAsia="zh-CN"/>
        </w:rPr>
        <w:t>提供202</w:t>
      </w:r>
      <w:r>
        <w:rPr>
          <w:rFonts w:hint="eastAsia" w:ascii="仿宋" w:hAnsi="仿宋" w:eastAsia="仿宋" w:cs="仿宋"/>
          <w:sz w:val="24"/>
          <w:szCs w:val="24"/>
          <w:highlight w:val="none"/>
          <w:lang w:val="en-US" w:eastAsia="zh-CN"/>
        </w:rPr>
        <w:t>3</w:t>
      </w:r>
      <w:r>
        <w:rPr>
          <w:rFonts w:hint="default" w:ascii="仿宋" w:hAnsi="仿宋" w:eastAsia="仿宋" w:cs="仿宋"/>
          <w:sz w:val="24"/>
          <w:szCs w:val="24"/>
          <w:highlight w:val="none"/>
          <w:lang w:val="en-US" w:eastAsia="zh-CN"/>
        </w:rPr>
        <w:t>年1月1日（含）至今以来类似项目业绩(类似项目业绩为公共建筑类全过程造价咨询服务类项目（至少包括招标工程量清单及控制价编制或预算编制或全过程控制或竣工结算审核），提供中标（成交）通知书或盖章合同复印件并加盖公章，业绩时间以合同签订时间为准。</w:t>
      </w:r>
    </w:p>
    <w:p>
      <w:pPr>
        <w:pStyle w:val="16"/>
        <w:keepNext w:val="0"/>
        <w:keepLines w:val="0"/>
        <w:pageBreakBefore w:val="0"/>
        <w:widowControl w:val="0"/>
        <w:kinsoku/>
        <w:wordWrap/>
        <w:overflowPunct/>
        <w:topLinePunct w:val="0"/>
        <w:autoSpaceDE/>
        <w:autoSpaceDN/>
        <w:bidi w:val="0"/>
        <w:adjustRightInd/>
        <w:spacing w:line="240" w:lineRule="auto"/>
        <w:ind w:firstLine="480" w:firstLineChars="200"/>
        <w:jc w:val="left"/>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w:t>
      </w:r>
      <w:r>
        <w:rPr>
          <w:rFonts w:hint="default" w:ascii="仿宋" w:hAnsi="仿宋" w:eastAsia="仿宋" w:cs="仿宋"/>
          <w:sz w:val="24"/>
          <w:szCs w:val="24"/>
          <w:highlight w:val="none"/>
          <w:lang w:val="en-US" w:eastAsia="zh-CN"/>
        </w:rPr>
        <w:t>项目负责人</w:t>
      </w:r>
      <w:r>
        <w:rPr>
          <w:rFonts w:hint="eastAsia" w:ascii="仿宋" w:hAnsi="仿宋" w:eastAsia="仿宋" w:cs="仿宋"/>
          <w:sz w:val="24"/>
          <w:szCs w:val="24"/>
          <w:highlight w:val="none"/>
          <w:lang w:val="en-US" w:eastAsia="zh-CN"/>
        </w:rPr>
        <w:t>业绩：</w:t>
      </w:r>
      <w:r>
        <w:rPr>
          <w:rFonts w:hint="default" w:ascii="仿宋" w:hAnsi="仿宋" w:eastAsia="仿宋" w:cs="仿宋"/>
          <w:sz w:val="24"/>
          <w:szCs w:val="24"/>
          <w:highlight w:val="none"/>
          <w:lang w:val="en-US" w:eastAsia="zh-CN"/>
        </w:rPr>
        <w:t>提供202</w:t>
      </w:r>
      <w:r>
        <w:rPr>
          <w:rFonts w:hint="eastAsia" w:ascii="仿宋" w:hAnsi="仿宋" w:eastAsia="仿宋" w:cs="仿宋"/>
          <w:sz w:val="24"/>
          <w:szCs w:val="24"/>
          <w:highlight w:val="none"/>
          <w:lang w:val="en-US" w:eastAsia="zh-CN"/>
        </w:rPr>
        <w:t>3</w:t>
      </w:r>
      <w:r>
        <w:rPr>
          <w:rFonts w:hint="default" w:ascii="仿宋" w:hAnsi="仿宋" w:eastAsia="仿宋" w:cs="仿宋"/>
          <w:sz w:val="24"/>
          <w:szCs w:val="24"/>
          <w:highlight w:val="none"/>
          <w:lang w:val="en-US" w:eastAsia="zh-CN"/>
        </w:rPr>
        <w:t>年1月1日（含）至今以来的类似项目业绩(类似业绩为公共建筑类工程造价咨询服务类项目，至少包括招标工程量清单及控制价编制或预算编制或全过程控制或竣工结算审核），可与公司业绩为相同业绩。提供合同复印件及能证明为本项目拟派的项目负责人业绩的证明材料，业绩时间以合同签订时间为准。</w:t>
      </w:r>
    </w:p>
    <w:p>
      <w:pPr>
        <w:pStyle w:val="16"/>
        <w:keepNext w:val="0"/>
        <w:keepLines w:val="0"/>
        <w:pageBreakBefore w:val="0"/>
        <w:widowControl w:val="0"/>
        <w:numPr>
          <w:ilvl w:val="-1"/>
          <w:numId w:val="0"/>
        </w:numPr>
        <w:kinsoku/>
        <w:wordWrap/>
        <w:overflowPunct/>
        <w:topLinePunct w:val="0"/>
        <w:autoSpaceDE/>
        <w:autoSpaceDN/>
        <w:bidi w:val="0"/>
        <w:adjustRightInd/>
        <w:snapToGrid/>
        <w:spacing w:before="0" w:after="0" w:line="240" w:lineRule="auto"/>
        <w:ind w:firstLine="480" w:firstLineChars="200"/>
        <w:jc w:val="left"/>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2、人员要求：</w:t>
      </w:r>
      <w:r>
        <w:rPr>
          <w:rFonts w:hint="default" w:ascii="仿宋" w:hAnsi="仿宋" w:eastAsia="仿宋" w:cs="仿宋"/>
          <w:sz w:val="24"/>
          <w:szCs w:val="24"/>
          <w:highlight w:val="none"/>
          <w:lang w:val="en-US" w:eastAsia="zh-CN"/>
        </w:rPr>
        <w:t>供应商需提供拟派项目团队人员信息，包含技术负责人及相关团队人员执业资格证书及相关专业技术职称。团队成员要求为：</w:t>
      </w:r>
    </w:p>
    <w:p>
      <w:pPr>
        <w:pStyle w:val="16"/>
        <w:keepNext w:val="0"/>
        <w:keepLines w:val="0"/>
        <w:pageBreakBefore w:val="0"/>
        <w:widowControl w:val="0"/>
        <w:numPr>
          <w:ilvl w:val="-1"/>
          <w:numId w:val="0"/>
        </w:numPr>
        <w:kinsoku/>
        <w:wordWrap/>
        <w:overflowPunct/>
        <w:topLinePunct w:val="0"/>
        <w:autoSpaceDE/>
        <w:autoSpaceDN/>
        <w:bidi w:val="0"/>
        <w:adjustRightInd/>
        <w:snapToGrid/>
        <w:spacing w:before="0" w:after="0" w:line="240" w:lineRule="auto"/>
        <w:ind w:firstLine="480" w:firstLineChars="200"/>
        <w:jc w:val="left"/>
        <w:textAlignment w:val="auto"/>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（1）</w:t>
      </w:r>
      <w:r>
        <w:rPr>
          <w:rFonts w:hint="default" w:ascii="仿宋" w:hAnsi="仿宋" w:eastAsia="仿宋" w:cs="仿宋"/>
          <w:b w:val="0"/>
          <w:sz w:val="24"/>
          <w:szCs w:val="24"/>
          <w:highlight w:val="none"/>
          <w:vertAlign w:val="baseline"/>
          <w:lang w:val="en-US" w:eastAsia="zh-CN"/>
        </w:rPr>
        <w:t>项目负责人1名，具有全国一级注册造价工程师证书，具有工程造价专业高级及以上职称</w:t>
      </w:r>
      <w:r>
        <w:rPr>
          <w:rFonts w:hint="default" w:ascii="仿宋" w:hAnsi="仿宋" w:eastAsia="仿宋" w:cs="仿宋"/>
          <w:sz w:val="24"/>
          <w:szCs w:val="24"/>
          <w:highlight w:val="none"/>
          <w:lang w:val="en-US" w:eastAsia="zh-CN"/>
        </w:rPr>
        <w:t>。</w:t>
      </w:r>
    </w:p>
    <w:p>
      <w:pPr>
        <w:pStyle w:val="16"/>
        <w:keepNext w:val="0"/>
        <w:keepLines w:val="0"/>
        <w:pageBreakBefore w:val="0"/>
        <w:widowControl w:val="0"/>
        <w:numPr>
          <w:ilvl w:val="-1"/>
          <w:numId w:val="0"/>
        </w:numPr>
        <w:kinsoku/>
        <w:wordWrap/>
        <w:overflowPunct/>
        <w:topLinePunct w:val="0"/>
        <w:autoSpaceDE/>
        <w:autoSpaceDN/>
        <w:bidi w:val="0"/>
        <w:adjustRightInd/>
        <w:snapToGrid/>
        <w:spacing w:before="0" w:after="0" w:line="240" w:lineRule="auto"/>
        <w:ind w:firstLine="480" w:firstLineChars="200"/>
        <w:jc w:val="left"/>
        <w:textAlignment w:val="auto"/>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（2）拟派</w:t>
      </w:r>
      <w:r>
        <w:rPr>
          <w:rFonts w:hint="default" w:ascii="仿宋" w:hAnsi="仿宋" w:eastAsia="仿宋" w:cs="仿宋"/>
          <w:b w:val="0"/>
          <w:sz w:val="24"/>
          <w:szCs w:val="24"/>
          <w:highlight w:val="none"/>
          <w:vertAlign w:val="baseline"/>
          <w:lang w:val="en-US" w:eastAsia="zh-CN"/>
        </w:rPr>
        <w:t>土建装饰</w:t>
      </w:r>
      <w:r>
        <w:rPr>
          <w:rFonts w:hint="default" w:ascii="仿宋" w:hAnsi="仿宋" w:eastAsia="仿宋" w:cs="仿宋"/>
          <w:sz w:val="24"/>
          <w:szCs w:val="24"/>
          <w:highlight w:val="none"/>
          <w:lang w:val="en-US" w:eastAsia="zh-CN"/>
        </w:rPr>
        <w:t>专业负责人：需具备</w:t>
      </w:r>
      <w:r>
        <w:rPr>
          <w:rFonts w:hint="default" w:ascii="仿宋" w:hAnsi="仿宋" w:eastAsia="仿宋" w:cs="仿宋"/>
          <w:b w:val="0"/>
          <w:sz w:val="24"/>
          <w:szCs w:val="24"/>
          <w:highlight w:val="none"/>
          <w:vertAlign w:val="baseline"/>
          <w:lang w:val="en-US" w:eastAsia="zh-CN"/>
        </w:rPr>
        <w:t>全国二级注册造价工程师证书及以上，具有工程造价专业中级及以上职称</w:t>
      </w:r>
      <w:r>
        <w:rPr>
          <w:rFonts w:hint="default" w:ascii="仿宋" w:hAnsi="仿宋" w:eastAsia="仿宋" w:cs="仿宋"/>
          <w:sz w:val="24"/>
          <w:szCs w:val="24"/>
          <w:highlight w:val="none"/>
          <w:lang w:val="en-US" w:eastAsia="zh-CN"/>
        </w:rPr>
        <w:t>。</w:t>
      </w:r>
    </w:p>
    <w:p>
      <w:pPr>
        <w:pStyle w:val="16"/>
        <w:keepNext w:val="0"/>
        <w:keepLines w:val="0"/>
        <w:pageBreakBefore w:val="0"/>
        <w:widowControl w:val="0"/>
        <w:numPr>
          <w:ilvl w:val="-1"/>
          <w:numId w:val="0"/>
        </w:numPr>
        <w:kinsoku/>
        <w:wordWrap/>
        <w:overflowPunct/>
        <w:topLinePunct w:val="0"/>
        <w:autoSpaceDE/>
        <w:autoSpaceDN/>
        <w:bidi w:val="0"/>
        <w:adjustRightInd/>
        <w:snapToGrid/>
        <w:spacing w:before="0" w:after="0" w:line="240" w:lineRule="auto"/>
        <w:ind w:firstLine="480" w:firstLineChars="200"/>
        <w:jc w:val="left"/>
        <w:textAlignment w:val="auto"/>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（3）拟派安装专业负责人：需具备</w:t>
      </w:r>
      <w:r>
        <w:rPr>
          <w:rFonts w:hint="default" w:ascii="仿宋" w:hAnsi="仿宋" w:eastAsia="仿宋" w:cs="仿宋"/>
          <w:b w:val="0"/>
          <w:sz w:val="24"/>
          <w:szCs w:val="24"/>
          <w:highlight w:val="none"/>
          <w:vertAlign w:val="baseline"/>
          <w:lang w:val="en-US" w:eastAsia="zh-CN"/>
        </w:rPr>
        <w:t>全国二级注册造价工程师证书及以上，具有工程造价专业中级及以上职称</w:t>
      </w:r>
      <w:r>
        <w:rPr>
          <w:rFonts w:hint="default" w:ascii="仿宋" w:hAnsi="仿宋" w:eastAsia="仿宋" w:cs="仿宋"/>
          <w:sz w:val="24"/>
          <w:szCs w:val="24"/>
          <w:highlight w:val="none"/>
          <w:lang w:val="en-US" w:eastAsia="zh-CN"/>
        </w:rPr>
        <w:t>。</w:t>
      </w:r>
    </w:p>
    <w:p>
      <w:pPr>
        <w:pStyle w:val="16"/>
        <w:ind w:firstLine="480" w:firstLineChars="200"/>
        <w:rPr>
          <w:rFonts w:hint="default" w:ascii="仿宋" w:hAnsi="仿宋" w:eastAsia="仿宋" w:cs="仿宋"/>
          <w:sz w:val="24"/>
          <w:szCs w:val="24"/>
          <w:highlight w:val="none"/>
        </w:rPr>
      </w:pPr>
      <w:r>
        <w:rPr>
          <w:rFonts w:hint="default" w:ascii="仿宋" w:hAnsi="仿宋" w:eastAsia="仿宋" w:cs="仿宋"/>
          <w:sz w:val="24"/>
          <w:szCs w:val="24"/>
          <w:highlight w:val="none"/>
          <w:lang w:val="en-US" w:eastAsia="zh-CN"/>
        </w:rPr>
        <w:t>（4）其他项目组成员：需具备</w:t>
      </w:r>
      <w:r>
        <w:rPr>
          <w:rFonts w:hint="default" w:ascii="仿宋" w:hAnsi="仿宋" w:eastAsia="仿宋" w:cs="仿宋"/>
          <w:b w:val="0"/>
          <w:sz w:val="24"/>
          <w:szCs w:val="24"/>
          <w:highlight w:val="none"/>
          <w:vertAlign w:val="baseline"/>
          <w:lang w:val="en-US" w:eastAsia="zh-CN"/>
        </w:rPr>
        <w:t>全国二级注册造价工程师证书及以上，具有工程造价专业中级及以上职称</w:t>
      </w:r>
      <w:r>
        <w:rPr>
          <w:rFonts w:hint="default" w:ascii="仿宋" w:hAnsi="仿宋" w:eastAsia="仿宋" w:cs="仿宋"/>
          <w:sz w:val="24"/>
          <w:szCs w:val="24"/>
          <w:highlight w:val="none"/>
          <w:lang w:val="en-US" w:eastAsia="zh-CN"/>
        </w:rPr>
        <w:t>。</w:t>
      </w:r>
    </w:p>
    <w:p>
      <w:pPr>
        <w:pStyle w:val="16"/>
        <w:keepNext w:val="0"/>
        <w:keepLines w:val="0"/>
        <w:pageBreakBefore w:val="0"/>
        <w:widowControl w:val="0"/>
        <w:kinsoku/>
        <w:wordWrap/>
        <w:overflowPunct/>
        <w:topLinePunct w:val="0"/>
        <w:autoSpaceDE/>
        <w:autoSpaceDN/>
        <w:bidi w:val="0"/>
        <w:adjustRightInd/>
        <w:spacing w:line="240" w:lineRule="auto"/>
        <w:ind w:firstLine="480" w:firstLineChars="200"/>
        <w:jc w:val="left"/>
        <w:textAlignment w:val="auto"/>
        <w:rPr>
          <w:rFonts w:hint="eastAsia"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注：①须提供相关证书扫描件并加盖供应商公章。②项目负责人须为供应商本单位人员，提供人员在供应商本单位的在职证明材料并加盖供应商公章。</w:t>
      </w:r>
    </w:p>
    <w:p>
      <w:pPr>
        <w:pStyle w:val="16"/>
        <w:keepNext w:val="0"/>
        <w:keepLines w:val="0"/>
        <w:pageBreakBefore w:val="0"/>
        <w:widowControl w:val="0"/>
        <w:kinsoku/>
        <w:wordWrap/>
        <w:overflowPunct/>
        <w:topLinePunct w:val="0"/>
        <w:autoSpaceDE/>
        <w:autoSpaceDN/>
        <w:bidi w:val="0"/>
        <w:adjustRightInd/>
        <w:spacing w:line="240" w:lineRule="auto"/>
        <w:ind w:firstLine="480" w:firstLineChars="200"/>
        <w:jc w:val="left"/>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w:t>
      </w:r>
      <w:r>
        <w:rPr>
          <w:rFonts w:hint="default" w:ascii="仿宋" w:hAnsi="仿宋" w:eastAsia="仿宋" w:cs="仿宋"/>
          <w:sz w:val="24"/>
          <w:szCs w:val="24"/>
          <w:highlight w:val="none"/>
          <w:lang w:val="en-US" w:eastAsia="zh-CN"/>
        </w:rPr>
        <w:t>供应商需针对本项目提供服务方案，包含但不限于①项目总体思路；②工作重点和难点分析；③项目进度计划与安排；④人员的安排和计划；⑤项目响应时限；⑥保密管理措施。</w:t>
      </w:r>
    </w:p>
    <w:p>
      <w:pPr>
        <w:pStyle w:val="16"/>
        <w:keepNext w:val="0"/>
        <w:keepLines w:val="0"/>
        <w:pageBreakBefore w:val="0"/>
        <w:widowControl w:val="0"/>
        <w:kinsoku/>
        <w:wordWrap/>
        <w:overflowPunct/>
        <w:topLinePunct w:val="0"/>
        <w:autoSpaceDE/>
        <w:autoSpaceDN/>
        <w:bidi w:val="0"/>
        <w:adjustRightInd/>
        <w:spacing w:line="240" w:lineRule="auto"/>
        <w:ind w:firstLine="480" w:firstLineChars="200"/>
        <w:jc w:val="left"/>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w:t>
      </w:r>
      <w:r>
        <w:rPr>
          <w:rFonts w:hint="default" w:ascii="仿宋" w:hAnsi="仿宋" w:eastAsia="仿宋" w:cs="仿宋"/>
          <w:sz w:val="24"/>
          <w:szCs w:val="24"/>
          <w:highlight w:val="none"/>
          <w:lang w:val="en-US" w:eastAsia="zh-CN"/>
        </w:rPr>
        <w:t>供应商需针对本项目提供质量保证措施，包括但不限于①质量目标；②质量保障体系；③质量管理措施</w:t>
      </w:r>
      <w:r>
        <w:rPr>
          <w:rFonts w:hint="eastAsia" w:ascii="仿宋" w:hAnsi="仿宋" w:eastAsia="仿宋" w:cs="仿宋"/>
          <w:sz w:val="24"/>
          <w:szCs w:val="24"/>
          <w:highlight w:val="none"/>
          <w:lang w:val="en-US" w:eastAsia="zh-CN"/>
        </w:rPr>
        <w:t>。</w:t>
      </w:r>
    </w:p>
    <w:p>
      <w:pPr>
        <w:pStyle w:val="16"/>
        <w:ind w:firstLine="0"/>
        <w:rPr>
          <w:rFonts w:ascii="Times New Roman" w:hAnsi="Times New Roman" w:eastAsia="仿宋" w:cs="Times New Roman"/>
          <w:sz w:val="24"/>
          <w:szCs w:val="24"/>
        </w:rPr>
      </w:pPr>
    </w:p>
    <w:p>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pPr>
        <w:pStyle w:val="2"/>
        <w:rPr>
          <w:rFonts w:ascii="Times New Roman" w:hAnsi="Times New Roman" w:cs="Times New Roman"/>
        </w:rPr>
      </w:pPr>
      <w:bookmarkStart w:id="15" w:name="_Toc13768"/>
      <w:bookmarkStart w:id="16" w:name="_Toc28789"/>
      <w:bookmarkStart w:id="17" w:name="_Toc22588"/>
      <w:r>
        <w:rPr>
          <w:rFonts w:ascii="Times New Roman" w:hAnsi="Times New Roman" w:cs="Times New Roman"/>
        </w:rPr>
        <w:t>评分标准</w:t>
      </w:r>
      <w:bookmarkEnd w:id="15"/>
      <w:bookmarkEnd w:id="16"/>
      <w:bookmarkEnd w:id="17"/>
    </w:p>
    <w:p>
      <w:pPr>
        <w:rPr>
          <w:lang w:val="zh-CN"/>
        </w:rPr>
      </w:pPr>
    </w:p>
    <w:tbl>
      <w:tblPr>
        <w:tblStyle w:val="19"/>
        <w:tblW w:w="9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7"/>
        <w:gridCol w:w="965"/>
        <w:gridCol w:w="893"/>
        <w:gridCol w:w="71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477" w:type="dxa"/>
            <w:noWrap w:val="0"/>
            <w:vAlign w:val="center"/>
          </w:tcPr>
          <w:p>
            <w:pPr>
              <w:keepNext w:val="0"/>
              <w:keepLines w:val="0"/>
              <w:pageBreakBefore w:val="0"/>
              <w:kinsoku/>
              <w:overflowPunct/>
              <w:topLinePunct w:val="0"/>
              <w:autoSpaceDE/>
              <w:autoSpaceDN/>
              <w:bidi w:val="0"/>
              <w:adjustRightInd/>
              <w:snapToGrid/>
              <w:spacing w:line="240" w:lineRule="auto"/>
              <w:ind w:firstLine="0"/>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序号</w:t>
            </w:r>
          </w:p>
        </w:tc>
        <w:tc>
          <w:tcPr>
            <w:tcW w:w="965" w:type="dxa"/>
            <w:noWrap w:val="0"/>
            <w:vAlign w:val="center"/>
          </w:tcPr>
          <w:p>
            <w:pPr>
              <w:keepNext w:val="0"/>
              <w:keepLines w:val="0"/>
              <w:pageBreakBefore w:val="0"/>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rPr>
              <w:t>评分因素</w:t>
            </w:r>
          </w:p>
        </w:tc>
        <w:tc>
          <w:tcPr>
            <w:tcW w:w="893" w:type="dxa"/>
            <w:noWrap w:val="0"/>
            <w:vAlign w:val="center"/>
          </w:tcPr>
          <w:p>
            <w:pPr>
              <w:keepNext w:val="0"/>
              <w:keepLines w:val="0"/>
              <w:pageBreakBefore w:val="0"/>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vertAlign w:val="baseline"/>
                <w:lang w:eastAsia="zh-CN"/>
              </w:rPr>
            </w:pPr>
            <w:r>
              <w:rPr>
                <w:rFonts w:hint="eastAsia" w:ascii="仿宋" w:hAnsi="仿宋" w:eastAsia="仿宋" w:cs="仿宋"/>
                <w:color w:val="auto"/>
                <w:sz w:val="24"/>
                <w:szCs w:val="24"/>
                <w:highlight w:val="none"/>
                <w:lang w:val="en-US" w:eastAsia="zh-CN"/>
              </w:rPr>
              <w:t>分值</w:t>
            </w:r>
          </w:p>
        </w:tc>
        <w:tc>
          <w:tcPr>
            <w:tcW w:w="7184" w:type="dxa"/>
            <w:noWrap w:val="0"/>
            <w:vAlign w:val="center"/>
          </w:tcPr>
          <w:p>
            <w:pPr>
              <w:keepNext w:val="0"/>
              <w:keepLines w:val="0"/>
              <w:pageBreakBefore w:val="0"/>
              <w:kinsoku/>
              <w:overflowPunct/>
              <w:topLinePunct w:val="0"/>
              <w:autoSpaceDE/>
              <w:autoSpaceDN/>
              <w:bidi w:val="0"/>
              <w:adjustRightInd/>
              <w:snapToGrid/>
              <w:spacing w:line="240" w:lineRule="auto"/>
              <w:ind w:firstLine="0"/>
              <w:jc w:val="center"/>
              <w:textAlignment w:val="auto"/>
              <w:rPr>
                <w:rFonts w:hint="eastAsia" w:ascii="仿宋" w:hAnsi="仿宋" w:eastAsia="仿宋" w:cs="仿宋"/>
                <w:color w:val="auto"/>
                <w:sz w:val="24"/>
                <w:szCs w:val="24"/>
                <w:highlight w:val="none"/>
                <w:vertAlign w:val="baseline"/>
              </w:rPr>
            </w:pPr>
            <w:r>
              <w:rPr>
                <w:rFonts w:hint="eastAsia" w:ascii="仿宋" w:hAnsi="仿宋" w:eastAsia="仿宋" w:cs="仿宋"/>
                <w:i w:val="0"/>
                <w:iCs w:val="0"/>
                <w:caps w:val="0"/>
                <w:spacing w:val="0"/>
                <w:sz w:val="24"/>
                <w:szCs w:val="24"/>
                <w:highlight w:val="none"/>
                <w:shd w:val="clear" w:color="auto" w:fill="FFFFFF"/>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477" w:type="dxa"/>
            <w:noWrap w:val="0"/>
            <w:vAlign w:val="center"/>
          </w:tcPr>
          <w:p>
            <w:pPr>
              <w:keepNext w:val="0"/>
              <w:keepLines w:val="0"/>
              <w:pageBreakBefore w:val="0"/>
              <w:kinsoku/>
              <w:overflowPunct/>
              <w:topLinePunct w:val="0"/>
              <w:autoSpaceDE/>
              <w:autoSpaceDN/>
              <w:bidi w:val="0"/>
              <w:adjustRightInd/>
              <w:snapToGrid/>
              <w:spacing w:line="240" w:lineRule="auto"/>
              <w:ind w:firstLine="0"/>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w:t>
            </w:r>
          </w:p>
        </w:tc>
        <w:tc>
          <w:tcPr>
            <w:tcW w:w="965"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i w:val="0"/>
                <w:iCs w:val="0"/>
                <w:caps w:val="0"/>
                <w:spacing w:val="0"/>
                <w:sz w:val="24"/>
                <w:szCs w:val="24"/>
                <w:highlight w:val="none"/>
                <w:shd w:val="clear" w:color="auto" w:fill="FFFFFF"/>
              </w:rPr>
            </w:pPr>
            <w:r>
              <w:rPr>
                <w:rFonts w:hint="eastAsia" w:ascii="仿宋" w:hAnsi="仿宋" w:eastAsia="仿宋" w:cs="仿宋"/>
                <w:color w:val="auto"/>
                <w:sz w:val="24"/>
                <w:szCs w:val="24"/>
                <w:highlight w:val="none"/>
                <w:lang w:val="en-US" w:eastAsia="zh-CN"/>
              </w:rPr>
              <w:t>报价</w:t>
            </w:r>
          </w:p>
        </w:tc>
        <w:tc>
          <w:tcPr>
            <w:tcW w:w="893"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i w:val="0"/>
                <w:iCs w:val="0"/>
                <w:caps w:val="0"/>
                <w:spacing w:val="0"/>
                <w:sz w:val="24"/>
                <w:szCs w:val="24"/>
                <w:highlight w:val="none"/>
                <w:shd w:val="clear" w:color="auto" w:fill="FFFFFF"/>
                <w:lang w:val="en-US"/>
              </w:rPr>
            </w:pPr>
            <w:r>
              <w:rPr>
                <w:rFonts w:hint="eastAsia" w:ascii="仿宋" w:hAnsi="仿宋" w:eastAsia="仿宋" w:cs="仿宋"/>
                <w:color w:val="auto"/>
                <w:sz w:val="24"/>
                <w:szCs w:val="24"/>
                <w:highlight w:val="none"/>
                <w:lang w:val="en-US" w:eastAsia="zh-CN"/>
              </w:rPr>
              <w:t>10分</w:t>
            </w:r>
          </w:p>
        </w:tc>
        <w:tc>
          <w:tcPr>
            <w:tcW w:w="7184" w:type="dxa"/>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jc w:val="left"/>
              <w:textAlignment w:val="auto"/>
              <w:rPr>
                <w:rFonts w:hint="eastAsia" w:ascii="仿宋" w:hAnsi="仿宋" w:eastAsia="仿宋" w:cs="仿宋"/>
                <w:b w:val="0"/>
                <w:bCs/>
                <w:sz w:val="24"/>
                <w:szCs w:val="24"/>
                <w:highlight w:val="none"/>
                <w:lang w:val="en-US" w:eastAsia="zh-CN"/>
              </w:rPr>
            </w:pPr>
            <w:r>
              <w:rPr>
                <w:rFonts w:hint="eastAsia" w:ascii="仿宋" w:hAnsi="仿宋" w:eastAsia="仿宋" w:cs="仿宋"/>
                <w:sz w:val="24"/>
                <w:szCs w:val="24"/>
                <w:highlight w:val="none"/>
                <w:lang w:val="en-US" w:eastAsia="zh-CN"/>
              </w:rPr>
              <w:t>满足采购文件要求且响应下浮比例最高的整体下浮比例为基准下浮比例。其他供应商的价格分统一按照下列公式计算:得分=(1-基准下浮比例)/(1-响应下浮比例)</w:t>
            </w:r>
            <w:r>
              <w:rPr>
                <w:rFonts w:hint="eastAsia" w:ascii="仿宋" w:hAnsi="仿宋" w:eastAsia="仿宋" w:cs="仿宋"/>
                <w:b w:val="0"/>
                <w:bCs/>
                <w:sz w:val="24"/>
                <w:szCs w:val="24"/>
                <w:highlight w:val="none"/>
                <w:lang w:val="en-US" w:eastAsia="zh-CN"/>
              </w:rPr>
              <w:t>×10。</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0"/>
              <w:jc w:val="left"/>
              <w:textAlignment w:val="auto"/>
              <w:rPr>
                <w:rFonts w:hint="eastAsia" w:ascii="仿宋" w:hAnsi="仿宋" w:eastAsia="仿宋" w:cs="仿宋"/>
                <w:i w:val="0"/>
                <w:iCs w:val="0"/>
                <w:caps w:val="0"/>
                <w:spacing w:val="0"/>
                <w:sz w:val="24"/>
                <w:szCs w:val="24"/>
                <w:highlight w:val="none"/>
                <w:shd w:val="clear" w:color="auto" w:fill="FFFFFF"/>
              </w:rPr>
            </w:pPr>
            <w:r>
              <w:rPr>
                <w:rFonts w:hint="eastAsia" w:ascii="仿宋" w:hAnsi="仿宋" w:eastAsia="仿宋" w:cs="仿宋"/>
                <w:b w:val="0"/>
                <w:bCs/>
                <w:sz w:val="24"/>
                <w:szCs w:val="24"/>
                <w:highlight w:val="none"/>
                <w:lang w:val="en-US" w:eastAsia="zh-CN"/>
              </w:rPr>
              <w:t>注：四舍五入保留小数点后两位。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477" w:type="dxa"/>
            <w:noWrap w:val="0"/>
            <w:vAlign w:val="center"/>
          </w:tcPr>
          <w:p>
            <w:pPr>
              <w:keepNext w:val="0"/>
              <w:keepLines w:val="0"/>
              <w:pageBreakBefore w:val="0"/>
              <w:kinsoku/>
              <w:overflowPunct/>
              <w:topLinePunct w:val="0"/>
              <w:autoSpaceDE/>
              <w:autoSpaceDN/>
              <w:bidi w:val="0"/>
              <w:adjustRightInd/>
              <w:snapToGrid/>
              <w:spacing w:line="240" w:lineRule="auto"/>
              <w:ind w:firstLine="0"/>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2</w:t>
            </w:r>
          </w:p>
        </w:tc>
        <w:tc>
          <w:tcPr>
            <w:tcW w:w="965" w:type="dxa"/>
            <w:shd w:val="clear" w:color="auto" w:fill="auto"/>
            <w:noWrap w:val="0"/>
            <w:vAlign w:val="center"/>
          </w:tcPr>
          <w:p>
            <w:pPr>
              <w:pStyle w:val="41"/>
              <w:keepNext w:val="0"/>
              <w:keepLines w:val="0"/>
              <w:pageBreakBefore w:val="0"/>
              <w:numPr>
                <w:ilvl w:val="0"/>
                <w:numId w:val="0"/>
              </w:numPr>
              <w:kinsoku/>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人员配置</w:t>
            </w:r>
          </w:p>
        </w:tc>
        <w:tc>
          <w:tcPr>
            <w:tcW w:w="893" w:type="dxa"/>
            <w:shd w:val="clear" w:color="auto" w:fill="auto"/>
            <w:noWrap w:val="0"/>
            <w:vAlign w:val="center"/>
          </w:tcPr>
          <w:p>
            <w:pPr>
              <w:pStyle w:val="41"/>
              <w:keepNext w:val="0"/>
              <w:keepLines w:val="0"/>
              <w:pageBreakBefore w:val="0"/>
              <w:numPr>
                <w:ilvl w:val="0"/>
                <w:numId w:val="0"/>
              </w:numPr>
              <w:kinsoku/>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40分</w:t>
            </w:r>
          </w:p>
        </w:tc>
        <w:tc>
          <w:tcPr>
            <w:tcW w:w="7184" w:type="dxa"/>
            <w:shd w:val="clear" w:color="auto" w:fill="auto"/>
            <w:noWrap w:val="0"/>
            <w:vAlign w:val="top"/>
          </w:tcPr>
          <w:p>
            <w:pPr>
              <w:pStyle w:val="16"/>
              <w:keepNext w:val="0"/>
              <w:keepLines w:val="0"/>
              <w:pageBreakBefore w:val="0"/>
              <w:widowControl w:val="0"/>
              <w:kinsoku/>
              <w:wordWrap/>
              <w:overflowPunct/>
              <w:topLinePunct w:val="0"/>
              <w:autoSpaceDE/>
              <w:autoSpaceDN/>
              <w:bidi w:val="0"/>
              <w:adjustRightInd/>
              <w:spacing w:line="24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供应商需提供拟派项目团队人员信息，包含技术负责人及相关团队人员执业资格证书及相关专业技术职称。团队成员要求为：</w:t>
            </w:r>
          </w:p>
          <w:p>
            <w:pPr>
              <w:pStyle w:val="16"/>
              <w:keepNext w:val="0"/>
              <w:keepLines w:val="0"/>
              <w:pageBreakBefore w:val="0"/>
              <w:widowControl w:val="0"/>
              <w:numPr>
                <w:ilvl w:val="-1"/>
                <w:numId w:val="0"/>
              </w:numPr>
              <w:kinsoku/>
              <w:wordWrap/>
              <w:overflowPunct/>
              <w:topLinePunct w:val="0"/>
              <w:autoSpaceDE/>
              <w:autoSpaceDN/>
              <w:bidi w:val="0"/>
              <w:adjustRightInd/>
              <w:snapToGrid/>
              <w:spacing w:before="0" w:after="0" w:line="240" w:lineRule="auto"/>
              <w:ind w:firstLine="480" w:firstLineChars="200"/>
              <w:jc w:val="left"/>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（1）项目负责人1名，具有全国一级注册造价工程师证书得4分，具有工程造价专业高级及以上职称得4分，本项最多得8分。</w:t>
            </w:r>
          </w:p>
          <w:p>
            <w:pPr>
              <w:pStyle w:val="16"/>
              <w:keepNext w:val="0"/>
              <w:keepLines w:val="0"/>
              <w:pageBreakBefore w:val="0"/>
              <w:widowControl w:val="0"/>
              <w:numPr>
                <w:ilvl w:val="-1"/>
                <w:numId w:val="0"/>
              </w:numPr>
              <w:kinsoku/>
              <w:wordWrap/>
              <w:overflowPunct/>
              <w:topLinePunct w:val="0"/>
              <w:autoSpaceDE/>
              <w:autoSpaceDN/>
              <w:bidi w:val="0"/>
              <w:adjustRightInd/>
              <w:snapToGrid/>
              <w:spacing w:before="0" w:after="0" w:line="240" w:lineRule="auto"/>
              <w:ind w:firstLine="480" w:firstLineChars="200"/>
              <w:jc w:val="left"/>
              <w:textAlignment w:val="auto"/>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（2）拟派</w:t>
            </w:r>
            <w:r>
              <w:rPr>
                <w:rFonts w:hint="default" w:ascii="仿宋" w:hAnsi="仿宋" w:eastAsia="仿宋" w:cs="仿宋"/>
                <w:b w:val="0"/>
                <w:sz w:val="24"/>
                <w:szCs w:val="24"/>
                <w:highlight w:val="none"/>
                <w:vertAlign w:val="baseline"/>
                <w:lang w:val="en-US" w:eastAsia="zh-CN"/>
              </w:rPr>
              <w:t>土建装饰</w:t>
            </w:r>
            <w:r>
              <w:rPr>
                <w:rFonts w:hint="default" w:ascii="仿宋" w:hAnsi="仿宋" w:eastAsia="仿宋" w:cs="仿宋"/>
                <w:sz w:val="24"/>
                <w:szCs w:val="24"/>
                <w:highlight w:val="none"/>
                <w:lang w:val="en-US" w:eastAsia="zh-CN"/>
              </w:rPr>
              <w:t>专业负责人：具备</w:t>
            </w:r>
            <w:r>
              <w:rPr>
                <w:rFonts w:hint="default" w:ascii="仿宋" w:hAnsi="仿宋" w:eastAsia="仿宋" w:cs="仿宋"/>
                <w:b w:val="0"/>
                <w:sz w:val="24"/>
                <w:szCs w:val="24"/>
                <w:highlight w:val="none"/>
                <w:vertAlign w:val="baseline"/>
                <w:lang w:val="en-US" w:eastAsia="zh-CN"/>
              </w:rPr>
              <w:t>全国二级注册造价工程师证书</w:t>
            </w:r>
            <w:r>
              <w:rPr>
                <w:rFonts w:hint="eastAsia" w:ascii="仿宋" w:hAnsi="仿宋" w:eastAsia="仿宋" w:cs="仿宋"/>
                <w:b w:val="0"/>
                <w:sz w:val="24"/>
                <w:szCs w:val="24"/>
                <w:highlight w:val="none"/>
                <w:vertAlign w:val="baseline"/>
                <w:lang w:val="en-US" w:eastAsia="zh-CN"/>
              </w:rPr>
              <w:t>得3分，一级</w:t>
            </w:r>
            <w:r>
              <w:rPr>
                <w:rFonts w:hint="default" w:ascii="仿宋" w:hAnsi="仿宋" w:eastAsia="仿宋" w:cs="仿宋"/>
                <w:b w:val="0"/>
                <w:sz w:val="24"/>
                <w:szCs w:val="24"/>
                <w:highlight w:val="none"/>
                <w:vertAlign w:val="baseline"/>
                <w:lang w:val="en-US" w:eastAsia="zh-CN"/>
              </w:rPr>
              <w:t>及以上</w:t>
            </w:r>
            <w:r>
              <w:rPr>
                <w:rFonts w:hint="eastAsia" w:ascii="仿宋" w:hAnsi="仿宋" w:eastAsia="仿宋" w:cs="仿宋"/>
                <w:b w:val="0"/>
                <w:sz w:val="24"/>
                <w:szCs w:val="24"/>
                <w:highlight w:val="none"/>
                <w:vertAlign w:val="baseline"/>
                <w:lang w:val="en-US" w:eastAsia="zh-CN"/>
              </w:rPr>
              <w:t>得4分；</w:t>
            </w:r>
            <w:r>
              <w:rPr>
                <w:rFonts w:hint="default" w:ascii="仿宋" w:hAnsi="仿宋" w:eastAsia="仿宋" w:cs="仿宋"/>
                <w:b w:val="0"/>
                <w:sz w:val="24"/>
                <w:szCs w:val="24"/>
                <w:highlight w:val="none"/>
                <w:vertAlign w:val="baseline"/>
                <w:lang w:val="en-US" w:eastAsia="zh-CN"/>
              </w:rPr>
              <w:t>具有工程造价专业中级</w:t>
            </w:r>
            <w:r>
              <w:rPr>
                <w:rFonts w:hint="eastAsia" w:ascii="仿宋" w:hAnsi="仿宋" w:eastAsia="仿宋" w:cs="仿宋"/>
                <w:b w:val="0"/>
                <w:sz w:val="24"/>
                <w:szCs w:val="24"/>
                <w:highlight w:val="none"/>
                <w:vertAlign w:val="baseline"/>
                <w:lang w:val="en-US" w:eastAsia="zh-CN"/>
              </w:rPr>
              <w:t>职称得3分，高级</w:t>
            </w:r>
            <w:r>
              <w:rPr>
                <w:rFonts w:hint="default" w:ascii="仿宋" w:hAnsi="仿宋" w:eastAsia="仿宋" w:cs="仿宋"/>
                <w:b w:val="0"/>
                <w:sz w:val="24"/>
                <w:szCs w:val="24"/>
                <w:highlight w:val="none"/>
                <w:vertAlign w:val="baseline"/>
                <w:lang w:val="en-US" w:eastAsia="zh-CN"/>
              </w:rPr>
              <w:t>及以上职称</w:t>
            </w:r>
            <w:r>
              <w:rPr>
                <w:rFonts w:hint="eastAsia" w:ascii="仿宋" w:hAnsi="仿宋" w:eastAsia="仿宋" w:cs="仿宋"/>
                <w:b w:val="0"/>
                <w:sz w:val="24"/>
                <w:szCs w:val="24"/>
                <w:highlight w:val="none"/>
                <w:vertAlign w:val="baseline"/>
                <w:lang w:val="en-US" w:eastAsia="zh-CN"/>
              </w:rPr>
              <w:t>得4分</w:t>
            </w:r>
            <w:r>
              <w:rPr>
                <w:rFonts w:hint="default" w:ascii="仿宋" w:hAnsi="仿宋" w:eastAsia="仿宋" w:cs="仿宋"/>
                <w:sz w:val="24"/>
                <w:szCs w:val="24"/>
                <w:highlight w:val="none"/>
                <w:lang w:val="en-US" w:eastAsia="zh-CN"/>
              </w:rPr>
              <w:t>。</w:t>
            </w:r>
            <w:r>
              <w:rPr>
                <w:rFonts w:hint="eastAsia" w:ascii="仿宋" w:hAnsi="仿宋" w:eastAsia="仿宋" w:cs="仿宋"/>
                <w:sz w:val="24"/>
                <w:szCs w:val="24"/>
                <w:highlight w:val="none"/>
                <w:lang w:val="en-US" w:eastAsia="zh-CN"/>
              </w:rPr>
              <w:t>本项最多得8分。</w:t>
            </w:r>
          </w:p>
          <w:p>
            <w:pPr>
              <w:pStyle w:val="16"/>
              <w:keepNext w:val="0"/>
              <w:keepLines w:val="0"/>
              <w:pageBreakBefore w:val="0"/>
              <w:widowControl w:val="0"/>
              <w:numPr>
                <w:ilvl w:val="-1"/>
                <w:numId w:val="0"/>
              </w:numPr>
              <w:kinsoku/>
              <w:wordWrap/>
              <w:overflowPunct/>
              <w:topLinePunct w:val="0"/>
              <w:autoSpaceDE/>
              <w:autoSpaceDN/>
              <w:bidi w:val="0"/>
              <w:adjustRightInd/>
              <w:snapToGrid/>
              <w:spacing w:before="0" w:after="0" w:line="240" w:lineRule="auto"/>
              <w:ind w:firstLine="480" w:firstLineChars="200"/>
              <w:jc w:val="left"/>
              <w:textAlignment w:val="auto"/>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（3）拟派安装专业负责人：具备</w:t>
            </w:r>
            <w:r>
              <w:rPr>
                <w:rFonts w:hint="default" w:ascii="仿宋" w:hAnsi="仿宋" w:eastAsia="仿宋" w:cs="仿宋"/>
                <w:b w:val="0"/>
                <w:sz w:val="24"/>
                <w:szCs w:val="24"/>
                <w:highlight w:val="none"/>
                <w:vertAlign w:val="baseline"/>
                <w:lang w:val="en-US" w:eastAsia="zh-CN"/>
              </w:rPr>
              <w:t>全国二级注册造价工程师证书</w:t>
            </w:r>
            <w:r>
              <w:rPr>
                <w:rFonts w:hint="eastAsia" w:ascii="仿宋" w:hAnsi="仿宋" w:eastAsia="仿宋" w:cs="仿宋"/>
                <w:b w:val="0"/>
                <w:sz w:val="24"/>
                <w:szCs w:val="24"/>
                <w:highlight w:val="none"/>
                <w:vertAlign w:val="baseline"/>
                <w:lang w:val="en-US" w:eastAsia="zh-CN"/>
              </w:rPr>
              <w:t>得3分，一级</w:t>
            </w:r>
            <w:r>
              <w:rPr>
                <w:rFonts w:hint="default" w:ascii="仿宋" w:hAnsi="仿宋" w:eastAsia="仿宋" w:cs="仿宋"/>
                <w:b w:val="0"/>
                <w:sz w:val="24"/>
                <w:szCs w:val="24"/>
                <w:highlight w:val="none"/>
                <w:vertAlign w:val="baseline"/>
                <w:lang w:val="en-US" w:eastAsia="zh-CN"/>
              </w:rPr>
              <w:t>及以上</w:t>
            </w:r>
            <w:r>
              <w:rPr>
                <w:rFonts w:hint="eastAsia" w:ascii="仿宋" w:hAnsi="仿宋" w:eastAsia="仿宋" w:cs="仿宋"/>
                <w:b w:val="0"/>
                <w:sz w:val="24"/>
                <w:szCs w:val="24"/>
                <w:highlight w:val="none"/>
                <w:vertAlign w:val="baseline"/>
                <w:lang w:val="en-US" w:eastAsia="zh-CN"/>
              </w:rPr>
              <w:t>得4分；</w:t>
            </w:r>
            <w:r>
              <w:rPr>
                <w:rFonts w:hint="default" w:ascii="仿宋" w:hAnsi="仿宋" w:eastAsia="仿宋" w:cs="仿宋"/>
                <w:b w:val="0"/>
                <w:sz w:val="24"/>
                <w:szCs w:val="24"/>
                <w:highlight w:val="none"/>
                <w:vertAlign w:val="baseline"/>
                <w:lang w:val="en-US" w:eastAsia="zh-CN"/>
              </w:rPr>
              <w:t>具有工程造价专业中级</w:t>
            </w:r>
            <w:r>
              <w:rPr>
                <w:rFonts w:hint="eastAsia" w:ascii="仿宋" w:hAnsi="仿宋" w:eastAsia="仿宋" w:cs="仿宋"/>
                <w:b w:val="0"/>
                <w:sz w:val="24"/>
                <w:szCs w:val="24"/>
                <w:highlight w:val="none"/>
                <w:vertAlign w:val="baseline"/>
                <w:lang w:val="en-US" w:eastAsia="zh-CN"/>
              </w:rPr>
              <w:t>职称得3分，高级</w:t>
            </w:r>
            <w:r>
              <w:rPr>
                <w:rFonts w:hint="default" w:ascii="仿宋" w:hAnsi="仿宋" w:eastAsia="仿宋" w:cs="仿宋"/>
                <w:b w:val="0"/>
                <w:sz w:val="24"/>
                <w:szCs w:val="24"/>
                <w:highlight w:val="none"/>
                <w:vertAlign w:val="baseline"/>
                <w:lang w:val="en-US" w:eastAsia="zh-CN"/>
              </w:rPr>
              <w:t>及以上职称</w:t>
            </w:r>
            <w:r>
              <w:rPr>
                <w:rFonts w:hint="eastAsia" w:ascii="仿宋" w:hAnsi="仿宋" w:eastAsia="仿宋" w:cs="仿宋"/>
                <w:b w:val="0"/>
                <w:sz w:val="24"/>
                <w:szCs w:val="24"/>
                <w:highlight w:val="none"/>
                <w:vertAlign w:val="baseline"/>
                <w:lang w:val="en-US" w:eastAsia="zh-CN"/>
              </w:rPr>
              <w:t>得4分</w:t>
            </w:r>
            <w:r>
              <w:rPr>
                <w:rFonts w:hint="default" w:ascii="仿宋" w:hAnsi="仿宋" w:eastAsia="仿宋" w:cs="仿宋"/>
                <w:sz w:val="24"/>
                <w:szCs w:val="24"/>
                <w:highlight w:val="none"/>
                <w:lang w:val="en-US" w:eastAsia="zh-CN"/>
              </w:rPr>
              <w:t>。</w:t>
            </w:r>
            <w:r>
              <w:rPr>
                <w:rFonts w:hint="eastAsia" w:ascii="仿宋" w:hAnsi="仿宋" w:eastAsia="仿宋" w:cs="仿宋"/>
                <w:sz w:val="24"/>
                <w:szCs w:val="24"/>
                <w:highlight w:val="none"/>
                <w:lang w:val="en-US" w:eastAsia="zh-CN"/>
              </w:rPr>
              <w:t>本项最多得8分。</w:t>
            </w:r>
          </w:p>
          <w:p>
            <w:pPr>
              <w:pStyle w:val="16"/>
              <w:ind w:firstLine="480" w:firstLineChars="200"/>
              <w:rPr>
                <w:rFonts w:hint="default" w:ascii="仿宋" w:hAnsi="仿宋" w:eastAsia="仿宋" w:cs="仿宋"/>
                <w:sz w:val="24"/>
                <w:szCs w:val="24"/>
                <w:highlight w:val="none"/>
              </w:rPr>
            </w:pPr>
            <w:r>
              <w:rPr>
                <w:rFonts w:hint="default" w:ascii="仿宋" w:hAnsi="仿宋" w:eastAsia="仿宋" w:cs="仿宋"/>
                <w:sz w:val="24"/>
                <w:szCs w:val="24"/>
                <w:highlight w:val="none"/>
                <w:lang w:val="en-US" w:eastAsia="zh-CN"/>
              </w:rPr>
              <w:t>（4）其他项目组成员：具备</w:t>
            </w:r>
            <w:r>
              <w:rPr>
                <w:rFonts w:hint="default" w:ascii="仿宋" w:hAnsi="仿宋" w:eastAsia="仿宋" w:cs="仿宋"/>
                <w:b w:val="0"/>
                <w:sz w:val="24"/>
                <w:szCs w:val="24"/>
                <w:highlight w:val="none"/>
                <w:vertAlign w:val="baseline"/>
                <w:lang w:val="en-US" w:eastAsia="zh-CN"/>
              </w:rPr>
              <w:t>全国二级注册造价工程师证书</w:t>
            </w:r>
            <w:r>
              <w:rPr>
                <w:rFonts w:hint="eastAsia" w:ascii="仿宋" w:hAnsi="仿宋" w:eastAsia="仿宋" w:cs="仿宋"/>
                <w:b w:val="0"/>
                <w:sz w:val="24"/>
                <w:szCs w:val="24"/>
                <w:highlight w:val="none"/>
                <w:vertAlign w:val="baseline"/>
                <w:lang w:val="en-US" w:eastAsia="zh-CN"/>
              </w:rPr>
              <w:t>得3分，一级</w:t>
            </w:r>
            <w:r>
              <w:rPr>
                <w:rFonts w:hint="default" w:ascii="仿宋" w:hAnsi="仿宋" w:eastAsia="仿宋" w:cs="仿宋"/>
                <w:b w:val="0"/>
                <w:sz w:val="24"/>
                <w:szCs w:val="24"/>
                <w:highlight w:val="none"/>
                <w:vertAlign w:val="baseline"/>
                <w:lang w:val="en-US" w:eastAsia="zh-CN"/>
              </w:rPr>
              <w:t>及以上</w:t>
            </w:r>
            <w:r>
              <w:rPr>
                <w:rFonts w:hint="eastAsia" w:ascii="仿宋" w:hAnsi="仿宋" w:eastAsia="仿宋" w:cs="仿宋"/>
                <w:b w:val="0"/>
                <w:sz w:val="24"/>
                <w:szCs w:val="24"/>
                <w:highlight w:val="none"/>
                <w:vertAlign w:val="baseline"/>
                <w:lang w:val="en-US" w:eastAsia="zh-CN"/>
              </w:rPr>
              <w:t>得4分；</w:t>
            </w:r>
            <w:r>
              <w:rPr>
                <w:rFonts w:hint="default" w:ascii="仿宋" w:hAnsi="仿宋" w:eastAsia="仿宋" w:cs="仿宋"/>
                <w:b w:val="0"/>
                <w:sz w:val="24"/>
                <w:szCs w:val="24"/>
                <w:highlight w:val="none"/>
                <w:vertAlign w:val="baseline"/>
                <w:lang w:val="en-US" w:eastAsia="zh-CN"/>
              </w:rPr>
              <w:t>具有工程造价专业中级</w:t>
            </w:r>
            <w:r>
              <w:rPr>
                <w:rFonts w:hint="eastAsia" w:ascii="仿宋" w:hAnsi="仿宋" w:eastAsia="仿宋" w:cs="仿宋"/>
                <w:b w:val="0"/>
                <w:sz w:val="24"/>
                <w:szCs w:val="24"/>
                <w:highlight w:val="none"/>
                <w:vertAlign w:val="baseline"/>
                <w:lang w:val="en-US" w:eastAsia="zh-CN"/>
              </w:rPr>
              <w:t>职称得3分，高级</w:t>
            </w:r>
            <w:r>
              <w:rPr>
                <w:rFonts w:hint="default" w:ascii="仿宋" w:hAnsi="仿宋" w:eastAsia="仿宋" w:cs="仿宋"/>
                <w:b w:val="0"/>
                <w:sz w:val="24"/>
                <w:szCs w:val="24"/>
                <w:highlight w:val="none"/>
                <w:vertAlign w:val="baseline"/>
                <w:lang w:val="en-US" w:eastAsia="zh-CN"/>
              </w:rPr>
              <w:t>及以上职称</w:t>
            </w:r>
            <w:r>
              <w:rPr>
                <w:rFonts w:hint="eastAsia" w:ascii="仿宋" w:hAnsi="仿宋" w:eastAsia="仿宋" w:cs="仿宋"/>
                <w:b w:val="0"/>
                <w:sz w:val="24"/>
                <w:szCs w:val="24"/>
                <w:highlight w:val="none"/>
                <w:vertAlign w:val="baseline"/>
                <w:lang w:val="en-US" w:eastAsia="zh-CN"/>
              </w:rPr>
              <w:t>得4分</w:t>
            </w:r>
            <w:r>
              <w:rPr>
                <w:rFonts w:hint="default" w:ascii="仿宋" w:hAnsi="仿宋" w:eastAsia="仿宋" w:cs="仿宋"/>
                <w:sz w:val="24"/>
                <w:szCs w:val="24"/>
                <w:highlight w:val="none"/>
                <w:lang w:val="en-US" w:eastAsia="zh-CN"/>
              </w:rPr>
              <w:t>。</w:t>
            </w:r>
            <w:r>
              <w:rPr>
                <w:rFonts w:hint="eastAsia" w:ascii="仿宋" w:hAnsi="仿宋" w:eastAsia="仿宋" w:cs="仿宋"/>
                <w:sz w:val="24"/>
                <w:szCs w:val="24"/>
                <w:highlight w:val="none"/>
                <w:lang w:val="en-US" w:eastAsia="zh-CN"/>
              </w:rPr>
              <w:t>本项最多得16分</w:t>
            </w:r>
            <w:r>
              <w:rPr>
                <w:rFonts w:hint="default" w:ascii="仿宋" w:hAnsi="仿宋" w:eastAsia="仿宋" w:cs="仿宋"/>
                <w:sz w:val="24"/>
                <w:szCs w:val="24"/>
                <w:highlight w:val="none"/>
                <w:lang w:val="en-US" w:eastAsia="zh-CN"/>
              </w:rPr>
              <w:t>。</w:t>
            </w:r>
          </w:p>
          <w:p>
            <w:pPr>
              <w:pStyle w:val="41"/>
              <w:keepNext w:val="0"/>
              <w:keepLines w:val="0"/>
              <w:pageBreakBefore w:val="0"/>
              <w:numPr>
                <w:ilvl w:val="0"/>
                <w:numId w:val="0"/>
              </w:numPr>
              <w:kinsoku/>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val="0"/>
                <w:bCs/>
                <w:sz w:val="24"/>
                <w:szCs w:val="24"/>
                <w:highlight w:val="none"/>
                <w:lang w:val="zh-CN"/>
              </w:rPr>
              <w:t>注：①须提供相关证书扫描件并加盖供应商公章。②项目负责人须为供应商本单位人员，提供人员在供应商本单位的在职证明材料并加盖供应商公章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477" w:type="dxa"/>
            <w:noWrap w:val="0"/>
            <w:vAlign w:val="center"/>
          </w:tcPr>
          <w:p>
            <w:pPr>
              <w:pStyle w:val="41"/>
              <w:keepNext w:val="0"/>
              <w:keepLines w:val="0"/>
              <w:pageBreakBefore w:val="0"/>
              <w:numPr>
                <w:ilvl w:val="0"/>
                <w:numId w:val="0"/>
              </w:numPr>
              <w:kinsoku/>
              <w:overflowPunct/>
              <w:topLinePunct w:val="0"/>
              <w:autoSpaceDE/>
              <w:autoSpaceDN/>
              <w:bidi w:val="0"/>
              <w:adjustRightInd/>
              <w:snapToGrid/>
              <w:spacing w:line="240" w:lineRule="auto"/>
              <w:ind w:firstLine="0" w:firstLineChars="0"/>
              <w:jc w:val="lef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965" w:type="dxa"/>
            <w:shd w:val="clear" w:color="auto" w:fill="auto"/>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履约业绩</w:t>
            </w:r>
          </w:p>
        </w:tc>
        <w:tc>
          <w:tcPr>
            <w:tcW w:w="893" w:type="dxa"/>
            <w:shd w:val="clear" w:color="auto" w:fill="auto"/>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b w:val="0"/>
                <w:bCs/>
                <w:kern w:val="2"/>
                <w:sz w:val="24"/>
                <w:szCs w:val="24"/>
                <w:highlight w:val="none"/>
                <w:lang w:val="en-US" w:eastAsia="zh-CN" w:bidi="ar-SA"/>
              </w:rPr>
            </w:pPr>
            <w:r>
              <w:rPr>
                <w:rFonts w:hint="eastAsia" w:ascii="仿宋" w:hAnsi="仿宋" w:eastAsia="仿宋" w:cs="仿宋"/>
                <w:b w:val="0"/>
                <w:bCs/>
                <w:sz w:val="24"/>
                <w:szCs w:val="24"/>
                <w:highlight w:val="none"/>
                <w:lang w:val="en-US" w:eastAsia="zh-CN"/>
              </w:rPr>
              <w:t>38分</w:t>
            </w:r>
          </w:p>
        </w:tc>
        <w:tc>
          <w:tcPr>
            <w:tcW w:w="7184" w:type="dxa"/>
            <w:shd w:val="clear" w:color="auto" w:fill="auto"/>
            <w:noWrap w:val="0"/>
            <w:vAlign w:val="center"/>
          </w:tcPr>
          <w:p>
            <w:pPr>
              <w:pStyle w:val="41"/>
              <w:keepNext w:val="0"/>
              <w:keepLines w:val="0"/>
              <w:pageBreakBefore w:val="0"/>
              <w:numPr>
                <w:ilvl w:val="0"/>
                <w:numId w:val="0"/>
              </w:numPr>
              <w:kinsoku/>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1）企业业绩：每提供一个自2023年1月1日（含）至今以来类似项目业绩得5分，本项最多得30分(类似项目业绩为公共建筑类全过程造价咨询服务类项目（至少包括招标工程量清单及控制价编制或预算编制或全过程控制或竣工结算审核）。</w:t>
            </w:r>
          </w:p>
          <w:p>
            <w:pPr>
              <w:pStyle w:val="41"/>
              <w:keepNext w:val="0"/>
              <w:keepLines w:val="0"/>
              <w:pageBreakBefore w:val="0"/>
              <w:numPr>
                <w:ilvl w:val="0"/>
                <w:numId w:val="0"/>
              </w:numPr>
              <w:kinsoku/>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2）项目负责人业绩：每提供一个自2023年1月1日（含）至今以来的类似项目业绩得2分，本项最多得8分(类似业绩为公共建筑类工程造价咨询服务类项目，至少包括招标工程量清单及控制价编制或预算编制或全过程控制或竣工结算审核）。</w:t>
            </w:r>
          </w:p>
          <w:p>
            <w:pPr>
              <w:pStyle w:val="41"/>
              <w:keepNext w:val="0"/>
              <w:keepLines w:val="0"/>
              <w:pageBreakBefore w:val="0"/>
              <w:numPr>
                <w:ilvl w:val="0"/>
                <w:numId w:val="0"/>
              </w:numPr>
              <w:kinsoku/>
              <w:overflowPunct/>
              <w:topLinePunct w:val="0"/>
              <w:autoSpaceDE/>
              <w:autoSpaceDN/>
              <w:bidi w:val="0"/>
              <w:adjustRightInd/>
              <w:snapToGrid/>
              <w:spacing w:line="240" w:lineRule="auto"/>
              <w:ind w:left="0" w:leftChars="0" w:firstLine="0" w:firstLineChars="0"/>
              <w:jc w:val="left"/>
              <w:textAlignment w:val="auto"/>
              <w:rPr>
                <w:rFonts w:hint="default"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注：①提供中标（成交）通知书或盖章合同复印件并加盖公章；②项目负责人业绩可与公司业绩为相同业绩；③业绩时间以合同签订时间为准；④提供合同复印件及能证明为本项目拟派的项目负责人业绩的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477" w:type="dxa"/>
            <w:noWrap w:val="0"/>
            <w:vAlign w:val="center"/>
          </w:tcPr>
          <w:p>
            <w:pPr>
              <w:pStyle w:val="41"/>
              <w:keepNext w:val="0"/>
              <w:keepLines w:val="0"/>
              <w:pageBreakBefore w:val="0"/>
              <w:numPr>
                <w:ilvl w:val="0"/>
                <w:numId w:val="0"/>
              </w:numPr>
              <w:kinsoku/>
              <w:overflowPunct/>
              <w:topLinePunct w:val="0"/>
              <w:autoSpaceDE/>
              <w:autoSpaceDN/>
              <w:bidi w:val="0"/>
              <w:adjustRightInd/>
              <w:snapToGrid/>
              <w:spacing w:line="240" w:lineRule="auto"/>
              <w:ind w:firstLine="0" w:firstLineChars="0"/>
              <w:jc w:val="lef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965" w:type="dxa"/>
            <w:shd w:val="clear" w:color="auto" w:fill="auto"/>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b w:val="0"/>
                <w:bCs/>
                <w:kern w:val="2"/>
                <w:sz w:val="24"/>
                <w:szCs w:val="24"/>
                <w:highlight w:val="none"/>
                <w:lang w:val="en-US" w:eastAsia="zh-CN" w:bidi="ar-SA"/>
              </w:rPr>
            </w:pPr>
            <w:r>
              <w:rPr>
                <w:rFonts w:hint="default" w:ascii="仿宋" w:hAnsi="仿宋" w:eastAsia="仿宋" w:cs="仿宋"/>
                <w:color w:val="auto"/>
                <w:sz w:val="24"/>
                <w:szCs w:val="24"/>
                <w:highlight w:val="none"/>
                <w:lang w:val="en-US" w:eastAsia="zh-CN"/>
              </w:rPr>
              <w:t>服务方案</w:t>
            </w:r>
          </w:p>
        </w:tc>
        <w:tc>
          <w:tcPr>
            <w:tcW w:w="893" w:type="dxa"/>
            <w:shd w:val="clear" w:color="auto" w:fill="auto"/>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仿宋" w:hAnsi="仿宋" w:eastAsia="仿宋" w:cs="仿宋"/>
                <w:b w:val="0"/>
                <w:bCs/>
                <w:kern w:val="2"/>
                <w:sz w:val="24"/>
                <w:szCs w:val="24"/>
                <w:highlight w:val="none"/>
                <w:lang w:val="en-US" w:eastAsia="zh-CN" w:bidi="ar-SA"/>
              </w:rPr>
            </w:pPr>
            <w:r>
              <w:rPr>
                <w:rFonts w:hint="eastAsia" w:ascii="仿宋" w:hAnsi="仿宋" w:eastAsia="仿宋" w:cs="仿宋"/>
                <w:b w:val="0"/>
                <w:bCs/>
                <w:sz w:val="24"/>
                <w:szCs w:val="24"/>
                <w:highlight w:val="none"/>
                <w:lang w:val="en-US" w:eastAsia="zh-CN"/>
              </w:rPr>
              <w:t>9分</w:t>
            </w:r>
          </w:p>
        </w:tc>
        <w:tc>
          <w:tcPr>
            <w:tcW w:w="7184" w:type="dxa"/>
            <w:shd w:val="clear" w:color="auto" w:fill="auto"/>
            <w:noWrap w:val="0"/>
            <w:vAlign w:val="center"/>
          </w:tcPr>
          <w:p>
            <w:pPr>
              <w:pStyle w:val="41"/>
              <w:keepNext w:val="0"/>
              <w:keepLines w:val="0"/>
              <w:pageBreakBefore w:val="0"/>
              <w:numPr>
                <w:ilvl w:val="0"/>
                <w:numId w:val="0"/>
              </w:numPr>
              <w:kinsoku/>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b w:val="0"/>
                <w:bCs/>
                <w:sz w:val="24"/>
                <w:szCs w:val="24"/>
                <w:highlight w:val="none"/>
                <w:lang w:val="zh-CN"/>
              </w:rPr>
            </w:pPr>
            <w:r>
              <w:rPr>
                <w:rFonts w:hint="eastAsia" w:ascii="仿宋" w:hAnsi="仿宋" w:eastAsia="仿宋" w:cs="仿宋"/>
                <w:b w:val="0"/>
                <w:bCs/>
                <w:sz w:val="24"/>
                <w:szCs w:val="24"/>
                <w:highlight w:val="none"/>
                <w:lang w:val="en-US" w:eastAsia="zh-CN"/>
              </w:rPr>
              <w:t>供应商针对本项目提供服务方案，包括但不限于①项目总体思路；②工作重点和难点分析；③项目进度计划与安排；④人员的安排和计划；⑤项目响应时限；⑥保密管理措施。</w:t>
            </w:r>
            <w:r>
              <w:rPr>
                <w:rFonts w:hint="eastAsia" w:ascii="仿宋" w:hAnsi="仿宋" w:eastAsia="仿宋" w:cs="仿宋"/>
                <w:b w:val="0"/>
                <w:bCs/>
                <w:sz w:val="24"/>
                <w:szCs w:val="24"/>
                <w:highlight w:val="none"/>
                <w:lang w:val="zh-CN"/>
              </w:rPr>
              <w:t>以上</w:t>
            </w:r>
            <w:r>
              <w:rPr>
                <w:rFonts w:hint="eastAsia" w:ascii="仿宋" w:hAnsi="仿宋" w:eastAsia="仿宋" w:cs="仿宋"/>
                <w:b w:val="0"/>
                <w:bCs/>
                <w:sz w:val="24"/>
                <w:szCs w:val="24"/>
                <w:highlight w:val="none"/>
                <w:lang w:val="en-US" w:eastAsia="zh-CN"/>
              </w:rPr>
              <w:t>6</w:t>
            </w:r>
            <w:r>
              <w:rPr>
                <w:rFonts w:hint="eastAsia" w:ascii="仿宋" w:hAnsi="仿宋" w:eastAsia="仿宋" w:cs="仿宋"/>
                <w:b w:val="0"/>
                <w:bCs/>
                <w:sz w:val="24"/>
                <w:szCs w:val="24"/>
                <w:highlight w:val="none"/>
                <w:lang w:val="zh-CN"/>
              </w:rPr>
              <w:t>项</w:t>
            </w:r>
            <w:r>
              <w:rPr>
                <w:rFonts w:hint="eastAsia" w:ascii="仿宋" w:hAnsi="仿宋" w:eastAsia="仿宋" w:cs="仿宋"/>
                <w:b w:val="0"/>
                <w:bCs/>
                <w:sz w:val="24"/>
                <w:szCs w:val="24"/>
                <w:highlight w:val="none"/>
                <w:lang w:val="en-US" w:eastAsia="zh-CN"/>
              </w:rPr>
              <w:t>完全满足</w:t>
            </w:r>
            <w:r>
              <w:rPr>
                <w:rFonts w:hint="eastAsia" w:ascii="仿宋" w:hAnsi="仿宋" w:eastAsia="仿宋" w:cs="仿宋"/>
                <w:b w:val="0"/>
                <w:bCs/>
                <w:sz w:val="24"/>
                <w:szCs w:val="24"/>
                <w:highlight w:val="none"/>
                <w:lang w:val="zh-CN"/>
              </w:rPr>
              <w:t>得</w:t>
            </w:r>
            <w:r>
              <w:rPr>
                <w:rFonts w:hint="eastAsia" w:ascii="仿宋" w:hAnsi="仿宋" w:eastAsia="仿宋" w:cs="仿宋"/>
                <w:b w:val="0"/>
                <w:bCs/>
                <w:sz w:val="24"/>
                <w:szCs w:val="24"/>
                <w:highlight w:val="none"/>
                <w:lang w:val="en-US" w:eastAsia="zh-CN"/>
              </w:rPr>
              <w:t>9</w:t>
            </w:r>
            <w:r>
              <w:rPr>
                <w:rFonts w:hint="eastAsia" w:ascii="仿宋" w:hAnsi="仿宋" w:eastAsia="仿宋" w:cs="仿宋"/>
                <w:b w:val="0"/>
                <w:bCs/>
                <w:sz w:val="24"/>
                <w:szCs w:val="24"/>
                <w:highlight w:val="none"/>
                <w:lang w:val="zh-CN"/>
              </w:rPr>
              <w:t>分。每缺失一项扣</w:t>
            </w:r>
            <w:r>
              <w:rPr>
                <w:rFonts w:hint="eastAsia" w:ascii="仿宋" w:hAnsi="仿宋" w:eastAsia="仿宋" w:cs="仿宋"/>
                <w:b w:val="0"/>
                <w:bCs/>
                <w:sz w:val="24"/>
                <w:szCs w:val="24"/>
                <w:highlight w:val="none"/>
                <w:lang w:val="en-US" w:eastAsia="zh-CN"/>
              </w:rPr>
              <w:t>1.5</w:t>
            </w:r>
            <w:r>
              <w:rPr>
                <w:rFonts w:hint="eastAsia" w:ascii="仿宋" w:hAnsi="仿宋" w:eastAsia="仿宋" w:cs="仿宋"/>
                <w:b w:val="0"/>
                <w:bCs/>
                <w:sz w:val="24"/>
                <w:szCs w:val="24"/>
                <w:highlight w:val="none"/>
                <w:lang w:val="zh-CN"/>
              </w:rPr>
              <w:t>分，每项中每有一处缺陷的扣</w:t>
            </w:r>
            <w:r>
              <w:rPr>
                <w:rFonts w:hint="eastAsia" w:ascii="仿宋" w:hAnsi="仿宋" w:eastAsia="仿宋" w:cs="仿宋"/>
                <w:b w:val="0"/>
                <w:bCs/>
                <w:sz w:val="24"/>
                <w:szCs w:val="24"/>
                <w:highlight w:val="none"/>
                <w:lang w:val="en-US" w:eastAsia="zh-CN"/>
              </w:rPr>
              <w:t>0.75</w:t>
            </w:r>
            <w:r>
              <w:rPr>
                <w:rFonts w:hint="eastAsia" w:ascii="仿宋" w:hAnsi="仿宋" w:eastAsia="仿宋" w:cs="仿宋"/>
                <w:b w:val="0"/>
                <w:bCs/>
                <w:sz w:val="24"/>
                <w:szCs w:val="24"/>
                <w:highlight w:val="none"/>
                <w:lang w:val="zh-CN"/>
              </w:rPr>
              <w:t>分，扣完为止。</w:t>
            </w:r>
          </w:p>
          <w:p>
            <w:pPr>
              <w:pStyle w:val="41"/>
              <w:keepNext w:val="0"/>
              <w:keepLines w:val="0"/>
              <w:pageBreakBefore w:val="0"/>
              <w:numPr>
                <w:ilvl w:val="0"/>
                <w:numId w:val="0"/>
              </w:numPr>
              <w:kinsoku/>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zh-CN"/>
              </w:rPr>
              <w:t>(注:内容存在缺陷是指：①存在不适用项目实际情况的情形；②凭空编造；③内容前后不一致、前后逻辑错误；④涉及的规范及标准错误、内容缺失、不符合采购需求</w:t>
            </w:r>
            <w:r>
              <w:rPr>
                <w:rFonts w:hint="eastAsia" w:ascii="仿宋" w:hAnsi="仿宋" w:eastAsia="仿宋" w:cs="仿宋"/>
                <w:b w:val="0"/>
                <w:bCs/>
                <w:sz w:val="24"/>
                <w:szCs w:val="24"/>
                <w:highlight w:val="none"/>
                <w:lang w:val="zh-CN" w:eastAsia="zh-CN"/>
              </w:rPr>
              <w:t>、</w:t>
            </w:r>
            <w:r>
              <w:rPr>
                <w:rFonts w:hint="eastAsia" w:ascii="仿宋" w:hAnsi="仿宋" w:eastAsia="仿宋" w:cs="仿宋"/>
                <w:b w:val="0"/>
                <w:bCs/>
                <w:sz w:val="24"/>
                <w:szCs w:val="24"/>
                <w:highlight w:val="none"/>
                <w:lang w:val="en-US" w:eastAsia="zh-CN"/>
              </w:rPr>
              <w:t>项目名称及基本信息错误等</w:t>
            </w:r>
            <w:r>
              <w:rPr>
                <w:rFonts w:hint="eastAsia" w:ascii="仿宋" w:hAnsi="仿宋" w:eastAsia="仿宋" w:cs="仿宋"/>
                <w:b w:val="0"/>
                <w:bCs/>
                <w:sz w:val="24"/>
                <w:szCs w:val="24"/>
                <w:highlight w:val="none"/>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477" w:type="dxa"/>
            <w:noWrap w:val="0"/>
            <w:vAlign w:val="center"/>
          </w:tcPr>
          <w:p>
            <w:pPr>
              <w:pStyle w:val="41"/>
              <w:keepNext w:val="0"/>
              <w:keepLines w:val="0"/>
              <w:pageBreakBefore w:val="0"/>
              <w:numPr>
                <w:ilvl w:val="0"/>
                <w:numId w:val="0"/>
              </w:numPr>
              <w:kinsoku/>
              <w:overflowPunct/>
              <w:topLinePunct w:val="0"/>
              <w:autoSpaceDE/>
              <w:autoSpaceDN/>
              <w:bidi w:val="0"/>
              <w:adjustRightInd/>
              <w:snapToGrid/>
              <w:spacing w:line="240" w:lineRule="auto"/>
              <w:ind w:firstLine="0" w:firstLineChars="0"/>
              <w:jc w:val="lef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c>
          <w:tcPr>
            <w:tcW w:w="965" w:type="dxa"/>
            <w:shd w:val="clear" w:color="auto" w:fill="auto"/>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仿宋" w:hAnsi="仿宋" w:eastAsia="仿宋" w:cs="仿宋"/>
                <w:b w:val="0"/>
                <w:bCs/>
                <w:kern w:val="2"/>
                <w:sz w:val="24"/>
                <w:szCs w:val="24"/>
                <w:highlight w:val="none"/>
                <w:lang w:val="en-US" w:eastAsia="zh-CN" w:bidi="ar-SA"/>
              </w:rPr>
            </w:pPr>
            <w:r>
              <w:rPr>
                <w:rFonts w:hint="default" w:ascii="仿宋" w:hAnsi="仿宋" w:eastAsia="仿宋" w:cs="仿宋"/>
                <w:color w:val="auto"/>
                <w:sz w:val="24"/>
                <w:szCs w:val="24"/>
                <w:highlight w:val="none"/>
                <w:lang w:val="en-US" w:eastAsia="zh-CN"/>
              </w:rPr>
              <w:t>质量保证措施</w:t>
            </w:r>
          </w:p>
        </w:tc>
        <w:tc>
          <w:tcPr>
            <w:tcW w:w="893" w:type="dxa"/>
            <w:shd w:val="clear" w:color="auto" w:fill="auto"/>
            <w:noWrap w:val="0"/>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b w:val="0"/>
                <w:bCs/>
                <w:kern w:val="2"/>
                <w:sz w:val="24"/>
                <w:szCs w:val="24"/>
                <w:highlight w:val="none"/>
                <w:lang w:val="en-US" w:eastAsia="zh-CN" w:bidi="ar-SA"/>
              </w:rPr>
            </w:pPr>
            <w:r>
              <w:rPr>
                <w:rFonts w:hint="eastAsia" w:ascii="仿宋" w:hAnsi="仿宋" w:eastAsia="仿宋" w:cs="仿宋"/>
                <w:b w:val="0"/>
                <w:bCs/>
                <w:sz w:val="24"/>
                <w:szCs w:val="24"/>
                <w:highlight w:val="none"/>
                <w:lang w:val="en-US" w:eastAsia="zh-CN"/>
              </w:rPr>
              <w:t>3分</w:t>
            </w:r>
          </w:p>
        </w:tc>
        <w:tc>
          <w:tcPr>
            <w:tcW w:w="7184" w:type="dxa"/>
            <w:shd w:val="clear" w:color="auto" w:fill="auto"/>
            <w:noWrap w:val="0"/>
            <w:vAlign w:val="center"/>
          </w:tcPr>
          <w:p>
            <w:pPr>
              <w:widowControl/>
              <w:jc w:val="left"/>
              <w:outlineLvl w:val="1"/>
              <w:rPr>
                <w:rFonts w:hint="eastAsia" w:ascii="仿宋" w:hAnsi="仿宋" w:eastAsia="仿宋" w:cs="仿宋"/>
                <w:b w:val="0"/>
                <w:bCs/>
                <w:sz w:val="24"/>
                <w:szCs w:val="24"/>
              </w:rPr>
            </w:pPr>
            <w:r>
              <w:rPr>
                <w:rFonts w:hint="eastAsia" w:ascii="仿宋" w:hAnsi="仿宋" w:eastAsia="仿宋" w:cs="仿宋"/>
                <w:b w:val="0"/>
                <w:bCs/>
                <w:sz w:val="24"/>
                <w:szCs w:val="24"/>
                <w:highlight w:val="none"/>
                <w:lang w:val="en-US" w:eastAsia="zh-CN"/>
              </w:rPr>
              <w:t>供应商针对本项目提供质量保证措施，包括但不限于①质量目标；②质量保障体系；③质量管理措施。</w:t>
            </w:r>
            <w:r>
              <w:rPr>
                <w:rFonts w:hint="eastAsia" w:ascii="仿宋" w:hAnsi="仿宋" w:eastAsia="仿宋" w:cs="仿宋"/>
                <w:sz w:val="24"/>
                <w:szCs w:val="24"/>
              </w:rPr>
              <w:t>以上</w:t>
            </w:r>
            <w:r>
              <w:rPr>
                <w:rFonts w:hint="eastAsia" w:ascii="仿宋" w:hAnsi="仿宋" w:eastAsia="仿宋" w:cs="仿宋"/>
                <w:sz w:val="24"/>
                <w:szCs w:val="24"/>
                <w:lang w:val="en-US" w:eastAsia="zh-CN"/>
              </w:rPr>
              <w:t>3</w:t>
            </w:r>
            <w:r>
              <w:rPr>
                <w:rFonts w:hint="eastAsia" w:ascii="仿宋" w:hAnsi="仿宋" w:eastAsia="仿宋" w:cs="仿宋"/>
                <w:sz w:val="24"/>
                <w:szCs w:val="24"/>
              </w:rPr>
              <w:t>项</w:t>
            </w:r>
            <w:r>
              <w:rPr>
                <w:rFonts w:hint="eastAsia" w:ascii="仿宋" w:hAnsi="仿宋" w:eastAsia="仿宋" w:cs="仿宋"/>
                <w:sz w:val="24"/>
                <w:szCs w:val="24"/>
                <w:lang w:val="en-US" w:eastAsia="zh-CN"/>
              </w:rPr>
              <w:t>完全满足</w:t>
            </w:r>
            <w:r>
              <w:rPr>
                <w:rFonts w:hint="eastAsia" w:ascii="仿宋" w:hAnsi="仿宋" w:eastAsia="仿宋" w:cs="仿宋"/>
                <w:sz w:val="24"/>
                <w:szCs w:val="24"/>
              </w:rPr>
              <w:t>得</w:t>
            </w:r>
            <w:r>
              <w:rPr>
                <w:rFonts w:hint="eastAsia" w:ascii="仿宋" w:hAnsi="仿宋" w:eastAsia="仿宋" w:cs="仿宋"/>
                <w:sz w:val="24"/>
                <w:szCs w:val="24"/>
                <w:lang w:val="en-US" w:eastAsia="zh-CN"/>
              </w:rPr>
              <w:t>3</w:t>
            </w:r>
            <w:r>
              <w:rPr>
                <w:rFonts w:hint="eastAsia" w:ascii="仿宋" w:hAnsi="仿宋" w:eastAsia="仿宋" w:cs="仿宋"/>
                <w:sz w:val="24"/>
                <w:szCs w:val="24"/>
              </w:rPr>
              <w:t>分。每缺失一项扣</w:t>
            </w:r>
            <w:r>
              <w:rPr>
                <w:rFonts w:hint="eastAsia" w:ascii="仿宋" w:hAnsi="仿宋" w:eastAsia="仿宋" w:cs="仿宋"/>
                <w:sz w:val="24"/>
                <w:szCs w:val="24"/>
                <w:lang w:val="en-US" w:eastAsia="zh-CN"/>
              </w:rPr>
              <w:t>1</w:t>
            </w:r>
            <w:r>
              <w:rPr>
                <w:rFonts w:hint="eastAsia" w:ascii="仿宋" w:hAnsi="仿宋" w:eastAsia="仿宋" w:cs="仿宋"/>
                <w:sz w:val="24"/>
                <w:szCs w:val="24"/>
              </w:rPr>
              <w:t>分，每项中每有一处缺陷的</w:t>
            </w:r>
            <w:r>
              <w:rPr>
                <w:rFonts w:hint="eastAsia" w:ascii="仿宋" w:hAnsi="仿宋" w:eastAsia="仿宋" w:cs="仿宋"/>
                <w:b w:val="0"/>
                <w:bCs/>
                <w:sz w:val="24"/>
                <w:szCs w:val="24"/>
              </w:rPr>
              <w:t>扣</w:t>
            </w:r>
            <w:r>
              <w:rPr>
                <w:rFonts w:hint="eastAsia" w:ascii="仿宋" w:hAnsi="仿宋" w:eastAsia="仿宋" w:cs="仿宋"/>
                <w:b w:val="0"/>
                <w:bCs/>
                <w:sz w:val="24"/>
                <w:szCs w:val="24"/>
                <w:lang w:val="en-US" w:eastAsia="zh-CN"/>
              </w:rPr>
              <w:t>0.5</w:t>
            </w:r>
            <w:r>
              <w:rPr>
                <w:rFonts w:hint="eastAsia" w:ascii="仿宋" w:hAnsi="仿宋" w:eastAsia="仿宋" w:cs="仿宋"/>
                <w:b w:val="0"/>
                <w:bCs/>
                <w:sz w:val="24"/>
                <w:szCs w:val="24"/>
              </w:rPr>
              <w:t>分，扣完为止。</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 w:hAnsi="仿宋" w:eastAsia="仿宋" w:cs="仿宋"/>
                <w:b w:val="0"/>
                <w:bCs/>
                <w:kern w:val="2"/>
                <w:sz w:val="24"/>
                <w:szCs w:val="24"/>
                <w:highlight w:val="none"/>
                <w:lang w:val="en-US" w:eastAsia="zh-CN" w:bidi="ar-SA"/>
              </w:rPr>
            </w:pPr>
            <w:r>
              <w:rPr>
                <w:rFonts w:hint="eastAsia" w:ascii="仿宋" w:hAnsi="仿宋" w:eastAsia="仿宋" w:cs="仿宋"/>
                <w:b w:val="0"/>
                <w:bCs/>
                <w:sz w:val="24"/>
                <w:szCs w:val="24"/>
              </w:rPr>
              <w:t>(注:</w:t>
            </w:r>
            <w:r>
              <w:rPr>
                <w:rFonts w:hint="eastAsia" w:ascii="仿宋" w:hAnsi="仿宋" w:eastAsia="仿宋" w:cs="仿宋"/>
                <w:sz w:val="24"/>
                <w:szCs w:val="24"/>
              </w:rPr>
              <w:t>内容存在缺陷是指：①存在不适用项目实际情况的情形；②凭空编造；③内容前后不一致、前后逻辑错误；④涉及的规范及标准错误、内容缺失、不符合采购需求</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项目名称及基本信息错误等</w:t>
            </w:r>
            <w:r>
              <w:rPr>
                <w:rFonts w:hint="eastAsia" w:ascii="仿宋" w:hAnsi="仿宋" w:eastAsia="仿宋" w:cs="仿宋"/>
                <w:sz w:val="24"/>
                <w:szCs w:val="24"/>
              </w:rPr>
              <w:t>。</w:t>
            </w:r>
            <w:r>
              <w:rPr>
                <w:rFonts w:hint="eastAsia" w:ascii="仿宋" w:hAnsi="仿宋" w:eastAsia="仿宋" w:cs="仿宋"/>
                <w:b w:val="0"/>
                <w:bCs/>
                <w:sz w:val="24"/>
                <w:szCs w:val="24"/>
              </w:rPr>
              <w:t>)</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18" w:name="_Toc3094"/>
      <w:bookmarkStart w:id="19" w:name="_Toc22827"/>
      <w:bookmarkStart w:id="20" w:name="_Toc28171"/>
      <w:r>
        <w:rPr>
          <w:rFonts w:ascii="Times New Roman" w:hAnsi="Times New Roman" w:cs="Times New Roman"/>
        </w:rPr>
        <w:t>响应文件格式</w:t>
      </w:r>
      <w:bookmarkEnd w:id="18"/>
      <w:bookmarkEnd w:id="19"/>
      <w:bookmarkEnd w:id="20"/>
    </w:p>
    <w:p>
      <w:pPr>
        <w:spacing w:line="700" w:lineRule="exact"/>
        <w:rPr>
          <w:rFonts w:ascii="Times New Roman" w:hAnsi="Times New Roman" w:eastAsia="仿宋" w:cs="Times New Roman"/>
          <w:b/>
          <w:bCs/>
          <w:sz w:val="32"/>
          <w:szCs w:val="32"/>
        </w:rPr>
      </w:pPr>
    </w:p>
    <w:p>
      <w:pPr>
        <w:jc w:val="left"/>
        <w:rPr>
          <w:rFonts w:ascii="Times New Roman" w:hAnsi="Times New Roman" w:eastAsia="仿宋" w:cs="Times New Roman"/>
          <w:sz w:val="28"/>
          <w:szCs w:val="24"/>
        </w:rPr>
      </w:pPr>
      <w:bookmarkStart w:id="21" w:name="_Toc4960"/>
      <w:bookmarkStart w:id="22" w:name="_Toc29819"/>
      <w:bookmarkStart w:id="23" w:name="_Toc5913"/>
      <w:r>
        <w:rPr>
          <w:rFonts w:ascii="Times New Roman" w:hAnsi="Times New Roman" w:eastAsia="仿宋" w:cs="Times New Roman"/>
          <w:sz w:val="28"/>
          <w:szCs w:val="24"/>
        </w:rPr>
        <w:t>（响应文件封面）</w:t>
      </w:r>
      <w:bookmarkEnd w:id="21"/>
      <w:bookmarkEnd w:id="22"/>
      <w:bookmarkEnd w:id="23"/>
    </w:p>
    <w:p>
      <w:pPr>
        <w:rPr>
          <w:rFonts w:ascii="Times New Roman" w:hAnsi="Times New Roman" w:eastAsia="仿宋" w:cs="Times New Roman"/>
          <w:sz w:val="28"/>
          <w:szCs w:val="28"/>
        </w:rPr>
      </w:pPr>
    </w:p>
    <w:p>
      <w:pPr>
        <w:jc w:val="left"/>
        <w:rPr>
          <w:rFonts w:ascii="Times New Roman" w:hAnsi="Times New Roman" w:eastAsia="仿宋" w:cs="Times New Roman"/>
          <w:sz w:val="24"/>
          <w:szCs w:val="24"/>
        </w:rPr>
      </w:pPr>
      <w:bookmarkStart w:id="24" w:name="_Toc19851"/>
      <w:bookmarkStart w:id="25" w:name="_Toc30609"/>
      <w:bookmarkStart w:id="26" w:name="_Toc9428"/>
      <w:r>
        <w:rPr>
          <w:rFonts w:ascii="Times New Roman" w:hAnsi="Times New Roman" w:eastAsia="仿宋" w:cs="Times New Roman"/>
          <w:sz w:val="24"/>
          <w:szCs w:val="24"/>
        </w:rPr>
        <w:t>项目名称：</w:t>
      </w:r>
      <w:bookmarkEnd w:id="24"/>
      <w:bookmarkEnd w:id="25"/>
      <w:bookmarkEnd w:id="26"/>
    </w:p>
    <w:p>
      <w:pPr>
        <w:jc w:val="left"/>
        <w:rPr>
          <w:rFonts w:ascii="Times New Roman" w:hAnsi="Times New Roman" w:eastAsia="仿宋" w:cs="Times New Roman"/>
          <w:sz w:val="24"/>
          <w:szCs w:val="24"/>
        </w:rPr>
      </w:pPr>
      <w:bookmarkStart w:id="27" w:name="_Toc1544"/>
      <w:bookmarkStart w:id="28" w:name="_Toc9041"/>
      <w:bookmarkStart w:id="29" w:name="_Toc32352"/>
      <w:r>
        <w:rPr>
          <w:rFonts w:ascii="Times New Roman" w:hAnsi="Times New Roman" w:eastAsia="仿宋" w:cs="Times New Roman"/>
          <w:sz w:val="24"/>
          <w:szCs w:val="24"/>
        </w:rPr>
        <w:t>项目编号：</w:t>
      </w:r>
      <w:bookmarkEnd w:id="27"/>
      <w:bookmarkEnd w:id="28"/>
      <w:bookmarkEnd w:id="29"/>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jc w:val="left"/>
        <w:rPr>
          <w:rFonts w:ascii="Times New Roman" w:hAnsi="Times New Roman" w:eastAsia="仿宋" w:cs="Times New Roman"/>
          <w:sz w:val="84"/>
          <w:szCs w:val="24"/>
        </w:rPr>
      </w:pPr>
      <w:bookmarkStart w:id="30" w:name="_Toc24097"/>
      <w:bookmarkStart w:id="31" w:name="_Toc21472"/>
    </w:p>
    <w:bookmarkEnd w:id="30"/>
    <w:bookmarkEnd w:id="31"/>
    <w:p>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jc w:val="left"/>
        <w:rPr>
          <w:rFonts w:ascii="Times New Roman" w:hAnsi="Times New Roman" w:eastAsia="仿宋" w:cs="Times New Roman"/>
          <w:sz w:val="28"/>
          <w:szCs w:val="24"/>
        </w:rPr>
      </w:pPr>
      <w:bookmarkStart w:id="32" w:name="_Toc24859"/>
      <w:bookmarkStart w:id="33" w:name="_Toc32749"/>
      <w:bookmarkStart w:id="34" w:name="_Toc17163"/>
      <w:bookmarkStart w:id="35" w:name="_Toc1690"/>
      <w:r>
        <w:rPr>
          <w:rFonts w:ascii="Times New Roman" w:hAnsi="Times New Roman" w:eastAsia="仿宋" w:cs="Times New Roman"/>
          <w:sz w:val="28"/>
          <w:szCs w:val="24"/>
        </w:rPr>
        <w:t>供应商名称（公章）：</w:t>
      </w:r>
      <w:bookmarkEnd w:id="32"/>
      <w:bookmarkEnd w:id="33"/>
      <w:bookmarkEnd w:id="34"/>
      <w:bookmarkEnd w:id="35"/>
    </w:p>
    <w:p>
      <w:pPr>
        <w:jc w:val="left"/>
        <w:rPr>
          <w:rFonts w:ascii="Times New Roman" w:hAnsi="Times New Roman" w:eastAsia="仿宋" w:cs="Times New Roman"/>
          <w:sz w:val="28"/>
          <w:szCs w:val="24"/>
        </w:rPr>
      </w:pPr>
      <w:bookmarkStart w:id="36" w:name="_Toc6803"/>
      <w:bookmarkStart w:id="37" w:name="_Toc24123"/>
      <w:bookmarkStart w:id="38" w:name="_Toc3558"/>
      <w:bookmarkStart w:id="39" w:name="_Toc17905"/>
      <w:r>
        <w:rPr>
          <w:rFonts w:ascii="Times New Roman" w:hAnsi="Times New Roman" w:eastAsia="仿宋" w:cs="Times New Roman"/>
          <w:sz w:val="28"/>
          <w:szCs w:val="24"/>
        </w:rPr>
        <w:t>法定代表人或授权代理人（签字）：</w:t>
      </w:r>
      <w:bookmarkEnd w:id="36"/>
      <w:bookmarkEnd w:id="37"/>
      <w:bookmarkEnd w:id="38"/>
      <w:bookmarkEnd w:id="39"/>
    </w:p>
    <w:p>
      <w:pPr>
        <w:jc w:val="left"/>
        <w:rPr>
          <w:rFonts w:ascii="Times New Roman" w:hAnsi="Times New Roman" w:eastAsia="仿宋" w:cs="Times New Roman"/>
          <w:sz w:val="28"/>
          <w:szCs w:val="24"/>
        </w:rPr>
      </w:pPr>
      <w:bookmarkStart w:id="40" w:name="_Toc2989"/>
      <w:bookmarkStart w:id="41" w:name="_Toc5996"/>
      <w:bookmarkStart w:id="42" w:name="_Toc27135"/>
      <w:bookmarkStart w:id="43" w:name="_Toc27526"/>
      <w:r>
        <w:rPr>
          <w:rFonts w:ascii="Times New Roman" w:hAnsi="Times New Roman" w:eastAsia="仿宋" w:cs="Times New Roman"/>
          <w:sz w:val="28"/>
          <w:szCs w:val="24"/>
        </w:rPr>
        <w:t>联系方式（移动电话）：</w:t>
      </w:r>
      <w:bookmarkEnd w:id="40"/>
      <w:bookmarkEnd w:id="41"/>
      <w:bookmarkEnd w:id="42"/>
      <w:bookmarkEnd w:id="43"/>
    </w:p>
    <w:p>
      <w:pPr>
        <w:jc w:val="left"/>
        <w:rPr>
          <w:rFonts w:ascii="Times New Roman" w:hAnsi="Times New Roman" w:eastAsia="仿宋" w:cs="Times New Roman"/>
          <w:sz w:val="28"/>
          <w:szCs w:val="24"/>
        </w:rPr>
      </w:pPr>
      <w:bookmarkStart w:id="44" w:name="_Toc5056"/>
      <w:bookmarkStart w:id="45" w:name="_Toc19987"/>
      <w:bookmarkStart w:id="46" w:name="_Toc2031"/>
      <w:bookmarkStart w:id="47" w:name="_Toc7233"/>
      <w:r>
        <w:rPr>
          <w:rFonts w:ascii="Times New Roman" w:hAnsi="Times New Roman" w:eastAsia="仿宋" w:cs="Times New Roman"/>
          <w:sz w:val="28"/>
          <w:szCs w:val="24"/>
        </w:rPr>
        <w:t>日期：     年    月     日</w:t>
      </w:r>
      <w:bookmarkEnd w:id="44"/>
      <w:bookmarkEnd w:id="45"/>
      <w:bookmarkEnd w:id="46"/>
      <w:bookmarkEnd w:id="47"/>
    </w:p>
    <w:p>
      <w:pPr>
        <w:jc w:val="center"/>
        <w:rPr>
          <w:rFonts w:ascii="Times New Roman" w:hAnsi="Times New Roman" w:eastAsia="仿宋" w:cs="Times New Roman"/>
          <w:sz w:val="32"/>
          <w:szCs w:val="40"/>
        </w:rPr>
      </w:pPr>
      <w:bookmarkStart w:id="48" w:name="_Toc21519"/>
      <w:bookmarkStart w:id="49" w:name="_Toc14829"/>
      <w:bookmarkStart w:id="50" w:name="_Toc3023"/>
      <w:bookmarkStart w:id="51" w:name="_Toc11352"/>
      <w:bookmarkStart w:id="52" w:name="_Toc6482"/>
      <w:bookmarkStart w:id="53" w:name="_Toc16029"/>
    </w:p>
    <w:p>
      <w:pPr>
        <w:rPr>
          <w:rStyle w:val="31"/>
          <w:rFonts w:ascii="Times New Roman" w:hAnsi="Times New Roman" w:eastAsia="仿宋" w:cs="Times New Roman"/>
          <w:b/>
          <w:bCs/>
          <w:sz w:val="32"/>
          <w:szCs w:val="28"/>
        </w:rPr>
      </w:pPr>
      <w:r>
        <w:rPr>
          <w:rStyle w:val="31"/>
          <w:rFonts w:ascii="Times New Roman" w:hAnsi="Times New Roman" w:eastAsia="仿宋" w:cs="Times New Roman"/>
          <w:b/>
          <w:bCs/>
          <w:sz w:val="32"/>
          <w:szCs w:val="28"/>
        </w:rPr>
        <w:br w:type="page"/>
      </w:r>
    </w:p>
    <w:p>
      <w:pPr>
        <w:pStyle w:val="3"/>
        <w:ind w:firstLine="0"/>
      </w:pPr>
      <w:r>
        <w:t>承诺函</w:t>
      </w:r>
      <w:bookmarkEnd w:id="48"/>
      <w:bookmarkEnd w:id="49"/>
      <w:bookmarkEnd w:id="50"/>
      <w:bookmarkEnd w:id="51"/>
      <w:bookmarkEnd w:id="52"/>
      <w:bookmarkEnd w:id="53"/>
    </w:p>
    <w:p>
      <w:pPr>
        <w:pStyle w:val="7"/>
        <w:rPr>
          <w:rFonts w:ascii="Times New Roman" w:hAnsi="Times New Roman" w:eastAsia="仿宋" w:cs="Times New Roman"/>
        </w:rPr>
      </w:pPr>
    </w:p>
    <w:p>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pPr>
        <w:adjustRightInd w:val="0"/>
        <w:spacing w:line="360" w:lineRule="auto"/>
        <w:rPr>
          <w:rFonts w:ascii="Times New Roman" w:hAnsi="Times New Roman" w:eastAsia="仿宋" w:cs="Times New Roman"/>
          <w:bCs/>
          <w:sz w:val="24"/>
        </w:rPr>
      </w:pPr>
    </w:p>
    <w:p>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pPr>
        <w:rPr>
          <w:rFonts w:ascii="Times New Roman" w:hAnsi="Times New Roman" w:cs="Times New Roman"/>
        </w:rPr>
      </w:pPr>
      <w:bookmarkStart w:id="54" w:name="_Toc30971"/>
      <w:bookmarkStart w:id="55" w:name="_Toc31838"/>
      <w:bookmarkStart w:id="56" w:name="_Toc22676"/>
      <w:bookmarkStart w:id="57" w:name="_Toc4305"/>
      <w:bookmarkStart w:id="58" w:name="_Toc17857"/>
      <w:r>
        <w:rPr>
          <w:rFonts w:ascii="Times New Roman" w:hAnsi="Times New Roman" w:cs="Times New Roman"/>
        </w:rPr>
        <w:br w:type="page"/>
      </w:r>
    </w:p>
    <w:p>
      <w:pPr>
        <w:pStyle w:val="3"/>
        <w:ind w:firstLine="0"/>
      </w:pPr>
      <w:r>
        <w:t>具有独立承担民事责任的能力</w:t>
      </w:r>
      <w:bookmarkEnd w:id="54"/>
      <w:bookmarkEnd w:id="55"/>
      <w:bookmarkEnd w:id="56"/>
      <w:bookmarkEnd w:id="57"/>
      <w:bookmarkEnd w:id="58"/>
    </w:p>
    <w:p>
      <w:pPr>
        <w:pStyle w:val="7"/>
        <w:jc w:val="center"/>
        <w:rPr>
          <w:rFonts w:ascii="Times New Roman" w:hAnsi="Times New Roman" w:eastAsia="仿宋" w:cs="Times New Roman"/>
          <w:b/>
          <w:bCs/>
        </w:rPr>
      </w:pPr>
    </w:p>
    <w:p>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pPr>
        <w:pStyle w:val="3"/>
        <w:ind w:firstLine="0"/>
        <w:rPr>
          <w:rStyle w:val="31"/>
          <w:szCs w:val="28"/>
        </w:rPr>
      </w:pPr>
      <w:r>
        <w:rPr>
          <w:bCs/>
        </w:rPr>
        <w:br w:type="page"/>
      </w:r>
      <w:bookmarkStart w:id="59" w:name="_Toc15613"/>
      <w:bookmarkStart w:id="60" w:name="_Toc27186"/>
      <w:bookmarkStart w:id="61" w:name="_Toc30158"/>
      <w:r>
        <w:t>具有健全的财务会计制度的证明材料</w:t>
      </w:r>
    </w:p>
    <w:p>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13904"/>
      <w:bookmarkStart w:id="64" w:name="_Toc25357"/>
    </w:p>
    <w:p>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pPr>
        <w:pStyle w:val="30"/>
        <w:ind w:left="420" w:leftChars="200"/>
        <w:jc w:val="both"/>
        <w:rPr>
          <w:rFonts w:ascii="Times New Roman" w:hAnsi="Times New Roman" w:eastAsia="仿宋" w:cs="Times New Roman"/>
          <w:color w:val="auto"/>
        </w:rPr>
      </w:pPr>
    </w:p>
    <w:p>
      <w:pPr>
        <w:pStyle w:val="30"/>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pPr>
        <w:pStyle w:val="3"/>
        <w:ind w:firstLine="0"/>
        <w:rPr>
          <w:szCs w:val="32"/>
        </w:rPr>
      </w:pPr>
      <w:r>
        <w:rPr>
          <w:szCs w:val="32"/>
        </w:rPr>
        <w:br w:type="page"/>
      </w:r>
      <w:bookmarkStart w:id="67" w:name="_Toc12015"/>
      <w:bookmarkStart w:id="68" w:name="_Toc27661"/>
      <w:bookmarkStart w:id="69" w:name="_Toc11351"/>
      <w:bookmarkStart w:id="70" w:name="_Toc20589"/>
      <w:bookmarkStart w:id="71" w:name="_Toc25638"/>
      <w:bookmarkStart w:id="72" w:name="_Toc15526"/>
      <w:r>
        <w:rPr>
          <w:rStyle w:val="39"/>
          <w:b/>
        </w:rPr>
        <w:t>法定代表人身份证明书</w:t>
      </w:r>
      <w:bookmarkEnd w:id="67"/>
      <w:bookmarkEnd w:id="68"/>
      <w:bookmarkEnd w:id="69"/>
      <w:bookmarkEnd w:id="70"/>
      <w:bookmarkEnd w:id="71"/>
      <w:bookmarkEnd w:id="72"/>
    </w:p>
    <w:p>
      <w:pPr>
        <w:pStyle w:val="30"/>
        <w:jc w:val="center"/>
        <w:rPr>
          <w:rFonts w:ascii="Times New Roman" w:hAnsi="Times New Roman" w:eastAsia="仿宋" w:cs="Times New Roman"/>
          <w:color w:val="auto"/>
        </w:rPr>
      </w:pPr>
    </w:p>
    <w:p>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pPr>
        <w:pStyle w:val="30"/>
        <w:jc w:val="center"/>
        <w:rPr>
          <w:rFonts w:ascii="Times New Roman" w:hAnsi="Times New Roman" w:eastAsia="仿宋" w:cs="Times New Roman"/>
          <w:color w:val="auto"/>
        </w:rPr>
      </w:pPr>
    </w:p>
    <w:p>
      <w:pPr>
        <w:pStyle w:val="30"/>
        <w:jc w:val="center"/>
        <w:rPr>
          <w:rFonts w:ascii="Times New Roman" w:hAnsi="Times New Roman" w:eastAsia="仿宋" w:cs="Times New Roman"/>
          <w:color w:val="auto"/>
        </w:rPr>
      </w:pPr>
    </w:p>
    <w:p>
      <w:pPr>
        <w:pStyle w:val="30"/>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pPr>
        <w:pStyle w:val="30"/>
        <w:rPr>
          <w:rFonts w:ascii="Times New Roman" w:hAnsi="Times New Roman" w:eastAsia="仿宋" w:cs="Times New Roman"/>
          <w:color w:val="auto"/>
        </w:rPr>
      </w:pPr>
      <w:r>
        <w:rPr>
          <w:rFonts w:ascii="Times New Roman" w:hAnsi="Times New Roman" w:eastAsia="仿宋" w:cs="Times New Roman"/>
          <w:color w:val="auto"/>
        </w:rPr>
        <w:t>特此证明。</w:t>
      </w:r>
    </w:p>
    <w:p>
      <w:pPr>
        <w:pStyle w:val="30"/>
        <w:jc w:val="both"/>
        <w:rPr>
          <w:rFonts w:ascii="Times New Roman" w:hAnsi="Times New Roman" w:eastAsia="仿宋" w:cs="Times New Roman"/>
          <w:color w:val="auto"/>
        </w:rPr>
      </w:pPr>
    </w:p>
    <w:p>
      <w:pPr>
        <w:pStyle w:val="30"/>
        <w:jc w:val="both"/>
        <w:rPr>
          <w:rFonts w:ascii="Times New Roman" w:hAnsi="Times New Roman" w:eastAsia="仿宋" w:cs="Times New Roman"/>
          <w:color w:val="auto"/>
        </w:rPr>
      </w:pPr>
    </w:p>
    <w:p>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pPr>
        <w:pStyle w:val="30"/>
        <w:jc w:val="center"/>
        <w:rPr>
          <w:rFonts w:ascii="Times New Roman" w:hAnsi="Times New Roman" w:eastAsia="仿宋" w:cs="Times New Roman"/>
          <w:color w:val="auto"/>
        </w:rPr>
      </w:pPr>
    </w:p>
    <w:p>
      <w:pPr>
        <w:pStyle w:val="30"/>
        <w:jc w:val="center"/>
        <w:rPr>
          <w:rFonts w:ascii="Times New Roman" w:hAnsi="Times New Roman" w:eastAsia="仿宋" w:cs="Times New Roman"/>
          <w:color w:val="auto"/>
        </w:rPr>
      </w:pPr>
    </w:p>
    <w:p>
      <w:pPr>
        <w:pStyle w:val="30"/>
        <w:rPr>
          <w:rFonts w:ascii="Times New Roman" w:hAnsi="Times New Roman" w:eastAsia="仿宋" w:cs="Times New Roman"/>
          <w:color w:val="auto"/>
        </w:rPr>
      </w:pPr>
      <w:r>
        <w:rPr>
          <w:rFonts w:ascii="Times New Roman" w:hAnsi="Times New Roman" w:eastAsia="仿宋" w:cs="Times New Roman"/>
          <w:color w:val="auto"/>
        </w:rPr>
        <w:t>注：</w:t>
      </w:r>
    </w:p>
    <w:p>
      <w:pPr>
        <w:pStyle w:val="30"/>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pPr>
        <w:pStyle w:val="30"/>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pPr>
        <w:pStyle w:val="30"/>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pPr>
        <w:pStyle w:val="30"/>
        <w:jc w:val="both"/>
        <w:rPr>
          <w:rFonts w:ascii="Times New Roman" w:hAnsi="Times New Roman" w:eastAsia="仿宋" w:cs="Times New Roman"/>
          <w:color w:val="auto"/>
          <w:sz w:val="32"/>
          <w:szCs w:val="32"/>
        </w:rPr>
      </w:pPr>
    </w:p>
    <w:p>
      <w:pPr>
        <w:pStyle w:val="30"/>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1"/>
          <w:rFonts w:ascii="Times New Roman" w:hAnsi="Times New Roman" w:eastAsia="仿宋" w:cs="Times New Roman"/>
          <w:b/>
          <w:bCs/>
          <w:color w:val="auto"/>
          <w:kern w:val="2"/>
          <w:sz w:val="32"/>
          <w:szCs w:val="28"/>
        </w:rPr>
        <w:t>法定代表人授权委托书</w:t>
      </w:r>
    </w:p>
    <w:p>
      <w:pPr>
        <w:pStyle w:val="30"/>
        <w:jc w:val="center"/>
        <w:rPr>
          <w:rFonts w:ascii="Times New Roman" w:hAnsi="Times New Roman" w:eastAsia="仿宋" w:cs="Times New Roman"/>
          <w:b/>
          <w:bCs/>
          <w:color w:val="auto"/>
        </w:rPr>
      </w:pPr>
    </w:p>
    <w:p>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pPr>
        <w:pStyle w:val="30"/>
        <w:jc w:val="center"/>
        <w:rPr>
          <w:rFonts w:ascii="Times New Roman" w:hAnsi="Times New Roman" w:eastAsia="仿宋" w:cs="Times New Roman"/>
          <w:color w:val="auto"/>
        </w:rPr>
      </w:pPr>
    </w:p>
    <w:p>
      <w:pPr>
        <w:pStyle w:val="7"/>
        <w:snapToGrid w:val="0"/>
        <w:spacing w:after="0" w:line="500" w:lineRule="exact"/>
        <w:ind w:firstLine="480" w:firstLineChars="200"/>
        <w:rPr>
          <w:rFonts w:ascii="Times New Roman" w:hAnsi="Times New Roman" w:eastAsia="仿宋" w:cs="Times New Roman"/>
          <w:sz w:val="24"/>
        </w:rPr>
      </w:pPr>
    </w:p>
    <w:p>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pPr>
        <w:snapToGrid w:val="0"/>
        <w:spacing w:line="560" w:lineRule="exact"/>
        <w:ind w:firstLine="480" w:firstLineChars="200"/>
        <w:rPr>
          <w:rFonts w:ascii="Times New Roman" w:hAnsi="Times New Roman" w:eastAsia="仿宋" w:cs="Times New Roman"/>
          <w:sz w:val="24"/>
        </w:rPr>
      </w:pPr>
    </w:p>
    <w:p>
      <w:pPr>
        <w:snapToGrid w:val="0"/>
        <w:spacing w:line="560" w:lineRule="exact"/>
        <w:ind w:firstLine="480" w:firstLineChars="200"/>
        <w:rPr>
          <w:rFonts w:ascii="Times New Roman" w:hAnsi="Times New Roman" w:eastAsia="仿宋" w:cs="Times New Roman"/>
          <w:sz w:val="24"/>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pPr>
        <w:snapToGrid w:val="0"/>
        <w:spacing w:line="560" w:lineRule="exact"/>
        <w:rPr>
          <w:rFonts w:ascii="Times New Roman" w:hAnsi="Times New Roman" w:eastAsia="仿宋" w:cs="Times New Roman"/>
          <w:sz w:val="24"/>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pPr>
        <w:pStyle w:val="3"/>
        <w:ind w:firstLine="0"/>
        <w:rPr>
          <w:szCs w:val="32"/>
        </w:rPr>
      </w:pPr>
      <w:r>
        <w:rPr>
          <w:szCs w:val="32"/>
        </w:rPr>
        <w:br w:type="page"/>
      </w:r>
      <w:bookmarkStart w:id="73" w:name="_Toc2041"/>
      <w:bookmarkStart w:id="74" w:name="_Toc16435"/>
      <w:bookmarkStart w:id="75" w:name="_Toc12967"/>
      <w:bookmarkStart w:id="76" w:name="_Toc26969"/>
      <w:bookmarkStart w:id="77" w:name="_Toc23967"/>
      <w:bookmarkStart w:id="78" w:name="_Toc1074"/>
      <w:r>
        <w:rPr>
          <w:rStyle w:val="39"/>
          <w:b/>
        </w:rPr>
        <w:t>采购需求偏离表</w:t>
      </w:r>
      <w:bookmarkEnd w:id="73"/>
      <w:bookmarkEnd w:id="74"/>
      <w:bookmarkEnd w:id="75"/>
      <w:bookmarkEnd w:id="76"/>
      <w:bookmarkEnd w:id="77"/>
      <w:bookmarkEnd w:id="78"/>
    </w:p>
    <w:p>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bl>
    <w:p>
      <w:pPr>
        <w:spacing w:line="360" w:lineRule="auto"/>
        <w:jc w:val="left"/>
        <w:rPr>
          <w:rFonts w:ascii="Times New Roman" w:hAnsi="Times New Roman" w:eastAsia="仿宋" w:cs="Times New Roman"/>
          <w:bCs/>
          <w:sz w:val="24"/>
        </w:rPr>
      </w:pPr>
    </w:p>
    <w:p>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pPr>
        <w:pStyle w:val="16"/>
        <w:ind w:firstLine="0"/>
        <w:rPr>
          <w:rFonts w:ascii="Times New Roman" w:hAnsi="Times New Roman" w:eastAsia="仿宋" w:cs="Times New Roman"/>
          <w:lang w:val="zh-TW" w:eastAsia="zh-TW"/>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pPr>
        <w:pStyle w:val="30"/>
        <w:jc w:val="center"/>
        <w:rPr>
          <w:rFonts w:ascii="Times New Roman" w:hAnsi="Times New Roman" w:eastAsia="仿宋" w:cs="Times New Roman"/>
          <w:color w:val="auto"/>
          <w:sz w:val="32"/>
          <w:szCs w:val="32"/>
        </w:rPr>
      </w:pPr>
    </w:p>
    <w:p>
      <w:pPr>
        <w:pStyle w:val="3"/>
        <w:ind w:firstLine="0"/>
        <w:rPr>
          <w:bCs/>
          <w:szCs w:val="32"/>
        </w:rPr>
      </w:pPr>
      <w:r>
        <w:rPr>
          <w:szCs w:val="32"/>
        </w:rPr>
        <w:br w:type="page"/>
      </w:r>
      <w:bookmarkStart w:id="79" w:name="_Toc1369"/>
      <w:bookmarkStart w:id="80" w:name="_Toc21082"/>
      <w:bookmarkStart w:id="81" w:name="_Toc26839"/>
      <w:bookmarkStart w:id="82" w:name="_Toc31686"/>
      <w:bookmarkStart w:id="83" w:name="_Toc24806"/>
      <w:bookmarkStart w:id="84" w:name="_Toc28634"/>
      <w:r>
        <w:rPr>
          <w:rStyle w:val="39"/>
          <w:b/>
        </w:rPr>
        <w:t>评分需要提供的证明材料</w:t>
      </w:r>
      <w:bookmarkEnd w:id="79"/>
      <w:bookmarkEnd w:id="80"/>
      <w:bookmarkEnd w:id="81"/>
      <w:bookmarkEnd w:id="82"/>
      <w:bookmarkEnd w:id="83"/>
      <w:bookmarkEnd w:id="84"/>
    </w:p>
    <w:p>
      <w:pPr>
        <w:pStyle w:val="30"/>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pPr>
        <w:pStyle w:val="30"/>
        <w:jc w:val="center"/>
        <w:rPr>
          <w:rFonts w:ascii="Times New Roman" w:hAnsi="Times New Roman" w:eastAsia="仿宋" w:cs="Times New Roman"/>
          <w:b/>
          <w:bCs/>
          <w:color w:val="auto"/>
        </w:rPr>
      </w:pPr>
    </w:p>
    <w:p>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rPr>
          <w:rFonts w:ascii="Times New Roman" w:hAnsi="Times New Roman" w:eastAsia="仿宋" w:cs="Times New Roman"/>
          <w:sz w:val="24"/>
          <w:szCs w:val="24"/>
        </w:rPr>
      </w:pPr>
    </w:p>
    <w:p>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rPr>
          <w:rFonts w:ascii="Times New Roman" w:hAnsi="Times New Roman" w:eastAsia="仿宋" w:cs="Times New Roman"/>
          <w:sz w:val="24"/>
          <w:szCs w:val="24"/>
        </w:rPr>
      </w:pPr>
    </w:p>
    <w:p>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spacing w:line="700" w:lineRule="exact"/>
        <w:jc w:val="center"/>
        <w:rPr>
          <w:rStyle w:val="31"/>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3871"/>
      <w:bookmarkStart w:id="87" w:name="_Toc24494"/>
    </w:p>
    <w:p>
      <w:pPr>
        <w:pStyle w:val="3"/>
        <w:ind w:firstLine="0"/>
      </w:pPr>
      <w:bookmarkStart w:id="88" w:name="_Toc15065"/>
      <w:r>
        <w:t>报价单</w:t>
      </w:r>
      <w:bookmarkEnd w:id="88"/>
    </w:p>
    <w:p>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pPr>
        <w:rPr>
          <w:lang w:val="zh-TW"/>
        </w:rPr>
      </w:pPr>
    </w:p>
    <w:p>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9"/>
        <w:gridCol w:w="3291"/>
        <w:gridCol w:w="763"/>
        <w:gridCol w:w="3080"/>
        <w:gridCol w:w="22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258" w:type="pct"/>
            <w:vAlign w:val="center"/>
          </w:tcPr>
          <w:p>
            <w:pPr>
              <w:pStyle w:val="7"/>
              <w:jc w:val="center"/>
              <w:rPr>
                <w:rFonts w:hint="eastAsia" w:ascii="仿宋" w:hAnsi="仿宋" w:eastAsia="仿宋" w:cs="仿宋"/>
                <w:color w:val="auto"/>
                <w:kern w:val="2"/>
                <w:sz w:val="21"/>
                <w:szCs w:val="21"/>
                <w:highlight w:val="none"/>
                <w:u w:color="000000"/>
                <w:lang w:val="en-US" w:eastAsia="zh-CN" w:bidi="ar-SA"/>
              </w:rPr>
            </w:pPr>
            <w:r>
              <w:rPr>
                <w:rFonts w:hint="eastAsia" w:ascii="仿宋" w:hAnsi="仿宋" w:eastAsia="仿宋" w:cs="仿宋"/>
                <w:color w:val="auto"/>
                <w:kern w:val="2"/>
                <w:sz w:val="21"/>
                <w:szCs w:val="21"/>
                <w:highlight w:val="none"/>
                <w:u w:color="000000"/>
                <w:lang w:val="zh-TW" w:eastAsia="zh-TW" w:bidi="ar-SA"/>
              </w:rPr>
              <w:t>序号</w:t>
            </w:r>
          </w:p>
        </w:tc>
        <w:tc>
          <w:tcPr>
            <w:tcW w:w="1669" w:type="pct"/>
            <w:vAlign w:val="center"/>
          </w:tcPr>
          <w:p>
            <w:pPr>
              <w:pStyle w:val="7"/>
              <w:jc w:val="center"/>
              <w:rPr>
                <w:rFonts w:hint="eastAsia" w:ascii="仿宋" w:hAnsi="仿宋" w:eastAsia="仿宋" w:cs="仿宋"/>
                <w:color w:val="auto"/>
                <w:kern w:val="2"/>
                <w:sz w:val="21"/>
                <w:szCs w:val="21"/>
                <w:highlight w:val="none"/>
                <w:u w:color="000000"/>
                <w:lang w:val="en-US" w:eastAsia="zh-CN" w:bidi="ar-SA"/>
              </w:rPr>
            </w:pPr>
            <w:r>
              <w:rPr>
                <w:rFonts w:hint="eastAsia" w:ascii="仿宋" w:hAnsi="仿宋" w:eastAsia="仿宋" w:cs="仿宋"/>
                <w:color w:val="auto"/>
                <w:kern w:val="2"/>
                <w:sz w:val="21"/>
                <w:szCs w:val="21"/>
                <w:highlight w:val="none"/>
                <w:u w:color="000000"/>
                <w:lang w:val="en-US" w:eastAsia="zh-CN" w:bidi="ar-SA"/>
              </w:rPr>
              <w:t>服务内容</w:t>
            </w:r>
          </w:p>
        </w:tc>
        <w:tc>
          <w:tcPr>
            <w:tcW w:w="387" w:type="pct"/>
            <w:vAlign w:val="center"/>
          </w:tcPr>
          <w:p>
            <w:pPr>
              <w:pStyle w:val="7"/>
              <w:jc w:val="center"/>
              <w:rPr>
                <w:rFonts w:hint="eastAsia" w:ascii="仿宋" w:hAnsi="仿宋" w:eastAsia="仿宋" w:cs="仿宋"/>
                <w:color w:val="auto"/>
                <w:kern w:val="2"/>
                <w:sz w:val="21"/>
                <w:szCs w:val="21"/>
                <w:highlight w:val="none"/>
                <w:u w:color="000000"/>
                <w:lang w:val="en-US" w:eastAsia="zh-CN" w:bidi="ar-SA"/>
              </w:rPr>
            </w:pPr>
            <w:r>
              <w:rPr>
                <w:rFonts w:hint="eastAsia" w:ascii="仿宋" w:hAnsi="仿宋" w:eastAsia="仿宋" w:cs="仿宋"/>
                <w:color w:val="auto"/>
                <w:kern w:val="2"/>
                <w:sz w:val="21"/>
                <w:szCs w:val="21"/>
                <w:highlight w:val="none"/>
                <w:u w:color="000000"/>
                <w:lang w:val="en-US" w:eastAsia="zh-CN" w:bidi="ar-SA"/>
              </w:rPr>
              <w:t>数量及单位</w:t>
            </w:r>
          </w:p>
        </w:tc>
        <w:tc>
          <w:tcPr>
            <w:tcW w:w="1562" w:type="pct"/>
            <w:vAlign w:val="center"/>
          </w:tcPr>
          <w:p>
            <w:pPr>
              <w:pStyle w:val="7"/>
              <w:jc w:val="center"/>
              <w:rPr>
                <w:rFonts w:hint="eastAsia" w:ascii="仿宋" w:hAnsi="仿宋" w:eastAsia="仿宋" w:cs="仿宋"/>
                <w:color w:val="auto"/>
                <w:kern w:val="2"/>
                <w:sz w:val="21"/>
                <w:szCs w:val="21"/>
                <w:highlight w:val="none"/>
                <w:u w:color="000000"/>
                <w:lang w:val="en-US" w:eastAsia="zh-CN" w:bidi="ar-SA"/>
              </w:rPr>
            </w:pPr>
            <w:r>
              <w:rPr>
                <w:rFonts w:hint="eastAsia" w:ascii="仿宋" w:hAnsi="仿宋" w:eastAsia="仿宋" w:cs="仿宋"/>
                <w:color w:val="auto"/>
                <w:kern w:val="2"/>
                <w:sz w:val="21"/>
                <w:szCs w:val="21"/>
                <w:highlight w:val="none"/>
                <w:u w:color="000000"/>
                <w:lang w:val="en-US" w:eastAsia="zh-CN" w:bidi="ar-SA"/>
              </w:rPr>
              <w:t>统一下浮比例</w:t>
            </w:r>
          </w:p>
        </w:tc>
        <w:tc>
          <w:tcPr>
            <w:tcW w:w="1121" w:type="pct"/>
            <w:vAlign w:val="center"/>
          </w:tcPr>
          <w:p>
            <w:pPr>
              <w:pStyle w:val="7"/>
              <w:jc w:val="center"/>
              <w:rPr>
                <w:rFonts w:hint="eastAsia" w:ascii="仿宋" w:hAnsi="仿宋" w:eastAsia="仿宋" w:cs="仿宋"/>
                <w:color w:val="auto"/>
                <w:kern w:val="2"/>
                <w:sz w:val="21"/>
                <w:szCs w:val="21"/>
                <w:highlight w:val="none"/>
                <w:u w:color="000000"/>
                <w:lang w:val="en-US" w:eastAsia="zh-CN" w:bidi="ar-SA"/>
              </w:rPr>
            </w:pPr>
            <w:r>
              <w:rPr>
                <w:rFonts w:hint="eastAsia" w:ascii="仿宋" w:hAnsi="仿宋" w:eastAsia="仿宋" w:cs="仿宋"/>
                <w:color w:val="auto"/>
                <w:kern w:val="2"/>
                <w:sz w:val="21"/>
                <w:szCs w:val="21"/>
                <w:highlight w:val="none"/>
                <w:u w:color="000000"/>
                <w:lang w:val="en-US"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258" w:type="pct"/>
            <w:vAlign w:val="center"/>
          </w:tcPr>
          <w:p>
            <w:pPr>
              <w:pStyle w:val="7"/>
              <w:jc w:val="center"/>
              <w:rPr>
                <w:rFonts w:hint="eastAsia" w:ascii="仿宋" w:hAnsi="仿宋" w:eastAsia="仿宋" w:cs="仿宋"/>
                <w:color w:val="auto"/>
                <w:kern w:val="2"/>
                <w:sz w:val="21"/>
                <w:szCs w:val="21"/>
                <w:highlight w:val="none"/>
                <w:u w:color="000000"/>
                <w:lang w:val="en-US" w:eastAsia="zh-CN" w:bidi="ar-SA"/>
              </w:rPr>
            </w:pPr>
            <w:r>
              <w:rPr>
                <w:rFonts w:hint="eastAsia" w:ascii="仿宋" w:hAnsi="仿宋" w:eastAsia="仿宋" w:cs="仿宋"/>
                <w:color w:val="auto"/>
                <w:kern w:val="2"/>
                <w:sz w:val="21"/>
                <w:szCs w:val="21"/>
                <w:highlight w:val="none"/>
                <w:u w:color="000000"/>
                <w:lang w:val="en-US" w:eastAsia="zh-CN" w:bidi="ar-SA"/>
              </w:rPr>
              <w:t>1</w:t>
            </w:r>
          </w:p>
        </w:tc>
        <w:tc>
          <w:tcPr>
            <w:tcW w:w="1669" w:type="pct"/>
            <w:vAlign w:val="center"/>
          </w:tcPr>
          <w:p>
            <w:pPr>
              <w:pStyle w:val="7"/>
              <w:jc w:val="center"/>
              <w:rPr>
                <w:rFonts w:hint="default" w:ascii="仿宋" w:hAnsi="仿宋" w:eastAsia="仿宋" w:cs="仿宋"/>
                <w:color w:val="auto"/>
                <w:kern w:val="2"/>
                <w:sz w:val="21"/>
                <w:szCs w:val="21"/>
                <w:highlight w:val="none"/>
                <w:u w:color="000000"/>
                <w:lang w:val="en-US" w:eastAsia="zh-CN" w:bidi="ar-SA"/>
              </w:rPr>
            </w:pPr>
            <w:r>
              <w:rPr>
                <w:rFonts w:hint="eastAsia" w:ascii="Times New Roman" w:hAnsi="Times New Roman" w:eastAsia="仿宋" w:cs="Times New Roman"/>
                <w:sz w:val="22"/>
                <w:lang w:val="en-US" w:eastAsia="zh-CN"/>
              </w:rPr>
              <w:t>2026年</w:t>
            </w:r>
            <w:r>
              <w:rPr>
                <w:rFonts w:hint="eastAsia" w:ascii="Times New Roman" w:hAnsi="Times New Roman" w:eastAsia="仿宋" w:cs="Times New Roman"/>
                <w:sz w:val="22"/>
              </w:rPr>
              <w:t>全院维修改造造价咨询服务</w:t>
            </w:r>
          </w:p>
        </w:tc>
        <w:tc>
          <w:tcPr>
            <w:tcW w:w="387" w:type="pct"/>
            <w:vAlign w:val="center"/>
          </w:tcPr>
          <w:p>
            <w:pPr>
              <w:pStyle w:val="7"/>
              <w:jc w:val="center"/>
              <w:rPr>
                <w:rFonts w:hint="eastAsia" w:ascii="仿宋" w:hAnsi="仿宋" w:eastAsia="仿宋" w:cs="仿宋"/>
                <w:color w:val="auto"/>
                <w:kern w:val="2"/>
                <w:sz w:val="21"/>
                <w:szCs w:val="21"/>
                <w:highlight w:val="none"/>
                <w:u w:color="000000"/>
                <w:lang w:val="en-US" w:eastAsia="zh-CN" w:bidi="ar-SA"/>
              </w:rPr>
            </w:pPr>
            <w:r>
              <w:rPr>
                <w:rFonts w:hint="eastAsia" w:ascii="仿宋" w:hAnsi="仿宋" w:eastAsia="仿宋" w:cs="仿宋"/>
                <w:color w:val="auto"/>
                <w:kern w:val="2"/>
                <w:sz w:val="21"/>
                <w:szCs w:val="21"/>
                <w:highlight w:val="none"/>
                <w:u w:color="000000"/>
                <w:lang w:val="en-US" w:eastAsia="zh-CN" w:bidi="ar-SA"/>
              </w:rPr>
              <w:t>1项</w:t>
            </w:r>
          </w:p>
        </w:tc>
        <w:tc>
          <w:tcPr>
            <w:tcW w:w="1562" w:type="pct"/>
            <w:vAlign w:val="center"/>
          </w:tcPr>
          <w:p>
            <w:pPr>
              <w:pStyle w:val="7"/>
              <w:jc w:val="center"/>
              <w:rPr>
                <w:rFonts w:hint="default" w:ascii="仿宋" w:hAnsi="仿宋" w:eastAsia="仿宋" w:cs="仿宋"/>
                <w:color w:val="auto"/>
                <w:kern w:val="2"/>
                <w:sz w:val="21"/>
                <w:szCs w:val="21"/>
                <w:highlight w:val="none"/>
                <w:u w:color="000000"/>
                <w:lang w:val="en-US" w:eastAsia="zh-CN" w:bidi="ar-SA"/>
              </w:rPr>
            </w:pPr>
            <w:r>
              <w:rPr>
                <w:rFonts w:hint="eastAsia" w:ascii="仿宋" w:hAnsi="仿宋" w:eastAsia="仿宋" w:cs="仿宋"/>
                <w:color w:val="auto"/>
                <w:kern w:val="2"/>
                <w:sz w:val="21"/>
                <w:szCs w:val="21"/>
                <w:highlight w:val="none"/>
                <w:u w:val="single" w:color="auto"/>
                <w:lang w:val="en-US" w:eastAsia="zh-CN" w:bidi="ar-SA"/>
              </w:rPr>
              <w:t xml:space="preserve">    </w:t>
            </w:r>
            <w:r>
              <w:rPr>
                <w:rFonts w:hint="eastAsia" w:ascii="仿宋" w:hAnsi="仿宋" w:eastAsia="仿宋" w:cs="仿宋"/>
                <w:color w:val="auto"/>
                <w:kern w:val="2"/>
                <w:sz w:val="21"/>
                <w:szCs w:val="21"/>
                <w:highlight w:val="none"/>
                <w:u w:color="000000"/>
                <w:lang w:val="en-US" w:eastAsia="zh-CN" w:bidi="ar-SA"/>
              </w:rPr>
              <w:t>%</w:t>
            </w:r>
          </w:p>
        </w:tc>
        <w:tc>
          <w:tcPr>
            <w:tcW w:w="1121" w:type="pct"/>
            <w:vAlign w:val="center"/>
          </w:tcPr>
          <w:p>
            <w:pPr>
              <w:pStyle w:val="7"/>
              <w:jc w:val="center"/>
              <w:rPr>
                <w:rFonts w:hint="eastAsia" w:ascii="仿宋" w:hAnsi="仿宋" w:eastAsia="仿宋" w:cs="仿宋"/>
                <w:color w:val="auto"/>
                <w:kern w:val="2"/>
                <w:sz w:val="21"/>
                <w:szCs w:val="21"/>
                <w:highlight w:val="none"/>
                <w:u w:color="000000"/>
                <w:lang w:val="en-US" w:eastAsia="zh-CN" w:bidi="ar-SA"/>
              </w:rPr>
            </w:pPr>
            <w:r>
              <w:rPr>
                <w:rFonts w:hint="eastAsia" w:ascii="仿宋" w:hAnsi="仿宋" w:eastAsia="仿宋" w:cs="仿宋"/>
                <w:color w:val="auto"/>
                <w:kern w:val="2"/>
                <w:sz w:val="21"/>
                <w:szCs w:val="21"/>
                <w:highlight w:val="none"/>
                <w:u w:color="000000"/>
                <w:lang w:val="en-US" w:eastAsia="zh-CN" w:bidi="ar-SA"/>
              </w:rPr>
              <w:t>以单个工程项目合同金额为计费基数，按照川价发〔2008〕141号文的费率标准计算出基准价格，最终结算价格=基准价格*（1-统一下浮比例）</w:t>
            </w:r>
          </w:p>
        </w:tc>
      </w:tr>
    </w:tbl>
    <w:p>
      <w:pPr>
        <w:pStyle w:val="7"/>
        <w:rPr>
          <w:rFonts w:ascii="Times New Roman" w:hAnsi="Times New Roman" w:eastAsia="仿宋" w:cs="Times New Roman"/>
          <w:szCs w:val="21"/>
        </w:rPr>
      </w:pP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pPr>
        <w:pStyle w:val="7"/>
        <w:rPr>
          <w:rFonts w:ascii="Times New Roman" w:hAnsi="Times New Roman" w:eastAsia="仿宋" w:cs="Times New Roman"/>
          <w:szCs w:val="21"/>
          <w:lang w:val="zh-TW" w:eastAsia="zh-TW"/>
        </w:rPr>
      </w:pP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29032"/>
      <w:bookmarkStart w:id="90" w:name="_Toc14685"/>
      <w:bookmarkStart w:id="91" w:name="_Toc30002"/>
    </w:p>
    <w:p>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pPr>
        <w:pStyle w:val="3"/>
        <w:ind w:firstLine="0"/>
      </w:pPr>
      <w:r>
        <w:t>供应商认为需要提供的其他材料</w:t>
      </w:r>
      <w:bookmarkEnd w:id="85"/>
      <w:bookmarkEnd w:id="86"/>
      <w:bookmarkEnd w:id="87"/>
      <w:bookmarkEnd w:id="89"/>
      <w:bookmarkEnd w:id="90"/>
      <w:bookmarkEnd w:id="91"/>
    </w:p>
    <w:p>
      <w:pPr>
        <w:pStyle w:val="7"/>
        <w:jc w:val="center"/>
        <w:rPr>
          <w:rFonts w:ascii="Times New Roman" w:hAnsi="Times New Roman" w:eastAsia="仿宋" w:cs="Times New Roman"/>
        </w:rPr>
      </w:pPr>
    </w:p>
    <w:p>
      <w:pPr>
        <w:pStyle w:val="7"/>
        <w:jc w:val="center"/>
        <w:rPr>
          <w:rFonts w:ascii="Times New Roman" w:hAnsi="Times New Roman" w:eastAsia="仿宋" w:cs="Times New Roman"/>
        </w:rPr>
      </w:pPr>
    </w:p>
    <w:p>
      <w:pPr>
        <w:pStyle w:val="7"/>
        <w:jc w:val="center"/>
        <w:rPr>
          <w:rFonts w:ascii="Times New Roman" w:hAnsi="Times New Roman" w:eastAsia="仿宋" w:cs="Times New Roman"/>
        </w:rPr>
      </w:pPr>
    </w:p>
    <w:p>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pPr>
        <w:pStyle w:val="12"/>
        <w:spacing w:line="360" w:lineRule="auto"/>
        <w:jc w:val="left"/>
        <w:rPr>
          <w:rFonts w:ascii="Times New Roman" w:hAnsi="Times New Roman" w:eastAsia="仿宋" w:cs="Times New Roman"/>
          <w:sz w:val="16"/>
          <w:szCs w:val="20"/>
        </w:rPr>
      </w:pPr>
      <w:r>
        <w:rPr>
          <w:rFonts w:ascii="Times New Roman" w:hAnsi="Times New Roman" w:eastAsia="仿宋" w:cs="Times New Roman"/>
          <w:sz w:val="22"/>
        </w:rPr>
        <w:t>合同编号：</w:t>
      </w:r>
      <w:r>
        <w:rPr>
          <w:rFonts w:ascii="Times New Roman" w:hAnsi="Times New Roman" w:eastAsia="仿宋" w:cs="Times New Roman"/>
          <w:sz w:val="22"/>
          <w:u w:val="single"/>
        </w:rPr>
        <w:t xml:space="preserve">                 </w:t>
      </w:r>
    </w:p>
    <w:p>
      <w:pPr>
        <w:pStyle w:val="40"/>
        <w:rPr>
          <w:sz w:val="48"/>
          <w:szCs w:val="48"/>
        </w:rPr>
      </w:pPr>
      <w:r>
        <w:rPr>
          <w:rFonts w:hint="eastAsia"/>
          <w:sz w:val="48"/>
          <w:szCs w:val="48"/>
        </w:rPr>
        <w:t>*</w:t>
      </w:r>
      <w:r>
        <w:rPr>
          <w:sz w:val="48"/>
          <w:szCs w:val="48"/>
        </w:rPr>
        <w:t>**</w:t>
      </w:r>
      <w:r>
        <w:rPr>
          <w:rFonts w:hint="eastAsia"/>
          <w:sz w:val="48"/>
          <w:szCs w:val="48"/>
        </w:rPr>
        <w:t>服务项目</w:t>
      </w:r>
    </w:p>
    <w:p>
      <w:pPr>
        <w:pStyle w:val="40"/>
        <w:rPr>
          <w:sz w:val="48"/>
          <w:szCs w:val="48"/>
        </w:rPr>
      </w:pPr>
      <w:r>
        <w:rPr>
          <w:rFonts w:hint="eastAsia"/>
          <w:sz w:val="48"/>
          <w:szCs w:val="48"/>
        </w:rPr>
        <w:t>采购</w:t>
      </w:r>
      <w:r>
        <w:rPr>
          <w:sz w:val="48"/>
          <w:szCs w:val="48"/>
        </w:rPr>
        <w:t>合同</w:t>
      </w:r>
    </w:p>
    <w:p>
      <w:pPr>
        <w:rPr>
          <w:sz w:val="24"/>
        </w:rPr>
        <w:sectPr>
          <w:headerReference r:id="rId6" w:type="default"/>
          <w:footerReference r:id="rId7" w:type="default"/>
          <w:footerReference r:id="rId8" w:type="even"/>
          <w:pgSz w:w="11906" w:h="16838"/>
          <w:pgMar w:top="1134" w:right="1134" w:bottom="1134" w:left="1134" w:header="850" w:footer="567" w:gutter="0"/>
          <w:pgNumType w:fmt="decimal" w:start="1"/>
          <w:cols w:space="425" w:num="1"/>
          <w:docGrid w:linePitch="312" w:charSpace="0"/>
        </w:sectPr>
      </w:pPr>
    </w:p>
    <w:p>
      <w:pPr>
        <w:adjustRightInd w:val="0"/>
        <w:ind w:firstLine="420" w:firstLineChars="200"/>
        <w:contextualSpacing/>
        <w:jc w:val="left"/>
        <w:rPr>
          <w:color w:val="000000"/>
          <w:szCs w:val="21"/>
        </w:rPr>
      </w:pPr>
    </w:p>
    <w:p>
      <w:pPr>
        <w:adjustRightInd w:val="0"/>
        <w:ind w:firstLine="420" w:firstLineChars="200"/>
        <w:contextualSpacing/>
        <w:jc w:val="left"/>
        <w:rPr>
          <w:color w:val="000000"/>
          <w:szCs w:val="21"/>
        </w:rPr>
      </w:pPr>
    </w:p>
    <w:tbl>
      <w:tblPr>
        <w:tblStyle w:val="18"/>
        <w:tblW w:w="5000" w:type="pct"/>
        <w:jc w:val="center"/>
        <w:tblLayout w:type="autofit"/>
        <w:tblCellMar>
          <w:top w:w="0" w:type="dxa"/>
          <w:left w:w="0" w:type="dxa"/>
          <w:bottom w:w="0" w:type="dxa"/>
          <w:right w:w="0" w:type="dxa"/>
        </w:tblCellMar>
      </w:tblPr>
      <w:tblGrid>
        <w:gridCol w:w="4688"/>
        <w:gridCol w:w="4950"/>
      </w:tblGrid>
      <w:tr>
        <w:tblPrEx>
          <w:tblCellMar>
            <w:top w:w="0" w:type="dxa"/>
            <w:left w:w="0" w:type="dxa"/>
            <w:bottom w:w="0" w:type="dxa"/>
            <w:right w:w="0" w:type="dxa"/>
          </w:tblCellMar>
        </w:tblPrEx>
        <w:trPr>
          <w:trHeight w:val="767" w:hRule="atLeast"/>
          <w:jc w:val="center"/>
        </w:trPr>
        <w:tc>
          <w:tcPr>
            <w:tcW w:w="10204" w:type="dxa"/>
            <w:gridSpan w:val="2"/>
          </w:tcPr>
          <w:p>
            <w:pPr>
              <w:contextualSpacing/>
              <w:rPr>
                <w:color w:val="000000"/>
                <w:szCs w:val="21"/>
              </w:rPr>
            </w:pPr>
            <w:r>
              <w:rPr>
                <w:b/>
                <w:bCs/>
                <w:color w:val="000000"/>
                <w:szCs w:val="21"/>
              </w:rPr>
              <w:t>合同编号</w:t>
            </w:r>
            <w:r>
              <w:rPr>
                <w:color w:val="000000"/>
                <w:szCs w:val="21"/>
              </w:rPr>
              <w:t>：CGZX-***</w:t>
            </w:r>
          </w:p>
          <w:p>
            <w:pPr>
              <w:contextualSpacing/>
              <w:rPr>
                <w:color w:val="000000"/>
                <w:szCs w:val="21"/>
              </w:rPr>
            </w:pPr>
            <w:r>
              <w:rPr>
                <w:b/>
                <w:bCs/>
                <w:color w:val="000000"/>
                <w:szCs w:val="21"/>
              </w:rPr>
              <w:t>签订地点</w:t>
            </w:r>
            <w:r>
              <w:rPr>
                <w:color w:val="000000"/>
                <w:szCs w:val="21"/>
              </w:rPr>
              <w:t>：四川省人民医院</w:t>
            </w:r>
          </w:p>
        </w:tc>
      </w:tr>
      <w:tr>
        <w:tblPrEx>
          <w:tblCellMar>
            <w:top w:w="0" w:type="dxa"/>
            <w:left w:w="0" w:type="dxa"/>
            <w:bottom w:w="0" w:type="dxa"/>
            <w:right w:w="0" w:type="dxa"/>
          </w:tblCellMar>
        </w:tblPrEx>
        <w:trPr>
          <w:jc w:val="center"/>
        </w:trPr>
        <w:tc>
          <w:tcPr>
            <w:tcW w:w="4962" w:type="dxa"/>
          </w:tcPr>
          <w:p>
            <w:pPr>
              <w:rPr>
                <w:szCs w:val="21"/>
              </w:rPr>
            </w:pPr>
            <w:r>
              <w:rPr>
                <w:b/>
                <w:bCs/>
                <w:szCs w:val="21"/>
              </w:rPr>
              <w:t>采购人（以下简称甲方）</w:t>
            </w:r>
            <w:r>
              <w:rPr>
                <w:szCs w:val="21"/>
              </w:rPr>
              <w:t>：四川省人民医院</w:t>
            </w:r>
          </w:p>
          <w:p>
            <w:pPr>
              <w:rPr>
                <w:szCs w:val="21"/>
              </w:rPr>
            </w:pPr>
            <w:r>
              <w:rPr>
                <w:b/>
                <w:bCs/>
                <w:szCs w:val="21"/>
              </w:rPr>
              <w:t>地址</w:t>
            </w:r>
            <w:r>
              <w:rPr>
                <w:szCs w:val="21"/>
              </w:rPr>
              <w:t>：四川省成都市一环路西二段32号</w:t>
            </w:r>
          </w:p>
          <w:p>
            <w:pPr>
              <w:rPr>
                <w:szCs w:val="21"/>
              </w:rPr>
            </w:pPr>
            <w:r>
              <w:rPr>
                <w:b/>
                <w:bCs/>
                <w:szCs w:val="21"/>
              </w:rPr>
              <w:t>项目联系人</w:t>
            </w:r>
            <w:r>
              <w:rPr>
                <w:szCs w:val="21"/>
              </w:rPr>
              <w:t xml:space="preserve">：*** </w:t>
            </w:r>
            <w:r>
              <w:rPr>
                <w:b/>
                <w:bCs/>
                <w:szCs w:val="21"/>
              </w:rPr>
              <w:t>电话</w:t>
            </w:r>
            <w:r>
              <w:rPr>
                <w:szCs w:val="21"/>
              </w:rPr>
              <w:t>：***</w:t>
            </w:r>
          </w:p>
          <w:p>
            <w:r>
              <w:rPr>
                <w:rFonts w:hint="eastAsia"/>
                <w:b/>
                <w:bCs/>
                <w:szCs w:val="21"/>
              </w:rPr>
              <w:t>电子邮件：</w:t>
            </w:r>
            <w:r>
              <w:rPr>
                <w:rFonts w:hint="eastAsia"/>
                <w:szCs w:val="21"/>
              </w:rPr>
              <w:t>*</w:t>
            </w:r>
            <w:r>
              <w:rPr>
                <w:szCs w:val="21"/>
              </w:rPr>
              <w:t>**</w:t>
            </w:r>
          </w:p>
        </w:tc>
        <w:tc>
          <w:tcPr>
            <w:tcW w:w="5242" w:type="dxa"/>
          </w:tcPr>
          <w:p>
            <w:pPr>
              <w:rPr>
                <w:b/>
                <w:bCs/>
                <w:szCs w:val="21"/>
              </w:rPr>
            </w:pPr>
            <w:r>
              <w:rPr>
                <w:b/>
                <w:bCs/>
                <w:szCs w:val="21"/>
              </w:rPr>
              <w:t>供应商（以下简称乙方）：***</w:t>
            </w:r>
          </w:p>
          <w:p>
            <w:pPr>
              <w:rPr>
                <w:b/>
                <w:bCs/>
                <w:szCs w:val="21"/>
              </w:rPr>
            </w:pPr>
            <w:r>
              <w:rPr>
                <w:b/>
                <w:bCs/>
                <w:szCs w:val="21"/>
              </w:rPr>
              <w:t>地址：***</w:t>
            </w:r>
          </w:p>
          <w:p>
            <w:pPr>
              <w:rPr>
                <w:b/>
                <w:bCs/>
                <w:szCs w:val="21"/>
              </w:rPr>
            </w:pPr>
            <w:r>
              <w:rPr>
                <w:b/>
                <w:bCs/>
                <w:szCs w:val="21"/>
              </w:rPr>
              <w:t>移动电话：***</w:t>
            </w:r>
          </w:p>
          <w:p>
            <w:pPr>
              <w:contextualSpacing/>
              <w:rPr>
                <w:b/>
                <w:bCs/>
                <w:szCs w:val="21"/>
              </w:rPr>
            </w:pPr>
            <w:r>
              <w:rPr>
                <w:b/>
                <w:bCs/>
                <w:szCs w:val="21"/>
              </w:rPr>
              <w:t>联系人：***</w:t>
            </w:r>
          </w:p>
          <w:p>
            <w:pPr>
              <w:rPr>
                <w:bCs/>
                <w:szCs w:val="21"/>
              </w:rPr>
            </w:pPr>
            <w:r>
              <w:rPr>
                <w:rFonts w:hint="eastAsia"/>
                <w:b/>
                <w:bCs/>
                <w:szCs w:val="21"/>
              </w:rPr>
              <w:t>电子邮件：</w:t>
            </w:r>
            <w:r>
              <w:rPr>
                <w:rFonts w:hint="eastAsia"/>
                <w:szCs w:val="21"/>
              </w:rPr>
              <w:t>*</w:t>
            </w:r>
            <w:r>
              <w:rPr>
                <w:szCs w:val="21"/>
              </w:rPr>
              <w:t>**</w:t>
            </w:r>
          </w:p>
        </w:tc>
      </w:tr>
    </w:tbl>
    <w:p>
      <w:pPr>
        <w:ind w:firstLine="420" w:firstLineChars="200"/>
        <w:contextualSpacing/>
        <w:jc w:val="left"/>
        <w:rPr>
          <w:color w:val="000000"/>
          <w:szCs w:val="21"/>
        </w:rPr>
      </w:pPr>
    </w:p>
    <w:p>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pPr>
        <w:contextualSpacing/>
        <w:jc w:val="left"/>
        <w:rPr>
          <w:b/>
          <w:szCs w:val="21"/>
        </w:rPr>
      </w:pPr>
    </w:p>
    <w:p>
      <w:pPr>
        <w:pStyle w:val="28"/>
        <w:numPr>
          <w:ilvl w:val="0"/>
          <w:numId w:val="13"/>
        </w:numPr>
        <w:ind w:left="0" w:firstLine="0" w:firstLineChars="0"/>
        <w:contextualSpacing/>
        <w:jc w:val="left"/>
        <w:rPr>
          <w:b/>
          <w:szCs w:val="21"/>
        </w:rPr>
      </w:pPr>
      <w:r>
        <w:rPr>
          <w:b/>
          <w:szCs w:val="21"/>
        </w:rPr>
        <w:t>合同标的</w:t>
      </w:r>
    </w:p>
    <w:p>
      <w:pPr>
        <w:pStyle w:val="9"/>
        <w:numPr>
          <w:ilvl w:val="0"/>
          <w:numId w:val="14"/>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pPr>
        <w:pStyle w:val="9"/>
        <w:numPr>
          <w:ilvl w:val="0"/>
          <w:numId w:val="14"/>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pPr>
        <w:pStyle w:val="9"/>
        <w:numPr>
          <w:ilvl w:val="0"/>
          <w:numId w:val="14"/>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highlight w:val="yellow"/>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pPr>
              <w:pStyle w:val="28"/>
              <w:ind w:firstLine="0" w:firstLineChars="0"/>
              <w:jc w:val="center"/>
              <w:rPr>
                <w:color w:val="000000"/>
                <w:szCs w:val="21"/>
              </w:rPr>
            </w:pPr>
            <w:r>
              <w:rPr>
                <w:color w:val="000000"/>
                <w:szCs w:val="21"/>
              </w:rPr>
              <w:t>序号</w:t>
            </w:r>
          </w:p>
        </w:tc>
        <w:tc>
          <w:tcPr>
            <w:tcW w:w="2977" w:type="dxa"/>
            <w:vAlign w:val="center"/>
          </w:tcPr>
          <w:p>
            <w:pPr>
              <w:pStyle w:val="28"/>
              <w:ind w:firstLine="0" w:firstLineChars="0"/>
              <w:jc w:val="center"/>
              <w:rPr>
                <w:color w:val="000000"/>
                <w:szCs w:val="21"/>
              </w:rPr>
            </w:pPr>
            <w:r>
              <w:rPr>
                <w:color w:val="000000"/>
                <w:szCs w:val="21"/>
              </w:rPr>
              <w:t>分项</w:t>
            </w:r>
            <w:r>
              <w:rPr>
                <w:rFonts w:hint="eastAsia"/>
                <w:color w:val="000000"/>
                <w:szCs w:val="21"/>
              </w:rPr>
              <w:t>服务</w:t>
            </w:r>
            <w:r>
              <w:rPr>
                <w:color w:val="000000"/>
                <w:szCs w:val="21"/>
              </w:rPr>
              <w:t>名称</w:t>
            </w:r>
          </w:p>
        </w:tc>
        <w:tc>
          <w:tcPr>
            <w:tcW w:w="3686" w:type="dxa"/>
            <w:vAlign w:val="center"/>
          </w:tcPr>
          <w:p>
            <w:pPr>
              <w:pStyle w:val="28"/>
              <w:ind w:firstLine="0" w:firstLineChars="0"/>
              <w:jc w:val="center"/>
              <w:rPr>
                <w:color w:val="000000"/>
                <w:szCs w:val="21"/>
              </w:rPr>
            </w:pPr>
            <w:r>
              <w:rPr>
                <w:color w:val="000000"/>
                <w:szCs w:val="21"/>
              </w:rPr>
              <w:t>具体内容</w:t>
            </w:r>
          </w:p>
        </w:tc>
        <w:tc>
          <w:tcPr>
            <w:tcW w:w="963" w:type="dxa"/>
            <w:vAlign w:val="center"/>
          </w:tcPr>
          <w:p>
            <w:pPr>
              <w:pStyle w:val="28"/>
              <w:ind w:firstLine="0" w:firstLineChars="0"/>
              <w:jc w:val="center"/>
              <w:rPr>
                <w:color w:val="000000"/>
                <w:szCs w:val="21"/>
              </w:rPr>
            </w:pPr>
            <w:r>
              <w:rPr>
                <w:color w:val="000000"/>
                <w:szCs w:val="21"/>
              </w:rPr>
              <w:t>分项价格（万元）</w:t>
            </w:r>
          </w:p>
        </w:tc>
        <w:tc>
          <w:tcPr>
            <w:tcW w:w="2016" w:type="dxa"/>
          </w:tcPr>
          <w:p>
            <w:pPr>
              <w:pStyle w:val="28"/>
              <w:ind w:firstLine="0" w:firstLineChars="0"/>
              <w:jc w:val="center"/>
              <w:rPr>
                <w:color w:val="000000"/>
                <w:szCs w:val="21"/>
              </w:rPr>
            </w:pPr>
            <w:r>
              <w:rPr>
                <w:color w:val="00000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pPr>
              <w:pStyle w:val="28"/>
              <w:ind w:firstLine="0" w:firstLineChars="0"/>
              <w:jc w:val="center"/>
              <w:rPr>
                <w:color w:val="000000"/>
                <w:szCs w:val="21"/>
              </w:rPr>
            </w:pPr>
            <w:r>
              <w:rPr>
                <w:rFonts w:hint="eastAsia"/>
                <w:color w:val="000000"/>
                <w:szCs w:val="21"/>
              </w:rPr>
              <w:t>1</w:t>
            </w:r>
          </w:p>
        </w:tc>
        <w:tc>
          <w:tcPr>
            <w:tcW w:w="2977" w:type="dxa"/>
            <w:vAlign w:val="center"/>
          </w:tcPr>
          <w:p>
            <w:pPr>
              <w:pStyle w:val="28"/>
              <w:ind w:firstLine="0" w:firstLineChars="0"/>
              <w:rPr>
                <w:color w:val="000000"/>
                <w:szCs w:val="21"/>
              </w:rPr>
            </w:pPr>
          </w:p>
        </w:tc>
        <w:tc>
          <w:tcPr>
            <w:tcW w:w="3686" w:type="dxa"/>
            <w:vAlign w:val="center"/>
          </w:tcPr>
          <w:p>
            <w:pPr>
              <w:pStyle w:val="28"/>
              <w:ind w:firstLine="0" w:firstLineChars="0"/>
              <w:rPr>
                <w:color w:val="000000"/>
                <w:szCs w:val="21"/>
              </w:rPr>
            </w:pPr>
          </w:p>
        </w:tc>
        <w:tc>
          <w:tcPr>
            <w:tcW w:w="963" w:type="dxa"/>
            <w:vAlign w:val="center"/>
          </w:tcPr>
          <w:p>
            <w:pPr>
              <w:pStyle w:val="28"/>
              <w:ind w:firstLine="0" w:firstLineChars="0"/>
              <w:jc w:val="center"/>
              <w:rPr>
                <w:color w:val="000000"/>
                <w:szCs w:val="21"/>
              </w:rPr>
            </w:pPr>
          </w:p>
        </w:tc>
        <w:tc>
          <w:tcPr>
            <w:tcW w:w="2016" w:type="dxa"/>
          </w:tcPr>
          <w:p>
            <w:pPr>
              <w:pStyle w:val="28"/>
              <w:ind w:firstLine="0" w:firstLineChars="0"/>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pPr>
              <w:pStyle w:val="28"/>
              <w:ind w:firstLine="0" w:firstLineChars="0"/>
              <w:jc w:val="center"/>
              <w:rPr>
                <w:color w:val="000000"/>
                <w:szCs w:val="21"/>
              </w:rPr>
            </w:pPr>
            <w:r>
              <w:rPr>
                <w:rFonts w:hint="eastAsia"/>
                <w:color w:val="000000"/>
                <w:szCs w:val="21"/>
              </w:rPr>
              <w:t>2</w:t>
            </w:r>
          </w:p>
        </w:tc>
        <w:tc>
          <w:tcPr>
            <w:tcW w:w="2977" w:type="dxa"/>
            <w:vAlign w:val="center"/>
          </w:tcPr>
          <w:p>
            <w:pPr>
              <w:pStyle w:val="28"/>
              <w:ind w:firstLine="0" w:firstLineChars="0"/>
              <w:rPr>
                <w:color w:val="000000"/>
                <w:szCs w:val="21"/>
              </w:rPr>
            </w:pPr>
          </w:p>
        </w:tc>
        <w:tc>
          <w:tcPr>
            <w:tcW w:w="3686" w:type="dxa"/>
            <w:vAlign w:val="center"/>
          </w:tcPr>
          <w:p>
            <w:pPr>
              <w:pStyle w:val="28"/>
              <w:ind w:firstLine="0" w:firstLineChars="0"/>
              <w:rPr>
                <w:color w:val="000000"/>
                <w:szCs w:val="21"/>
              </w:rPr>
            </w:pPr>
          </w:p>
        </w:tc>
        <w:tc>
          <w:tcPr>
            <w:tcW w:w="963" w:type="dxa"/>
            <w:vAlign w:val="center"/>
          </w:tcPr>
          <w:p>
            <w:pPr>
              <w:pStyle w:val="28"/>
              <w:ind w:firstLine="0" w:firstLineChars="0"/>
              <w:jc w:val="center"/>
              <w:rPr>
                <w:color w:val="000000"/>
                <w:szCs w:val="21"/>
              </w:rPr>
            </w:pPr>
          </w:p>
        </w:tc>
        <w:tc>
          <w:tcPr>
            <w:tcW w:w="2016" w:type="dxa"/>
          </w:tcPr>
          <w:p>
            <w:pPr>
              <w:pStyle w:val="28"/>
              <w:ind w:firstLine="0" w:firstLineChars="0"/>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pPr>
              <w:pStyle w:val="28"/>
              <w:ind w:firstLine="0" w:firstLineChars="0"/>
              <w:jc w:val="center"/>
              <w:rPr>
                <w:color w:val="000000"/>
                <w:szCs w:val="21"/>
              </w:rPr>
            </w:pPr>
            <w:r>
              <w:rPr>
                <w:rFonts w:hint="eastAsia"/>
                <w:color w:val="000000"/>
                <w:szCs w:val="21"/>
              </w:rPr>
              <w:t>3</w:t>
            </w:r>
          </w:p>
        </w:tc>
        <w:tc>
          <w:tcPr>
            <w:tcW w:w="2977" w:type="dxa"/>
            <w:vAlign w:val="center"/>
          </w:tcPr>
          <w:p>
            <w:pPr>
              <w:pStyle w:val="28"/>
              <w:ind w:firstLine="0" w:firstLineChars="0"/>
              <w:rPr>
                <w:color w:val="000000"/>
                <w:szCs w:val="21"/>
              </w:rPr>
            </w:pPr>
          </w:p>
        </w:tc>
        <w:tc>
          <w:tcPr>
            <w:tcW w:w="3686" w:type="dxa"/>
            <w:vAlign w:val="center"/>
          </w:tcPr>
          <w:p>
            <w:pPr>
              <w:pStyle w:val="28"/>
              <w:ind w:firstLine="0" w:firstLineChars="0"/>
              <w:rPr>
                <w:color w:val="000000"/>
                <w:szCs w:val="21"/>
              </w:rPr>
            </w:pPr>
          </w:p>
        </w:tc>
        <w:tc>
          <w:tcPr>
            <w:tcW w:w="963" w:type="dxa"/>
            <w:vAlign w:val="center"/>
          </w:tcPr>
          <w:p>
            <w:pPr>
              <w:pStyle w:val="28"/>
              <w:ind w:firstLine="0" w:firstLineChars="0"/>
              <w:jc w:val="center"/>
              <w:rPr>
                <w:color w:val="000000"/>
                <w:szCs w:val="21"/>
              </w:rPr>
            </w:pPr>
          </w:p>
        </w:tc>
        <w:tc>
          <w:tcPr>
            <w:tcW w:w="2016" w:type="dxa"/>
          </w:tcPr>
          <w:p>
            <w:pPr>
              <w:pStyle w:val="28"/>
              <w:ind w:firstLine="0" w:firstLineChars="0"/>
              <w:rPr>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72" w:type="dxa"/>
            <w:vAlign w:val="center"/>
          </w:tcPr>
          <w:p>
            <w:pPr>
              <w:pStyle w:val="28"/>
              <w:ind w:firstLine="0" w:firstLineChars="0"/>
              <w:jc w:val="center"/>
              <w:rPr>
                <w:color w:val="000000"/>
                <w:szCs w:val="21"/>
              </w:rPr>
            </w:pPr>
            <w:r>
              <w:rPr>
                <w:color w:val="000000"/>
                <w:szCs w:val="21"/>
              </w:rPr>
              <w:t>…</w:t>
            </w:r>
          </w:p>
        </w:tc>
        <w:tc>
          <w:tcPr>
            <w:tcW w:w="2977" w:type="dxa"/>
            <w:vAlign w:val="center"/>
          </w:tcPr>
          <w:p>
            <w:pPr>
              <w:pStyle w:val="28"/>
              <w:ind w:firstLine="0" w:firstLineChars="0"/>
              <w:rPr>
                <w:color w:val="000000"/>
                <w:szCs w:val="21"/>
              </w:rPr>
            </w:pPr>
          </w:p>
        </w:tc>
        <w:tc>
          <w:tcPr>
            <w:tcW w:w="3686" w:type="dxa"/>
            <w:vAlign w:val="center"/>
          </w:tcPr>
          <w:p>
            <w:pPr>
              <w:pStyle w:val="28"/>
              <w:ind w:firstLine="0" w:firstLineChars="0"/>
              <w:rPr>
                <w:color w:val="000000"/>
                <w:szCs w:val="21"/>
              </w:rPr>
            </w:pPr>
          </w:p>
        </w:tc>
        <w:tc>
          <w:tcPr>
            <w:tcW w:w="963" w:type="dxa"/>
            <w:vAlign w:val="center"/>
          </w:tcPr>
          <w:p>
            <w:pPr>
              <w:pStyle w:val="28"/>
              <w:ind w:firstLine="0" w:firstLineChars="0"/>
              <w:jc w:val="center"/>
              <w:rPr>
                <w:color w:val="000000"/>
                <w:szCs w:val="21"/>
              </w:rPr>
            </w:pPr>
          </w:p>
        </w:tc>
        <w:tc>
          <w:tcPr>
            <w:tcW w:w="2016" w:type="dxa"/>
          </w:tcPr>
          <w:p>
            <w:pPr>
              <w:pStyle w:val="28"/>
              <w:ind w:firstLine="0" w:firstLineChars="0"/>
              <w:rPr>
                <w:color w:val="000000"/>
                <w:szCs w:val="21"/>
              </w:rPr>
            </w:pPr>
          </w:p>
        </w:tc>
      </w:tr>
    </w:tbl>
    <w:p>
      <w:pPr>
        <w:pStyle w:val="28"/>
        <w:numPr>
          <w:ilvl w:val="0"/>
          <w:numId w:val="13"/>
        </w:numPr>
        <w:ind w:firstLineChars="0"/>
        <w:jc w:val="left"/>
        <w:rPr>
          <w:b/>
          <w:szCs w:val="21"/>
        </w:rPr>
      </w:pPr>
      <w:r>
        <w:rPr>
          <w:b/>
          <w:szCs w:val="21"/>
        </w:rPr>
        <w:t>合同</w:t>
      </w:r>
      <w:r>
        <w:rPr>
          <w:rFonts w:hint="eastAsia"/>
          <w:b/>
          <w:szCs w:val="21"/>
        </w:rPr>
        <w:t>价款</w:t>
      </w:r>
    </w:p>
    <w:p>
      <w:pPr>
        <w:ind w:firstLine="480"/>
        <w:contextualSpacing/>
        <w:jc w:val="left"/>
        <w:rPr>
          <w:szCs w:val="21"/>
        </w:rPr>
      </w:pPr>
      <w:bookmarkStart w:id="95" w:name="OLE_LINK2"/>
      <w:bookmarkStart w:id="96" w:name="OLE_LINK1"/>
      <w:r>
        <w:rPr>
          <w:color w:val="000000"/>
          <w:szCs w:val="21"/>
        </w:rPr>
        <w:sym w:font="Wingdings 2" w:char="F052"/>
      </w:r>
      <w:r>
        <w:rPr>
          <w:rFonts w:hint="eastAsia"/>
          <w:szCs w:val="21"/>
        </w:rPr>
        <w:t>全包服务</w:t>
      </w:r>
    </w:p>
    <w:p>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pPr>
        <w:ind w:firstLine="480"/>
        <w:contextualSpacing/>
        <w:jc w:val="left"/>
      </w:pPr>
      <w:r>
        <w:rPr>
          <w:color w:val="000000"/>
          <w:szCs w:val="21"/>
          <w:shd w:val="clear" w:color="auto" w:fill="FFFFFF"/>
        </w:rPr>
        <w:sym w:font="Wingdings" w:char="F0A8"/>
      </w:r>
      <w:r>
        <w:rPr>
          <w:rFonts w:hint="eastAsia"/>
        </w:rPr>
        <w:t>半包服务</w:t>
      </w:r>
    </w:p>
    <w:p>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97" w:name="OLE_LINK28"/>
      <w:r>
        <w:rPr>
          <w:szCs w:val="21"/>
        </w:rPr>
        <w:t>人民币大写：*** 圆整，即RMB *** 元</w:t>
      </w:r>
      <w:bookmarkEnd w:id="97"/>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pPr>
        <w:ind w:firstLine="480"/>
        <w:contextualSpacing/>
        <w:jc w:val="left"/>
      </w:pPr>
      <w:r>
        <w:rPr>
          <w:color w:val="000000"/>
          <w:szCs w:val="21"/>
          <w:shd w:val="clear" w:color="auto" w:fill="FFFFFF"/>
        </w:rPr>
        <w:sym w:font="Wingdings" w:char="F0A8"/>
      </w:r>
      <w:r>
        <w:rPr>
          <w:rFonts w:hint="eastAsia"/>
        </w:rPr>
        <w:t>按实结算</w:t>
      </w:r>
    </w:p>
    <w:p>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bookmarkEnd w:id="95"/>
    <w:bookmarkEnd w:id="96"/>
    <w:p>
      <w:pPr>
        <w:pStyle w:val="28"/>
        <w:numPr>
          <w:ilvl w:val="0"/>
          <w:numId w:val="13"/>
        </w:numPr>
        <w:ind w:left="0" w:firstLine="0" w:firstLineChars="0"/>
        <w:jc w:val="left"/>
        <w:rPr>
          <w:b/>
          <w:szCs w:val="21"/>
        </w:rPr>
      </w:pPr>
      <w:r>
        <w:rPr>
          <w:b/>
          <w:szCs w:val="21"/>
        </w:rPr>
        <w:t>服务期限</w:t>
      </w:r>
      <w:r>
        <w:rPr>
          <w:i/>
          <w:iCs/>
          <w:szCs w:val="21"/>
          <w:highlight w:val="yellow"/>
        </w:rPr>
        <w:t>&lt;根据项目实际情况选择&gt;</w:t>
      </w:r>
    </w:p>
    <w:p>
      <w:pPr>
        <w:pStyle w:val="28"/>
        <w:jc w:val="left"/>
        <w:rPr>
          <w:bCs/>
          <w:szCs w:val="21"/>
        </w:rPr>
      </w:pPr>
      <w:r>
        <w:rPr>
          <w:color w:val="000000"/>
          <w:szCs w:val="21"/>
        </w:rPr>
        <w:sym w:font="Wingdings 2" w:char="F052"/>
      </w:r>
      <w:r>
        <w:rPr>
          <w:rFonts w:hint="eastAsia"/>
          <w:color w:val="000000"/>
          <w:szCs w:val="21"/>
        </w:rPr>
        <w:t>本</w:t>
      </w:r>
      <w:r>
        <w:rPr>
          <w:bCs/>
          <w:szCs w:val="21"/>
        </w:rPr>
        <w:t>合同服务期限为 *** 年，自 202* 年 *** 月 *** 日起至 202* 年 *** 月 *** 日。</w:t>
      </w:r>
    </w:p>
    <w:p>
      <w:pPr>
        <w:pStyle w:val="28"/>
        <w:jc w:val="left"/>
        <w:rPr>
          <w:bCs/>
          <w:szCs w:val="21"/>
        </w:rPr>
      </w:pPr>
    </w:p>
    <w:p>
      <w:pPr>
        <w:pStyle w:val="28"/>
        <w:jc w:val="left"/>
        <w:rPr>
          <w:bCs/>
          <w:szCs w:val="21"/>
        </w:rPr>
      </w:pPr>
      <w:r>
        <w:rPr>
          <w:color w:val="000000"/>
          <w:szCs w:val="21"/>
        </w:rPr>
        <w:sym w:font="Wingdings 2" w:char="F052"/>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pPr>
        <w:pStyle w:val="28"/>
        <w:jc w:val="left"/>
        <w:rPr>
          <w:bCs/>
          <w:szCs w:val="21"/>
        </w:rPr>
      </w:pPr>
    </w:p>
    <w:p>
      <w:pPr>
        <w:pStyle w:val="28"/>
        <w:ind w:left="105" w:leftChars="50" w:firstLine="315" w:firstLineChars="150"/>
        <w:jc w:val="left"/>
        <w:rPr>
          <w:b/>
          <w:szCs w:val="21"/>
        </w:rPr>
      </w:pPr>
      <w:r>
        <w:rPr>
          <w:color w:val="000000"/>
          <w:szCs w:val="21"/>
        </w:rPr>
        <w:sym w:font="Wingdings 2" w:char="F052"/>
      </w: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98" w:name="OLE_LINK29"/>
      <w:r>
        <w:rPr>
          <w:rFonts w:hint="eastAsia"/>
          <w:bCs/>
          <w:szCs w:val="21"/>
        </w:rPr>
        <w:t>，考核标准详见附件</w:t>
      </w:r>
      <w:r>
        <w:rPr>
          <w:rFonts w:hint="eastAsia"/>
          <w:bCs/>
          <w:szCs w:val="21"/>
          <w:u w:val="single"/>
        </w:rPr>
        <w:t>2</w:t>
      </w:r>
      <w:r>
        <w:rPr>
          <w:rFonts w:hint="eastAsia"/>
          <w:bCs/>
          <w:szCs w:val="21"/>
        </w:rPr>
        <w:t>《考核标准》</w:t>
      </w:r>
      <w:bookmarkEnd w:id="98"/>
      <w:r>
        <w:rPr>
          <w:bCs/>
          <w:szCs w:val="21"/>
        </w:rPr>
        <w:t>。</w:t>
      </w:r>
    </w:p>
    <w:p>
      <w:pPr>
        <w:pStyle w:val="28"/>
        <w:numPr>
          <w:ilvl w:val="0"/>
          <w:numId w:val="13"/>
        </w:numPr>
        <w:ind w:left="0" w:firstLine="0" w:firstLineChars="0"/>
        <w:contextualSpacing/>
        <w:jc w:val="left"/>
        <w:rPr>
          <w:b/>
          <w:szCs w:val="21"/>
        </w:rPr>
      </w:pPr>
      <w:r>
        <w:rPr>
          <w:b/>
          <w:szCs w:val="21"/>
        </w:rPr>
        <w:t>服务</w:t>
      </w:r>
      <w:r>
        <w:rPr>
          <w:rFonts w:hint="eastAsia"/>
          <w:b/>
          <w:szCs w:val="21"/>
        </w:rPr>
        <w:t>方案</w:t>
      </w:r>
    </w:p>
    <w:p>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pPr>
        <w:pStyle w:val="28"/>
        <w:numPr>
          <w:ilvl w:val="0"/>
          <w:numId w:val="13"/>
        </w:numPr>
        <w:ind w:left="0" w:firstLine="0" w:firstLineChars="0"/>
        <w:contextualSpacing/>
        <w:jc w:val="left"/>
        <w:rPr>
          <w:b/>
          <w:szCs w:val="21"/>
        </w:rPr>
      </w:pPr>
      <w:r>
        <w:rPr>
          <w:b/>
          <w:szCs w:val="21"/>
        </w:rPr>
        <w:t>验收</w:t>
      </w:r>
    </w:p>
    <w:p>
      <w:pPr>
        <w:pStyle w:val="28"/>
        <w:numPr>
          <w:ilvl w:val="0"/>
          <w:numId w:val="15"/>
        </w:numPr>
        <w:ind w:left="0" w:firstLine="0" w:firstLineChars="0"/>
        <w:contextualSpacing/>
        <w:rPr>
          <w:szCs w:val="21"/>
        </w:rPr>
      </w:pPr>
      <w:r>
        <w:rPr>
          <w:szCs w:val="21"/>
        </w:rPr>
        <w:t>甲、乙双方确定，按照本合同约定的验收方案对乙方按本合同约定所提供的服务进行验收。</w:t>
      </w:r>
    </w:p>
    <w:p>
      <w:pPr>
        <w:pStyle w:val="28"/>
        <w:numPr>
          <w:ilvl w:val="0"/>
          <w:numId w:val="15"/>
        </w:numPr>
        <w:ind w:left="0" w:firstLine="0" w:firstLineChars="0"/>
        <w:contextualSpacing/>
        <w:rPr>
          <w:szCs w:val="21"/>
        </w:rPr>
      </w:pPr>
      <w:r>
        <w:rPr>
          <w:szCs w:val="21"/>
        </w:rPr>
        <w:t>验收方案：</w:t>
      </w:r>
    </w:p>
    <w:p>
      <w:pPr>
        <w:pStyle w:val="28"/>
        <w:numPr>
          <w:ilvl w:val="0"/>
          <w:numId w:val="16"/>
        </w:numPr>
        <w:ind w:firstLineChars="0"/>
        <w:contextualSpacing/>
        <w:rPr>
          <w:color w:val="000000"/>
          <w:szCs w:val="21"/>
        </w:rPr>
      </w:pPr>
      <w:r>
        <w:rPr>
          <w:rFonts w:hint="eastAsia"/>
          <w:color w:val="000000"/>
          <w:szCs w:val="21"/>
        </w:rPr>
        <w:t>验收主体：甲方</w:t>
      </w:r>
    </w:p>
    <w:p>
      <w:pPr>
        <w:pStyle w:val="28"/>
        <w:numPr>
          <w:ilvl w:val="0"/>
          <w:numId w:val="16"/>
        </w:numPr>
        <w:ind w:firstLineChars="0"/>
        <w:contextualSpacing/>
        <w:rPr>
          <w:color w:val="000000"/>
          <w:szCs w:val="21"/>
        </w:rPr>
      </w:pPr>
      <w:r>
        <w:rPr>
          <w:rFonts w:hint="eastAsia"/>
          <w:color w:val="000000"/>
          <w:szCs w:val="21"/>
        </w:rPr>
        <w:t>验收组织方式：自行验收</w:t>
      </w:r>
    </w:p>
    <w:p>
      <w:pPr>
        <w:pStyle w:val="28"/>
        <w:numPr>
          <w:ilvl w:val="0"/>
          <w:numId w:val="16"/>
        </w:numPr>
        <w:ind w:firstLineChars="0"/>
        <w:contextualSpacing/>
        <w:rPr>
          <w:color w:val="000000"/>
          <w:szCs w:val="21"/>
        </w:rPr>
      </w:pPr>
      <w:r>
        <w:rPr>
          <w:color w:val="000000"/>
          <w:szCs w:val="21"/>
        </w:rPr>
        <w:t>验收程序：</w:t>
      </w:r>
      <w:r>
        <w:rPr/>
        <w:sym w:font="Wingdings 2" w:char="F052"/>
      </w:r>
      <w:r>
        <w:rPr>
          <w:rFonts w:hint="eastAsia"/>
          <w:color w:val="000000"/>
          <w:szCs w:val="21"/>
        </w:rPr>
        <w:t>一次性验收</w:t>
      </w:r>
      <w:r>
        <w:rPr>
          <w:color w:val="000000"/>
          <w:szCs w:val="21"/>
        </w:rPr>
        <w:t xml:space="preserve">   </w:t>
      </w:r>
      <w:r>
        <w:rPr/>
        <w:sym w:font="Wingdings" w:char="F0A8"/>
      </w:r>
      <w:r>
        <w:rPr>
          <w:rFonts w:hint="eastAsia"/>
          <w:color w:val="000000"/>
          <w:szCs w:val="21"/>
        </w:rPr>
        <w:t>分段</w:t>
      </w:r>
      <w:r>
        <w:rPr>
          <w:color w:val="000000"/>
          <w:szCs w:val="21"/>
        </w:rPr>
        <w:t>/</w:t>
      </w:r>
      <w:r>
        <w:rPr>
          <w:rFonts w:hint="eastAsia"/>
          <w:color w:val="000000"/>
          <w:szCs w:val="21"/>
        </w:rPr>
        <w:t>分期验收</w:t>
      </w:r>
    </w:p>
    <w:p>
      <w:pPr>
        <w:pStyle w:val="28"/>
        <w:numPr>
          <w:ilvl w:val="0"/>
          <w:numId w:val="16"/>
        </w:numPr>
        <w:ind w:firstLineChars="0"/>
        <w:contextualSpacing/>
        <w:rPr>
          <w:color w:val="000000"/>
          <w:szCs w:val="21"/>
        </w:rPr>
      </w:pPr>
      <w:r>
        <w:rPr>
          <w:color w:val="000000"/>
          <w:szCs w:val="21"/>
        </w:rPr>
        <w:t>验收方式：</w:t>
      </w:r>
      <w:r>
        <w:rPr>
          <w:color w:val="000000"/>
        </w:rPr>
        <w:sym w:font="Wingdings 2" w:char="F052"/>
      </w:r>
      <w:r>
        <w:rPr>
          <w:rFonts w:hint="eastAsia"/>
          <w:color w:val="000000"/>
        </w:rPr>
        <w:t>现场整体验收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考核验收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其它验收方式：</w:t>
      </w:r>
      <w:r>
        <w:rPr>
          <w:color w:val="000000"/>
          <w:u w:val="single"/>
          <w:shd w:val="clear" w:color="auto" w:fill="FFFFFF"/>
        </w:rPr>
        <w:t>***</w:t>
      </w:r>
    </w:p>
    <w:p>
      <w:pPr>
        <w:pStyle w:val="28"/>
        <w:numPr>
          <w:ilvl w:val="0"/>
          <w:numId w:val="16"/>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pPr>
        <w:pStyle w:val="28"/>
        <w:numPr>
          <w:ilvl w:val="0"/>
          <w:numId w:val="16"/>
        </w:numPr>
        <w:ind w:firstLineChars="0"/>
        <w:contextualSpacing/>
        <w:rPr>
          <w:color w:val="000000"/>
          <w:szCs w:val="21"/>
        </w:rPr>
      </w:pPr>
      <w:r>
        <w:rPr>
          <w:rFonts w:hint="eastAsia"/>
          <w:color w:val="000000"/>
          <w:szCs w:val="21"/>
        </w:rPr>
        <w:t>履约</w:t>
      </w:r>
      <w:r>
        <w:rPr>
          <w:color w:val="000000"/>
          <w:szCs w:val="21"/>
        </w:rPr>
        <w:t>验收时间：</w:t>
      </w:r>
    </w:p>
    <w:p>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服务期满且</w:t>
      </w:r>
      <w:r>
        <w:rPr>
          <w:rFonts w:hint="eastAsia" w:ascii="Times New Roman" w:hAnsi="Times New Roman"/>
          <w:color w:val="000000"/>
          <w:szCs w:val="21"/>
        </w:rPr>
        <w:t>乙方</w:t>
      </w:r>
      <w:r>
        <w:rPr>
          <w:rFonts w:ascii="Times New Roman" w:hAnsi="Times New Roman"/>
          <w:color w:val="000000"/>
          <w:szCs w:val="21"/>
        </w:rPr>
        <w:t>完成所有服务内容后X日内通知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w:t>
      </w:r>
      <w:r>
        <w:rPr>
          <w:rFonts w:ascii="Times New Roman" w:hAnsi="Times New Roman"/>
          <w:color w:val="000000"/>
          <w:szCs w:val="21"/>
        </w:rPr>
        <w:t>完成每一阶段或轮次服务内容后X日内通知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甲</w:t>
      </w:r>
      <w:r>
        <w:rPr>
          <w:rFonts w:hint="eastAsia" w:ascii="Times New Roman" w:hAnsi="Times New Roman"/>
          <w:color w:val="000000"/>
          <w:szCs w:val="21"/>
        </w:rPr>
        <w:t>方</w:t>
      </w:r>
      <w:r>
        <w:rPr>
          <w:rFonts w:ascii="Times New Roman" w:hAnsi="Times New Roman"/>
          <w:color w:val="000000"/>
          <w:szCs w:val="21"/>
        </w:rPr>
        <w:t>完成考核后X日内组织验收</w:t>
      </w:r>
    </w:p>
    <w:p>
      <w:pPr>
        <w:pStyle w:val="16"/>
        <w:spacing w:after="0"/>
        <w:ind w:left="420" w:leftChars="200" w:firstLine="0" w:firstLineChars="0"/>
        <w:contextualSpacing/>
        <w:rPr>
          <w:rFonts w:ascii="Times New Roman" w:hAnsi="Times New Roman"/>
          <w:color w:val="000000"/>
          <w:szCs w:val="21"/>
          <w:shd w:val="clear" w:color="auto" w:fill="FFFFFF"/>
        </w:rPr>
      </w:pPr>
      <w:r>
        <w:rPr>
          <w:rFonts w:ascii="Times New Roman" w:hAnsi="Times New Roman"/>
          <w:color w:val="000000"/>
          <w:szCs w:val="21"/>
        </w:rPr>
        <w:sym w:font="Wingdings" w:char="F0A8"/>
      </w:r>
      <w:r>
        <w:rPr>
          <w:rFonts w:ascii="Times New Roman" w:hAnsi="Times New Roman"/>
          <w:color w:val="000000"/>
          <w:szCs w:val="21"/>
        </w:rPr>
        <w:t xml:space="preserve">其它验收时间：            </w:t>
      </w:r>
    </w:p>
    <w:p>
      <w:pPr>
        <w:pStyle w:val="28"/>
        <w:numPr>
          <w:ilvl w:val="0"/>
          <w:numId w:val="16"/>
        </w:numPr>
        <w:ind w:firstLineChars="0"/>
        <w:contextualSpacing/>
        <w:rPr>
          <w:szCs w:val="21"/>
        </w:rPr>
      </w:pPr>
      <w:r>
        <w:rPr>
          <w:rFonts w:hint="eastAsia"/>
          <w:szCs w:val="21"/>
        </w:rPr>
        <w:t xml:space="preserve">是否邀请本项目的其他供应商：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pPr>
        <w:pStyle w:val="28"/>
        <w:numPr>
          <w:ilvl w:val="0"/>
          <w:numId w:val="16"/>
        </w:numPr>
        <w:ind w:firstLineChars="0"/>
        <w:contextualSpacing/>
        <w:rPr>
          <w:szCs w:val="21"/>
        </w:rPr>
      </w:pPr>
      <w:r>
        <w:rPr>
          <w:rFonts w:hint="eastAsia"/>
          <w:szCs w:val="21"/>
        </w:rPr>
        <w:t xml:space="preserve">是否邀请专家：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pPr>
        <w:pStyle w:val="28"/>
        <w:numPr>
          <w:ilvl w:val="0"/>
          <w:numId w:val="16"/>
        </w:numPr>
        <w:ind w:firstLineChars="0"/>
        <w:contextualSpacing/>
        <w:rPr>
          <w:szCs w:val="21"/>
        </w:rPr>
      </w:pPr>
      <w:r>
        <w:rPr>
          <w:rFonts w:hint="eastAsia"/>
          <w:szCs w:val="21"/>
        </w:rPr>
        <w:t xml:space="preserve">是否邀请服务对象：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pPr>
        <w:pStyle w:val="28"/>
        <w:numPr>
          <w:ilvl w:val="0"/>
          <w:numId w:val="16"/>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pPr>
        <w:pStyle w:val="28"/>
        <w:numPr>
          <w:ilvl w:val="0"/>
          <w:numId w:val="16"/>
        </w:numPr>
        <w:ind w:firstLineChars="0"/>
        <w:contextualSpacing/>
        <w:rPr>
          <w:szCs w:val="21"/>
        </w:rPr>
      </w:pPr>
      <w:r>
        <w:rPr>
          <w:szCs w:val="21"/>
        </w:rPr>
        <w:t>验收标准：</w:t>
      </w:r>
    </w:p>
    <w:p>
      <w:pPr>
        <w:pStyle w:val="16"/>
        <w:numPr>
          <w:ilvl w:val="0"/>
          <w:numId w:val="17"/>
        </w:numPr>
        <w:spacing w:after="0"/>
        <w:ind w:firstLineChars="0"/>
        <w:contextualSpacing/>
        <w:rPr>
          <w:rFonts w:ascii="Times New Roman" w:hAnsi="Times New Roman"/>
          <w:szCs w:val="21"/>
        </w:rPr>
      </w:pPr>
      <w:bookmarkStart w:id="99" w:name="OLE_LINK4"/>
      <w:r>
        <w:rPr>
          <w:rFonts w:ascii="Times New Roman" w:hAnsi="Times New Roman"/>
          <w:szCs w:val="21"/>
          <w:shd w:val="clear" w:color="auto" w:fill="FFFFFF"/>
        </w:rPr>
        <w:t>国家相关法律法规、行业标准、技术规范。</w:t>
      </w:r>
    </w:p>
    <w:p>
      <w:pPr>
        <w:pStyle w:val="16"/>
        <w:numPr>
          <w:ilvl w:val="0"/>
          <w:numId w:val="17"/>
        </w:numPr>
        <w:spacing w:after="0"/>
        <w:ind w:firstLineChars="0"/>
        <w:contextualSpacing/>
        <w:rPr>
          <w:rFonts w:ascii="Times New Roman" w:hAnsi="Times New Roman"/>
          <w:szCs w:val="21"/>
        </w:rPr>
      </w:pPr>
      <w:r>
        <w:rPr>
          <w:rFonts w:hint="eastAsia" w:ascii="Times New Roman" w:hAnsi="Times New Roman"/>
          <w:szCs w:val="21"/>
        </w:rPr>
        <w:t>甲方采购</w:t>
      </w:r>
      <w:r>
        <w:rPr>
          <w:rFonts w:ascii="Times New Roman" w:hAnsi="Times New Roman"/>
          <w:szCs w:val="21"/>
        </w:rPr>
        <w:t>文件相关技术、服务要求、</w:t>
      </w:r>
      <w:r>
        <w:rPr>
          <w:rFonts w:hint="eastAsia" w:ascii="Times New Roman" w:hAnsi="Times New Roman"/>
          <w:szCs w:val="21"/>
        </w:rPr>
        <w:t>乙方响应</w:t>
      </w:r>
      <w:r>
        <w:rPr>
          <w:rFonts w:ascii="Times New Roman" w:hAnsi="Times New Roman"/>
          <w:szCs w:val="21"/>
        </w:rPr>
        <w:t>文件相关响应内容。</w:t>
      </w:r>
    </w:p>
    <w:p>
      <w:pPr>
        <w:pStyle w:val="16"/>
        <w:numPr>
          <w:ilvl w:val="0"/>
          <w:numId w:val="17"/>
        </w:numPr>
        <w:spacing w:after="0"/>
        <w:ind w:firstLineChars="0"/>
        <w:contextualSpacing/>
        <w:rPr>
          <w:rFonts w:ascii="Times New Roman" w:hAnsi="Times New Roman"/>
          <w:szCs w:val="21"/>
        </w:rPr>
      </w:pPr>
      <w:r>
        <w:rPr>
          <w:rFonts w:ascii="Times New Roman" w:hAnsi="Times New Roman"/>
          <w:szCs w:val="21"/>
        </w:rPr>
        <w:t>如本项目验收方式为考核验收，则考核结果须为合格。</w:t>
      </w:r>
    </w:p>
    <w:bookmarkEnd w:id="99"/>
    <w:p>
      <w:pPr>
        <w:pStyle w:val="16"/>
        <w:numPr>
          <w:ilvl w:val="0"/>
          <w:numId w:val="17"/>
        </w:numPr>
        <w:spacing w:after="0"/>
        <w:ind w:firstLineChars="0"/>
        <w:contextualSpacing/>
        <w:rPr>
          <w:rFonts w:ascii="Times New Roman" w:hAnsi="Times New Roman"/>
          <w:szCs w:val="21"/>
        </w:rPr>
      </w:pPr>
      <w:r>
        <w:rPr>
          <w:rFonts w:ascii="Times New Roman" w:hAnsi="Times New Roman"/>
          <w:szCs w:val="21"/>
        </w:rPr>
        <w:t>如验收时，</w:t>
      </w:r>
      <w:r>
        <w:rPr>
          <w:rFonts w:hint="eastAsia" w:ascii="Times New Roman" w:hAnsi="Times New Roman"/>
          <w:szCs w:val="21"/>
        </w:rPr>
        <w:t>甲方</w:t>
      </w:r>
      <w:r>
        <w:rPr>
          <w:rFonts w:ascii="Times New Roman" w:hAnsi="Times New Roman"/>
          <w:szCs w:val="21"/>
        </w:rPr>
        <w:t>与</w:t>
      </w:r>
      <w:r>
        <w:rPr>
          <w:rFonts w:hint="eastAsia" w:ascii="Times New Roman" w:hAnsi="Times New Roman"/>
          <w:szCs w:val="21"/>
        </w:rPr>
        <w:t>乙方</w:t>
      </w:r>
      <w:r>
        <w:rPr>
          <w:rFonts w:ascii="Times New Roman" w:hAnsi="Times New Roman"/>
          <w:szCs w:val="21"/>
        </w:rPr>
        <w:t>认为本项目验收标准中的技术指标、质量要求等内容存在相互抵触或对其理解存在异议，应按照其中更严格的要求、标准等进行验收。</w:t>
      </w:r>
    </w:p>
    <w:p>
      <w:pPr>
        <w:pStyle w:val="16"/>
        <w:numPr>
          <w:ilvl w:val="0"/>
          <w:numId w:val="17"/>
        </w:numPr>
        <w:spacing w:after="0"/>
        <w:ind w:firstLineChars="0"/>
        <w:contextualSpacing/>
        <w:rPr>
          <w:rFonts w:ascii="Times New Roman" w:hAnsi="Times New Roman"/>
          <w:szCs w:val="21"/>
        </w:rPr>
      </w:pPr>
      <w:r>
        <w:rPr>
          <w:rFonts w:hint="eastAsia" w:ascii="Times New Roman" w:hAnsi="Times New Roman"/>
          <w:szCs w:val="21"/>
        </w:rPr>
        <w:t>参照</w:t>
      </w:r>
      <w:r>
        <w:rPr>
          <w:rFonts w:ascii="Times New Roman" w:hAnsi="Times New Roman"/>
          <w:szCs w:val="21"/>
        </w:rPr>
        <w:t>《财政部关于进一步加强政府采购需求和履约验收管理的指导意见》（财库〔2016〕205号）的要求进行验收。</w:t>
      </w:r>
    </w:p>
    <w:p>
      <w:pPr>
        <w:pStyle w:val="16"/>
        <w:numPr>
          <w:ilvl w:val="0"/>
          <w:numId w:val="17"/>
        </w:numPr>
        <w:spacing w:after="0"/>
        <w:ind w:firstLineChars="0"/>
        <w:contextualSpacing/>
        <w:rPr>
          <w:rFonts w:ascii="Times New Roman" w:hAnsi="Times New Roman"/>
          <w:szCs w:val="21"/>
        </w:rPr>
      </w:pPr>
      <w:r>
        <w:rPr>
          <w:rFonts w:hint="eastAsia" w:ascii="Times New Roman" w:hAnsi="Times New Roman"/>
          <w:szCs w:val="21"/>
        </w:rPr>
        <w:t>其它标准：</w:t>
      </w:r>
      <w:r>
        <w:rPr>
          <w:rFonts w:hint="eastAsia" w:ascii="Times New Roman" w:hAnsi="Times New Roman"/>
          <w:szCs w:val="21"/>
          <w:u w:val="single"/>
        </w:rPr>
        <w:t>无。</w:t>
      </w:r>
    </w:p>
    <w:p>
      <w:pPr>
        <w:pStyle w:val="28"/>
        <w:numPr>
          <w:ilvl w:val="0"/>
          <w:numId w:val="16"/>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pPr>
        <w:pStyle w:val="28"/>
        <w:numPr>
          <w:ilvl w:val="0"/>
          <w:numId w:val="15"/>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pPr>
        <w:pStyle w:val="28"/>
        <w:numPr>
          <w:ilvl w:val="0"/>
          <w:numId w:val="13"/>
        </w:numPr>
        <w:ind w:left="0" w:firstLine="0" w:firstLineChars="0"/>
        <w:contextualSpacing/>
        <w:jc w:val="left"/>
        <w:rPr>
          <w:b/>
          <w:szCs w:val="21"/>
        </w:rPr>
      </w:pPr>
      <w:r>
        <w:rPr>
          <w:b/>
          <w:szCs w:val="21"/>
        </w:rPr>
        <w:t>付款方式</w:t>
      </w:r>
    </w:p>
    <w:p>
      <w:pPr>
        <w:pStyle w:val="9"/>
        <w:numPr>
          <w:ilvl w:val="0"/>
          <w:numId w:val="18"/>
        </w:numPr>
        <w:spacing w:after="0" w:line="240" w:lineRule="auto"/>
        <w:ind w:left="227" w:leftChars="0" w:hanging="227"/>
        <w:contextualSpacing/>
        <w:jc w:val="left"/>
        <w:rPr>
          <w:szCs w:val="21"/>
        </w:rPr>
      </w:pPr>
      <w:r>
        <w:rPr>
          <w:szCs w:val="21"/>
        </w:rPr>
        <w:t>履约保证金：</w:t>
      </w:r>
    </w:p>
    <w:p>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w:t>
      </w:r>
      <w:r>
        <w:rPr>
          <w:rFonts w:ascii="Times New Roman" w:hAnsi="Times New Roman"/>
          <w:color w:val="000000"/>
          <w:szCs w:val="21"/>
          <w:u w:val="single"/>
        </w:rPr>
        <w:t>***</w:t>
      </w:r>
      <w:r>
        <w:rPr>
          <w:rFonts w:ascii="Times New Roman" w:hAnsi="Times New Roman"/>
          <w:color w:val="000000"/>
          <w:szCs w:val="21"/>
        </w:rPr>
        <w:t>个工作日内，按合同总价</w:t>
      </w:r>
      <w:r>
        <w:rPr>
          <w:rFonts w:ascii="Times New Roman" w:hAnsi="Times New Roman"/>
          <w:color w:val="000000"/>
          <w:szCs w:val="21"/>
          <w:u w:val="single"/>
        </w:rPr>
        <w:t>***</w:t>
      </w:r>
      <w:r>
        <w:rPr>
          <w:rFonts w:ascii="Times New Roman" w:hAnsi="Times New Roman"/>
          <w:color w:val="000000"/>
          <w:szCs w:val="21"/>
        </w:rPr>
        <w:t>%支付履约保证金；本合同</w:t>
      </w:r>
      <w:r>
        <w:rPr>
          <w:rFonts w:hint="eastAsia" w:ascii="Times New Roman" w:hAnsi="Times New Roman"/>
          <w:color w:val="000000"/>
          <w:szCs w:val="21"/>
        </w:rPr>
        <w:t>服务期满且验收合格</w:t>
      </w:r>
      <w:r>
        <w:rPr>
          <w:rFonts w:ascii="Times New Roman" w:hAnsi="Times New Roman"/>
          <w:color w:val="000000"/>
          <w:szCs w:val="21"/>
        </w:rPr>
        <w:t>后，甲方接到乙方付款申请后</w:t>
      </w:r>
      <w:r>
        <w:rPr>
          <w:rFonts w:ascii="Times New Roman" w:hAnsi="Times New Roman"/>
          <w:color w:val="000000"/>
          <w:szCs w:val="21"/>
          <w:u w:val="single"/>
        </w:rPr>
        <w:t>30</w:t>
      </w:r>
      <w:r>
        <w:rPr>
          <w:rFonts w:ascii="Times New Roman" w:hAnsi="Times New Roman"/>
          <w:color w:val="000000"/>
          <w:szCs w:val="21"/>
        </w:rPr>
        <w:t>个工作日内，甲方一次性无息退还乙方的履约保证金；经验收后乙方履约不合格的，履约保证金不予退还。</w:t>
      </w:r>
    </w:p>
    <w:p>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本合同不涉及履约保证金。</w:t>
      </w:r>
    </w:p>
    <w:p>
      <w:pPr>
        <w:pStyle w:val="9"/>
        <w:numPr>
          <w:ilvl w:val="0"/>
          <w:numId w:val="18"/>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一次性支付：</w:t>
      </w:r>
    </w:p>
    <w:p>
      <w:pPr>
        <w:pStyle w:val="16"/>
        <w:spacing w:after="0"/>
        <w:ind w:left="840" w:leftChars="400" w:firstLineChars="200"/>
        <w:contextualSpacing/>
        <w:rPr>
          <w:rFonts w:ascii="Times New Roman" w:hAnsi="Times New Roman"/>
          <w:color w:val="000000"/>
          <w:szCs w:val="21"/>
        </w:rPr>
      </w:pP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u w:val="single"/>
        </w:rPr>
        <w:t>5</w:t>
      </w:r>
      <w:r>
        <w:rPr>
          <w:rFonts w:ascii="Times New Roman" w:hAnsi="Times New Roman"/>
          <w:szCs w:val="21"/>
        </w:rPr>
        <w:t>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w:t>
      </w:r>
      <w:r>
        <w:rPr>
          <w:rFonts w:ascii="Times New Roman" w:hAnsi="Times New Roman"/>
          <w:color w:val="000000"/>
          <w:szCs w:val="21"/>
          <w:u w:val="single"/>
        </w:rPr>
        <w:t>55</w:t>
      </w:r>
      <w:r>
        <w:rPr>
          <w:rFonts w:ascii="Times New Roman" w:hAnsi="Times New Roman"/>
          <w:color w:val="000000"/>
          <w:szCs w:val="21"/>
        </w:rPr>
        <w:t>日内支付合同总价100%的</w:t>
      </w:r>
      <w:r>
        <w:rPr>
          <w:rFonts w:hint="eastAsia" w:ascii="Times New Roman" w:hAnsi="Times New Roman"/>
          <w:color w:val="000000"/>
          <w:szCs w:val="21"/>
        </w:rPr>
        <w:t>金额</w:t>
      </w:r>
      <w:r>
        <w:rPr>
          <w:rFonts w:ascii="Times New Roman" w:hAnsi="Times New Roman"/>
          <w:color w:val="000000"/>
          <w:szCs w:val="21"/>
        </w:rPr>
        <w:t>给乙方。</w:t>
      </w:r>
    </w:p>
    <w:p>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分阶段支付，支付期限</w:t>
      </w:r>
      <w:r>
        <w:rPr>
          <w:rFonts w:hint="eastAsia" w:ascii="Times New Roman" w:hAnsi="Times New Roman"/>
          <w:color w:val="000000"/>
          <w:szCs w:val="21"/>
        </w:rPr>
        <w:t>、方式</w:t>
      </w:r>
      <w:r>
        <w:rPr>
          <w:rFonts w:ascii="Times New Roman" w:hAnsi="Times New Roman"/>
          <w:color w:val="000000"/>
          <w:szCs w:val="21"/>
        </w:rPr>
        <w:t>及额度如下：</w:t>
      </w:r>
    </w:p>
    <w:p>
      <w:pPr>
        <w:pStyle w:val="16"/>
        <w:spacing w:after="0"/>
        <w:ind w:left="840" w:leftChars="400" w:firstLineChars="200"/>
        <w:contextualSpacing/>
        <w:rPr>
          <w:rFonts w:ascii="Times New Roman" w:hAnsi="Times New Roman"/>
          <w:color w:val="000000"/>
          <w:szCs w:val="21"/>
        </w:rPr>
      </w:pPr>
      <w:r>
        <w:rPr>
          <w:rFonts w:ascii="Times New Roman" w:hAnsi="Times New Roman"/>
          <w:color w:val="000000"/>
          <w:szCs w:val="21"/>
        </w:rPr>
        <w:t>（1）</w:t>
      </w:r>
      <w:bookmarkStart w:id="100" w:name="OLE_LINK30"/>
      <w:r>
        <w:rPr>
          <w:rFonts w:hint="eastAsia"/>
          <w:szCs w:val="21"/>
        </w:rPr>
        <w:t>固定部分价款</w:t>
      </w:r>
      <w:bookmarkEnd w:id="100"/>
      <w:r>
        <w:rPr>
          <w:rFonts w:ascii="Times New Roman" w:hAnsi="Times New Roman"/>
          <w:color w:val="000000"/>
          <w:szCs w:val="21"/>
        </w:rPr>
        <w:t>：</w:t>
      </w: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rPr>
        <w:t>5日内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资料后55日内</w:t>
      </w:r>
      <w:r>
        <w:rPr>
          <w:rFonts w:hint="eastAsia" w:ascii="Times New Roman" w:hAnsi="Times New Roman"/>
          <w:color w:val="000000"/>
          <w:szCs w:val="21"/>
        </w:rPr>
        <w:t>向乙方</w:t>
      </w:r>
      <w:r>
        <w:rPr>
          <w:rFonts w:ascii="Times New Roman" w:hAnsi="Times New Roman"/>
          <w:color w:val="000000"/>
          <w:szCs w:val="21"/>
        </w:rPr>
        <w:t>支付</w:t>
      </w:r>
      <w:r>
        <w:rPr>
          <w:rFonts w:hint="eastAsia" w:ascii="Times New Roman" w:hAnsi="Times New Roman"/>
          <w:color w:val="000000"/>
          <w:szCs w:val="21"/>
        </w:rPr>
        <w:t>本合同</w:t>
      </w:r>
      <w:r>
        <w:rPr>
          <w:rFonts w:hint="eastAsia" w:ascii="Times New Roman" w:hAnsi="Times New Roman"/>
          <w:color w:val="000000"/>
          <w:szCs w:val="21"/>
          <w:u w:val="single"/>
        </w:rPr>
        <w:t>第二条</w:t>
      </w:r>
      <w:r>
        <w:rPr>
          <w:rFonts w:hint="eastAsia" w:ascii="Times New Roman" w:hAnsi="Times New Roman"/>
          <w:color w:val="000000"/>
          <w:szCs w:val="21"/>
        </w:rPr>
        <w:t>写明的全部</w:t>
      </w:r>
      <w:r>
        <w:rPr>
          <w:rFonts w:hint="eastAsia"/>
          <w:szCs w:val="21"/>
        </w:rPr>
        <w:t>固定部分价款</w:t>
      </w:r>
      <w:r>
        <w:rPr>
          <w:rFonts w:ascii="Times New Roman" w:hAnsi="Times New Roman"/>
          <w:color w:val="000000"/>
          <w:szCs w:val="21"/>
        </w:rPr>
        <w:t>。</w:t>
      </w:r>
    </w:p>
    <w:p>
      <w:pPr>
        <w:pStyle w:val="16"/>
        <w:spacing w:after="0"/>
        <w:ind w:left="840" w:leftChars="400" w:firstLineChars="200"/>
        <w:contextualSpacing/>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highlight w:val="yellow"/>
        </w:rPr>
        <w:t>&lt;</w:t>
      </w:r>
      <w:r>
        <w:rPr>
          <w:rFonts w:hint="eastAsia" w:ascii="Times New Roman" w:hAnsi="Times New Roman"/>
          <w:i/>
          <w:iCs/>
          <w:szCs w:val="21"/>
          <w:highlight w:val="yellow"/>
        </w:rPr>
        <w:t>约定按固定周期支付的（如每季度），</w:t>
      </w:r>
      <w:r>
        <w:rPr>
          <w:rFonts w:ascii="Times New Roman" w:hAnsi="Times New Roman"/>
          <w:i/>
          <w:iCs/>
          <w:szCs w:val="21"/>
          <w:highlight w:val="yellow"/>
        </w:rPr>
        <w:t>可根据项目具体情况编制</w:t>
      </w:r>
      <w:r>
        <w:rPr>
          <w:rFonts w:hint="eastAsia" w:ascii="Times New Roman" w:hAnsi="Times New Roman"/>
          <w:i/>
          <w:iCs/>
          <w:szCs w:val="21"/>
          <w:highlight w:val="yellow"/>
        </w:rPr>
        <w:t>本条款</w:t>
      </w:r>
      <w:r>
        <w:rPr>
          <w:rFonts w:ascii="Times New Roman" w:hAnsi="Times New Roman"/>
          <w:i/>
          <w:iCs/>
          <w:szCs w:val="21"/>
          <w:highlight w:val="yellow"/>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pPr>
        <w:pStyle w:val="9"/>
        <w:numPr>
          <w:ilvl w:val="0"/>
          <w:numId w:val="18"/>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pPr>
        <w:pStyle w:val="9"/>
        <w:numPr>
          <w:ilvl w:val="0"/>
          <w:numId w:val="18"/>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pPr>
        <w:pStyle w:val="28"/>
        <w:numPr>
          <w:ilvl w:val="0"/>
          <w:numId w:val="13"/>
        </w:numPr>
        <w:ind w:left="0" w:firstLine="0" w:firstLineChars="0"/>
        <w:contextualSpacing/>
        <w:jc w:val="left"/>
        <w:rPr>
          <w:b/>
          <w:szCs w:val="21"/>
        </w:rPr>
      </w:pPr>
      <w:r>
        <w:rPr>
          <w:b/>
          <w:szCs w:val="21"/>
        </w:rPr>
        <w:t>双方权利与义务</w:t>
      </w:r>
    </w:p>
    <w:p>
      <w:pPr>
        <w:pStyle w:val="9"/>
        <w:numPr>
          <w:ilvl w:val="0"/>
          <w:numId w:val="19"/>
        </w:numPr>
        <w:spacing w:after="0" w:line="240" w:lineRule="auto"/>
        <w:ind w:left="227" w:leftChars="0" w:hanging="227"/>
        <w:contextualSpacing/>
        <w:jc w:val="left"/>
        <w:rPr>
          <w:szCs w:val="21"/>
        </w:rPr>
      </w:pPr>
      <w:r>
        <w:rPr>
          <w:szCs w:val="21"/>
        </w:rPr>
        <w:t>甲方权利与义务</w:t>
      </w:r>
    </w:p>
    <w:p>
      <w:pPr>
        <w:pStyle w:val="28"/>
        <w:numPr>
          <w:ilvl w:val="0"/>
          <w:numId w:val="20"/>
        </w:numPr>
        <w:adjustRightInd w:val="0"/>
        <w:ind w:left="525" w:hanging="525" w:hangingChars="250"/>
        <w:contextualSpacing/>
        <w:jc w:val="left"/>
        <w:rPr>
          <w:szCs w:val="21"/>
        </w:rPr>
      </w:pPr>
      <w:r>
        <w:rPr>
          <w:szCs w:val="21"/>
        </w:rPr>
        <w:t>按合同约定向乙方支付费用。</w:t>
      </w:r>
    </w:p>
    <w:p>
      <w:pPr>
        <w:pStyle w:val="28"/>
        <w:numPr>
          <w:ilvl w:val="0"/>
          <w:numId w:val="20"/>
        </w:numPr>
        <w:adjustRightInd w:val="0"/>
        <w:ind w:left="525" w:hanging="525" w:hangingChars="250"/>
        <w:contextualSpacing/>
        <w:jc w:val="left"/>
        <w:rPr>
          <w:szCs w:val="21"/>
        </w:rPr>
      </w:pPr>
      <w:r>
        <w:rPr>
          <w:szCs w:val="21"/>
        </w:rPr>
        <w:t>保证乙方实施服务所必须的外部条件如电源、水源的正常供应及开启、关闭等。</w:t>
      </w:r>
    </w:p>
    <w:p>
      <w:pPr>
        <w:pStyle w:val="28"/>
        <w:numPr>
          <w:ilvl w:val="0"/>
          <w:numId w:val="20"/>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pPr>
        <w:pStyle w:val="28"/>
        <w:numPr>
          <w:ilvl w:val="0"/>
          <w:numId w:val="20"/>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pPr>
        <w:pStyle w:val="9"/>
        <w:numPr>
          <w:ilvl w:val="0"/>
          <w:numId w:val="19"/>
        </w:numPr>
        <w:spacing w:after="0" w:line="240" w:lineRule="auto"/>
        <w:ind w:left="227" w:leftChars="0" w:hanging="227"/>
        <w:contextualSpacing/>
        <w:jc w:val="left"/>
        <w:rPr>
          <w:szCs w:val="21"/>
        </w:rPr>
      </w:pPr>
      <w:r>
        <w:rPr>
          <w:szCs w:val="21"/>
        </w:rPr>
        <w:t>乙方权利与义务</w:t>
      </w:r>
    </w:p>
    <w:p>
      <w:pPr>
        <w:pStyle w:val="9"/>
        <w:numPr>
          <w:ilvl w:val="0"/>
          <w:numId w:val="21"/>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pPr>
        <w:pStyle w:val="9"/>
        <w:numPr>
          <w:ilvl w:val="0"/>
          <w:numId w:val="21"/>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pPr>
        <w:pStyle w:val="9"/>
        <w:numPr>
          <w:ilvl w:val="0"/>
          <w:numId w:val="21"/>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pPr>
        <w:pStyle w:val="9"/>
        <w:numPr>
          <w:ilvl w:val="0"/>
          <w:numId w:val="21"/>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pPr>
        <w:pStyle w:val="9"/>
        <w:numPr>
          <w:ilvl w:val="0"/>
          <w:numId w:val="21"/>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pPr>
        <w:pStyle w:val="28"/>
        <w:numPr>
          <w:ilvl w:val="0"/>
          <w:numId w:val="13"/>
        </w:numPr>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pPr>
        <w:pStyle w:val="9"/>
        <w:numPr>
          <w:ilvl w:val="0"/>
          <w:numId w:val="22"/>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pPr>
        <w:pStyle w:val="28"/>
        <w:numPr>
          <w:ilvl w:val="0"/>
          <w:numId w:val="22"/>
        </w:numPr>
        <w:ind w:left="0" w:firstLine="0" w:firstLineChars="0"/>
        <w:rPr>
          <w:szCs w:val="21"/>
        </w:rPr>
      </w:pPr>
      <w:r>
        <w:rPr>
          <w:szCs w:val="21"/>
        </w:rPr>
        <w:t>乙方违约责任：</w:t>
      </w:r>
    </w:p>
    <w:p>
      <w:pPr>
        <w:pStyle w:val="9"/>
        <w:numPr>
          <w:ilvl w:val="0"/>
          <w:numId w:val="23"/>
        </w:numPr>
        <w:spacing w:after="0" w:line="240" w:lineRule="auto"/>
        <w:ind w:left="525" w:leftChars="0" w:hanging="525" w:hangingChars="250"/>
        <w:contextualSpacing/>
        <w:jc w:val="left"/>
        <w:rPr>
          <w:szCs w:val="21"/>
        </w:rPr>
      </w:pPr>
      <w:bookmarkStart w:id="101" w:name="OLE_LINK17"/>
      <w:bookmarkStart w:id="102" w:name="OLE_LINK18"/>
      <w:r>
        <w:rPr>
          <w:szCs w:val="21"/>
        </w:rPr>
        <w:t>乙方应派遣具备相关资质的技术人员为甲方提供服务，服务过程中，乙方技术人员因操作不当、未采取必要的安全防范措施等原因导致安全责任事故的，由乙方承担由此造成的全部法律责任。</w:t>
      </w:r>
      <w:r>
        <w:rPr>
          <w:rFonts w:hint="eastAsia"/>
          <w:szCs w:val="21"/>
        </w:rPr>
        <w:t>甲方有权视情况严重程度单方解除合同，乙方应按照合同总额的10%向甲方支付违约金，乙方交纳的履约保证金不予退还。</w:t>
      </w:r>
    </w:p>
    <w:p>
      <w:pPr>
        <w:pStyle w:val="9"/>
        <w:numPr>
          <w:ilvl w:val="0"/>
          <w:numId w:val="23"/>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r>
        <w:rPr>
          <w:rFonts w:hint="eastAsia"/>
          <w:szCs w:val="21"/>
        </w:rPr>
        <w:t>甲方有权视情况严重程度单方解除合同，乙方应按照合同总额的10%向甲方支付违约金，乙方交纳的履约保证金不予退还。</w:t>
      </w:r>
    </w:p>
    <w:p>
      <w:pPr>
        <w:pStyle w:val="9"/>
        <w:numPr>
          <w:ilvl w:val="0"/>
          <w:numId w:val="23"/>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r>
        <w:rPr>
          <w:rFonts w:hint="eastAsia"/>
          <w:szCs w:val="21"/>
        </w:rPr>
        <w:t>甲方有权视情况严重程度单方解除合同，乙方应按照合同总额的10%向甲方支付违约金，乙方交纳的履约保证金不予退还。</w:t>
      </w:r>
    </w:p>
    <w:p>
      <w:pPr>
        <w:pStyle w:val="9"/>
        <w:numPr>
          <w:ilvl w:val="0"/>
          <w:numId w:val="23"/>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pPr>
        <w:pStyle w:val="9"/>
        <w:numPr>
          <w:ilvl w:val="0"/>
          <w:numId w:val="23"/>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pPr>
        <w:pStyle w:val="9"/>
        <w:numPr>
          <w:ilvl w:val="0"/>
          <w:numId w:val="23"/>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101"/>
    <w:bookmarkEnd w:id="102"/>
    <w:p>
      <w:pPr>
        <w:pStyle w:val="9"/>
        <w:numPr>
          <w:ilvl w:val="0"/>
          <w:numId w:val="23"/>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pPr>
        <w:pStyle w:val="9"/>
        <w:numPr>
          <w:ilvl w:val="0"/>
          <w:numId w:val="23"/>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pPr>
        <w:pStyle w:val="9"/>
        <w:numPr>
          <w:ilvl w:val="0"/>
          <w:numId w:val="23"/>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pPr>
        <w:pStyle w:val="9"/>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pPr>
        <w:pStyle w:val="28"/>
        <w:numPr>
          <w:ilvl w:val="0"/>
          <w:numId w:val="13"/>
        </w:numPr>
        <w:ind w:left="0" w:firstLine="0" w:firstLineChars="0"/>
        <w:contextualSpacing/>
        <w:jc w:val="left"/>
        <w:rPr>
          <w:b/>
          <w:szCs w:val="21"/>
        </w:rPr>
      </w:pPr>
      <w:r>
        <w:rPr>
          <w:b/>
          <w:szCs w:val="21"/>
        </w:rPr>
        <w:t>不可抗力</w:t>
      </w:r>
    </w:p>
    <w:p>
      <w:pPr>
        <w:pStyle w:val="28"/>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pPr>
        <w:pStyle w:val="28"/>
        <w:numPr>
          <w:ilvl w:val="0"/>
          <w:numId w:val="13"/>
        </w:numPr>
        <w:ind w:left="0" w:firstLine="0" w:firstLineChars="0"/>
        <w:contextualSpacing/>
        <w:jc w:val="left"/>
        <w:rPr>
          <w:b/>
          <w:szCs w:val="21"/>
        </w:rPr>
      </w:pPr>
      <w:r>
        <w:rPr>
          <w:b/>
          <w:szCs w:val="21"/>
        </w:rPr>
        <w:t>合同终止及解除</w:t>
      </w:r>
    </w:p>
    <w:p>
      <w:pPr>
        <w:pStyle w:val="28"/>
        <w:numPr>
          <w:ilvl w:val="0"/>
          <w:numId w:val="24"/>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pPr>
        <w:pStyle w:val="28"/>
        <w:numPr>
          <w:ilvl w:val="0"/>
          <w:numId w:val="24"/>
        </w:numPr>
        <w:ind w:left="0" w:firstLine="0" w:firstLineChars="0"/>
        <w:rPr>
          <w:szCs w:val="21"/>
        </w:rPr>
      </w:pPr>
      <w:r>
        <w:rPr>
          <w:szCs w:val="21"/>
        </w:rPr>
        <w:t>在甲、乙任何一方有严重违约行为时，另一方有权单方解除合同。</w:t>
      </w:r>
    </w:p>
    <w:p>
      <w:pPr>
        <w:pStyle w:val="28"/>
        <w:numPr>
          <w:ilvl w:val="0"/>
          <w:numId w:val="13"/>
        </w:numPr>
        <w:ind w:left="0" w:firstLine="0" w:firstLineChars="0"/>
        <w:contextualSpacing/>
        <w:jc w:val="left"/>
        <w:rPr>
          <w:b/>
          <w:szCs w:val="21"/>
        </w:rPr>
      </w:pPr>
      <w:r>
        <w:rPr>
          <w:b/>
          <w:szCs w:val="21"/>
        </w:rPr>
        <w:t>争议解决办法</w:t>
      </w:r>
    </w:p>
    <w:p>
      <w:pPr>
        <w:pStyle w:val="28"/>
        <w:numPr>
          <w:ilvl w:val="0"/>
          <w:numId w:val="25"/>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pPr>
        <w:pStyle w:val="28"/>
        <w:numPr>
          <w:ilvl w:val="0"/>
          <w:numId w:val="25"/>
        </w:numPr>
        <w:ind w:left="0" w:firstLine="0" w:firstLineChars="0"/>
        <w:rPr>
          <w:szCs w:val="21"/>
        </w:rPr>
      </w:pPr>
      <w:r>
        <w:rPr>
          <w:szCs w:val="21"/>
        </w:rPr>
        <w:t>合同履行期间,若双方发生争议，可协商或由有关部门调解解决，协商或调解不成的，任何一方均有权向甲方所在地具有管辖权的人民法院起诉。</w:t>
      </w:r>
    </w:p>
    <w:p>
      <w:pPr>
        <w:pStyle w:val="28"/>
        <w:numPr>
          <w:ilvl w:val="0"/>
          <w:numId w:val="13"/>
        </w:numPr>
        <w:ind w:left="0" w:firstLine="0" w:firstLineChars="0"/>
        <w:contextualSpacing/>
        <w:jc w:val="left"/>
        <w:rPr>
          <w:b/>
          <w:szCs w:val="21"/>
        </w:rPr>
      </w:pPr>
      <w:r>
        <w:rPr>
          <w:b/>
          <w:szCs w:val="21"/>
        </w:rPr>
        <w:t>送达（送达地址是司法机关、执法机关和仲裁机关将法律文书送达给当事人的收件地址）</w:t>
      </w:r>
    </w:p>
    <w:p>
      <w:pPr>
        <w:pStyle w:val="33"/>
        <w:numPr>
          <w:ilvl w:val="0"/>
          <w:numId w:val="26"/>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pPr>
        <w:pStyle w:val="33"/>
        <w:numPr>
          <w:ilvl w:val="0"/>
          <w:numId w:val="26"/>
        </w:numPr>
        <w:ind w:left="0" w:firstLine="0"/>
        <w:rPr>
          <w:rFonts w:hAnsi="Times New Roman" w:eastAsia="宋体" w:cs="Times New Roman"/>
          <w:color w:val="auto"/>
        </w:rPr>
      </w:pPr>
      <w:r>
        <w:rPr>
          <w:rFonts w:hAnsi="Times New Roman" w:eastAsia="宋体" w:cs="Times New Roman"/>
          <w:color w:val="auto"/>
        </w:rPr>
        <w:t>乙方送达地址：***</w:t>
      </w:r>
    </w:p>
    <w:p>
      <w:pPr>
        <w:pStyle w:val="33"/>
        <w:numPr>
          <w:ilvl w:val="0"/>
          <w:numId w:val="26"/>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pPr>
        <w:pStyle w:val="28"/>
        <w:numPr>
          <w:ilvl w:val="0"/>
          <w:numId w:val="13"/>
        </w:numPr>
        <w:ind w:left="0" w:firstLine="0" w:firstLineChars="0"/>
        <w:contextualSpacing/>
        <w:jc w:val="left"/>
        <w:rPr>
          <w:b/>
          <w:szCs w:val="21"/>
        </w:rPr>
      </w:pPr>
      <w:r>
        <w:rPr>
          <w:b/>
          <w:szCs w:val="21"/>
        </w:rPr>
        <w:t>其他</w:t>
      </w:r>
    </w:p>
    <w:p>
      <w:pPr>
        <w:pStyle w:val="28"/>
        <w:numPr>
          <w:ilvl w:val="0"/>
          <w:numId w:val="27"/>
        </w:numPr>
        <w:ind w:left="0" w:firstLine="0" w:firstLineChars="0"/>
        <w:rPr>
          <w:szCs w:val="21"/>
        </w:rPr>
      </w:pPr>
      <w:r>
        <w:rPr>
          <w:szCs w:val="21"/>
        </w:rPr>
        <w:t>如有未尽事宜，由双方依法订立补充合同。补充合同及本合同附件均为本合同的组成部分，与本合同具有同等法律效力。</w:t>
      </w:r>
    </w:p>
    <w:p>
      <w:pPr>
        <w:pStyle w:val="28"/>
        <w:numPr>
          <w:ilvl w:val="0"/>
          <w:numId w:val="27"/>
        </w:numPr>
        <w:ind w:left="0" w:firstLine="0" w:firstLineChars="0"/>
        <w:rPr>
          <w:szCs w:val="21"/>
        </w:rPr>
      </w:pPr>
      <w:r>
        <w:rPr>
          <w:szCs w:val="21"/>
        </w:rPr>
        <w:t>本合同一式四份，自双方</w:t>
      </w:r>
      <w:r>
        <w:rPr>
          <w:rFonts w:hint="eastAsia"/>
          <w:szCs w:val="21"/>
        </w:rPr>
        <w:t>签字且盖章之</w:t>
      </w:r>
      <w:r>
        <w:rPr>
          <w:szCs w:val="21"/>
        </w:rPr>
        <w:t>日起生效。甲方三份，乙方一份。</w:t>
      </w:r>
    </w:p>
    <w:p>
      <w:pPr>
        <w:pStyle w:val="28"/>
        <w:numPr>
          <w:ilvl w:val="0"/>
          <w:numId w:val="13"/>
        </w:numPr>
        <w:ind w:left="0" w:firstLine="0" w:firstLineChars="0"/>
        <w:contextualSpacing/>
        <w:jc w:val="left"/>
        <w:rPr>
          <w:b/>
          <w:szCs w:val="21"/>
        </w:rPr>
      </w:pPr>
      <w:r>
        <w:rPr>
          <w:b/>
          <w:szCs w:val="21"/>
        </w:rPr>
        <w:t>合同附件</w:t>
      </w:r>
    </w:p>
    <w:p>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highlight w:val="yellow"/>
        </w:rPr>
        <w:t>&lt;根据项目实际情况编制&gt;</w:t>
      </w:r>
    </w:p>
    <w:p>
      <w:pPr>
        <w:jc w:val="left"/>
        <w:outlineLvl w:val="0"/>
        <w:rPr>
          <w:szCs w:val="21"/>
        </w:rPr>
      </w:pPr>
      <w:r>
        <w:rPr>
          <w:rFonts w:hint="eastAsia"/>
          <w:szCs w:val="21"/>
        </w:rPr>
        <w:t>附件1《</w:t>
      </w:r>
      <w:bookmarkStart w:id="103" w:name="OLE_LINK32"/>
      <w:r>
        <w:rPr>
          <w:rFonts w:hint="eastAsia"/>
          <w:szCs w:val="21"/>
        </w:rPr>
        <w:t>结算单价清单</w:t>
      </w:r>
      <w:bookmarkEnd w:id="103"/>
      <w:r>
        <w:rPr>
          <w:rFonts w:hint="eastAsia"/>
          <w:szCs w:val="21"/>
        </w:rPr>
        <w:t>》</w:t>
      </w:r>
    </w:p>
    <w:p>
      <w:pPr>
        <w:jc w:val="left"/>
        <w:outlineLvl w:val="0"/>
        <w:rPr>
          <w:szCs w:val="21"/>
        </w:rPr>
      </w:pPr>
      <w:r>
        <w:rPr>
          <w:rFonts w:hint="eastAsia"/>
          <w:szCs w:val="21"/>
        </w:rPr>
        <w:t>附件2《考核标准》</w:t>
      </w:r>
    </w:p>
    <w:p>
      <w:pPr>
        <w:jc w:val="left"/>
        <w:outlineLvl w:val="0"/>
        <w:rPr>
          <w:szCs w:val="21"/>
        </w:rPr>
      </w:pPr>
      <w:r>
        <w:rPr>
          <w:szCs w:val="21"/>
        </w:rPr>
        <w:t>附件3《服务</w:t>
      </w:r>
      <w:r>
        <w:rPr>
          <w:rFonts w:hint="eastAsia"/>
          <w:szCs w:val="21"/>
        </w:rPr>
        <w:t>方案</w:t>
      </w:r>
      <w:r>
        <w:rPr>
          <w:szCs w:val="21"/>
        </w:rPr>
        <w:t>》</w:t>
      </w:r>
    </w:p>
    <w:p>
      <w:pPr>
        <w:jc w:val="center"/>
        <w:rPr>
          <w:szCs w:val="21"/>
        </w:rPr>
      </w:pPr>
      <w:r>
        <w:rPr>
          <w:szCs w:val="21"/>
        </w:rPr>
        <w:t>——</w:t>
      </w:r>
      <w:r>
        <w:rPr>
          <w:sz w:val="18"/>
          <w:szCs w:val="18"/>
        </w:rPr>
        <w:t>以下无正文</w:t>
      </w:r>
      <w:r>
        <w:rPr>
          <w:szCs w:val="21"/>
        </w:rPr>
        <w:t>——</w:t>
      </w:r>
    </w:p>
    <w:tbl>
      <w:tblPr>
        <w:tblStyle w:val="18"/>
        <w:tblW w:w="5000" w:type="pct"/>
        <w:jc w:val="center"/>
        <w:tblLayout w:type="autofit"/>
        <w:tblCellMar>
          <w:top w:w="0" w:type="dxa"/>
          <w:left w:w="0" w:type="dxa"/>
          <w:bottom w:w="0" w:type="dxa"/>
          <w:right w:w="0" w:type="dxa"/>
        </w:tblCellMar>
      </w:tblPr>
      <w:tblGrid>
        <w:gridCol w:w="4688"/>
        <w:gridCol w:w="4950"/>
      </w:tblGrid>
      <w:tr>
        <w:tblPrEx>
          <w:tblCellMar>
            <w:top w:w="0" w:type="dxa"/>
            <w:left w:w="0" w:type="dxa"/>
            <w:bottom w:w="0" w:type="dxa"/>
            <w:right w:w="0" w:type="dxa"/>
          </w:tblCellMar>
        </w:tblPrEx>
        <w:trPr>
          <w:trHeight w:val="519" w:hRule="atLeast"/>
          <w:jc w:val="center"/>
        </w:trPr>
        <w:tc>
          <w:tcPr>
            <w:tcW w:w="10214" w:type="dxa"/>
            <w:gridSpan w:val="2"/>
          </w:tcPr>
          <w:p>
            <w:pPr>
              <w:rPr>
                <w:szCs w:val="21"/>
              </w:rPr>
            </w:pPr>
            <w:r>
              <w:rPr>
                <w:szCs w:val="21"/>
              </w:rPr>
              <w:t>签订时间：</w:t>
            </w:r>
            <w:r>
              <w:t>202*</w:t>
            </w:r>
            <w:r>
              <w:rPr>
                <w:szCs w:val="21"/>
              </w:rPr>
              <w:t>年***月***日</w:t>
            </w:r>
          </w:p>
        </w:tc>
      </w:tr>
      <w:tr>
        <w:tblPrEx>
          <w:tblCellMar>
            <w:top w:w="0" w:type="dxa"/>
            <w:left w:w="0" w:type="dxa"/>
            <w:bottom w:w="0" w:type="dxa"/>
            <w:right w:w="0" w:type="dxa"/>
          </w:tblCellMar>
        </w:tblPrEx>
        <w:trPr>
          <w:jc w:val="center"/>
        </w:trPr>
        <w:tc>
          <w:tcPr>
            <w:tcW w:w="4967" w:type="dxa"/>
          </w:tcPr>
          <w:p>
            <w:pPr>
              <w:rPr>
                <w:szCs w:val="21"/>
              </w:rPr>
            </w:pPr>
            <w:r>
              <w:rPr>
                <w:szCs w:val="21"/>
              </w:rPr>
              <w:t>甲方：四川省人民医院（盖章）</w:t>
            </w:r>
          </w:p>
          <w:p>
            <w:pPr>
              <w:rPr>
                <w:szCs w:val="21"/>
              </w:rPr>
            </w:pPr>
            <w:r>
              <w:rPr>
                <w:szCs w:val="21"/>
              </w:rPr>
              <w:t>法定代表人（授权代表签字）：</w:t>
            </w:r>
          </w:p>
          <w:p>
            <w:pPr>
              <w:rPr>
                <w:szCs w:val="21"/>
              </w:rPr>
            </w:pPr>
            <w:r>
              <w:rPr>
                <w:szCs w:val="21"/>
              </w:rPr>
              <w:t>地    址：四川省成都市一环路西二段32号</w:t>
            </w:r>
          </w:p>
          <w:p>
            <w:pPr>
              <w:rPr>
                <w:szCs w:val="21"/>
              </w:rPr>
            </w:pPr>
            <w:r>
              <w:rPr>
                <w:szCs w:val="21"/>
              </w:rPr>
              <w:t>开户银行：建设银行成都青羊支行</w:t>
            </w:r>
          </w:p>
          <w:p>
            <w:pPr>
              <w:rPr>
                <w:szCs w:val="21"/>
              </w:rPr>
            </w:pPr>
            <w:r>
              <w:rPr>
                <w:szCs w:val="21"/>
              </w:rPr>
              <w:t>账号：5100 1446 4360 5037 4282</w:t>
            </w:r>
          </w:p>
        </w:tc>
        <w:tc>
          <w:tcPr>
            <w:tcW w:w="5247" w:type="dxa"/>
          </w:tcPr>
          <w:p>
            <w:pPr>
              <w:rPr>
                <w:szCs w:val="21"/>
              </w:rPr>
            </w:pPr>
            <w:r>
              <w:rPr>
                <w:szCs w:val="21"/>
              </w:rPr>
              <w:t>乙方：</w:t>
            </w:r>
            <w:permStart w:id="2" w:edGrp="everyone"/>
            <w:r>
              <w:rPr>
                <w:szCs w:val="21"/>
              </w:rPr>
              <w:t>***</w:t>
            </w:r>
            <w:permEnd w:id="2"/>
            <w:r>
              <w:rPr>
                <w:szCs w:val="21"/>
              </w:rPr>
              <w:t>（盖章）</w:t>
            </w:r>
          </w:p>
          <w:p>
            <w:pPr>
              <w:rPr>
                <w:szCs w:val="21"/>
              </w:rPr>
            </w:pPr>
            <w:r>
              <w:rPr>
                <w:szCs w:val="21"/>
              </w:rPr>
              <w:t>法定代表人（授权代表签字）：</w:t>
            </w:r>
          </w:p>
          <w:p>
            <w:pPr>
              <w:rPr>
                <w:szCs w:val="21"/>
              </w:rPr>
            </w:pPr>
            <w:r>
              <w:rPr>
                <w:szCs w:val="21"/>
              </w:rPr>
              <w:t>地址：</w:t>
            </w:r>
            <w:permStart w:id="3" w:edGrp="everyone"/>
            <w:r>
              <w:rPr>
                <w:szCs w:val="21"/>
              </w:rPr>
              <w:t>***</w:t>
            </w:r>
            <w:permEnd w:id="3"/>
          </w:p>
          <w:p>
            <w:pPr>
              <w:rPr>
                <w:szCs w:val="21"/>
              </w:rPr>
            </w:pPr>
            <w:r>
              <w:rPr>
                <w:szCs w:val="21"/>
              </w:rPr>
              <w:t>开户银行：</w:t>
            </w:r>
            <w:permStart w:id="4" w:edGrp="everyone"/>
            <w:r>
              <w:rPr>
                <w:szCs w:val="21"/>
              </w:rPr>
              <w:t>***</w:t>
            </w:r>
          </w:p>
          <w:permEnd w:id="4"/>
          <w:p>
            <w:pPr>
              <w:widowControl/>
              <w:jc w:val="left"/>
            </w:pPr>
            <w:r>
              <w:rPr>
                <w:szCs w:val="21"/>
              </w:rPr>
              <w:t>账号：</w:t>
            </w:r>
            <w:permStart w:id="5" w:edGrp="everyone"/>
            <w:r>
              <w:rPr>
                <w:szCs w:val="21"/>
              </w:rPr>
              <w:t>***</w:t>
            </w:r>
            <w:permEnd w:id="5"/>
          </w:p>
        </w:tc>
      </w:tr>
    </w:tbl>
    <w:p>
      <w:pPr>
        <w:widowControl/>
        <w:jc w:val="left"/>
        <w:rPr>
          <w:szCs w:val="21"/>
        </w:rPr>
        <w:sectPr>
          <w:type w:val="continuous"/>
          <w:pgSz w:w="11906" w:h="16838"/>
          <w:pgMar w:top="851" w:right="1134" w:bottom="851" w:left="1134" w:header="0" w:footer="567" w:gutter="0"/>
          <w:pgNumType w:fmt="decimal"/>
          <w:cols w:space="425" w:num="1"/>
          <w:docGrid w:linePitch="312" w:charSpace="0"/>
        </w:sectPr>
      </w:pPr>
    </w:p>
    <w:p>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pPr>
        <w:widowControl/>
        <w:jc w:val="left"/>
        <w:rPr>
          <w:szCs w:val="21"/>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vAlign w:val="center"/>
          </w:tcPr>
          <w:p>
            <w:pPr>
              <w:widowControl/>
              <w:jc w:val="center"/>
              <w:rPr>
                <w:b/>
                <w:bCs/>
                <w:szCs w:val="21"/>
              </w:rPr>
            </w:pPr>
            <w:r>
              <w:rPr>
                <w:rFonts w:hint="eastAsia"/>
                <w:b/>
                <w:bCs/>
                <w:szCs w:val="21"/>
              </w:rPr>
              <w:t>序号</w:t>
            </w:r>
          </w:p>
        </w:tc>
        <w:tc>
          <w:tcPr>
            <w:tcW w:w="3686" w:type="dxa"/>
            <w:vAlign w:val="center"/>
          </w:tcPr>
          <w:p>
            <w:pPr>
              <w:widowControl/>
              <w:jc w:val="center"/>
              <w:rPr>
                <w:b/>
                <w:bCs/>
                <w:szCs w:val="21"/>
              </w:rPr>
            </w:pPr>
            <w:r>
              <w:rPr>
                <w:rFonts w:hint="eastAsia"/>
                <w:b/>
                <w:bCs/>
                <w:szCs w:val="21"/>
              </w:rPr>
              <w:t>结算项目名称</w:t>
            </w:r>
          </w:p>
        </w:tc>
        <w:tc>
          <w:tcPr>
            <w:tcW w:w="3402" w:type="dxa"/>
            <w:vAlign w:val="center"/>
          </w:tcPr>
          <w:p>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vAlign w:val="center"/>
          </w:tcPr>
          <w:p>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vAlign w:val="center"/>
          </w:tcPr>
          <w:p>
            <w:pPr>
              <w:widowControl/>
              <w:jc w:val="center"/>
              <w:rPr>
                <w:b/>
                <w:bCs/>
                <w:szCs w:val="21"/>
              </w:rPr>
            </w:pPr>
            <w:r>
              <w:rPr>
                <w:rFonts w:hint="eastAsia"/>
                <w:b/>
                <w:bCs/>
                <w:szCs w:val="21"/>
              </w:rPr>
              <w:t>结算单价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pPr>
              <w:widowControl/>
              <w:jc w:val="center"/>
              <w:rPr>
                <w:szCs w:val="21"/>
              </w:rPr>
            </w:pPr>
            <w:r>
              <w:rPr>
                <w:rFonts w:hint="eastAsia"/>
                <w:szCs w:val="21"/>
              </w:rPr>
              <w:t>1</w:t>
            </w:r>
          </w:p>
        </w:tc>
        <w:tc>
          <w:tcPr>
            <w:tcW w:w="3686" w:type="dxa"/>
            <w:vAlign w:val="center"/>
          </w:tcPr>
          <w:p>
            <w:pPr>
              <w:widowControl/>
              <w:jc w:val="left"/>
              <w:rPr>
                <w:szCs w:val="21"/>
              </w:rPr>
            </w:pPr>
          </w:p>
        </w:tc>
        <w:tc>
          <w:tcPr>
            <w:tcW w:w="3402" w:type="dxa"/>
            <w:vAlign w:val="center"/>
          </w:tcPr>
          <w:p>
            <w:pPr>
              <w:widowControl/>
              <w:jc w:val="left"/>
              <w:rPr>
                <w:szCs w:val="21"/>
              </w:rPr>
            </w:pPr>
          </w:p>
        </w:tc>
        <w:tc>
          <w:tcPr>
            <w:tcW w:w="992" w:type="dxa"/>
            <w:vAlign w:val="center"/>
          </w:tcPr>
          <w:p>
            <w:pPr>
              <w:widowControl/>
              <w:jc w:val="center"/>
              <w:rPr>
                <w:szCs w:val="21"/>
              </w:rPr>
            </w:pPr>
          </w:p>
        </w:tc>
        <w:tc>
          <w:tcPr>
            <w:tcW w:w="986" w:type="dxa"/>
            <w:vAlign w:val="center"/>
          </w:tcPr>
          <w:p>
            <w:pPr>
              <w:widowControl/>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pPr>
              <w:widowControl/>
              <w:jc w:val="center"/>
              <w:rPr>
                <w:szCs w:val="21"/>
              </w:rPr>
            </w:pPr>
            <w:r>
              <w:rPr>
                <w:rFonts w:hint="eastAsia"/>
                <w:szCs w:val="21"/>
              </w:rPr>
              <w:t>2</w:t>
            </w:r>
          </w:p>
        </w:tc>
        <w:tc>
          <w:tcPr>
            <w:tcW w:w="3686" w:type="dxa"/>
            <w:vAlign w:val="center"/>
          </w:tcPr>
          <w:p>
            <w:pPr>
              <w:widowControl/>
              <w:jc w:val="left"/>
              <w:rPr>
                <w:szCs w:val="21"/>
              </w:rPr>
            </w:pPr>
          </w:p>
        </w:tc>
        <w:tc>
          <w:tcPr>
            <w:tcW w:w="3402" w:type="dxa"/>
            <w:vAlign w:val="center"/>
          </w:tcPr>
          <w:p>
            <w:pPr>
              <w:widowControl/>
              <w:jc w:val="left"/>
              <w:rPr>
                <w:szCs w:val="21"/>
              </w:rPr>
            </w:pPr>
          </w:p>
        </w:tc>
        <w:tc>
          <w:tcPr>
            <w:tcW w:w="992" w:type="dxa"/>
            <w:vAlign w:val="center"/>
          </w:tcPr>
          <w:p>
            <w:pPr>
              <w:widowControl/>
              <w:jc w:val="center"/>
              <w:rPr>
                <w:szCs w:val="21"/>
              </w:rPr>
            </w:pPr>
          </w:p>
        </w:tc>
        <w:tc>
          <w:tcPr>
            <w:tcW w:w="986" w:type="dxa"/>
            <w:vAlign w:val="center"/>
          </w:tcPr>
          <w:p>
            <w:pPr>
              <w:widowControl/>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pPr>
              <w:widowControl/>
              <w:jc w:val="center"/>
              <w:rPr>
                <w:szCs w:val="21"/>
              </w:rPr>
            </w:pPr>
            <w:r>
              <w:rPr>
                <w:szCs w:val="21"/>
              </w:rPr>
              <w:t>…</w:t>
            </w:r>
          </w:p>
        </w:tc>
        <w:tc>
          <w:tcPr>
            <w:tcW w:w="3686" w:type="dxa"/>
            <w:vAlign w:val="center"/>
          </w:tcPr>
          <w:p>
            <w:pPr>
              <w:widowControl/>
              <w:jc w:val="left"/>
              <w:rPr>
                <w:szCs w:val="21"/>
              </w:rPr>
            </w:pPr>
          </w:p>
        </w:tc>
        <w:tc>
          <w:tcPr>
            <w:tcW w:w="3402" w:type="dxa"/>
            <w:vAlign w:val="center"/>
          </w:tcPr>
          <w:p>
            <w:pPr>
              <w:widowControl/>
              <w:jc w:val="left"/>
              <w:rPr>
                <w:szCs w:val="21"/>
              </w:rPr>
            </w:pPr>
          </w:p>
        </w:tc>
        <w:tc>
          <w:tcPr>
            <w:tcW w:w="992" w:type="dxa"/>
            <w:vAlign w:val="center"/>
          </w:tcPr>
          <w:p>
            <w:pPr>
              <w:widowControl/>
              <w:jc w:val="center"/>
              <w:rPr>
                <w:szCs w:val="21"/>
              </w:rPr>
            </w:pPr>
          </w:p>
        </w:tc>
        <w:tc>
          <w:tcPr>
            <w:tcW w:w="986" w:type="dxa"/>
            <w:vAlign w:val="center"/>
          </w:tcPr>
          <w:p>
            <w:pPr>
              <w:widowControl/>
              <w:jc w:val="center"/>
              <w:rPr>
                <w:szCs w:val="21"/>
              </w:rPr>
            </w:pPr>
          </w:p>
        </w:tc>
      </w:tr>
    </w:tbl>
    <w:p>
      <w:pPr>
        <w:widowControl/>
        <w:jc w:val="left"/>
        <w:rPr>
          <w:szCs w:val="21"/>
        </w:rPr>
        <w:sectPr>
          <w:footerReference r:id="rId9" w:type="default"/>
          <w:pgSz w:w="11906" w:h="16838"/>
          <w:pgMar w:top="851" w:right="1134" w:bottom="851" w:left="1134" w:header="0" w:footer="567" w:gutter="0"/>
          <w:pgNumType w:fmt="decimal"/>
          <w:cols w:space="425" w:num="1"/>
          <w:docGrid w:linePitch="312" w:charSpace="0"/>
        </w:sectPr>
      </w:pPr>
    </w:p>
    <w:p>
      <w:pPr>
        <w:widowControl/>
        <w:jc w:val="left"/>
        <w:rPr>
          <w:rFonts w:ascii="宋体" w:hAnsi="宋体"/>
          <w:b/>
          <w:bCs/>
          <w:szCs w:val="21"/>
        </w:rPr>
      </w:pPr>
      <w:r>
        <w:rPr>
          <w:rFonts w:hint="eastAsia" w:ascii="宋体" w:hAnsi="宋体"/>
          <w:b/>
          <w:bCs/>
          <w:szCs w:val="21"/>
        </w:rPr>
        <w:t>附件2：考核标准</w:t>
      </w:r>
    </w:p>
    <w:p/>
    <w:p>
      <w:pPr>
        <w:sectPr>
          <w:pgSz w:w="11906" w:h="16838"/>
          <w:pgMar w:top="851" w:right="1134" w:bottom="851" w:left="1134" w:header="0" w:footer="567" w:gutter="0"/>
          <w:pgNumType w:fmt="decimal"/>
          <w:cols w:space="425" w:num="1"/>
          <w:docGrid w:linePitch="312" w:charSpace="0"/>
        </w:sectPr>
      </w:pPr>
      <w:r>
        <w:rPr>
          <w:rFonts w:hint="eastAsia"/>
        </w:rPr>
        <w:t>*</w:t>
      </w:r>
      <w:r>
        <w:t>**</w:t>
      </w:r>
    </w:p>
    <w:p>
      <w:pPr>
        <w:widowControl/>
        <w:jc w:val="left"/>
        <w:rPr>
          <w:rFonts w:ascii="宋体" w:hAnsi="宋体"/>
          <w:b/>
          <w:bCs/>
          <w:szCs w:val="21"/>
        </w:rPr>
      </w:pPr>
      <w:r>
        <w:rPr>
          <w:rFonts w:hint="eastAsia" w:ascii="宋体" w:hAnsi="宋体"/>
          <w:b/>
          <w:bCs/>
          <w:szCs w:val="21"/>
        </w:rPr>
        <w:t>附件</w:t>
      </w:r>
      <w:r>
        <w:rPr>
          <w:rFonts w:ascii="宋体" w:hAnsi="宋体"/>
          <w:b/>
          <w:bCs/>
          <w:szCs w:val="21"/>
        </w:rPr>
        <w:t>3</w:t>
      </w:r>
      <w:r>
        <w:rPr>
          <w:rFonts w:hint="eastAsia" w:ascii="宋体" w:hAnsi="宋体"/>
          <w:b/>
          <w:bCs/>
          <w:szCs w:val="21"/>
        </w:rPr>
        <w:t>：</w:t>
      </w:r>
      <w:r>
        <w:rPr>
          <w:rFonts w:ascii="宋体" w:hAnsi="宋体"/>
          <w:b/>
          <w:bCs/>
          <w:szCs w:val="21"/>
        </w:rPr>
        <w:t>服务</w:t>
      </w:r>
      <w:r>
        <w:rPr>
          <w:rFonts w:hint="eastAsia" w:ascii="宋体" w:hAnsi="宋体"/>
          <w:b/>
          <w:bCs/>
          <w:szCs w:val="21"/>
        </w:rPr>
        <w:t>方案</w:t>
      </w:r>
    </w:p>
    <w:p/>
    <w:p>
      <w:r>
        <w:rPr>
          <w:rFonts w:hint="eastAsia"/>
        </w:rPr>
        <w:t>*</w:t>
      </w:r>
      <w:r>
        <w:t>**</w:t>
      </w:r>
    </w:p>
    <w:p>
      <w:pPr>
        <w:rPr>
          <w:rFonts w:ascii="Times New Roman" w:hAnsi="Times New Roman" w:cs="Times New Roman"/>
          <w:b/>
          <w:bCs/>
          <w:sz w:val="44"/>
          <w:szCs w:val="52"/>
        </w:rPr>
      </w:pPr>
      <w:r>
        <w:rPr>
          <w:rFonts w:ascii="Times New Roman" w:hAnsi="Times New Roman" w:cs="Times New Roman"/>
          <w:b/>
          <w:bCs/>
          <w:sz w:val="44"/>
          <w:szCs w:val="52"/>
        </w:rPr>
        <w:br w:type="page"/>
      </w:r>
    </w:p>
    <w:p>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pPr>
        <w:rPr>
          <w:rFonts w:ascii="Times New Roman" w:hAnsi="Times New Roman" w:eastAsia="仿宋" w:cs="Times New Roman"/>
          <w:sz w:val="28"/>
          <w:szCs w:val="28"/>
        </w:rPr>
      </w:pPr>
      <w:r>
        <w:rPr>
          <w:rFonts w:ascii="Times New Roman" w:hAnsi="Times New Roman" w:eastAsia="仿宋" w:cs="Times New Roman"/>
          <w:sz w:val="28"/>
          <w:szCs w:val="28"/>
        </w:rPr>
        <w:t>乙方：</w:t>
      </w:r>
    </w:p>
    <w:p>
      <w:pPr>
        <w:ind w:firstLine="560" w:firstLineChars="200"/>
        <w:rPr>
          <w:rFonts w:ascii="Times New Roman" w:hAnsi="Times New Roman" w:eastAsia="仿宋" w:cs="Times New Roman"/>
          <w:sz w:val="28"/>
          <w:szCs w:val="28"/>
        </w:rPr>
      </w:pP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pPr>
        <w:ind w:firstLine="560" w:firstLineChars="200"/>
        <w:rPr>
          <w:rFonts w:ascii="Times New Roman" w:hAnsi="Times New Roman" w:eastAsia="仿宋" w:cs="Times New Roman"/>
          <w:sz w:val="28"/>
          <w:szCs w:val="28"/>
        </w:rPr>
      </w:pP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pPr>
        <w:ind w:firstLine="560" w:firstLineChars="200"/>
        <w:rPr>
          <w:rFonts w:ascii="Times New Roman" w:hAnsi="Times New Roman" w:eastAsia="仿宋" w:cs="Times New Roman"/>
          <w:sz w:val="28"/>
          <w:szCs w:val="28"/>
        </w:rPr>
      </w:pP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pPr>
        <w:ind w:firstLine="4200" w:firstLineChars="1500"/>
        <w:rPr>
          <w:rFonts w:ascii="Times New Roman" w:hAnsi="Times New Roman" w:eastAsia="仿宋" w:cs="Times New Roman"/>
          <w:sz w:val="28"/>
          <w:szCs w:val="28"/>
        </w:rPr>
      </w:pPr>
    </w:p>
    <w:p>
      <w:pPr>
        <w:jc w:val="right"/>
        <w:rPr>
          <w:rStyle w:val="32"/>
          <w:rFonts w:ascii="Times New Roman" w:hAnsi="Times New Roman" w:eastAsia="宋体" w:cs="Times New Roman"/>
          <w:b/>
          <w:bCs/>
          <w:sz w:val="32"/>
          <w:szCs w:val="32"/>
        </w:rPr>
      </w:pPr>
      <w:r>
        <w:rPr>
          <w:rFonts w:ascii="Times New Roman" w:hAnsi="Times New Roman" w:cs="Times New Roman"/>
        </w:rPr>
        <w:t>年   月   日</w:t>
      </w:r>
    </w:p>
    <w:p>
      <w:pPr>
        <w:pStyle w:val="25"/>
        <w:rPr>
          <w:rFonts w:ascii="Times New Roman" w:hAnsi="Times New Roman"/>
        </w:rPr>
      </w:pPr>
    </w:p>
    <w:sectPr>
      <w:headerReference r:id="rId10" w:type="default"/>
      <w:footerReference r:id="rId11"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0A4FFC66-7E0F-447C-9E7B-A8B99F21A5BC}"/>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FF214E84-4433-4541-A369-34DBA2D7312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B8C3AF14-751D-4FBF-87B1-82A93B709B9D}"/>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9F1D8F33-904C-4BFF-A69F-2F86BD85DB53}"/>
  </w:font>
  <w:font w:name="Segoe UI Symbol">
    <w:panose1 w:val="020B0502040204020203"/>
    <w:charset w:val="00"/>
    <w:family w:val="swiss"/>
    <w:pitch w:val="default"/>
    <w:sig w:usb0="800001E3" w:usb1="1200FFEF" w:usb2="00040000" w:usb3="04000000" w:csb0="00000001" w:csb1="40000000"/>
    <w:embedRegular r:id="rId5" w:fontKey="{A53AA43C-A7C7-478B-9C95-DABEC4C6919E}"/>
  </w:font>
  <w:font w:name="Wingdings 2">
    <w:altName w:val="Wingdings"/>
    <w:panose1 w:val="05020102010507070707"/>
    <w:charset w:val="4D"/>
    <w:family w:val="decorative"/>
    <w:pitch w:val="default"/>
    <w:sig w:usb0="00000000" w:usb1="00000000" w:usb2="00000000" w:usb3="00000000" w:csb0="80000001" w:csb1="00000000"/>
    <w:embedRegular r:id="rId6" w:fontKey="{C3D76D32-B3CD-4F4C-9CF1-E945E73D4568}"/>
  </w:font>
  <w:font w:name="微软雅黑">
    <w:panose1 w:val="020B0503020204020204"/>
    <w:charset w:val="86"/>
    <w:family w:val="auto"/>
    <w:pitch w:val="default"/>
    <w:sig w:usb0="80000287" w:usb1="2ACF3C50" w:usb2="00000016" w:usb3="00000000" w:csb0="0004001F" w:csb1="00000000"/>
    <w:embedRegular r:id="rId7" w:fontKey="{867EA40E-C774-438F-86D0-96B402C9E4C2}"/>
  </w:font>
  <w:font w:name="Tahoma">
    <w:panose1 w:val="020B0604030504040204"/>
    <w:charset w:val="00"/>
    <w:family w:val="auto"/>
    <w:pitch w:val="default"/>
    <w:sig w:usb0="E1002EFF" w:usb1="C000605B" w:usb2="00000029" w:usb3="00000000" w:csb0="200101FF" w:csb1="20280000"/>
  </w:font>
  <w:font w:name="Kingsoft Symbol">
    <w:panose1 w:val="05000100010000000000"/>
    <w:charset w:val="00"/>
    <w:family w:val="auto"/>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contextualSpacing/>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38</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rPr>
        <w:rStyle w:val="21"/>
      </w:rPr>
    </w:pPr>
    <w:r>
      <w:rPr>
        <w:rStyle w:val="21"/>
      </w:rPr>
      <w:fldChar w:fldCharType="begin"/>
    </w:r>
    <w:r>
      <w:rPr>
        <w:rStyle w:val="21"/>
      </w:rPr>
      <w:instrText xml:space="preserve">PAGE  </w:instrText>
    </w:r>
    <w:r>
      <w:rPr>
        <w:rStyle w:val="21"/>
      </w:rPr>
      <w:fldChar w:fldCharType="separate"/>
    </w:r>
    <w:r>
      <w:rPr>
        <w:rStyle w:val="21"/>
      </w:rPr>
      <w:t>1</w:t>
    </w:r>
    <w:r>
      <w:rPr>
        <w:rStyle w:val="21"/>
      </w:rPr>
      <w:fldChar w:fldCharType="end"/>
    </w:r>
  </w:p>
  <w:p>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38</w:t>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38</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right"/>
    </w:pPr>
    <w:r>
      <w:rPr>
        <w:kern w:val="0"/>
      </w:rPr>
      <w:t>HTMB-</w:t>
    </w:r>
    <w:r>
      <w:rPr>
        <w:rFonts w:hint="eastAsia"/>
        <w:kern w:val="0"/>
      </w:rPr>
      <w:t>FW</w:t>
    </w:r>
    <w:r>
      <w:rPr>
        <w:kern w:val="0"/>
      </w:rPr>
      <w:t>-YN01-202</w:t>
    </w:r>
    <w:r>
      <w:rPr>
        <w:rFonts w:hint="eastAsia"/>
        <w:kern w:val="0"/>
      </w:rPr>
      <w:t>504</w:t>
    </w:r>
    <w:r>
      <w:rPr>
        <w:kern w:val="0"/>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pPr>
      <w:pStyle w:val="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4">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5">
    <w:nsid w:val="FCA5E3A8"/>
    <w:multiLevelType w:val="singleLevel"/>
    <w:tmpl w:val="FCA5E3A8"/>
    <w:lvl w:ilvl="0" w:tentative="0">
      <w:start w:val="1"/>
      <w:numFmt w:val="decimal"/>
      <w:suff w:val="nothing"/>
      <w:lvlText w:val="（%1）"/>
      <w:lvlJc w:val="left"/>
      <w:pPr>
        <w:ind w:left="-210"/>
      </w:pPr>
    </w:lvl>
  </w:abstractNum>
  <w:abstractNum w:abstractNumId="6">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9">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0">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3">
    <w:nsid w:val="1F712D09"/>
    <w:multiLevelType w:val="singleLevel"/>
    <w:tmpl w:val="1F712D09"/>
    <w:lvl w:ilvl="0" w:tentative="0">
      <w:start w:val="1"/>
      <w:numFmt w:val="decimal"/>
      <w:lvlText w:val="(%1)"/>
      <w:lvlJc w:val="left"/>
      <w:pPr>
        <w:ind w:left="218" w:hanging="425"/>
      </w:pPr>
      <w:rPr>
        <w:rFonts w:hint="default"/>
      </w:rPr>
    </w:lvl>
  </w:abstractNum>
  <w:abstractNum w:abstractNumId="14">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6">
    <w:nsid w:val="3A69C7D9"/>
    <w:multiLevelType w:val="singleLevel"/>
    <w:tmpl w:val="3A69C7D9"/>
    <w:lvl w:ilvl="0" w:tentative="0">
      <w:start w:val="1"/>
      <w:numFmt w:val="decimal"/>
      <w:lvlText w:val="(%1)"/>
      <w:lvlJc w:val="left"/>
      <w:pPr>
        <w:ind w:left="425" w:hanging="425"/>
      </w:pPr>
      <w:rPr>
        <w:rFonts w:hint="default"/>
      </w:rPr>
    </w:lvl>
  </w:abstractNum>
  <w:abstractNum w:abstractNumId="1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3"/>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8">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9">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2">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5">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5"/>
  </w:num>
  <w:num w:numId="2">
    <w:abstractNumId w:val="4"/>
  </w:num>
  <w:num w:numId="3">
    <w:abstractNumId w:val="17"/>
  </w:num>
  <w:num w:numId="4">
    <w:abstractNumId w:val="26"/>
  </w:num>
  <w:num w:numId="5">
    <w:abstractNumId w:val="13"/>
  </w:num>
  <w:num w:numId="6">
    <w:abstractNumId w:val="21"/>
  </w:num>
  <w:num w:numId="7">
    <w:abstractNumId w:val="16"/>
  </w:num>
  <w:num w:numId="8">
    <w:abstractNumId w:val="3"/>
  </w:num>
  <w:num w:numId="9">
    <w:abstractNumId w:val="2"/>
  </w:num>
  <w:num w:numId="10">
    <w:abstractNumId w:val="1"/>
  </w:num>
  <w:num w:numId="11">
    <w:abstractNumId w:val="5"/>
  </w:num>
  <w:num w:numId="12">
    <w:abstractNumId w:val="0"/>
  </w:num>
  <w:num w:numId="13">
    <w:abstractNumId w:val="12"/>
  </w:num>
  <w:num w:numId="14">
    <w:abstractNumId w:val="22"/>
  </w:num>
  <w:num w:numId="15">
    <w:abstractNumId w:val="25"/>
  </w:num>
  <w:num w:numId="16">
    <w:abstractNumId w:val="19"/>
  </w:num>
  <w:num w:numId="17">
    <w:abstractNumId w:val="9"/>
  </w:num>
  <w:num w:numId="18">
    <w:abstractNumId w:val="7"/>
  </w:num>
  <w:num w:numId="19">
    <w:abstractNumId w:val="23"/>
  </w:num>
  <w:num w:numId="20">
    <w:abstractNumId w:val="18"/>
  </w:num>
  <w:num w:numId="21">
    <w:abstractNumId w:val="8"/>
  </w:num>
  <w:num w:numId="22">
    <w:abstractNumId w:val="11"/>
  </w:num>
  <w:num w:numId="23">
    <w:abstractNumId w:val="24"/>
  </w:num>
  <w:num w:numId="24">
    <w:abstractNumId w:val="6"/>
  </w:num>
  <w:num w:numId="25">
    <w:abstractNumId w:val="20"/>
  </w:num>
  <w:num w:numId="26">
    <w:abstractNumId w:val="10"/>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7D040AB6"/>
    <w:rsid w:val="0000488D"/>
    <w:rsid w:val="000150EE"/>
    <w:rsid w:val="000219AA"/>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58C78B0"/>
    <w:rsid w:val="05E13064"/>
    <w:rsid w:val="078A573C"/>
    <w:rsid w:val="093A3733"/>
    <w:rsid w:val="0B4508AE"/>
    <w:rsid w:val="0CC84A20"/>
    <w:rsid w:val="0CF161C9"/>
    <w:rsid w:val="0E0B7FF0"/>
    <w:rsid w:val="0F904004"/>
    <w:rsid w:val="117A5014"/>
    <w:rsid w:val="127F05A0"/>
    <w:rsid w:val="136D78F8"/>
    <w:rsid w:val="15CC4977"/>
    <w:rsid w:val="162A4F7D"/>
    <w:rsid w:val="16A82A66"/>
    <w:rsid w:val="16E74A94"/>
    <w:rsid w:val="1994787E"/>
    <w:rsid w:val="1BCC54CD"/>
    <w:rsid w:val="1DD000AF"/>
    <w:rsid w:val="1E09745A"/>
    <w:rsid w:val="1E176351"/>
    <w:rsid w:val="22935D1D"/>
    <w:rsid w:val="23D4489F"/>
    <w:rsid w:val="24CC3981"/>
    <w:rsid w:val="262001B9"/>
    <w:rsid w:val="27B87AF9"/>
    <w:rsid w:val="27E80EA9"/>
    <w:rsid w:val="280414A1"/>
    <w:rsid w:val="28570368"/>
    <w:rsid w:val="286D0FD7"/>
    <w:rsid w:val="29C5318E"/>
    <w:rsid w:val="2B502F98"/>
    <w:rsid w:val="2C9A0A9E"/>
    <w:rsid w:val="2DA70D65"/>
    <w:rsid w:val="3427766B"/>
    <w:rsid w:val="343706EB"/>
    <w:rsid w:val="351A08D0"/>
    <w:rsid w:val="36334CE5"/>
    <w:rsid w:val="37623CD1"/>
    <w:rsid w:val="3A551407"/>
    <w:rsid w:val="3B033C36"/>
    <w:rsid w:val="3E5D4E8E"/>
    <w:rsid w:val="3FE25336"/>
    <w:rsid w:val="40B803DC"/>
    <w:rsid w:val="41076015"/>
    <w:rsid w:val="42075FF8"/>
    <w:rsid w:val="42842020"/>
    <w:rsid w:val="468567BB"/>
    <w:rsid w:val="4782487D"/>
    <w:rsid w:val="4B31068E"/>
    <w:rsid w:val="4BA55220"/>
    <w:rsid w:val="4BAD0151"/>
    <w:rsid w:val="4C184E09"/>
    <w:rsid w:val="4C8F75A2"/>
    <w:rsid w:val="4DAD4403"/>
    <w:rsid w:val="4E8C008E"/>
    <w:rsid w:val="4FEF758C"/>
    <w:rsid w:val="50771A9C"/>
    <w:rsid w:val="51C47F6D"/>
    <w:rsid w:val="5455382C"/>
    <w:rsid w:val="55760C1C"/>
    <w:rsid w:val="5D0A3490"/>
    <w:rsid w:val="5D7E0D39"/>
    <w:rsid w:val="5E9D3F29"/>
    <w:rsid w:val="60384CD1"/>
    <w:rsid w:val="60655808"/>
    <w:rsid w:val="60F86CEE"/>
    <w:rsid w:val="63A9427A"/>
    <w:rsid w:val="63D462B1"/>
    <w:rsid w:val="64020372"/>
    <w:rsid w:val="641A3596"/>
    <w:rsid w:val="64D96647"/>
    <w:rsid w:val="655B51E5"/>
    <w:rsid w:val="65E40ADA"/>
    <w:rsid w:val="66330B86"/>
    <w:rsid w:val="66E22203"/>
    <w:rsid w:val="68AA6162"/>
    <w:rsid w:val="68B812C9"/>
    <w:rsid w:val="68CA7AD6"/>
    <w:rsid w:val="69D50CF4"/>
    <w:rsid w:val="6AE76B18"/>
    <w:rsid w:val="6C487AFD"/>
    <w:rsid w:val="6CB24363"/>
    <w:rsid w:val="6EA93466"/>
    <w:rsid w:val="6FCF0795"/>
    <w:rsid w:val="71381023"/>
    <w:rsid w:val="71696852"/>
    <w:rsid w:val="73714961"/>
    <w:rsid w:val="754D1D92"/>
    <w:rsid w:val="758350A9"/>
    <w:rsid w:val="79687E1D"/>
    <w:rsid w:val="7B560FD7"/>
    <w:rsid w:val="7B5F74F8"/>
    <w:rsid w:val="7B690630"/>
    <w:rsid w:val="7C5123F4"/>
    <w:rsid w:val="7D040AB6"/>
    <w:rsid w:val="7D4119E6"/>
    <w:rsid w:val="7DAF162B"/>
    <w:rsid w:val="7DC42B41"/>
    <w:rsid w:val="7FCC250B"/>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autoRedefine/>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9"/>
    <w:autoRedefine/>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autoRedefine/>
    <w:unhideWhenUsed/>
    <w:qFormat/>
    <w:uiPriority w:val="0"/>
    <w:pPr>
      <w:keepNext/>
      <w:keepLines/>
      <w:spacing w:before="260" w:after="260" w:line="413" w:lineRule="auto"/>
      <w:outlineLvl w:val="2"/>
    </w:pPr>
    <w:rPr>
      <w:b/>
      <w:sz w:val="32"/>
    </w:rPr>
  </w:style>
  <w:style w:type="character" w:default="1" w:styleId="20">
    <w:name w:val="Default Paragraph Font"/>
    <w:autoRedefine/>
    <w:semiHidden/>
    <w:unhideWhenUsed/>
    <w:qFormat/>
    <w:uiPriority w:val="1"/>
  </w:style>
  <w:style w:type="table" w:default="1" w:styleId="18">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firstLineChars="200"/>
    </w:pPr>
    <w:rPr>
      <w:kern w:val="0"/>
      <w:sz w:val="24"/>
      <w:szCs w:val="20"/>
    </w:rPr>
  </w:style>
  <w:style w:type="paragraph" w:styleId="6">
    <w:name w:val="annotation text"/>
    <w:basedOn w:val="1"/>
    <w:link w:val="36"/>
    <w:autoRedefine/>
    <w:qFormat/>
    <w:uiPriority w:val="0"/>
    <w:pPr>
      <w:jc w:val="left"/>
    </w:pPr>
  </w:style>
  <w:style w:type="paragraph" w:styleId="7">
    <w:name w:val="Body Text"/>
    <w:basedOn w:val="1"/>
    <w:autoRedefine/>
    <w:qFormat/>
    <w:uiPriority w:val="0"/>
    <w:pPr>
      <w:spacing w:after="120"/>
    </w:pPr>
  </w:style>
  <w:style w:type="paragraph" w:styleId="8">
    <w:name w:val="Body Text Indent"/>
    <w:basedOn w:val="1"/>
    <w:autoRedefine/>
    <w:unhideWhenUsed/>
    <w:qFormat/>
    <w:uiPriority w:val="99"/>
    <w:pPr>
      <w:ind w:firstLine="630"/>
    </w:pPr>
    <w:rPr>
      <w:rFonts w:ascii="Calibri"/>
      <w:sz w:val="32"/>
      <w:szCs w:val="20"/>
    </w:rPr>
  </w:style>
  <w:style w:type="paragraph" w:styleId="9">
    <w:name w:val="Body Text Indent 2"/>
    <w:basedOn w:val="1"/>
    <w:link w:val="31"/>
    <w:autoRedefine/>
    <w:qFormat/>
    <w:uiPriority w:val="0"/>
    <w:pPr>
      <w:spacing w:after="120" w:line="480" w:lineRule="auto"/>
      <w:ind w:left="420" w:leftChars="200"/>
    </w:pPr>
    <w:rPr>
      <w:szCs w:val="20"/>
    </w:rPr>
  </w:style>
  <w:style w:type="paragraph" w:styleId="10">
    <w:name w:val="Balloon Text"/>
    <w:basedOn w:val="1"/>
    <w:link w:val="38"/>
    <w:autoRedefine/>
    <w:qFormat/>
    <w:uiPriority w:val="0"/>
    <w:rPr>
      <w:sz w:val="18"/>
      <w:szCs w:val="18"/>
    </w:rPr>
  </w:style>
  <w:style w:type="paragraph" w:styleId="11">
    <w:name w:val="footer"/>
    <w:basedOn w:val="1"/>
    <w:autoRedefine/>
    <w:unhideWhenUsed/>
    <w:qFormat/>
    <w:uiPriority w:val="99"/>
    <w:pPr>
      <w:tabs>
        <w:tab w:val="center" w:pos="4153"/>
        <w:tab w:val="right" w:pos="8306"/>
      </w:tabs>
      <w:snapToGrid w:val="0"/>
      <w:jc w:val="left"/>
    </w:pPr>
    <w:rPr>
      <w:sz w:val="18"/>
      <w:szCs w:val="18"/>
    </w:rPr>
  </w:style>
  <w:style w:type="paragraph" w:styleId="12">
    <w:name w:val="header"/>
    <w:basedOn w:val="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autoRedefine/>
    <w:qFormat/>
    <w:uiPriority w:val="0"/>
  </w:style>
  <w:style w:type="paragraph" w:styleId="14">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7"/>
    <w:autoRedefine/>
    <w:qFormat/>
    <w:uiPriority w:val="0"/>
    <w:rPr>
      <w:b/>
      <w:bCs/>
    </w:rPr>
  </w:style>
  <w:style w:type="paragraph" w:styleId="16">
    <w:name w:val="Body Text First Indent"/>
    <w:basedOn w:val="7"/>
    <w:link w:val="32"/>
    <w:autoRedefine/>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5"/>
    <w:autoRedefine/>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basedOn w:val="20"/>
    <w:autoRedefine/>
    <w:semiHidden/>
    <w:qFormat/>
    <w:uiPriority w:val="0"/>
  </w:style>
  <w:style w:type="character" w:styleId="22">
    <w:name w:val="annotation reference"/>
    <w:basedOn w:val="20"/>
    <w:autoRedefine/>
    <w:qFormat/>
    <w:uiPriority w:val="0"/>
    <w:rPr>
      <w:sz w:val="21"/>
      <w:szCs w:val="21"/>
    </w:rPr>
  </w:style>
  <w:style w:type="paragraph" w:customStyle="1" w:styleId="23">
    <w:name w:val="标题 5（有编号）（绿盟科技）"/>
    <w:basedOn w:val="24"/>
    <w:next w:val="25"/>
    <w:autoRedefine/>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4">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5">
    <w:name w:val="正文（绿盟科技）"/>
    <w:autoRedefine/>
    <w:qFormat/>
    <w:uiPriority w:val="0"/>
    <w:pPr>
      <w:spacing w:line="300" w:lineRule="auto"/>
    </w:pPr>
    <w:rPr>
      <w:rFonts w:ascii="Arial" w:hAnsi="Arial" w:eastAsia="宋体" w:cs="Times New Roman"/>
      <w:sz w:val="21"/>
      <w:szCs w:val="21"/>
      <w:lang w:val="en-US" w:eastAsia="zh-CN" w:bidi="ar-SA"/>
    </w:rPr>
  </w:style>
  <w:style w:type="paragraph" w:customStyle="1" w:styleId="26">
    <w:name w:val="13、表格内居中正文"/>
    <w:basedOn w:val="1"/>
    <w:autoRedefine/>
    <w:qFormat/>
    <w:uiPriority w:val="0"/>
    <w:pPr>
      <w:wordWrap w:val="0"/>
      <w:topLinePunct/>
      <w:spacing w:line="360" w:lineRule="exact"/>
      <w:jc w:val="center"/>
    </w:pPr>
    <w:rPr>
      <w:rFonts w:ascii="宋体" w:hAnsi="宋体" w:eastAsia="宋体"/>
    </w:rPr>
  </w:style>
  <w:style w:type="paragraph" w:customStyle="1" w:styleId="27">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8">
    <w:name w:val="List Paragraph"/>
    <w:basedOn w:val="1"/>
    <w:autoRedefine/>
    <w:qFormat/>
    <w:uiPriority w:val="0"/>
    <w:pPr>
      <w:spacing w:line="500" w:lineRule="exact"/>
      <w:ind w:firstLine="420" w:firstLineChars="200"/>
    </w:pPr>
    <w:rPr>
      <w:szCs w:val="24"/>
    </w:rPr>
  </w:style>
  <w:style w:type="paragraph" w:customStyle="1" w:styleId="29">
    <w:name w:val="正文首行缩进两字符"/>
    <w:basedOn w:val="1"/>
    <w:autoRedefine/>
    <w:qFormat/>
    <w:uiPriority w:val="0"/>
    <w:pPr>
      <w:spacing w:line="360" w:lineRule="auto"/>
      <w:ind w:firstLine="200" w:firstLineChars="200"/>
    </w:pPr>
  </w:style>
  <w:style w:type="paragraph" w:customStyle="1" w:styleId="30">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1">
    <w:name w:val="Body Text Indent 2 Char"/>
    <w:link w:val="9"/>
    <w:autoRedefine/>
    <w:qFormat/>
    <w:uiPriority w:val="0"/>
    <w:rPr>
      <w:szCs w:val="20"/>
    </w:rPr>
  </w:style>
  <w:style w:type="character" w:customStyle="1" w:styleId="32">
    <w:name w:val="Body Text First Indent Char"/>
    <w:link w:val="16"/>
    <w:autoRedefine/>
    <w:qFormat/>
    <w:uiPriority w:val="0"/>
    <w:rPr>
      <w:rFonts w:ascii="FangSong_GB2312" w:hAnsi="FangSong_GB2312" w:eastAsia="FangSong_GB2312"/>
      <w:szCs w:val="20"/>
    </w:rPr>
  </w:style>
  <w:style w:type="paragraph" w:customStyle="1" w:styleId="33">
    <w:name w:val="正文 A"/>
    <w:autoRedefine/>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4">
    <w:name w:val="Header &amp; Footer"/>
    <w:autoRedefine/>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5">
    <w:name w:val="Body Text First Indent 2 Char"/>
    <w:link w:val="17"/>
    <w:autoRedefine/>
    <w:qFormat/>
    <w:uiPriority w:val="99"/>
    <w:rPr>
      <w:rFonts w:ascii="宋体" w:hAnsi="Times New Roman"/>
      <w:kern w:val="0"/>
      <w:sz w:val="21"/>
      <w:szCs w:val="24"/>
    </w:rPr>
  </w:style>
  <w:style w:type="character" w:customStyle="1" w:styleId="36">
    <w:name w:val="Comment Text Char"/>
    <w:basedOn w:val="20"/>
    <w:link w:val="6"/>
    <w:autoRedefine/>
    <w:qFormat/>
    <w:uiPriority w:val="0"/>
    <w:rPr>
      <w:kern w:val="2"/>
      <w:sz w:val="21"/>
      <w:szCs w:val="22"/>
    </w:rPr>
  </w:style>
  <w:style w:type="character" w:customStyle="1" w:styleId="37">
    <w:name w:val="Comment Subject Char"/>
    <w:basedOn w:val="36"/>
    <w:link w:val="15"/>
    <w:autoRedefine/>
    <w:qFormat/>
    <w:uiPriority w:val="0"/>
    <w:rPr>
      <w:b/>
      <w:bCs/>
      <w:kern w:val="2"/>
      <w:sz w:val="21"/>
      <w:szCs w:val="22"/>
    </w:rPr>
  </w:style>
  <w:style w:type="character" w:customStyle="1" w:styleId="38">
    <w:name w:val="Balloon Text Char"/>
    <w:basedOn w:val="20"/>
    <w:link w:val="10"/>
    <w:autoRedefine/>
    <w:qFormat/>
    <w:uiPriority w:val="0"/>
    <w:rPr>
      <w:kern w:val="2"/>
      <w:sz w:val="18"/>
      <w:szCs w:val="18"/>
    </w:rPr>
  </w:style>
  <w:style w:type="character" w:customStyle="1" w:styleId="39">
    <w:name w:val="Heading 2 Char"/>
    <w:link w:val="3"/>
    <w:autoRedefine/>
    <w:qFormat/>
    <w:uiPriority w:val="0"/>
    <w:rPr>
      <w:rFonts w:ascii="Times New Roman" w:hAnsi="Times New Roman" w:eastAsia="仿宋" w:cs="Times New Roman"/>
      <w:b/>
      <w:sz w:val="32"/>
    </w:rPr>
  </w:style>
  <w:style w:type="paragraph" w:customStyle="1" w:styleId="40">
    <w:name w:val="sht标题1"/>
    <w:basedOn w:val="1"/>
    <w:next w:val="2"/>
    <w:autoRedefine/>
    <w:qFormat/>
    <w:uiPriority w:val="0"/>
    <w:pPr>
      <w:jc w:val="center"/>
    </w:pPr>
    <w:rPr>
      <w:rFonts w:eastAsia="黑体"/>
      <w:b/>
      <w:sz w:val="52"/>
      <w:szCs w:val="24"/>
    </w:rPr>
  </w:style>
  <w:style w:type="paragraph" w:customStyle="1" w:styleId="41">
    <w:name w:val="null3"/>
    <w:autoRedefine/>
    <w:qFormat/>
    <w:uiPriority w:val="0"/>
    <w:rPr>
      <w:rFonts w:hint="eastAsia" w:ascii="Calibri" w:hAnsi="Calibri" w:eastAsia="宋体" w:cs="Times New Roman"/>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39</Pages>
  <Words>1230</Words>
  <Characters>1300</Characters>
  <Lines>72</Lines>
  <Paragraphs>20</Paragraphs>
  <TotalTime>7</TotalTime>
  <ScaleCrop>false</ScaleCrop>
  <LinksUpToDate>false</LinksUpToDate>
  <CharactersWithSpaces>1404</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徐徐</cp:lastModifiedBy>
  <dcterms:modified xsi:type="dcterms:W3CDTF">2026-10-15T09:57:35Z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CDDDF736F6F443CDA84C8E8ADAFED7E3_13</vt:lpwstr>
  </property>
  <property fmtid="{D5CDD505-2E9C-101B-9397-08002B2CF9AE}" pid="4" name="KSOTemplateDocerSaveRecord">
    <vt:lpwstr>eyJoZGlkIjoiZTE3YzY5ZGRmMGZjYjE3ZTA2OTZlNGYxY2RlMGIzMDkiLCJ1c2VySWQiOiI3MDMxOTM4MzkifQ==</vt:lpwstr>
  </property>
</Properties>
</file>