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血液透析用中心静脉导管及附件</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3240"/>
      <w:bookmarkStart w:id="2" w:name="_Toc62832406"/>
      <w:bookmarkStart w:id="3" w:name="_Toc1907"/>
      <w:bookmarkStart w:id="4" w:name="_Toc21919"/>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w:t>
            </w:r>
            <w:r>
              <w:rPr>
                <w:rFonts w:ascii="Times New Roman" w:hAnsi="Times New Roman" w:eastAsia="仿宋" w:cs="Times New Roman"/>
                <w:sz w:val="22"/>
              </w:rPr>
              <w:t>血液透析用中心静脉导管及附件</w:t>
            </w:r>
            <w:r>
              <w:rPr>
                <w:rFonts w:hint="eastAsia" w:ascii="Times New Roman" w:hAnsi="Times New Roman" w:eastAsia="仿宋" w:cs="Times New Roman"/>
                <w:sz w:val="22"/>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CGZX-YXZ202</w:t>
            </w:r>
            <w:r>
              <w:rPr>
                <w:rFonts w:ascii="Times New Roman" w:hAnsi="Times New Roman" w:eastAsia="仿宋" w:cs="Times New Roman"/>
                <w:sz w:val="22"/>
              </w:rPr>
              <w:t>60820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bookmarkStart w:id="95" w:name="_GoBack" w:colFirst="7" w:colLast="7"/>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一次性使用无菌血液透析用中心静脉导管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广东百合医疗科技股份有限公司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国械注准20153101563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双腔14FX13cm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S365109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20套</w:t>
            </w:r>
          </w:p>
        </w:tc>
      </w:tr>
      <w:bookmarkEnd w:id="95"/>
      <w:tr w14:paraId="4FFB1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F7D29">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F13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一次性使用无菌血液透析用中心静脉导管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F7D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广东百合医疗科技股份有限公司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A9C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国械注准20153101563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F9D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双腔14FX16cm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E16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S365109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315F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0916355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A5D5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E5A57">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18B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一次性使用无菌血液透析用中心静脉导管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B18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广东百合医疗科技股份有限公司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26A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国械注准20153101563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056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双腔 14FX20cm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E08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S365109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9BE2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5FF92F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792BC649">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32749"/>
      <w:bookmarkStart w:id="34" w:name="_Toc1690"/>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17905"/>
      <w:bookmarkStart w:id="38" w:name="_Toc6803"/>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989"/>
      <w:bookmarkStart w:id="42" w:name="_Toc27135"/>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2031"/>
      <w:bookmarkStart w:id="46" w:name="_Toc7233"/>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21519"/>
      <w:bookmarkStart w:id="50" w:name="_Toc11352"/>
      <w:bookmarkStart w:id="51" w:name="_Toc6482"/>
      <w:bookmarkStart w:id="52" w:name="_Toc14829"/>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4305"/>
      <w:bookmarkStart w:id="56" w:name="_Toc22676"/>
      <w:bookmarkStart w:id="57" w:name="_Toc31838"/>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15526"/>
      <w:bookmarkStart w:id="69" w:name="_Toc25638"/>
      <w:bookmarkStart w:id="70" w:name="_Toc20589"/>
      <w:bookmarkStart w:id="71" w:name="_Toc27661"/>
      <w:bookmarkStart w:id="72" w:name="_Toc12015"/>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12967"/>
      <w:bookmarkStart w:id="75" w:name="_Toc26969"/>
      <w:bookmarkStart w:id="76" w:name="_Toc1074"/>
      <w:bookmarkStart w:id="77" w:name="_Toc2041"/>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31686"/>
      <w:bookmarkStart w:id="80" w:name="_Toc24806"/>
      <w:bookmarkStart w:id="81" w:name="_Toc1369"/>
      <w:bookmarkStart w:id="82" w:name="_Toc28634"/>
      <w:bookmarkStart w:id="83" w:name="_Toc21082"/>
      <w:bookmarkStart w:id="84" w:name="_Toc2683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DDA9879-8D35-4B1A-AA0B-AC4C531DDA9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43475F0-8A3F-4193-8516-C9E73B32177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28DDA06-7EBC-44F5-BCF1-9EEFCB35721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69D6FE63-3B4E-46B3-BAD4-EBA3733C7527}"/>
  </w:font>
  <w:font w:name="方正小标宋_GBK">
    <w:panose1 w:val="02000000000000000000"/>
    <w:charset w:val="86"/>
    <w:family w:val="script"/>
    <w:pitch w:val="default"/>
    <w:sig w:usb0="A00002BF" w:usb1="38CF7CFA" w:usb2="00082016" w:usb3="00000000" w:csb0="00040001" w:csb1="00000000"/>
    <w:embedRegular r:id="rId5" w:fontKey="{50655498-1CAB-4E1B-BE4D-EBD6C20F5FE7}"/>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CA2A4D"/>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AC447F"/>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614427"/>
    <w:rsid w:val="65831215"/>
    <w:rsid w:val="65E40ADA"/>
    <w:rsid w:val="65F00167"/>
    <w:rsid w:val="66330B86"/>
    <w:rsid w:val="66E22203"/>
    <w:rsid w:val="68B812C9"/>
    <w:rsid w:val="69D50CF4"/>
    <w:rsid w:val="6AE25457"/>
    <w:rsid w:val="6B056872"/>
    <w:rsid w:val="6C487AFD"/>
    <w:rsid w:val="6CB24363"/>
    <w:rsid w:val="6CEF5734"/>
    <w:rsid w:val="6CFB04E0"/>
    <w:rsid w:val="6D0843F7"/>
    <w:rsid w:val="6DB957D2"/>
    <w:rsid w:val="6EA93466"/>
    <w:rsid w:val="6FCF0795"/>
    <w:rsid w:val="70576348"/>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1227</Words>
  <Characters>1346</Characters>
  <Lines>64</Lines>
  <Paragraphs>18</Paragraphs>
  <TotalTime>3</TotalTime>
  <ScaleCrop>false</ScaleCrop>
  <LinksUpToDate>false</LinksUpToDate>
  <CharactersWithSpaces>1432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2026-05-28T02:27:08Z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