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BA2288">
      <w:pPr>
        <w:keepNext w:val="0"/>
        <w:keepLines w:val="0"/>
        <w:pageBreakBefore w:val="0"/>
        <w:widowControl w:val="0"/>
        <w:kinsoku/>
        <w:wordWrap/>
        <w:overflowPunct/>
        <w:topLinePunct w:val="0"/>
        <w:autoSpaceDE/>
        <w:autoSpaceDN/>
        <w:bidi w:val="0"/>
        <w:adjustRightInd/>
        <w:snapToGrid/>
        <w:spacing w:before="1269" w:beforeLines="400" w:line="240" w:lineRule="auto"/>
        <w:jc w:val="center"/>
        <w:textAlignment w:val="auto"/>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p>
    <w:p w14:paraId="644DBB9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黑体" w:cs="Times New Roman"/>
          <w:b/>
          <w:spacing w:val="24"/>
          <w:sz w:val="56"/>
          <w:szCs w:val="56"/>
        </w:rPr>
      </w:pPr>
      <w:r>
        <w:rPr>
          <w:rFonts w:hint="eastAsia" w:ascii="Times New Roman" w:hAnsi="Times New Roman" w:eastAsia="黑体" w:cs="Times New Roman"/>
          <w:b/>
          <w:spacing w:val="24"/>
          <w:sz w:val="56"/>
          <w:szCs w:val="56"/>
          <w:lang w:val="en-US" w:eastAsia="zh-CN"/>
        </w:rPr>
        <w:t>变频器及控制柜维保服务</w:t>
      </w:r>
      <w:r>
        <w:rPr>
          <w:rFonts w:ascii="Times New Roman" w:hAnsi="Times New Roman" w:eastAsia="黑体" w:cs="Times New Roman"/>
          <w:b/>
          <w:spacing w:val="24"/>
          <w:sz w:val="56"/>
          <w:szCs w:val="56"/>
        </w:rPr>
        <w:t>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20358"/>
      <w:bookmarkStart w:id="1" w:name="_Toc3240"/>
      <w:bookmarkStart w:id="2" w:name="_Toc471310326"/>
      <w:bookmarkStart w:id="3" w:name="_Toc1907"/>
      <w:bookmarkStart w:id="4" w:name="_Toc21919"/>
      <w:bookmarkStart w:id="5" w:name="_Toc62832406"/>
      <w:r>
        <w:rPr>
          <w:rFonts w:ascii="Times New Roman" w:hAnsi="Times New Roman" w:cs="Times New Roman"/>
        </w:rPr>
        <w:t>谈判邀请</w:t>
      </w:r>
      <w:bookmarkEnd w:id="0"/>
      <w:bookmarkEnd w:id="1"/>
      <w:bookmarkEnd w:id="2"/>
      <w:bookmarkEnd w:id="3"/>
      <w:bookmarkEnd w:id="4"/>
      <w:bookmarkEnd w:id="5"/>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0"/>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3E51AA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变频器及控制柜维保服务</w:t>
            </w:r>
            <w:r>
              <w:rPr>
                <w:rFonts w:ascii="Times New Roman" w:hAnsi="Times New Roman" w:eastAsia="仿宋" w:cs="Times New Roman"/>
                <w:sz w:val="22"/>
              </w:rPr>
              <w:t>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CGZX-HQB20261108</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70000.00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sz w:val="22"/>
                <w:u w:color="000000"/>
                <w:lang w:val="en-US" w:eastAsia="zh-CN"/>
              </w:rPr>
              <w:t>2026年8月21日</w:t>
            </w:r>
            <w:r>
              <w:rPr>
                <w:rFonts w:hint="default" w:ascii="Times New Roman" w:hAnsi="Times New Roman" w:eastAsia="仿宋" w:cs="Times New Roman"/>
                <w:sz w:val="22"/>
                <w:u w:color="000000"/>
                <w:lang w:val="en-US" w:eastAsia="zh-CN"/>
              </w:rPr>
              <w:t>上午9：00-9：30</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r>
              <w:rPr>
                <w:rFonts w:hint="default" w:ascii="Times New Roman" w:hAnsi="Times New Roman" w:eastAsia="仿宋" w:cs="Times New Roman"/>
                <w:sz w:val="22"/>
                <w:u w:color="000000"/>
                <w:lang w:val="en-US" w:eastAsia="zh-CN"/>
              </w:rPr>
              <w:t>成都市青羊区浣花北路18号四川省人民医院医学图书馆4楼招标采购中心401办公室</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r>
              <w:rPr>
                <w:rFonts w:hint="eastAsia" w:ascii="Times New Roman" w:hAnsi="Times New Roman" w:eastAsia="仿宋" w:cs="Times New Roman"/>
                <w:sz w:val="22"/>
                <w:u w:color="000000"/>
                <w:lang w:val="en-US" w:eastAsia="zh-CN"/>
              </w:rPr>
              <w:t>2026年8月21</w:t>
            </w:r>
            <w:bookmarkStart w:id="103" w:name="_GoBack"/>
            <w:bookmarkEnd w:id="103"/>
            <w:r>
              <w:rPr>
                <w:rFonts w:hint="eastAsia" w:ascii="Times New Roman" w:hAnsi="Times New Roman" w:eastAsia="仿宋" w:cs="Times New Roman"/>
                <w:sz w:val="22"/>
                <w:u w:color="000000"/>
                <w:lang w:val="en-US" w:eastAsia="zh-CN"/>
              </w:rPr>
              <w:t>日</w:t>
            </w:r>
            <w:r>
              <w:rPr>
                <w:rFonts w:hint="eastAsia" w:ascii="Times New Roman" w:hAnsi="Times New Roman" w:eastAsia="仿宋" w:cs="Times New Roman"/>
                <w:sz w:val="22"/>
                <w:u w:color="000000"/>
              </w:rPr>
              <w:t>10：00</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踏勘地点：四川省人民医院（四川省成都市青羊区一环路西二段32号）</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r>
              <w:rPr>
                <w:rFonts w:hint="eastAsia" w:ascii="Times New Roman" w:hAnsi="Times New Roman" w:eastAsia="仿宋" w:cs="Times New Roman"/>
                <w:sz w:val="22"/>
                <w:u w:color="000000"/>
              </w:rPr>
              <w:t>宋老师</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r>
              <w:rPr>
                <w:rFonts w:hint="eastAsia" w:ascii="Times New Roman" w:hAnsi="Times New Roman" w:eastAsia="仿宋" w:cs="Times New Roman"/>
                <w:sz w:val="22"/>
                <w:u w:color="000000"/>
              </w:rPr>
              <w:t>15328022395</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合同总价的5%</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0"/>
              </w:numPr>
              <w:tabs>
                <w:tab w:val="left" w:pos="218"/>
              </w:tabs>
              <w:spacing w:line="360" w:lineRule="auto"/>
              <w:ind w:left="218" w:leftChars="104" w:firstLine="0" w:firstLineChars="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bidi="ar-SA"/>
              </w:rPr>
              <w:t>（</w:t>
            </w:r>
            <w:r>
              <w:rPr>
                <w:rFonts w:hint="eastAsia" w:ascii="Times New Roman" w:hAnsi="Times New Roman" w:eastAsia="仿宋" w:cs="Times New Roman"/>
                <w:sz w:val="22"/>
                <w:szCs w:val="22"/>
                <w:lang w:val="en-US" w:eastAsia="zh-CN" w:bidi="ar-SA"/>
              </w:rPr>
              <w:t>1）</w:t>
            </w: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8"/>
              <w:numPr>
                <w:ilvl w:val="0"/>
                <w:numId w:val="0"/>
              </w:numPr>
              <w:tabs>
                <w:tab w:val="left" w:pos="218"/>
              </w:tabs>
              <w:spacing w:line="360" w:lineRule="auto"/>
              <w:ind w:left="218" w:leftChars="104" w:firstLine="0" w:firstLineChars="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bidi="ar-SA"/>
              </w:rPr>
              <w:t>（2）</w:t>
            </w:r>
            <w:r>
              <w:rPr>
                <w:rFonts w:hint="eastAsia" w:ascii="Times New Roman" w:hAnsi="Times New Roman" w:eastAsia="仿宋" w:cs="Times New Roman"/>
                <w:sz w:val="22"/>
                <w:szCs w:val="22"/>
                <w:lang w:val="zh-CN" w:eastAsia="zh-CN"/>
              </w:rPr>
              <w:t>因供应商严重违约或其它违法违规行为等情形，导致双方无法继续履约。</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w:t>
            </w:r>
            <w:r>
              <w:rPr>
                <w:rFonts w:hint="eastAsia" w:ascii="Times New Roman" w:hAnsi="Times New Roman" w:eastAsia="仿宋" w:cs="Times New Roman"/>
                <w:i w:val="0"/>
                <w:iCs w:val="0"/>
                <w:sz w:val="22"/>
                <w:highlight w:val="none"/>
              </w:rPr>
              <w:t>报价最低</w:t>
            </w:r>
            <w:r>
              <w:rPr>
                <w:rFonts w:hint="eastAsia" w:ascii="Times New Roman" w:hAnsi="Times New Roman" w:eastAsia="仿宋" w:cs="Times New Roman"/>
                <w:sz w:val="22"/>
              </w:rPr>
              <w:t>的为成交供应商。若得分相同且报价亦相同，则采取随机抽取的方式确定成交供应商。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4B466140">
            <w:pPr>
              <w:spacing w:line="360" w:lineRule="auto"/>
              <w:ind w:left="210" w:leftChars="100"/>
              <w:rPr>
                <w:rFonts w:ascii="Times New Roman" w:hAnsi="Times New Roman" w:eastAsia="仿宋" w:cs="Times New Roman"/>
                <w:sz w:val="22"/>
                <w:u w:val="none"/>
              </w:rPr>
            </w:pPr>
            <w:r>
              <w:rPr>
                <w:rFonts w:ascii="Times New Roman" w:hAnsi="Times New Roman" w:eastAsia="仿宋" w:cs="Times New Roman"/>
                <w:sz w:val="22"/>
                <w:u w:val="none"/>
              </w:rPr>
              <w:t>（1）采购部门：招标采购中心</w:t>
            </w:r>
          </w:p>
          <w:p w14:paraId="14D4100A">
            <w:pPr>
              <w:spacing w:line="360" w:lineRule="auto"/>
              <w:ind w:left="210" w:leftChars="100"/>
              <w:rPr>
                <w:rFonts w:hint="default" w:ascii="Times New Roman" w:hAnsi="Times New Roman" w:eastAsia="仿宋" w:cs="Times New Roman"/>
                <w:sz w:val="22"/>
                <w:u w:val="none"/>
                <w:lang w:val="en-US" w:eastAsia="zh-CN"/>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何</w:t>
            </w:r>
            <w:r>
              <w:rPr>
                <w:rFonts w:ascii="Times New Roman" w:hAnsi="Times New Roman" w:eastAsia="仿宋" w:cs="Times New Roman"/>
                <w:sz w:val="22"/>
                <w:u w:val="none"/>
              </w:rPr>
              <w:t>老师</w:t>
            </w:r>
            <w:r>
              <w:rPr>
                <w:rFonts w:hint="eastAsia" w:ascii="Times New Roman" w:hAnsi="Times New Roman" w:eastAsia="仿宋" w:cs="Times New Roman"/>
                <w:sz w:val="22"/>
                <w:u w:val="none"/>
                <w:lang w:eastAsia="zh-CN"/>
              </w:rPr>
              <w:t>，</w:t>
            </w:r>
            <w:r>
              <w:rPr>
                <w:rFonts w:ascii="Times New Roman" w:hAnsi="Times New Roman" w:eastAsia="仿宋" w:cs="Times New Roman"/>
                <w:sz w:val="22"/>
                <w:u w:val="none"/>
              </w:rPr>
              <w:t>028-</w:t>
            </w:r>
            <w:r>
              <w:rPr>
                <w:rFonts w:hint="eastAsia" w:ascii="Times New Roman" w:hAnsi="Times New Roman" w:eastAsia="仿宋" w:cs="Times New Roman"/>
                <w:sz w:val="22"/>
                <w:u w:val="none"/>
                <w:lang w:val="en-US" w:eastAsia="zh-CN"/>
              </w:rPr>
              <w:t>87394783</w:t>
            </w:r>
          </w:p>
          <w:p w14:paraId="606033E3">
            <w:pPr>
              <w:spacing w:line="360" w:lineRule="auto"/>
              <w:ind w:left="210" w:leftChars="100"/>
              <w:rPr>
                <w:rFonts w:hint="eastAsia" w:ascii="Times New Roman" w:hAnsi="Times New Roman" w:eastAsia="仿宋" w:cs="Times New Roman"/>
                <w:sz w:val="22"/>
                <w:u w:val="none"/>
                <w:lang w:eastAsia="zh-CN"/>
              </w:rPr>
            </w:pPr>
            <w:r>
              <w:rPr>
                <w:rFonts w:ascii="Times New Roman" w:hAnsi="Times New Roman" w:eastAsia="仿宋" w:cs="Times New Roman"/>
                <w:sz w:val="22"/>
                <w:u w:val="none"/>
              </w:rPr>
              <w:t>（2）归口部门：</w:t>
            </w:r>
            <w:r>
              <w:rPr>
                <w:rFonts w:hint="eastAsia" w:ascii="Times New Roman" w:hAnsi="Times New Roman" w:eastAsia="仿宋" w:cs="Times New Roman"/>
                <w:sz w:val="22"/>
                <w:u w:val="none"/>
                <w:lang w:val="en-US" w:eastAsia="zh-CN"/>
              </w:rPr>
              <w:t>后勤保障部</w:t>
            </w:r>
          </w:p>
          <w:p w14:paraId="0362D7DB">
            <w:pPr>
              <w:spacing w:line="360" w:lineRule="auto"/>
              <w:ind w:left="210" w:leftChars="100"/>
              <w:rPr>
                <w:rFonts w:ascii="Times New Roman" w:hAnsi="Times New Roman" w:eastAsia="仿宋" w:cs="Times New Roman"/>
                <w:sz w:val="22"/>
                <w:u w:val="none"/>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李</w:t>
            </w:r>
            <w:r>
              <w:rPr>
                <w:rFonts w:ascii="Times New Roman" w:hAnsi="Times New Roman" w:eastAsia="仿宋" w:cs="Times New Roman"/>
                <w:sz w:val="22"/>
                <w:u w:val="none"/>
              </w:rPr>
              <w:t>老师</w:t>
            </w:r>
            <w:r>
              <w:rPr>
                <w:rFonts w:hint="eastAsia" w:ascii="Times New Roman" w:hAnsi="Times New Roman" w:eastAsia="仿宋" w:cs="Times New Roman"/>
                <w:sz w:val="22"/>
                <w:u w:val="none"/>
                <w:lang w:eastAsia="zh-CN"/>
              </w:rPr>
              <w:t>，</w:t>
            </w:r>
            <w:r>
              <w:rPr>
                <w:rFonts w:ascii="Times New Roman" w:hAnsi="Times New Roman" w:eastAsia="仿宋" w:cs="Times New Roman"/>
                <w:sz w:val="22"/>
                <w:u w:val="none"/>
              </w:rPr>
              <w:t>028-</w:t>
            </w:r>
            <w:r>
              <w:rPr>
                <w:rFonts w:hint="eastAsia" w:ascii="Times New Roman" w:hAnsi="Times New Roman" w:eastAsia="仿宋" w:cs="Times New Roman"/>
                <w:sz w:val="22"/>
                <w:u w:val="none"/>
              </w:rPr>
              <w:t>87393442</w:t>
            </w:r>
          </w:p>
          <w:p w14:paraId="214C6D9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2D954B0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FA00B4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22329"/>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lang w:val="zh-CN" w:eastAsia="zh-CN"/>
              </w:rPr>
              <w:t>4783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1841331039@qq.com</w:t>
            </w:r>
            <w:r>
              <w:rPr>
                <w:rFonts w:ascii="Times New Roman" w:hAnsi="Times New Roman" w:eastAsia="仿宋" w:cs="Times New Roman"/>
                <w:sz w:val="22"/>
                <w:szCs w:val="22"/>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p>
          <w:p w14:paraId="6037A026">
            <w:pPr>
              <w:widowControl/>
              <w:jc w:val="left"/>
              <w:rPr>
                <w:rFonts w:hint="eastAsia" w:ascii="Times New Roman" w:hAnsi="Times New Roman" w:eastAsia="仿宋" w:cs="Times New Roman"/>
                <w:b/>
                <w:bCs/>
                <w:sz w:val="22"/>
                <w:lang w:val="en-US" w:eastAsia="zh-CN"/>
              </w:rPr>
            </w:pPr>
            <w:r>
              <w:rPr>
                <w:rFonts w:hint="eastAsia" w:ascii="Times New Roman" w:hAnsi="Times New Roman" w:eastAsia="仿宋" w:cs="Times New Roman"/>
                <w:b/>
                <w:bCs/>
                <w:sz w:val="22"/>
                <w:lang w:val="en-US" w:eastAsia="zh-CN"/>
              </w:rPr>
              <w:t>1.具有国家建设行政主管部门颁发的建筑机电安装工程专业承包二级及以上资质证书；</w:t>
            </w:r>
          </w:p>
          <w:p w14:paraId="4A38C8CE">
            <w:pPr>
              <w:widowControl/>
              <w:jc w:val="left"/>
              <w:rPr>
                <w:rFonts w:hint="eastAsia" w:ascii="Times New Roman" w:hAnsi="Times New Roman" w:eastAsia="仿宋" w:cs="Times New Roman"/>
                <w:b/>
                <w:bCs/>
                <w:sz w:val="22"/>
                <w:lang w:val="en-US" w:eastAsia="zh-CN"/>
              </w:rPr>
            </w:pPr>
            <w:r>
              <w:rPr>
                <w:rFonts w:hint="eastAsia" w:ascii="Times New Roman" w:hAnsi="Times New Roman" w:eastAsia="仿宋" w:cs="Times New Roman"/>
                <w:b/>
                <w:bCs/>
                <w:sz w:val="22"/>
                <w:lang w:val="en-US" w:eastAsia="zh-CN"/>
              </w:rPr>
              <w:t>2.具有行业主管部门颁发的安全生产许可证。</w:t>
            </w:r>
          </w:p>
        </w:tc>
        <w:tc>
          <w:tcPr>
            <w:tcW w:w="2846" w:type="pct"/>
            <w:vAlign w:val="center"/>
          </w:tcPr>
          <w:p w14:paraId="3E523C75">
            <w:pPr>
              <w:jc w:val="left"/>
              <w:rPr>
                <w:rFonts w:hint="eastAsia" w:ascii="Times New Roman" w:hAnsi="Times New Roman" w:eastAsia="仿宋" w:cs="Times New Roman"/>
                <w:color w:val="auto"/>
                <w:sz w:val="22"/>
                <w:lang w:val="en-US" w:eastAsia="zh-CN"/>
              </w:rPr>
            </w:pPr>
            <w:r>
              <w:rPr>
                <w:rFonts w:hint="eastAsia" w:ascii="Times New Roman" w:hAnsi="Times New Roman" w:eastAsia="仿宋" w:cs="Times New Roman"/>
                <w:color w:val="auto"/>
                <w:sz w:val="22"/>
                <w:lang w:val="en-US" w:eastAsia="zh-CN"/>
              </w:rPr>
              <w:t>提供：</w:t>
            </w:r>
          </w:p>
          <w:p w14:paraId="2F15D217">
            <w:pPr>
              <w:numPr>
                <w:ilvl w:val="0"/>
                <w:numId w:val="0"/>
              </w:numPr>
              <w:jc w:val="left"/>
              <w:rPr>
                <w:rFonts w:hint="eastAsia" w:ascii="Times New Roman" w:hAnsi="Times New Roman" w:eastAsia="仿宋" w:cs="Times New Roman"/>
                <w:color w:val="auto"/>
                <w:sz w:val="22"/>
                <w:lang w:val="en-US" w:eastAsia="zh-CN"/>
              </w:rPr>
            </w:pPr>
            <w:r>
              <w:rPr>
                <w:rFonts w:hint="eastAsia" w:ascii="Times New Roman" w:hAnsi="Times New Roman" w:eastAsia="仿宋" w:cs="Times New Roman"/>
                <w:color w:val="auto"/>
                <w:kern w:val="2"/>
                <w:sz w:val="22"/>
                <w:szCs w:val="22"/>
                <w:lang w:val="en-US" w:eastAsia="zh-CN" w:bidi="ar-SA"/>
              </w:rPr>
              <w:t>1.</w:t>
            </w:r>
            <w:r>
              <w:rPr>
                <w:rFonts w:hint="eastAsia" w:ascii="Times New Roman" w:hAnsi="Times New Roman" w:eastAsia="仿宋" w:cs="Times New Roman"/>
                <w:color w:val="auto"/>
                <w:sz w:val="22"/>
                <w:lang w:val="en-US" w:eastAsia="zh-CN"/>
              </w:rPr>
              <w:t>提供有效的资质证书扫描件并加盖供应商公章；</w:t>
            </w:r>
          </w:p>
          <w:p w14:paraId="7D3D2FEC">
            <w:pPr>
              <w:numPr>
                <w:ilvl w:val="0"/>
                <w:numId w:val="0"/>
              </w:numPr>
              <w:jc w:val="left"/>
              <w:rPr>
                <w:rFonts w:hint="eastAsia" w:ascii="Times New Roman" w:hAnsi="Times New Roman" w:eastAsia="仿宋" w:cs="Times New Roman"/>
                <w:sz w:val="22"/>
                <w:u w:val="single"/>
                <w:lang w:val="en-US" w:eastAsia="zh-CN"/>
              </w:rPr>
            </w:pPr>
            <w:r>
              <w:rPr>
                <w:rFonts w:hint="eastAsia" w:ascii="Times New Roman" w:hAnsi="Times New Roman" w:eastAsia="仿宋" w:cs="Times New Roman"/>
                <w:color w:val="auto"/>
                <w:sz w:val="22"/>
                <w:lang w:val="en-US" w:eastAsia="zh-CN"/>
              </w:rPr>
              <w:t>2.提供有效的安全生产许可证扫描件并加盖供应商公章。</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093FA9EF">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p>
    <w:p w14:paraId="730A1615">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因采购人实际工作需要，本项目拟采购一家供应商为四川省人民医院提供变频器及控制柜维保服务。</w:t>
      </w:r>
    </w:p>
    <w:p w14:paraId="3024BE9A">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2"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b/>
          <w:bCs/>
          <w:sz w:val="24"/>
          <w:szCs w:val="24"/>
        </w:rPr>
        <w:t>★</w:t>
      </w:r>
      <w:r>
        <w:rPr>
          <w:rFonts w:ascii="Times New Roman" w:hAnsi="Times New Roman" w:eastAsia="仿宋" w:cs="Times New Roman"/>
          <w:b/>
          <w:bCs/>
          <w:sz w:val="24"/>
          <w:szCs w:val="24"/>
        </w:rPr>
        <w:t>二、</w:t>
      </w:r>
      <w:r>
        <w:rPr>
          <w:rFonts w:hint="eastAsia" w:ascii="Times New Roman" w:hAnsi="Times New Roman" w:eastAsia="仿宋" w:cs="Times New Roman"/>
          <w:b/>
          <w:bCs/>
          <w:sz w:val="24"/>
          <w:szCs w:val="24"/>
        </w:rPr>
        <w:t>维保服务设备清单</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242"/>
        <w:gridCol w:w="3224"/>
        <w:gridCol w:w="1243"/>
        <w:gridCol w:w="1243"/>
        <w:gridCol w:w="2895"/>
      </w:tblGrid>
      <w:tr w14:paraId="7997A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55" w:hRule="atLeast"/>
        </w:trPr>
        <w:tc>
          <w:tcPr>
            <w:tcW w:w="1256"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BF01F90">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bCs w:val="0"/>
                <w:sz w:val="24"/>
                <w:szCs w:val="24"/>
              </w:rPr>
            </w:pPr>
            <w:r>
              <w:rPr>
                <w:rStyle w:val="21"/>
                <w:rFonts w:hint="eastAsia" w:ascii="仿宋" w:hAnsi="仿宋" w:eastAsia="仿宋" w:cs="仿宋"/>
                <w:b/>
                <w:bCs w:val="0"/>
                <w:sz w:val="24"/>
                <w:szCs w:val="24"/>
              </w:rPr>
              <w:t>序号</w:t>
            </w:r>
          </w:p>
        </w:tc>
        <w:tc>
          <w:tcPr>
            <w:tcW w:w="3260"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612ED00">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bCs w:val="0"/>
                <w:sz w:val="24"/>
                <w:szCs w:val="24"/>
              </w:rPr>
            </w:pPr>
            <w:r>
              <w:rPr>
                <w:rStyle w:val="21"/>
                <w:rFonts w:hint="eastAsia" w:ascii="仿宋" w:hAnsi="仿宋" w:eastAsia="仿宋" w:cs="仿宋"/>
                <w:b/>
                <w:bCs w:val="0"/>
                <w:sz w:val="24"/>
                <w:szCs w:val="24"/>
              </w:rPr>
              <w:t>变频柜主要参数</w:t>
            </w:r>
          </w:p>
        </w:tc>
        <w:tc>
          <w:tcPr>
            <w:tcW w:w="1257"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C3E6534">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bCs w:val="0"/>
                <w:sz w:val="24"/>
                <w:szCs w:val="24"/>
              </w:rPr>
            </w:pPr>
            <w:r>
              <w:rPr>
                <w:rStyle w:val="21"/>
                <w:rFonts w:hint="eastAsia" w:ascii="仿宋" w:hAnsi="仿宋" w:eastAsia="仿宋" w:cs="仿宋"/>
                <w:b/>
                <w:bCs w:val="0"/>
                <w:sz w:val="24"/>
                <w:szCs w:val="24"/>
              </w:rPr>
              <w:t>单位</w:t>
            </w:r>
          </w:p>
        </w:tc>
        <w:tc>
          <w:tcPr>
            <w:tcW w:w="1257"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5C8D560">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bCs w:val="0"/>
                <w:sz w:val="24"/>
                <w:szCs w:val="24"/>
              </w:rPr>
            </w:pPr>
            <w:r>
              <w:rPr>
                <w:rStyle w:val="21"/>
                <w:rFonts w:hint="eastAsia" w:ascii="仿宋" w:hAnsi="仿宋" w:eastAsia="仿宋" w:cs="仿宋"/>
                <w:b/>
                <w:bCs w:val="0"/>
                <w:sz w:val="24"/>
                <w:szCs w:val="24"/>
              </w:rPr>
              <w:t>数量</w:t>
            </w:r>
          </w:p>
        </w:tc>
        <w:tc>
          <w:tcPr>
            <w:tcW w:w="2926"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7A259C3">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bCs w:val="0"/>
                <w:sz w:val="24"/>
                <w:szCs w:val="24"/>
              </w:rPr>
            </w:pPr>
            <w:r>
              <w:rPr>
                <w:rStyle w:val="21"/>
                <w:rFonts w:hint="eastAsia" w:ascii="仿宋" w:hAnsi="仿宋" w:eastAsia="仿宋" w:cs="仿宋"/>
                <w:b/>
                <w:bCs w:val="0"/>
                <w:sz w:val="24"/>
                <w:szCs w:val="24"/>
              </w:rPr>
              <w:t>位置</w:t>
            </w:r>
          </w:p>
        </w:tc>
      </w:tr>
      <w:tr w14:paraId="595B8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05"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33D34C5">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1</w:t>
            </w:r>
          </w:p>
        </w:tc>
        <w:tc>
          <w:tcPr>
            <w:tcW w:w="32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3E0A14D">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5.5</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的变频柜，涵盖柜体、柜内电气元件、变频器等全包维护</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778F6F3">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套</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18FCD0A">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19</w:t>
            </w:r>
          </w:p>
        </w:tc>
        <w:tc>
          <w:tcPr>
            <w:tcW w:w="2926"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76A515C">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第三住院大楼手术室</w:t>
            </w:r>
          </w:p>
        </w:tc>
      </w:tr>
      <w:tr w14:paraId="435E6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765E0EA">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2</w:t>
            </w:r>
          </w:p>
        </w:tc>
        <w:tc>
          <w:tcPr>
            <w:tcW w:w="32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B83A8B3">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15</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的变频柜，涵盖柜体、柜内电气元件、变频器等全包维护</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E4E2CE6">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套</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044AD87">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4</w:t>
            </w:r>
          </w:p>
        </w:tc>
        <w:tc>
          <w:tcPr>
            <w:tcW w:w="2926"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147DC48">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第三住院大楼</w:t>
            </w:r>
          </w:p>
        </w:tc>
      </w:tr>
      <w:tr w14:paraId="4A818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55"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6AAF8C0">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3</w:t>
            </w:r>
          </w:p>
        </w:tc>
        <w:tc>
          <w:tcPr>
            <w:tcW w:w="32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0CDF759">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75</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的变频柜，涵盖柜体、柜内电气元件、变频器等全包维护</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EE1EEC2">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套</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A61F154">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3</w:t>
            </w:r>
          </w:p>
        </w:tc>
        <w:tc>
          <w:tcPr>
            <w:tcW w:w="2926"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AF0440C">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第三住院大楼</w:t>
            </w:r>
          </w:p>
        </w:tc>
      </w:tr>
      <w:tr w14:paraId="56642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55"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819BB99">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4</w:t>
            </w:r>
          </w:p>
        </w:tc>
        <w:tc>
          <w:tcPr>
            <w:tcW w:w="32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544F960">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37</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的变频柜，涵盖柜体、柜内电气元件、变频器等全包维护</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7CA32BC">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套</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E75213F">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2</w:t>
            </w:r>
          </w:p>
        </w:tc>
        <w:tc>
          <w:tcPr>
            <w:tcW w:w="2926"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60C52A4">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第三住院大楼</w:t>
            </w:r>
          </w:p>
        </w:tc>
      </w:tr>
      <w:tr w14:paraId="60B53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55"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D916A0B">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5</w:t>
            </w:r>
          </w:p>
        </w:tc>
        <w:tc>
          <w:tcPr>
            <w:tcW w:w="32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AB9A083">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7.5</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的变频柜，涵盖柜体、柜内电气元件、变频器等全包维护</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3414520">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套</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C79FF38">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3</w:t>
            </w:r>
          </w:p>
        </w:tc>
        <w:tc>
          <w:tcPr>
            <w:tcW w:w="2926"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151D299">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第三住院大楼</w:t>
            </w:r>
          </w:p>
        </w:tc>
      </w:tr>
      <w:tr w14:paraId="232F7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55"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828F799">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6</w:t>
            </w:r>
          </w:p>
        </w:tc>
        <w:tc>
          <w:tcPr>
            <w:tcW w:w="32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843DB6A">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3</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-15</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的变频柜，涵盖柜体、柜内电气元件、变频器等全包维护</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883BC9F">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套</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EBCED2C">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6</w:t>
            </w:r>
          </w:p>
        </w:tc>
        <w:tc>
          <w:tcPr>
            <w:tcW w:w="2926"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5BDAA06">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第三住院室外其他（</w:t>
            </w:r>
            <w:r>
              <w:rPr>
                <w:rStyle w:val="21"/>
                <w:rFonts w:hint="eastAsia" w:ascii="仿宋" w:hAnsi="仿宋" w:eastAsia="仿宋" w:cs="仿宋"/>
                <w:b w:val="0"/>
                <w:bCs/>
                <w:color w:val="auto"/>
                <w:sz w:val="24"/>
                <w:szCs w:val="24"/>
                <w:lang w:val="en-US" w:eastAsia="zh-CN"/>
              </w:rPr>
              <w:t>供应室、遗传中心、日间手术室</w:t>
            </w:r>
            <w:r>
              <w:rPr>
                <w:rStyle w:val="21"/>
                <w:rFonts w:hint="eastAsia" w:ascii="仿宋" w:hAnsi="仿宋" w:eastAsia="仿宋" w:cs="仿宋"/>
                <w:b w:val="0"/>
                <w:bCs/>
                <w:color w:val="auto"/>
                <w:sz w:val="24"/>
                <w:szCs w:val="24"/>
              </w:rPr>
              <w:t>）</w:t>
            </w:r>
          </w:p>
        </w:tc>
      </w:tr>
      <w:tr w14:paraId="438A7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55"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C44AC63">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7</w:t>
            </w:r>
          </w:p>
        </w:tc>
        <w:tc>
          <w:tcPr>
            <w:tcW w:w="32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69FD1BF">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75</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的变频柜，涵盖柜体、柜内电气元件、变频器等全包维护</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18248EA">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套</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E80BD59">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8</w:t>
            </w:r>
          </w:p>
        </w:tc>
        <w:tc>
          <w:tcPr>
            <w:tcW w:w="2926"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6F7A836">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第二住院大楼空调机房</w:t>
            </w:r>
          </w:p>
        </w:tc>
      </w:tr>
      <w:tr w14:paraId="16EA6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15"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EBCF147">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8</w:t>
            </w:r>
          </w:p>
        </w:tc>
        <w:tc>
          <w:tcPr>
            <w:tcW w:w="32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759E889">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5.5</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的变频柜，涵盖柜体、柜内4个水泵相应的接触器等电气元件、变频器等全包维护</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F4B8AD9">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套</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BBF454D">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1</w:t>
            </w:r>
          </w:p>
        </w:tc>
        <w:tc>
          <w:tcPr>
            <w:tcW w:w="2926"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21AD6E0">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第二住院大楼给水PLC变频柜（变频器+4个电机启动组件+PLC控制系统）</w:t>
            </w:r>
          </w:p>
        </w:tc>
      </w:tr>
      <w:tr w14:paraId="08076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209D25A">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9</w:t>
            </w:r>
          </w:p>
        </w:tc>
        <w:tc>
          <w:tcPr>
            <w:tcW w:w="32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29EE6B8">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2*6.87</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的PLC变频柜，涵盖柜体、柜内2个直流电机相应的接触器等电气元件、PLC变频控制系统等全包维护</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C94D5B1">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套</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FF17AE5">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1</w:t>
            </w:r>
          </w:p>
        </w:tc>
        <w:tc>
          <w:tcPr>
            <w:tcW w:w="2926"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8210AB0">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第二住院大楼配电房PLC变频控制柜 （2个*6.87</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 xml:space="preserve"> 直流电机+PLC变频控制柜）</w:t>
            </w:r>
          </w:p>
        </w:tc>
      </w:tr>
      <w:tr w14:paraId="221D7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80"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58548A4">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lang w:eastAsia="zh-CN"/>
              </w:rPr>
            </w:pPr>
            <w:r>
              <w:rPr>
                <w:rStyle w:val="21"/>
                <w:rFonts w:hint="eastAsia" w:ascii="仿宋" w:hAnsi="仿宋" w:eastAsia="仿宋" w:cs="仿宋"/>
                <w:b w:val="0"/>
                <w:bCs/>
                <w:sz w:val="24"/>
                <w:szCs w:val="24"/>
                <w:lang w:val="en-US" w:eastAsia="zh-CN"/>
              </w:rPr>
              <w:t>合计</w:t>
            </w:r>
          </w:p>
        </w:tc>
        <w:tc>
          <w:tcPr>
            <w:tcW w:w="8700" w:type="dxa"/>
            <w:gridSpan w:val="4"/>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9969897">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47</w:t>
            </w:r>
          </w:p>
        </w:tc>
      </w:tr>
    </w:tbl>
    <w:p w14:paraId="711A53AC">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2" w:firstLineChars="200"/>
        <w:textAlignment w:val="auto"/>
        <w:rPr>
          <w:rFonts w:hint="eastAsia" w:ascii="Times New Roman" w:hAnsi="Times New Roman" w:eastAsia="仿宋" w:cs="Times New Roman"/>
          <w:b/>
          <w:bCs/>
          <w:color w:val="auto"/>
          <w:sz w:val="24"/>
          <w:szCs w:val="24"/>
          <w:highlight w:val="none"/>
          <w:lang w:val="en-US" w:eastAsia="zh-CN"/>
        </w:rPr>
      </w:pPr>
      <w:r>
        <w:rPr>
          <w:rFonts w:hint="eastAsia" w:ascii="Times New Roman" w:hAnsi="Times New Roman" w:eastAsia="仿宋" w:cs="Times New Roman"/>
          <w:b/>
          <w:bCs/>
          <w:color w:val="auto"/>
          <w:sz w:val="24"/>
          <w:szCs w:val="24"/>
          <w:highlight w:val="none"/>
          <w:lang w:val="en-US" w:eastAsia="zh-CN"/>
        </w:rPr>
        <w:t>★三、服务内容及服务要求</w:t>
      </w:r>
    </w:p>
    <w:p w14:paraId="48E52940">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2" w:firstLineChars="200"/>
        <w:textAlignment w:val="auto"/>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eastAsia="zh-CN"/>
        </w:rPr>
        <w:t>（</w:t>
      </w:r>
      <w:r>
        <w:rPr>
          <w:rFonts w:hint="eastAsia" w:ascii="Times New Roman" w:hAnsi="Times New Roman" w:eastAsia="仿宋" w:cs="Times New Roman"/>
          <w:b/>
          <w:bCs/>
          <w:sz w:val="24"/>
          <w:szCs w:val="24"/>
          <w:lang w:val="en-US" w:eastAsia="zh-CN"/>
        </w:rPr>
        <w:t>一）维护保养内容</w:t>
      </w:r>
    </w:p>
    <w:p w14:paraId="064848AF">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检查‌变频器界面‌各参数是否正常，记录异常；。</w:t>
      </w:r>
    </w:p>
    <w:p w14:paraId="12A80D3B">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2</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观察‌柜内有无异常振动、异响、过热变色、异味；</w:t>
      </w:r>
    </w:p>
    <w:p w14:paraId="142FBB30">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3</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检查‌冷却系统‌（风扇、风道）是否运行正常，出风口风速是否达标‌；</w:t>
      </w:r>
    </w:p>
    <w:p w14:paraId="54824A76">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4</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测量并记录‌三相输出电压、电流平衡度；</w:t>
      </w:r>
    </w:p>
    <w:p w14:paraId="315BF03B">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5</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检查‌接线端子、端子排‌是否紧固、无破损或歪斜；</w:t>
      </w:r>
    </w:p>
    <w:p w14:paraId="38169813">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6</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‌清洁外部灰尘，检查散热风扇运转‌；</w:t>
      </w:r>
    </w:p>
    <w:p w14:paraId="54FB1496">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7</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彻底清灰（使用带塑料吸嘴的吸尘器）；</w:t>
      </w:r>
    </w:p>
    <w:p w14:paraId="2F711C37">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8</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检查‌滤波电容器‌是否漏液、膨胀，静电容量是否≥额定值的‌85%‌；</w:t>
      </w:r>
    </w:p>
    <w:p w14:paraId="313493F9">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9</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检查‌IGBT模块、二极管、电抗器‌等有无异常；</w:t>
      </w:r>
    </w:p>
    <w:p w14:paraId="2EB55F00">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10</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‌如需要，更换‌冷却风扇‌（寿命约10,000–35,000小时）；</w:t>
      </w:r>
    </w:p>
    <w:p w14:paraId="3A8C167C">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11</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‌如需要，考虑更换‌电解电容‌（考虑到寿命受温度影响显著）</w:t>
      </w:r>
    </w:p>
    <w:p w14:paraId="73177161">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12</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停机后，使用‌2500V兆欧表‌测量主回路绝缘电阻，合格后方可重启‌；</w:t>
      </w:r>
    </w:p>
    <w:p w14:paraId="0B3B0DA2">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13</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检查所有‌接地是否可靠‌，接地点无锈蚀‌；</w:t>
      </w:r>
    </w:p>
    <w:p w14:paraId="5B4906AA">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14</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检查接触器、继电器动作符合规范要求；</w:t>
      </w:r>
    </w:p>
    <w:p w14:paraId="6CAF2828">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15</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对PLC控制系统进行相关输入输出测试，确保PLC控制器和控制屏正常；</w:t>
      </w:r>
    </w:p>
    <w:p w14:paraId="0063BE65">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16</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紧固‌内部电缆连接螺母‌；</w:t>
      </w:r>
    </w:p>
    <w:p w14:paraId="4ED42685">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17</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清理柜内外灰尘，确认无遗留螺丝、导线等异物‌；</w:t>
      </w:r>
    </w:p>
    <w:p w14:paraId="437F433D">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18</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建立‌维护档案‌，记录每次检查、保养内容及发现的问题，便于追踪设备状态</w:t>
      </w:r>
      <w:r>
        <w:rPr>
          <w:rFonts w:hint="eastAsia" w:ascii="Times New Roman" w:hAnsi="Times New Roman" w:eastAsia="仿宋" w:cs="Times New Roman"/>
          <w:sz w:val="24"/>
          <w:szCs w:val="24"/>
          <w:lang w:eastAsia="zh-CN"/>
        </w:rPr>
        <w:t>。</w:t>
      </w:r>
    </w:p>
    <w:p w14:paraId="556704BF">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2" w:firstLineChars="200"/>
        <w:textAlignment w:val="auto"/>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eastAsia="zh-CN"/>
        </w:rPr>
        <w:t>（</w:t>
      </w:r>
      <w:r>
        <w:rPr>
          <w:rFonts w:hint="eastAsia" w:ascii="Times New Roman" w:hAnsi="Times New Roman" w:eastAsia="仿宋" w:cs="Times New Roman"/>
          <w:b/>
          <w:bCs/>
          <w:sz w:val="24"/>
          <w:szCs w:val="24"/>
          <w:lang w:val="en-US" w:eastAsia="zh-CN"/>
        </w:rPr>
        <w:t>二）维保响应要求</w:t>
      </w:r>
    </w:p>
    <w:p w14:paraId="6181A1EE">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w:t>
      </w:r>
      <w:r>
        <w:rPr>
          <w:rFonts w:hint="eastAsia" w:ascii="Times New Roman" w:hAnsi="Times New Roman" w:eastAsia="仿宋" w:cs="Times New Roman"/>
          <w:sz w:val="24"/>
          <w:szCs w:val="24"/>
        </w:rPr>
        <w:t>对第二及第三住院大楼变频柜进行维护，包括</w:t>
      </w:r>
      <w:r>
        <w:rPr>
          <w:rFonts w:hint="eastAsia" w:ascii="Times New Roman" w:hAnsi="Times New Roman" w:eastAsia="仿宋" w:cs="Times New Roman"/>
          <w:sz w:val="24"/>
          <w:szCs w:val="24"/>
          <w:lang w:val="en-US" w:eastAsia="zh-CN"/>
        </w:rPr>
        <w:t>以下设备及相关备件：</w:t>
      </w:r>
      <w:r>
        <w:rPr>
          <w:rFonts w:hint="eastAsia" w:ascii="Times New Roman" w:hAnsi="Times New Roman" w:eastAsia="仿宋" w:cs="Times New Roman"/>
          <w:sz w:val="24"/>
          <w:szCs w:val="24"/>
        </w:rPr>
        <w:t>柜体、柜内元器件、接头、ABB/施耐德等品牌的变频器、PLC控制屏、断路器、开关、继电器、线路等，所有技术服务以及备件材料费</w:t>
      </w:r>
      <w:r>
        <w:rPr>
          <w:rFonts w:hint="eastAsia" w:ascii="Times New Roman" w:hAnsi="Times New Roman" w:eastAsia="仿宋" w:cs="Times New Roman"/>
          <w:sz w:val="24"/>
          <w:szCs w:val="24"/>
          <w:lang w:val="en-US" w:eastAsia="zh-CN"/>
        </w:rPr>
        <w:t>用已包含在本项目报价中，采购人不再支付任何额外的费用。</w:t>
      </w:r>
    </w:p>
    <w:p w14:paraId="284463FC">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w:t>
      </w:r>
      <w:r>
        <w:rPr>
          <w:rFonts w:hint="eastAsia" w:ascii="Times New Roman" w:hAnsi="Times New Roman" w:eastAsia="仿宋" w:cs="Times New Roman"/>
          <w:sz w:val="24"/>
          <w:szCs w:val="24"/>
        </w:rPr>
        <w:t>提供每年4次季度维保维护，以及任何情况下的变频柜故障恢复及备件更换</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lang w:val="en-US" w:eastAsia="zh-CN"/>
        </w:rPr>
        <w:t>相关费用已包含在本项目报价中，采购人不再支付任何额外的费用。</w:t>
      </w:r>
    </w:p>
    <w:p w14:paraId="7828492B">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3.接到采购人报修电话后，供应商2小时内必须赶赴现场，小故障当场解决，大故障必须8小时内完全恢复。</w:t>
      </w:r>
    </w:p>
    <w:p w14:paraId="1786D326">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2" w:firstLineChars="200"/>
        <w:textAlignment w:val="auto"/>
        <w:rPr>
          <w:rFonts w:hint="eastAsia" w:ascii="Times New Roman" w:hAnsi="Times New Roman" w:eastAsia="仿宋" w:cs="Times New Roman"/>
          <w:b/>
          <w:bCs/>
          <w:sz w:val="24"/>
          <w:szCs w:val="24"/>
          <w:highlight w:val="none"/>
          <w:lang w:val="en-US" w:eastAsia="zh-CN"/>
        </w:rPr>
      </w:pPr>
      <w:r>
        <w:rPr>
          <w:rFonts w:hint="eastAsia" w:ascii="Times New Roman" w:hAnsi="Times New Roman" w:eastAsia="仿宋" w:cs="Times New Roman"/>
          <w:b/>
          <w:bCs/>
          <w:sz w:val="24"/>
          <w:szCs w:val="24"/>
          <w:highlight w:val="none"/>
          <w:lang w:eastAsia="zh-CN"/>
        </w:rPr>
        <w:t>（</w:t>
      </w:r>
      <w:r>
        <w:rPr>
          <w:rFonts w:hint="eastAsia" w:ascii="Times New Roman" w:hAnsi="Times New Roman" w:eastAsia="仿宋" w:cs="Times New Roman"/>
          <w:b/>
          <w:bCs/>
          <w:sz w:val="24"/>
          <w:szCs w:val="24"/>
          <w:highlight w:val="none"/>
          <w:lang w:val="en-US" w:eastAsia="zh-CN"/>
        </w:rPr>
        <w:t>三）其他服务要求</w:t>
      </w:r>
    </w:p>
    <w:p w14:paraId="42268C5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0" w:firstLineChars="200"/>
        <w:jc w:val="left"/>
        <w:textAlignment w:val="auto"/>
        <w:rPr>
          <w:rFonts w:hint="eastAsia" w:ascii="Times New Roman" w:hAnsi="Times New Roman" w:eastAsia="仿宋" w:cs="Times New Roman"/>
          <w:sz w:val="24"/>
          <w:szCs w:val="24"/>
          <w:highlight w:val="none"/>
          <w:lang w:val="en-US"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kern w:val="2"/>
          <w:sz w:val="24"/>
          <w:szCs w:val="24"/>
          <w:lang w:val="en-US" w:eastAsia="zh-CN" w:bidi="ar-SA"/>
        </w:rPr>
        <w:t>供应商须为本项目配备不低于3人的维保团队，所有维保团队人员须具有维护保养本项目相关设备的技术能力，维保团队中须包含具备“低压电工证书、高压电工作业证、高处作业操作证”（允许同一人员同时具备多个证书）的人员。响应文件中应提供有效证书复印件和上述人员在职证明，并加盖供应商公章。</w:t>
      </w:r>
    </w:p>
    <w:p w14:paraId="77264DE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0" w:firstLineChars="200"/>
        <w:jc w:val="left"/>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2.安全生产要求：服务期间，维保团队人员安全、作业安全和其他与本项目有关的安全均由供应商自行负责。</w:t>
      </w:r>
    </w:p>
    <w:p w14:paraId="5772FBA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0" w:firstLineChars="200"/>
        <w:jc w:val="left"/>
        <w:textAlignment w:val="auto"/>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val="en-US" w:eastAsia="zh-CN"/>
        </w:rPr>
        <w:t>3.供应商需要储备变频器及接触器等重要维修备件以备需要。</w:t>
      </w:r>
    </w:p>
    <w:p w14:paraId="08B2C1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2" w:firstLineChars="200"/>
        <w:jc w:val="left"/>
        <w:textAlignment w:val="auto"/>
        <w:rPr>
          <w:rFonts w:ascii="Times New Roman" w:hAnsi="Times New Roman" w:eastAsia="仿宋" w:cs="Times New Roman"/>
          <w:b/>
          <w:bCs/>
          <w:sz w:val="24"/>
          <w:szCs w:val="24"/>
        </w:rPr>
      </w:pPr>
      <w:r>
        <w:rPr>
          <w:rFonts w:hint="eastAsia" w:ascii="Times New Roman" w:hAnsi="Times New Roman" w:eastAsia="仿宋" w:cs="Times New Roman"/>
          <w:b/>
          <w:bCs/>
          <w:color w:val="auto"/>
          <w:sz w:val="24"/>
          <w:szCs w:val="24"/>
          <w:highlight w:val="none"/>
          <w:lang w:val="en-US" w:eastAsia="zh-CN"/>
        </w:rPr>
        <w:t>★</w:t>
      </w:r>
      <w:r>
        <w:rPr>
          <w:rFonts w:ascii="Times New Roman" w:hAnsi="Times New Roman" w:eastAsia="仿宋" w:cs="Times New Roman"/>
          <w:b/>
          <w:bCs/>
          <w:sz w:val="24"/>
          <w:szCs w:val="24"/>
        </w:rPr>
        <w:t>四、商务要求</w:t>
      </w:r>
    </w:p>
    <w:p w14:paraId="3F76AA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2" w:firstLineChars="200"/>
        <w:jc w:val="left"/>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一）服务期限</w:t>
      </w:r>
      <w:r>
        <w:rPr>
          <w:rFonts w:hint="eastAsia" w:ascii="仿宋" w:hAnsi="仿宋" w:eastAsia="仿宋" w:cs="仿宋"/>
          <w:b w:val="0"/>
          <w:bCs w:val="0"/>
          <w:color w:val="auto"/>
          <w:sz w:val="24"/>
          <w:szCs w:val="24"/>
          <w:highlight w:val="none"/>
          <w:lang w:val="en-US" w:eastAsia="zh-CN"/>
        </w:rPr>
        <w:t>：自合同签订之日起3年，合同一年一签，经考核合格后续签下一年度合同。</w:t>
      </w:r>
    </w:p>
    <w:p w14:paraId="48BE8F7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2"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kern w:val="2"/>
          <w:sz w:val="24"/>
          <w:szCs w:val="24"/>
          <w:highlight w:val="none"/>
          <w:lang w:val="en-US" w:eastAsia="zh-CN" w:bidi="ar-SA"/>
        </w:rPr>
        <w:t>（二）</w:t>
      </w:r>
      <w:r>
        <w:rPr>
          <w:rFonts w:hint="eastAsia" w:ascii="仿宋" w:hAnsi="仿宋" w:eastAsia="仿宋" w:cs="仿宋"/>
          <w:b/>
          <w:bCs/>
          <w:color w:val="auto"/>
          <w:sz w:val="24"/>
          <w:szCs w:val="24"/>
          <w:highlight w:val="none"/>
          <w:lang w:val="en-US" w:eastAsia="zh-CN"/>
        </w:rPr>
        <w:t>服务地点</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四川省人民医院。</w:t>
      </w:r>
    </w:p>
    <w:p w14:paraId="07764F4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2" w:firstLineChars="20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三</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付款方式</w:t>
      </w:r>
    </w:p>
    <w:p w14:paraId="7E6C322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服务期内，每三个月</w:t>
      </w:r>
      <w:r>
        <w:rPr>
          <w:rFonts w:hint="eastAsia" w:ascii="仿宋" w:hAnsi="仿宋" w:eastAsia="仿宋" w:cs="仿宋"/>
          <w:b w:val="0"/>
          <w:bCs/>
          <w:color w:val="auto"/>
          <w:kern w:val="2"/>
          <w:sz w:val="24"/>
          <w:szCs w:val="24"/>
          <w:highlight w:val="none"/>
          <w:lang w:val="en-US" w:eastAsia="zh-CN" w:bidi="ar-SA"/>
        </w:rPr>
        <w:t>支付一次费用，</w:t>
      </w:r>
      <w:r>
        <w:rPr>
          <w:rFonts w:hint="eastAsia" w:ascii="仿宋" w:hAnsi="仿宋" w:eastAsia="仿宋" w:cs="仿宋"/>
          <w:color w:val="auto"/>
          <w:sz w:val="24"/>
          <w:szCs w:val="24"/>
          <w:highlight w:val="none"/>
          <w:lang w:val="en-US" w:eastAsia="zh-CN"/>
        </w:rPr>
        <w:t>每次费用金额为：本项目成交价/4（按四舍五入保留两位小数）。</w:t>
      </w:r>
      <w:r>
        <w:rPr>
          <w:rFonts w:hint="eastAsia" w:ascii="仿宋" w:hAnsi="仿宋" w:eastAsia="仿宋" w:cs="仿宋"/>
          <w:b w:val="0"/>
          <w:bCs/>
          <w:color w:val="auto"/>
          <w:kern w:val="2"/>
          <w:sz w:val="24"/>
          <w:szCs w:val="24"/>
          <w:highlight w:val="none"/>
          <w:lang w:val="en-US" w:eastAsia="zh-CN" w:bidi="ar-SA"/>
        </w:rPr>
        <w:t>供应商每完成三个月服务且经采购人考核合格后，供应商5日内向采购人提供合法有效票据及其他相关请款资料，采购人自收到上述票据及资料后55日内，向供应商支付支付相应费用。如存在因考核等原因导致的扣款，应在支付前予以扣除。</w:t>
      </w:r>
    </w:p>
    <w:p w14:paraId="42FF7E3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afterAutospacing="0" w:line="400" w:lineRule="exact"/>
        <w:ind w:firstLine="482" w:firstLineChars="200"/>
        <w:jc w:val="left"/>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kern w:val="2"/>
          <w:sz w:val="24"/>
          <w:szCs w:val="24"/>
          <w:highlight w:val="none"/>
          <w:lang w:val="en-US" w:eastAsia="zh-CN" w:bidi="ar-SA"/>
        </w:rPr>
        <w:t>履约验收方案</w:t>
      </w:r>
    </w:p>
    <w:tbl>
      <w:tblPr>
        <w:tblStyle w:val="19"/>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0"/>
        <w:gridCol w:w="6794"/>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0" w:type="dxa"/>
            <w:shd w:val="clear" w:color="auto" w:fill="auto"/>
            <w:vAlign w:val="center"/>
          </w:tcPr>
          <w:p w14:paraId="47BDB7E2">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验收主体</w:t>
            </w:r>
          </w:p>
        </w:tc>
        <w:tc>
          <w:tcPr>
            <w:tcW w:w="6794" w:type="dxa"/>
            <w:shd w:val="clear" w:color="auto" w:fill="auto"/>
            <w:vAlign w:val="center"/>
          </w:tcPr>
          <w:p w14:paraId="74BCE2AC">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采购人</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478F3799">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lang w:val="en-US" w:eastAsia="zh-CN"/>
              </w:rPr>
              <w:t>验收组织方式</w:t>
            </w:r>
          </w:p>
        </w:tc>
        <w:tc>
          <w:tcPr>
            <w:tcW w:w="6794" w:type="dxa"/>
            <w:shd w:val="clear" w:color="auto" w:fill="auto"/>
            <w:vAlign w:val="center"/>
          </w:tcPr>
          <w:p w14:paraId="2E15490D">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sz w:val="24"/>
                <w:highlight w:val="none"/>
              </w:rPr>
              <w:t>自行验收</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88D9CC">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验收程序</w:t>
            </w:r>
          </w:p>
        </w:tc>
        <w:tc>
          <w:tcPr>
            <w:tcW w:w="6794" w:type="dxa"/>
            <w:shd w:val="clear" w:color="auto" w:fill="auto"/>
            <w:vAlign w:val="center"/>
          </w:tcPr>
          <w:p w14:paraId="785EE0C9">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分期/分段验收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A6ABF6A">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default"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验收方式</w:t>
            </w:r>
          </w:p>
        </w:tc>
        <w:tc>
          <w:tcPr>
            <w:tcW w:w="6794" w:type="dxa"/>
            <w:shd w:val="clear" w:color="auto" w:fill="auto"/>
            <w:vAlign w:val="center"/>
          </w:tcPr>
          <w:p w14:paraId="59C0C429">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现场整体验收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D82789">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lang w:val="en-US" w:eastAsia="zh-CN"/>
              </w:rPr>
              <w:t>验收内容</w:t>
            </w:r>
          </w:p>
        </w:tc>
        <w:tc>
          <w:tcPr>
            <w:tcW w:w="6794" w:type="dxa"/>
            <w:shd w:val="clear" w:color="auto" w:fill="auto"/>
            <w:vAlign w:val="center"/>
          </w:tcPr>
          <w:p w14:paraId="3DAAF7E8">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b w:val="0"/>
                <w:bCs/>
                <w:color w:val="auto"/>
                <w:sz w:val="24"/>
                <w:szCs w:val="24"/>
                <w:highlight w:val="none"/>
                <w:lang w:val="en-US" w:eastAsia="zh-CN"/>
              </w:rPr>
              <w:t>按照基于本项目采购需求编制的采购文件要求及供应商响应文件情况，由供应商向采购人提供的每三个月全部服务的履约情况。</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0" w:type="dxa"/>
            <w:shd w:val="clear" w:color="auto" w:fill="auto"/>
            <w:vAlign w:val="center"/>
          </w:tcPr>
          <w:p w14:paraId="52608F8C">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验收时间</w:t>
            </w:r>
          </w:p>
        </w:tc>
        <w:tc>
          <w:tcPr>
            <w:tcW w:w="6794" w:type="dxa"/>
            <w:shd w:val="clear" w:color="auto" w:fill="auto"/>
            <w:vAlign w:val="center"/>
          </w:tcPr>
          <w:p w14:paraId="1A169849">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b w:val="0"/>
                <w:bCs/>
                <w:color w:val="auto"/>
                <w:sz w:val="24"/>
                <w:szCs w:val="24"/>
                <w:highlight w:val="none"/>
                <w:lang w:val="en-US" w:eastAsia="zh-CN"/>
              </w:rPr>
              <w:t>供应商每完成三个月服务后，于5日内通知采购人验收，采购人接供应商通知后10日内组织验收。</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2890" w:type="dxa"/>
            <w:shd w:val="clear" w:color="auto" w:fill="auto"/>
            <w:vAlign w:val="center"/>
          </w:tcPr>
          <w:p w14:paraId="33E0D49E">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是否邀请本项目的其他供应商</w:t>
            </w:r>
          </w:p>
        </w:tc>
        <w:tc>
          <w:tcPr>
            <w:tcW w:w="6794" w:type="dxa"/>
            <w:shd w:val="clear" w:color="auto" w:fill="auto"/>
            <w:vAlign w:val="center"/>
          </w:tcPr>
          <w:p w14:paraId="773CAF1F">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default"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否</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0858CB93">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是否邀请专家</w:t>
            </w:r>
          </w:p>
        </w:tc>
        <w:tc>
          <w:tcPr>
            <w:tcW w:w="6794" w:type="dxa"/>
            <w:shd w:val="clear" w:color="auto" w:fill="auto"/>
            <w:vAlign w:val="center"/>
          </w:tcPr>
          <w:p w14:paraId="2461601A">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5A36D4AF">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是否邀请服务对象</w:t>
            </w:r>
          </w:p>
        </w:tc>
        <w:tc>
          <w:tcPr>
            <w:tcW w:w="6794" w:type="dxa"/>
            <w:shd w:val="clear" w:color="auto" w:fill="auto"/>
            <w:vAlign w:val="center"/>
          </w:tcPr>
          <w:p w14:paraId="3A928A34">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0" w:type="dxa"/>
            <w:shd w:val="clear" w:color="auto" w:fill="auto"/>
            <w:vAlign w:val="center"/>
          </w:tcPr>
          <w:p w14:paraId="74474423">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是否邀请第三方检测机构</w:t>
            </w:r>
          </w:p>
        </w:tc>
        <w:tc>
          <w:tcPr>
            <w:tcW w:w="6794" w:type="dxa"/>
            <w:shd w:val="clear" w:color="auto" w:fill="auto"/>
            <w:vAlign w:val="center"/>
          </w:tcPr>
          <w:p w14:paraId="17BC5EF9">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6B9309A">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验收标准</w:t>
            </w:r>
          </w:p>
        </w:tc>
        <w:tc>
          <w:tcPr>
            <w:tcW w:w="6794" w:type="dxa"/>
            <w:shd w:val="clear" w:color="auto" w:fill="auto"/>
            <w:vAlign w:val="center"/>
          </w:tcPr>
          <w:p w14:paraId="63D35DD2">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1.国家相关法律法规、行业标准、技术规范。</w:t>
            </w:r>
          </w:p>
          <w:p w14:paraId="6A2D1F70">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2.基于本项目采购需求编制的采购文件相关技术、服务要求、供应商响应文件相关响应内容。</w:t>
            </w:r>
          </w:p>
          <w:p w14:paraId="6B189413">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3.产品生产厂家出具的产品说明书、技术白皮书、医疗器械注册证或备案凭证等官方技术资料（如涉及）。</w:t>
            </w:r>
          </w:p>
          <w:p w14:paraId="070C4275">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4.如验收时，采购人与供应商认为本项目验收标准中的技术指标、质量要求等内容存在相互抵触或对其理解存在异议，应按照其中更严格的要求、标准等进行验收。</w:t>
            </w:r>
          </w:p>
          <w:p w14:paraId="336759A6">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5.参照《财政部关于进一步加强政府采购需求和履约验收管理的指导意见》（财库〔2016〕205号）的要求进行验收。</w:t>
            </w:r>
          </w:p>
          <w:p w14:paraId="5ABD2F71">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6.如本项目验收方式为考核验收，则考核结果须为合格。</w:t>
            </w:r>
          </w:p>
        </w:tc>
      </w:tr>
      <w:tr w14:paraId="09C95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3DFFA72">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验收其它事项</w:t>
            </w:r>
          </w:p>
        </w:tc>
        <w:tc>
          <w:tcPr>
            <w:tcW w:w="6794" w:type="dxa"/>
            <w:shd w:val="clear" w:color="auto" w:fill="auto"/>
            <w:vAlign w:val="center"/>
          </w:tcPr>
          <w:p w14:paraId="16D03055">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无</w:t>
            </w:r>
          </w:p>
        </w:tc>
      </w:tr>
    </w:tbl>
    <w:p w14:paraId="150D15E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afterAutospacing="0" w:line="400" w:lineRule="exact"/>
        <w:ind w:firstLine="482" w:firstLineChars="200"/>
        <w:jc w:val="left"/>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（五）考核表</w:t>
      </w:r>
    </w:p>
    <w:p w14:paraId="2F14AA69">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rFonts w:hint="eastAsia" w:ascii="仿宋" w:hAnsi="仿宋" w:eastAsia="仿宋" w:cs="仿宋"/>
          <w:color w:val="auto"/>
          <w:sz w:val="24"/>
          <w:szCs w:val="24"/>
        </w:rPr>
      </w:pPr>
      <w:r>
        <w:rPr>
          <w:rStyle w:val="21"/>
          <w:rFonts w:hint="eastAsia" w:ascii="仿宋" w:hAnsi="仿宋" w:eastAsia="仿宋" w:cs="仿宋"/>
          <w:color w:val="auto"/>
          <w:kern w:val="2"/>
          <w:sz w:val="24"/>
          <w:szCs w:val="24"/>
        </w:rPr>
        <w:t>服务项目考核评价表</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542"/>
        <w:gridCol w:w="1419"/>
        <w:gridCol w:w="2162"/>
        <w:gridCol w:w="1848"/>
        <w:gridCol w:w="1327"/>
        <w:gridCol w:w="879"/>
        <w:gridCol w:w="779"/>
      </w:tblGrid>
      <w:tr w14:paraId="4EB85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trPr>
        <w:tc>
          <w:tcPr>
            <w:tcW w:w="1542" w:type="dxa"/>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BC11753">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Style w:val="21"/>
                <w:rFonts w:hint="eastAsia" w:ascii="方正仿宋_GB2312" w:hAnsi="方正仿宋_GB2312" w:eastAsia="方正仿宋_GB2312" w:cs="方正仿宋_GB2312"/>
                <w:color w:val="auto"/>
                <w:sz w:val="24"/>
                <w:szCs w:val="24"/>
              </w:rPr>
              <w:t>供应商名称</w:t>
            </w:r>
          </w:p>
        </w:tc>
        <w:tc>
          <w:tcPr>
            <w:tcW w:w="3581" w:type="dxa"/>
            <w:gridSpan w:val="2"/>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CA84FC1">
            <w:pPr>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p>
        </w:tc>
        <w:tc>
          <w:tcPr>
            <w:tcW w:w="1848" w:type="dxa"/>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AFCC591">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Style w:val="21"/>
                <w:rFonts w:hint="eastAsia" w:ascii="方正仿宋_GB2312" w:hAnsi="方正仿宋_GB2312" w:eastAsia="方正仿宋_GB2312" w:cs="方正仿宋_GB2312"/>
                <w:color w:val="auto"/>
                <w:sz w:val="24"/>
                <w:szCs w:val="24"/>
              </w:rPr>
              <w:t>联系人</w:t>
            </w:r>
          </w:p>
        </w:tc>
        <w:tc>
          <w:tcPr>
            <w:tcW w:w="2985" w:type="dxa"/>
            <w:gridSpan w:val="3"/>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5DB3EF2">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56B65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05" w:hRule="atLeast"/>
        </w:trPr>
        <w:tc>
          <w:tcPr>
            <w:tcW w:w="1542" w:type="dxa"/>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3BA61A0">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ind w:left="0" w:leftChars="0" w:right="0" w:rightChars="0"/>
              <w:jc w:val="center"/>
              <w:textAlignment w:val="auto"/>
              <w:rPr>
                <w:rStyle w:val="21"/>
                <w:rFonts w:hint="eastAsia" w:ascii="方正仿宋_GB2312" w:hAnsi="方正仿宋_GB2312" w:eastAsia="方正仿宋_GB2312" w:cs="方正仿宋_GB2312"/>
                <w:b/>
                <w:bCs/>
                <w:color w:val="auto"/>
                <w:sz w:val="24"/>
                <w:szCs w:val="24"/>
              </w:rPr>
            </w:pPr>
            <w:r>
              <w:rPr>
                <w:rFonts w:hint="eastAsia" w:ascii="方正仿宋_GB2312" w:hAnsi="方正仿宋_GB2312" w:eastAsia="方正仿宋_GB2312" w:cs="方正仿宋_GB2312"/>
                <w:b/>
                <w:bCs/>
                <w:color w:val="auto"/>
                <w:sz w:val="24"/>
                <w:szCs w:val="24"/>
              </w:rPr>
              <w:t>评价人</w:t>
            </w:r>
          </w:p>
        </w:tc>
        <w:tc>
          <w:tcPr>
            <w:tcW w:w="3581" w:type="dxa"/>
            <w:gridSpan w:val="2"/>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C9FFDEC">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b/>
                <w:bCs/>
                <w:color w:val="auto"/>
              </w:rPr>
            </w:pPr>
          </w:p>
        </w:tc>
        <w:tc>
          <w:tcPr>
            <w:tcW w:w="1848" w:type="dxa"/>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A38566B">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ind w:left="0" w:leftChars="0" w:right="0" w:rightChars="0"/>
              <w:jc w:val="center"/>
              <w:textAlignment w:val="auto"/>
              <w:rPr>
                <w:rStyle w:val="21"/>
                <w:rFonts w:hint="eastAsia" w:ascii="方正仿宋_GB2312" w:hAnsi="方正仿宋_GB2312" w:eastAsia="方正仿宋_GB2312" w:cs="方正仿宋_GB2312"/>
                <w:b/>
                <w:bCs/>
                <w:color w:val="auto"/>
                <w:sz w:val="24"/>
                <w:szCs w:val="24"/>
              </w:rPr>
            </w:pPr>
            <w:r>
              <w:rPr>
                <w:rFonts w:hint="eastAsia" w:ascii="方正仿宋_GB2312" w:hAnsi="方正仿宋_GB2312" w:eastAsia="方正仿宋_GB2312" w:cs="方正仿宋_GB2312"/>
                <w:b/>
                <w:bCs/>
                <w:color w:val="auto"/>
                <w:sz w:val="24"/>
                <w:szCs w:val="24"/>
              </w:rPr>
              <w:t>日期</w:t>
            </w:r>
          </w:p>
        </w:tc>
        <w:tc>
          <w:tcPr>
            <w:tcW w:w="2985" w:type="dxa"/>
            <w:gridSpan w:val="3"/>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25600AD">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38CEB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1542"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9CBDC6F">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Style w:val="21"/>
                <w:rFonts w:hint="eastAsia" w:ascii="方正仿宋_GB2312" w:hAnsi="方正仿宋_GB2312" w:eastAsia="方正仿宋_GB2312" w:cs="方正仿宋_GB2312"/>
                <w:color w:val="auto"/>
                <w:sz w:val="24"/>
                <w:szCs w:val="24"/>
              </w:rPr>
              <w:t>考核项目</w:t>
            </w:r>
          </w:p>
        </w:tc>
        <w:tc>
          <w:tcPr>
            <w:tcW w:w="1419"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16E28DB">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Style w:val="21"/>
                <w:rFonts w:hint="eastAsia" w:ascii="方正仿宋_GB2312" w:hAnsi="方正仿宋_GB2312" w:eastAsia="方正仿宋_GB2312" w:cs="方正仿宋_GB2312"/>
                <w:color w:val="auto"/>
                <w:sz w:val="24"/>
                <w:szCs w:val="24"/>
              </w:rPr>
              <w:t>考核内容</w:t>
            </w:r>
          </w:p>
        </w:tc>
        <w:tc>
          <w:tcPr>
            <w:tcW w:w="5337" w:type="dxa"/>
            <w:gridSpan w:val="3"/>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A6DDF19">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Style w:val="21"/>
                <w:rFonts w:hint="eastAsia" w:ascii="方正仿宋_GB2312" w:hAnsi="方正仿宋_GB2312" w:eastAsia="方正仿宋_GB2312" w:cs="方正仿宋_GB2312"/>
                <w:color w:val="auto"/>
                <w:sz w:val="24"/>
                <w:szCs w:val="24"/>
              </w:rPr>
              <w:t>考核方法</w:t>
            </w:r>
          </w:p>
        </w:tc>
        <w:tc>
          <w:tcPr>
            <w:tcW w:w="879"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9A59096">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Style w:val="21"/>
                <w:rFonts w:hint="eastAsia" w:ascii="方正仿宋_GB2312" w:hAnsi="方正仿宋_GB2312" w:eastAsia="方正仿宋_GB2312" w:cs="方正仿宋_GB2312"/>
                <w:color w:val="auto"/>
                <w:sz w:val="24"/>
                <w:szCs w:val="24"/>
              </w:rPr>
              <w:t>医院考评</w:t>
            </w:r>
          </w:p>
        </w:tc>
        <w:tc>
          <w:tcPr>
            <w:tcW w:w="779"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0804A20">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Style w:val="21"/>
                <w:rFonts w:hint="eastAsia" w:ascii="方正仿宋_GB2312" w:hAnsi="方正仿宋_GB2312" w:eastAsia="方正仿宋_GB2312" w:cs="方正仿宋_GB2312"/>
                <w:color w:val="auto"/>
                <w:sz w:val="24"/>
                <w:szCs w:val="24"/>
              </w:rPr>
              <w:t>得分</w:t>
            </w:r>
          </w:p>
        </w:tc>
      </w:tr>
      <w:tr w14:paraId="5CDA8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30" w:hRule="atLeast"/>
        </w:trPr>
        <w:tc>
          <w:tcPr>
            <w:tcW w:w="1542"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B6D9056">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技术及管理考核（10分）</w:t>
            </w:r>
          </w:p>
        </w:tc>
        <w:tc>
          <w:tcPr>
            <w:tcW w:w="141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9FC0DDF">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人员技术要求（5分）</w:t>
            </w:r>
          </w:p>
        </w:tc>
        <w:tc>
          <w:tcPr>
            <w:tcW w:w="5337"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B88C3B4">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ind w:firstLine="480" w:firstLineChars="200"/>
              <w:textAlignment w:val="auto"/>
              <w:rPr>
                <w:color w:val="auto"/>
              </w:rPr>
            </w:pPr>
            <w:r>
              <w:rPr>
                <w:rFonts w:hint="eastAsia" w:ascii="方正仿宋_GB2312" w:hAnsi="方正仿宋_GB2312" w:eastAsia="方正仿宋_GB2312" w:cs="方正仿宋_GB2312"/>
                <w:color w:val="auto"/>
                <w:sz w:val="24"/>
                <w:szCs w:val="24"/>
              </w:rPr>
              <w:t>供应商的工作人员需经过专业培训证明或持有相关技能证件，服务人员具备专业服务水平的准确性、规范性，因工作人员技术能力不足无法完成维修的每发现一项扣1分，扣完为止。</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E611ED4">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623C0B7">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09659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0" w:hRule="atLeast"/>
        </w:trPr>
        <w:tc>
          <w:tcPr>
            <w:tcW w:w="154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6507936">
            <w:pPr>
              <w:keepNext w:val="0"/>
              <w:keepLines w:val="0"/>
              <w:pageBreakBefore w:val="0"/>
              <w:kinsoku/>
              <w:wordWrap/>
              <w:overflowPunct/>
              <w:topLinePunct w:val="0"/>
              <w:autoSpaceDN/>
              <w:bidi w:val="0"/>
              <w:snapToGrid/>
              <w:spacing w:beforeAutospacing="0" w:afterAutospacing="0" w:line="400" w:lineRule="exact"/>
              <w:jc w:val="center"/>
              <w:textAlignment w:val="auto"/>
              <w:rPr>
                <w:rFonts w:hint="eastAsia" w:ascii="宋体"/>
                <w:color w:val="auto"/>
                <w:sz w:val="24"/>
                <w:szCs w:val="24"/>
              </w:rPr>
            </w:pPr>
          </w:p>
        </w:tc>
        <w:tc>
          <w:tcPr>
            <w:tcW w:w="141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08E9DD6">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规范性（5分）</w:t>
            </w:r>
          </w:p>
        </w:tc>
        <w:tc>
          <w:tcPr>
            <w:tcW w:w="5337"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DA0D98F">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ind w:firstLine="480" w:firstLineChars="200"/>
              <w:textAlignment w:val="auto"/>
              <w:rPr>
                <w:color w:val="auto"/>
              </w:rPr>
            </w:pPr>
            <w:r>
              <w:rPr>
                <w:rFonts w:hint="eastAsia" w:ascii="方正仿宋_GB2312" w:hAnsi="方正仿宋_GB2312" w:eastAsia="方正仿宋_GB2312" w:cs="方正仿宋_GB2312"/>
                <w:color w:val="auto"/>
                <w:sz w:val="24"/>
                <w:szCs w:val="24"/>
              </w:rPr>
              <w:t>供应商工作人员进入医院及科室（尤其是临床科室）应严格遵守医院相关规定，出现违反医院管理规章制度的每次扣1分，扣完为止，缺少必要文件（如质检报告、发票）：扣3分/次。</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63BF96B">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54A5246">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404BE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35" w:hRule="atLeast"/>
        </w:trPr>
        <w:tc>
          <w:tcPr>
            <w:tcW w:w="1542"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6C0C9C0">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服务效率（</w:t>
            </w:r>
            <w:r>
              <w:rPr>
                <w:rFonts w:hint="eastAsia" w:ascii="方正仿宋_GB2312" w:hAnsi="方正仿宋_GB2312" w:eastAsia="方正仿宋_GB2312" w:cs="方正仿宋_GB2312"/>
                <w:color w:val="auto"/>
                <w:sz w:val="24"/>
                <w:szCs w:val="24"/>
                <w:lang w:val="en-US" w:eastAsia="zh-CN"/>
              </w:rPr>
              <w:t>4</w:t>
            </w:r>
            <w:r>
              <w:rPr>
                <w:rFonts w:hint="eastAsia" w:ascii="方正仿宋_GB2312" w:hAnsi="方正仿宋_GB2312" w:eastAsia="方正仿宋_GB2312" w:cs="方正仿宋_GB2312"/>
                <w:color w:val="auto"/>
                <w:sz w:val="24"/>
                <w:szCs w:val="24"/>
              </w:rPr>
              <w:t>0分）</w:t>
            </w:r>
          </w:p>
        </w:tc>
        <w:tc>
          <w:tcPr>
            <w:tcW w:w="141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D32CFE6">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服务响应及时率（20分）</w:t>
            </w:r>
          </w:p>
        </w:tc>
        <w:tc>
          <w:tcPr>
            <w:tcW w:w="5337"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30A4D0D">
            <w:pPr>
              <w:pStyle w:val="14"/>
              <w:keepNext w:val="0"/>
              <w:keepLines w:val="0"/>
              <w:pageBreakBefore w:val="0"/>
              <w:widowControl/>
              <w:suppressLineNumbers w:val="0"/>
              <w:kinsoku/>
              <w:wordWrap/>
              <w:overflowPunct/>
              <w:topLinePunct w:val="0"/>
              <w:autoSpaceDN/>
              <w:bidi w:val="0"/>
              <w:adjustRightInd/>
              <w:snapToGrid/>
              <w:spacing w:beforeAutospacing="0" w:afterAutospacing="0" w:line="400" w:lineRule="exact"/>
              <w:ind w:firstLine="480" w:firstLineChars="200"/>
              <w:textAlignment w:val="auto"/>
              <w:rPr>
                <w:color w:val="auto"/>
              </w:rPr>
            </w:pPr>
            <w:r>
              <w:rPr>
                <w:rFonts w:hint="eastAsia" w:ascii="方正仿宋_GB2312" w:hAnsi="方正仿宋_GB2312" w:eastAsia="方正仿宋_GB2312" w:cs="方正仿宋_GB2312"/>
                <w:color w:val="auto"/>
                <w:sz w:val="24"/>
                <w:szCs w:val="24"/>
              </w:rPr>
              <w:t>供应商按照合同要求在响应时间内及时响应，每月工单平均响应时间超合同要求一次扣10分，扣完为止。</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B02B7AC">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85AB5F0">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1C33B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35" w:hRule="atLeast"/>
        </w:trPr>
        <w:tc>
          <w:tcPr>
            <w:tcW w:w="154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A7F941C">
            <w:pPr>
              <w:keepNext w:val="0"/>
              <w:keepLines w:val="0"/>
              <w:pageBreakBefore w:val="0"/>
              <w:kinsoku/>
              <w:wordWrap/>
              <w:overflowPunct/>
              <w:topLinePunct w:val="0"/>
              <w:autoSpaceDN/>
              <w:bidi w:val="0"/>
              <w:snapToGrid/>
              <w:spacing w:beforeAutospacing="0" w:afterAutospacing="0" w:line="400" w:lineRule="exact"/>
              <w:jc w:val="center"/>
              <w:textAlignment w:val="auto"/>
              <w:rPr>
                <w:rFonts w:hint="eastAsia" w:ascii="宋体"/>
                <w:color w:val="auto"/>
                <w:sz w:val="24"/>
                <w:szCs w:val="24"/>
              </w:rPr>
            </w:pPr>
          </w:p>
        </w:tc>
        <w:tc>
          <w:tcPr>
            <w:tcW w:w="141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861C986">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服务完成及时率（20分）</w:t>
            </w:r>
          </w:p>
        </w:tc>
        <w:tc>
          <w:tcPr>
            <w:tcW w:w="5337"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8C4096C">
            <w:pPr>
              <w:pStyle w:val="14"/>
              <w:keepNext w:val="0"/>
              <w:keepLines w:val="0"/>
              <w:pageBreakBefore w:val="0"/>
              <w:widowControl/>
              <w:suppressLineNumbers w:val="0"/>
              <w:kinsoku/>
              <w:wordWrap/>
              <w:overflowPunct/>
              <w:topLinePunct w:val="0"/>
              <w:autoSpaceDN/>
              <w:bidi w:val="0"/>
              <w:adjustRightInd/>
              <w:snapToGrid/>
              <w:spacing w:beforeAutospacing="0" w:afterAutospacing="0" w:line="400" w:lineRule="exact"/>
              <w:ind w:firstLine="480" w:firstLineChars="200"/>
              <w:textAlignment w:val="auto"/>
              <w:rPr>
                <w:color w:val="auto"/>
              </w:rPr>
            </w:pPr>
            <w:r>
              <w:rPr>
                <w:rFonts w:hint="eastAsia" w:ascii="方正仿宋_GB2312" w:hAnsi="方正仿宋_GB2312" w:eastAsia="方正仿宋_GB2312" w:cs="方正仿宋_GB2312"/>
                <w:color w:val="auto"/>
                <w:sz w:val="24"/>
                <w:szCs w:val="24"/>
              </w:rPr>
              <w:t>供应商按照合同要求在约定时间内完成服务并反馈，工时超合同要求一次扣10分，扣完为止。</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9E4433A">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43DA05C">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0A4C7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1542"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ABD6B72">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服务质量（40分）</w:t>
            </w:r>
          </w:p>
        </w:tc>
        <w:tc>
          <w:tcPr>
            <w:tcW w:w="141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D5EAD84">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维修质量（10分）</w:t>
            </w:r>
          </w:p>
        </w:tc>
        <w:tc>
          <w:tcPr>
            <w:tcW w:w="5337"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299D31B">
            <w:pPr>
              <w:pStyle w:val="14"/>
              <w:keepNext w:val="0"/>
              <w:keepLines w:val="0"/>
              <w:pageBreakBefore w:val="0"/>
              <w:widowControl/>
              <w:suppressLineNumbers w:val="0"/>
              <w:kinsoku/>
              <w:wordWrap/>
              <w:overflowPunct/>
              <w:topLinePunct w:val="0"/>
              <w:autoSpaceDN/>
              <w:bidi w:val="0"/>
              <w:adjustRightInd/>
              <w:snapToGrid/>
              <w:spacing w:beforeAutospacing="0" w:afterAutospacing="0" w:line="400" w:lineRule="exact"/>
              <w:ind w:firstLine="480" w:firstLineChars="200"/>
              <w:jc w:val="both"/>
              <w:textAlignment w:val="auto"/>
              <w:rPr>
                <w:rFonts w:hint="eastAsia" w:eastAsia="方正仿宋_GB2312"/>
                <w:color w:val="auto"/>
                <w:lang w:eastAsia="zh-CN"/>
              </w:rPr>
            </w:pPr>
            <w:r>
              <w:rPr>
                <w:rFonts w:hint="eastAsia" w:ascii="方正仿宋_GB2312" w:hAnsi="方正仿宋_GB2312" w:eastAsia="方正仿宋_GB2312" w:cs="方正仿宋_GB2312"/>
                <w:color w:val="auto"/>
                <w:sz w:val="24"/>
                <w:szCs w:val="24"/>
              </w:rPr>
              <w:t>维修后问题未解决：扣5分/次</w:t>
            </w:r>
            <w:r>
              <w:rPr>
                <w:rFonts w:hint="eastAsia" w:ascii="方正仿宋_GB2312" w:hAnsi="方正仿宋_GB2312" w:eastAsia="方正仿宋_GB2312" w:cs="方正仿宋_GB2312"/>
                <w:color w:val="auto"/>
                <w:sz w:val="24"/>
                <w:szCs w:val="24"/>
                <w:lang w:eastAsia="zh-CN"/>
              </w:rPr>
              <w:t>。</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9215BB0">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98CFA52">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7B7AC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81" w:hRule="atLeast"/>
        </w:trPr>
        <w:tc>
          <w:tcPr>
            <w:tcW w:w="154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320A64A">
            <w:pPr>
              <w:keepNext w:val="0"/>
              <w:keepLines w:val="0"/>
              <w:pageBreakBefore w:val="0"/>
              <w:kinsoku/>
              <w:wordWrap/>
              <w:overflowPunct/>
              <w:topLinePunct w:val="0"/>
              <w:autoSpaceDN/>
              <w:bidi w:val="0"/>
              <w:snapToGrid/>
              <w:spacing w:beforeAutospacing="0" w:afterAutospacing="0" w:line="400" w:lineRule="exact"/>
              <w:jc w:val="center"/>
              <w:textAlignment w:val="auto"/>
              <w:rPr>
                <w:rFonts w:hint="eastAsia" w:ascii="宋体"/>
                <w:color w:val="auto"/>
                <w:sz w:val="24"/>
                <w:szCs w:val="24"/>
              </w:rPr>
            </w:pPr>
          </w:p>
        </w:tc>
        <w:tc>
          <w:tcPr>
            <w:tcW w:w="141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306B830">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重复故障（10分）</w:t>
            </w:r>
          </w:p>
        </w:tc>
        <w:tc>
          <w:tcPr>
            <w:tcW w:w="5337"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1E160AD">
            <w:pPr>
              <w:pStyle w:val="14"/>
              <w:keepNext w:val="0"/>
              <w:keepLines w:val="0"/>
              <w:pageBreakBefore w:val="0"/>
              <w:widowControl/>
              <w:suppressLineNumbers w:val="0"/>
              <w:kinsoku/>
              <w:wordWrap/>
              <w:overflowPunct/>
              <w:topLinePunct w:val="0"/>
              <w:autoSpaceDN/>
              <w:bidi w:val="0"/>
              <w:adjustRightInd/>
              <w:snapToGrid/>
              <w:spacing w:beforeAutospacing="0" w:afterAutospacing="0" w:line="400" w:lineRule="exact"/>
              <w:ind w:firstLine="480" w:firstLineChars="200"/>
              <w:jc w:val="both"/>
              <w:textAlignment w:val="auto"/>
              <w:rPr>
                <w:rFonts w:hint="eastAsia" w:eastAsia="方正仿宋_GB2312"/>
                <w:color w:val="auto"/>
                <w:lang w:eastAsia="zh-CN"/>
              </w:rPr>
            </w:pPr>
            <w:r>
              <w:rPr>
                <w:rFonts w:hint="eastAsia" w:ascii="方正仿宋_GB2312" w:hAnsi="方正仿宋_GB2312" w:eastAsia="方正仿宋_GB2312" w:cs="方正仿宋_GB2312"/>
                <w:color w:val="auto"/>
                <w:sz w:val="24"/>
                <w:szCs w:val="24"/>
              </w:rPr>
              <w:t>同类质量问题连续/重复出现：扣5分/次</w:t>
            </w:r>
            <w:r>
              <w:rPr>
                <w:rFonts w:hint="eastAsia" w:ascii="方正仿宋_GB2312" w:hAnsi="方正仿宋_GB2312" w:eastAsia="方正仿宋_GB2312" w:cs="方正仿宋_GB2312"/>
                <w:color w:val="auto"/>
                <w:sz w:val="24"/>
                <w:szCs w:val="24"/>
                <w:lang w:eastAsia="zh-CN"/>
              </w:rPr>
              <w:t>。</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4DCCBFD">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5FBC8CA">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20826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40" w:hRule="atLeast"/>
        </w:trPr>
        <w:tc>
          <w:tcPr>
            <w:tcW w:w="154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B53F3E0">
            <w:pPr>
              <w:keepNext w:val="0"/>
              <w:keepLines w:val="0"/>
              <w:pageBreakBefore w:val="0"/>
              <w:kinsoku/>
              <w:wordWrap/>
              <w:overflowPunct/>
              <w:topLinePunct w:val="0"/>
              <w:autoSpaceDN/>
              <w:bidi w:val="0"/>
              <w:snapToGrid/>
              <w:spacing w:beforeAutospacing="0" w:afterAutospacing="0" w:line="400" w:lineRule="exact"/>
              <w:jc w:val="center"/>
              <w:textAlignment w:val="auto"/>
              <w:rPr>
                <w:rFonts w:hint="eastAsia" w:ascii="宋体"/>
                <w:color w:val="auto"/>
                <w:sz w:val="24"/>
                <w:szCs w:val="24"/>
              </w:rPr>
            </w:pPr>
          </w:p>
        </w:tc>
        <w:tc>
          <w:tcPr>
            <w:tcW w:w="141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F9A1AB0">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质量缺陷（20分）</w:t>
            </w:r>
          </w:p>
        </w:tc>
        <w:tc>
          <w:tcPr>
            <w:tcW w:w="5337"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BF07991">
            <w:pPr>
              <w:pStyle w:val="14"/>
              <w:keepNext w:val="0"/>
              <w:keepLines w:val="0"/>
              <w:pageBreakBefore w:val="0"/>
              <w:widowControl/>
              <w:suppressLineNumbers w:val="0"/>
              <w:kinsoku/>
              <w:wordWrap/>
              <w:overflowPunct/>
              <w:topLinePunct w:val="0"/>
              <w:autoSpaceDN/>
              <w:bidi w:val="0"/>
              <w:adjustRightInd/>
              <w:snapToGrid/>
              <w:spacing w:beforeAutospacing="0" w:afterAutospacing="0" w:line="400" w:lineRule="exact"/>
              <w:ind w:firstLine="480" w:firstLineChars="200"/>
              <w:jc w:val="both"/>
              <w:textAlignment w:val="auto"/>
              <w:rPr>
                <w:rFonts w:hint="eastAsia" w:eastAsia="方正仿宋_GB2312"/>
                <w:color w:val="auto"/>
                <w:lang w:eastAsia="zh-CN"/>
              </w:rPr>
            </w:pPr>
            <w:r>
              <w:rPr>
                <w:rFonts w:hint="eastAsia" w:ascii="方正仿宋_GB2312" w:hAnsi="方正仿宋_GB2312" w:eastAsia="方正仿宋_GB2312" w:cs="方正仿宋_GB2312"/>
                <w:color w:val="auto"/>
                <w:sz w:val="24"/>
                <w:szCs w:val="24"/>
              </w:rPr>
              <w:t>材料不达标、功能缺失：扣10分/项</w:t>
            </w:r>
            <w:r>
              <w:rPr>
                <w:rFonts w:hint="eastAsia" w:ascii="方正仿宋_GB2312" w:hAnsi="方正仿宋_GB2312" w:eastAsia="方正仿宋_GB2312" w:cs="方正仿宋_GB2312"/>
                <w:color w:val="auto"/>
                <w:sz w:val="24"/>
                <w:szCs w:val="24"/>
                <w:lang w:eastAsia="zh-CN"/>
              </w:rPr>
              <w:t>。</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9F5FA16">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CCBE72C">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47B2A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154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99C290D">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服务满意度及投诉（10分）</w:t>
            </w:r>
          </w:p>
        </w:tc>
        <w:tc>
          <w:tcPr>
            <w:tcW w:w="141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7A9CBD0">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处理投诉（10分）</w:t>
            </w:r>
          </w:p>
        </w:tc>
        <w:tc>
          <w:tcPr>
            <w:tcW w:w="5337"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01DB7D4">
            <w:pPr>
              <w:pStyle w:val="14"/>
              <w:keepNext w:val="0"/>
              <w:keepLines w:val="0"/>
              <w:pageBreakBefore w:val="0"/>
              <w:widowControl/>
              <w:suppressLineNumbers w:val="0"/>
              <w:kinsoku/>
              <w:wordWrap/>
              <w:overflowPunct/>
              <w:topLinePunct w:val="0"/>
              <w:autoSpaceDN/>
              <w:bidi w:val="0"/>
              <w:adjustRightInd/>
              <w:snapToGrid/>
              <w:spacing w:beforeAutospacing="0" w:afterAutospacing="0" w:line="400" w:lineRule="exact"/>
              <w:ind w:firstLine="480" w:firstLineChars="200"/>
              <w:textAlignment w:val="auto"/>
              <w:rPr>
                <w:color w:val="auto"/>
              </w:rPr>
            </w:pPr>
            <w:r>
              <w:rPr>
                <w:rFonts w:hint="eastAsia" w:ascii="方正仿宋_GB2312" w:hAnsi="方正仿宋_GB2312" w:eastAsia="方正仿宋_GB2312" w:cs="方正仿宋_GB2312"/>
                <w:color w:val="auto"/>
                <w:sz w:val="24"/>
                <w:szCs w:val="24"/>
              </w:rPr>
              <w:t>供应商专业人员应保持良好的服务态度，文明用语、规范着装，能够耐心解答使用部门疑问。经部门反馈满意度差的每次扣2分，扣完为止。接到使用科室有效投诉或反馈后应积极处理，消极推诿不处理的，每发生一次，扣5分，扣完为止。</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E126524">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5607708">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08199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19" w:hRule="atLeast"/>
        </w:trPr>
        <w:tc>
          <w:tcPr>
            <w:tcW w:w="1542"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C216CFF">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一票否决项</w:t>
            </w:r>
          </w:p>
        </w:tc>
        <w:tc>
          <w:tcPr>
            <w:tcW w:w="6756" w:type="dxa"/>
            <w:gridSpan w:val="4"/>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6C3C6D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textAlignment w:val="auto"/>
              <w:rPr>
                <w:rFonts w:hint="eastAsia" w:eastAsia="方正仿宋_GB2312"/>
                <w:color w:val="auto"/>
                <w:lang w:eastAsia="zh-CN"/>
              </w:rPr>
            </w:pPr>
            <w:r>
              <w:rPr>
                <w:rFonts w:hint="eastAsia" w:ascii="方正仿宋_GB2312" w:hAnsi="方正仿宋_GB2312" w:eastAsia="方正仿宋_GB2312" w:cs="方正仿宋_GB2312"/>
                <w:color w:val="auto"/>
                <w:sz w:val="24"/>
                <w:szCs w:val="24"/>
              </w:rPr>
              <w:t>履约质量中因重大缺陷导致安全事故或法律纠纷</w:t>
            </w:r>
            <w:r>
              <w:rPr>
                <w:rFonts w:hint="eastAsia" w:ascii="方正仿宋_GB2312" w:hAnsi="方正仿宋_GB2312" w:eastAsia="方正仿宋_GB2312" w:cs="方正仿宋_GB2312"/>
                <w:color w:val="auto"/>
                <w:sz w:val="24"/>
                <w:szCs w:val="24"/>
                <w:lang w:eastAsia="zh-CN"/>
              </w:rPr>
              <w:t>。</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E575216">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B697900">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12EF3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0" w:hRule="atLeast"/>
        </w:trPr>
        <w:tc>
          <w:tcPr>
            <w:tcW w:w="154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47C62D8">
            <w:pPr>
              <w:keepNext w:val="0"/>
              <w:keepLines w:val="0"/>
              <w:pageBreakBefore w:val="0"/>
              <w:kinsoku/>
              <w:wordWrap/>
              <w:overflowPunct/>
              <w:topLinePunct w:val="0"/>
              <w:autoSpaceDN/>
              <w:bidi w:val="0"/>
              <w:snapToGrid/>
              <w:spacing w:beforeAutospacing="0" w:afterAutospacing="0" w:line="400" w:lineRule="exact"/>
              <w:jc w:val="center"/>
              <w:textAlignment w:val="auto"/>
              <w:rPr>
                <w:rFonts w:hint="eastAsia" w:ascii="宋体"/>
                <w:color w:val="auto"/>
                <w:sz w:val="24"/>
                <w:szCs w:val="24"/>
              </w:rPr>
            </w:pPr>
          </w:p>
        </w:tc>
        <w:tc>
          <w:tcPr>
            <w:tcW w:w="6756" w:type="dxa"/>
            <w:gridSpan w:val="4"/>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5CEA40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textAlignment w:val="auto"/>
              <w:rPr>
                <w:rFonts w:hint="eastAsia" w:eastAsia="方正仿宋_GB2312"/>
                <w:color w:val="auto"/>
                <w:lang w:eastAsia="zh-CN"/>
              </w:rPr>
            </w:pPr>
            <w:r>
              <w:rPr>
                <w:rFonts w:hint="eastAsia" w:ascii="方正仿宋_GB2312" w:hAnsi="方正仿宋_GB2312" w:eastAsia="方正仿宋_GB2312" w:cs="方正仿宋_GB2312"/>
                <w:color w:val="auto"/>
                <w:sz w:val="24"/>
                <w:szCs w:val="24"/>
              </w:rPr>
              <w:t>服务中因</w:t>
            </w:r>
            <w:r>
              <w:rPr>
                <w:rFonts w:hint="eastAsia" w:ascii="方正仿宋_GB2312" w:hAnsi="方正仿宋_GB2312" w:eastAsia="方正仿宋_GB2312" w:cs="方正仿宋_GB2312"/>
                <w:color w:val="auto"/>
                <w:sz w:val="24"/>
                <w:szCs w:val="24"/>
                <w:lang w:val="en-US" w:eastAsia="zh-CN"/>
              </w:rPr>
              <w:t>供应商</w:t>
            </w:r>
            <w:r>
              <w:rPr>
                <w:rFonts w:hint="eastAsia" w:ascii="方正仿宋_GB2312" w:hAnsi="方正仿宋_GB2312" w:eastAsia="方正仿宋_GB2312" w:cs="方正仿宋_GB2312"/>
                <w:color w:val="auto"/>
                <w:sz w:val="24"/>
                <w:szCs w:val="24"/>
              </w:rPr>
              <w:t>推诿责任导致项目严重损失</w:t>
            </w:r>
            <w:r>
              <w:rPr>
                <w:rFonts w:hint="eastAsia" w:ascii="方正仿宋_GB2312" w:hAnsi="方正仿宋_GB2312" w:eastAsia="方正仿宋_GB2312" w:cs="方正仿宋_GB2312"/>
                <w:color w:val="auto"/>
                <w:sz w:val="24"/>
                <w:szCs w:val="24"/>
                <w:lang w:eastAsia="zh-CN"/>
              </w:rPr>
              <w:t>。</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E24A874">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0D74136">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05552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725" w:hRule="atLeast"/>
        </w:trPr>
        <w:tc>
          <w:tcPr>
            <w:tcW w:w="154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9EF0F3E">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加分项（10分）</w:t>
            </w:r>
          </w:p>
        </w:tc>
        <w:tc>
          <w:tcPr>
            <w:tcW w:w="6756" w:type="dxa"/>
            <w:gridSpan w:val="4"/>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823F81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textAlignment w:val="auto"/>
              <w:rPr>
                <w:color w:val="auto"/>
              </w:rPr>
            </w:pPr>
            <w:r>
              <w:rPr>
                <w:rFonts w:hint="eastAsia" w:ascii="方正仿宋_GB2312" w:hAnsi="方正仿宋_GB2312" w:eastAsia="方正仿宋_GB2312" w:cs="方正仿宋_GB2312"/>
                <w:color w:val="auto"/>
                <w:sz w:val="24"/>
                <w:szCs w:val="24"/>
                <w:lang w:val="en-US" w:eastAsia="zh-CN"/>
              </w:rPr>
              <w:t>供应商</w:t>
            </w:r>
            <w:r>
              <w:rPr>
                <w:rFonts w:hint="eastAsia" w:ascii="方正仿宋_GB2312" w:hAnsi="方正仿宋_GB2312" w:eastAsia="方正仿宋_GB2312" w:cs="方正仿宋_GB2312"/>
                <w:color w:val="auto"/>
                <w:sz w:val="24"/>
                <w:szCs w:val="24"/>
              </w:rPr>
              <w:t>诚信守法经营，严格管理，在合同期内无不良记录。在此基础上，积极配合</w:t>
            </w:r>
            <w:r>
              <w:rPr>
                <w:rFonts w:hint="eastAsia" w:ascii="方正仿宋_GB2312" w:hAnsi="方正仿宋_GB2312" w:eastAsia="方正仿宋_GB2312" w:cs="方正仿宋_GB2312"/>
                <w:color w:val="auto"/>
                <w:sz w:val="24"/>
                <w:szCs w:val="24"/>
                <w:lang w:val="en-US" w:eastAsia="zh-CN"/>
              </w:rPr>
              <w:t>采购人</w:t>
            </w:r>
            <w:r>
              <w:rPr>
                <w:rFonts w:hint="eastAsia" w:ascii="方正仿宋_GB2312" w:hAnsi="方正仿宋_GB2312" w:eastAsia="方正仿宋_GB2312" w:cs="方正仿宋_GB2312"/>
                <w:color w:val="auto"/>
                <w:sz w:val="24"/>
                <w:szCs w:val="24"/>
              </w:rPr>
              <w:t>的管理要求，在服务过程中提出合理化建议，提供增值服务，经使用部门及归口管理部门认可，可适当予以加分，每项合理化建议措施加2分，最高可加分10分。</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D026EEF">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F6F0A75">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22173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154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E123735">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总分</w:t>
            </w:r>
          </w:p>
        </w:tc>
        <w:tc>
          <w:tcPr>
            <w:tcW w:w="7635" w:type="dxa"/>
            <w:gridSpan w:val="5"/>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7B497DE">
            <w:pPr>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满分100分</w:t>
            </w: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DA3A75C">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11693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154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ECA10C3">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rFonts w:hint="eastAsia" w:eastAsia="方正仿宋_GB2312"/>
                <w:color w:val="auto"/>
                <w:lang w:val="en-US" w:eastAsia="zh-CN"/>
              </w:rPr>
            </w:pPr>
            <w:r>
              <w:rPr>
                <w:rFonts w:hint="eastAsia" w:ascii="方正仿宋_GB2312" w:hAnsi="方正仿宋_GB2312" w:eastAsia="方正仿宋_GB2312" w:cs="方正仿宋_GB2312"/>
                <w:color w:val="auto"/>
                <w:sz w:val="24"/>
                <w:szCs w:val="24"/>
              </w:rPr>
              <w:t>评价结果</w:t>
            </w:r>
            <w:r>
              <w:rPr>
                <w:rFonts w:hint="eastAsia" w:ascii="方正仿宋_GB2312" w:hAnsi="方正仿宋_GB2312" w:eastAsia="方正仿宋_GB2312" w:cs="方正仿宋_GB2312"/>
                <w:color w:val="auto"/>
                <w:sz w:val="24"/>
                <w:szCs w:val="24"/>
                <w:lang w:val="en-US" w:eastAsia="zh-CN"/>
              </w:rPr>
              <w:t>运用</w:t>
            </w:r>
          </w:p>
        </w:tc>
        <w:tc>
          <w:tcPr>
            <w:tcW w:w="8414" w:type="dxa"/>
            <w:gridSpan w:val="6"/>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7955059">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 xml:space="preserve">合格□ </w:t>
            </w:r>
            <w:r>
              <w:rPr>
                <w:rFonts w:hint="eastAsia" w:ascii="方正仿宋_GB2312" w:hAnsi="方正仿宋_GB2312" w:eastAsia="方正仿宋_GB2312" w:cs="方正仿宋_GB2312"/>
                <w:color w:val="auto"/>
                <w:sz w:val="24"/>
                <w:szCs w:val="24"/>
                <w:lang w:val="en-US" w:eastAsia="zh-CN"/>
              </w:rPr>
              <w:t xml:space="preserve">    </w:t>
            </w:r>
            <w:r>
              <w:rPr>
                <w:rFonts w:hint="eastAsia" w:ascii="方正仿宋_GB2312" w:hAnsi="方正仿宋_GB2312" w:eastAsia="方正仿宋_GB2312" w:cs="方正仿宋_GB2312"/>
                <w:color w:val="auto"/>
                <w:sz w:val="24"/>
                <w:szCs w:val="24"/>
              </w:rPr>
              <w:t>不合格□</w:t>
            </w:r>
          </w:p>
          <w:p w14:paraId="64D4935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textAlignment w:val="auto"/>
              <w:rPr>
                <w:color w:val="auto"/>
              </w:rPr>
            </w:pPr>
            <w:r>
              <w:rPr>
                <w:rFonts w:hint="eastAsia" w:ascii="方正仿宋_GB2312" w:hAnsi="方正仿宋_GB2312" w:eastAsia="方正仿宋_GB2312" w:cs="方正仿宋_GB2312"/>
                <w:color w:val="auto"/>
                <w:sz w:val="24"/>
                <w:szCs w:val="24"/>
              </w:rPr>
              <w:t>1.根据</w:t>
            </w:r>
            <w:r>
              <w:rPr>
                <w:rFonts w:hint="eastAsia" w:ascii="方正仿宋_GB2312" w:hAnsi="方正仿宋_GB2312" w:eastAsia="方正仿宋_GB2312" w:cs="方正仿宋_GB2312"/>
                <w:color w:val="auto"/>
                <w:sz w:val="24"/>
                <w:szCs w:val="24"/>
                <w:lang w:val="en-US" w:eastAsia="zh-CN"/>
              </w:rPr>
              <w:t>供应商</w:t>
            </w:r>
            <w:r>
              <w:rPr>
                <w:rFonts w:hint="eastAsia" w:ascii="方正仿宋_GB2312" w:hAnsi="方正仿宋_GB2312" w:eastAsia="方正仿宋_GB2312" w:cs="方正仿宋_GB2312"/>
                <w:color w:val="auto"/>
                <w:sz w:val="24"/>
                <w:szCs w:val="24"/>
              </w:rPr>
              <w:t>服务情况进行考核评分</w:t>
            </w:r>
            <w:r>
              <w:rPr>
                <w:rFonts w:hint="eastAsia" w:ascii="方正仿宋_GB2312" w:hAnsi="方正仿宋_GB2312" w:eastAsia="方正仿宋_GB2312" w:cs="方正仿宋_GB2312"/>
                <w:color w:val="auto"/>
                <w:sz w:val="24"/>
                <w:szCs w:val="24"/>
                <w:lang w:eastAsia="zh-CN"/>
              </w:rPr>
              <w:t>，</w:t>
            </w:r>
            <w:r>
              <w:rPr>
                <w:rFonts w:hint="eastAsia" w:ascii="方正仿宋_GB2312" w:hAnsi="方正仿宋_GB2312" w:eastAsia="方正仿宋_GB2312" w:cs="方正仿宋_GB2312"/>
                <w:color w:val="auto"/>
                <w:sz w:val="24"/>
                <w:szCs w:val="24"/>
              </w:rPr>
              <w:t>80分及以上为合格，80分以下为不合格。考核不合格，</w:t>
            </w:r>
            <w:r>
              <w:rPr>
                <w:rFonts w:hint="eastAsia" w:ascii="方正仿宋_GB2312" w:hAnsi="方正仿宋_GB2312" w:eastAsia="方正仿宋_GB2312" w:cs="方正仿宋_GB2312"/>
                <w:color w:val="auto"/>
                <w:sz w:val="24"/>
                <w:szCs w:val="24"/>
                <w:lang w:val="en-US" w:eastAsia="zh-CN"/>
              </w:rPr>
              <w:t>采购人</w:t>
            </w:r>
            <w:r>
              <w:rPr>
                <w:rFonts w:hint="eastAsia" w:ascii="方正仿宋_GB2312" w:hAnsi="方正仿宋_GB2312" w:eastAsia="方正仿宋_GB2312" w:cs="方正仿宋_GB2312"/>
                <w:color w:val="auto"/>
                <w:sz w:val="24"/>
                <w:szCs w:val="24"/>
              </w:rPr>
              <w:t>将不予支付</w:t>
            </w:r>
            <w:r>
              <w:rPr>
                <w:rFonts w:hint="eastAsia" w:ascii="方正仿宋_GB2312" w:hAnsi="方正仿宋_GB2312" w:eastAsia="方正仿宋_GB2312" w:cs="方正仿宋_GB2312"/>
                <w:color w:val="auto"/>
                <w:sz w:val="24"/>
                <w:szCs w:val="24"/>
                <w:lang w:val="en-US" w:eastAsia="zh-CN"/>
              </w:rPr>
              <w:t>当期</w:t>
            </w:r>
            <w:r>
              <w:rPr>
                <w:rFonts w:hint="eastAsia" w:ascii="方正仿宋_GB2312" w:hAnsi="方正仿宋_GB2312" w:eastAsia="方正仿宋_GB2312" w:cs="方正仿宋_GB2312"/>
                <w:color w:val="auto"/>
                <w:sz w:val="24"/>
                <w:szCs w:val="24"/>
              </w:rPr>
              <w:t>服务费。若年度内2次评为不合格，</w:t>
            </w:r>
            <w:r>
              <w:rPr>
                <w:rFonts w:hint="eastAsia" w:ascii="方正仿宋_GB2312" w:hAnsi="方正仿宋_GB2312" w:eastAsia="方正仿宋_GB2312" w:cs="方正仿宋_GB2312"/>
                <w:color w:val="auto"/>
                <w:sz w:val="24"/>
                <w:szCs w:val="24"/>
                <w:lang w:val="en-US" w:eastAsia="zh-CN"/>
              </w:rPr>
              <w:t>采购人</w:t>
            </w:r>
            <w:r>
              <w:rPr>
                <w:rFonts w:hint="eastAsia" w:ascii="方正仿宋_GB2312" w:hAnsi="方正仿宋_GB2312" w:eastAsia="方正仿宋_GB2312" w:cs="方正仿宋_GB2312"/>
                <w:color w:val="auto"/>
                <w:sz w:val="24"/>
                <w:szCs w:val="24"/>
              </w:rPr>
              <w:t>有权取消</w:t>
            </w:r>
            <w:r>
              <w:rPr>
                <w:rFonts w:hint="eastAsia" w:ascii="方正仿宋_GB2312" w:hAnsi="方正仿宋_GB2312" w:eastAsia="方正仿宋_GB2312" w:cs="方正仿宋_GB2312"/>
                <w:color w:val="auto"/>
                <w:sz w:val="24"/>
                <w:szCs w:val="24"/>
                <w:lang w:eastAsia="zh-CN"/>
              </w:rPr>
              <w:t>（</w:t>
            </w:r>
            <w:r>
              <w:rPr>
                <w:rFonts w:hint="eastAsia" w:ascii="方正仿宋_GB2312" w:hAnsi="方正仿宋_GB2312" w:eastAsia="方正仿宋_GB2312" w:cs="方正仿宋_GB2312"/>
                <w:color w:val="auto"/>
                <w:sz w:val="24"/>
                <w:szCs w:val="24"/>
              </w:rPr>
              <w:t>终止</w:t>
            </w:r>
            <w:r>
              <w:rPr>
                <w:rFonts w:hint="eastAsia" w:ascii="方正仿宋_GB2312" w:hAnsi="方正仿宋_GB2312" w:eastAsia="方正仿宋_GB2312" w:cs="方正仿宋_GB2312"/>
                <w:color w:val="auto"/>
                <w:sz w:val="24"/>
                <w:szCs w:val="24"/>
                <w:lang w:eastAsia="zh-CN"/>
              </w:rPr>
              <w:t>）</w:t>
            </w:r>
            <w:r>
              <w:rPr>
                <w:rFonts w:hint="eastAsia" w:ascii="方正仿宋_GB2312" w:hAnsi="方正仿宋_GB2312" w:eastAsia="方正仿宋_GB2312" w:cs="方正仿宋_GB2312"/>
                <w:color w:val="auto"/>
                <w:sz w:val="24"/>
                <w:szCs w:val="24"/>
                <w:lang w:val="en-US" w:eastAsia="zh-CN"/>
              </w:rPr>
              <w:t>本项目</w:t>
            </w:r>
            <w:r>
              <w:rPr>
                <w:rFonts w:hint="eastAsia" w:ascii="方正仿宋_GB2312" w:hAnsi="方正仿宋_GB2312" w:eastAsia="方正仿宋_GB2312" w:cs="方正仿宋_GB2312"/>
                <w:color w:val="auto"/>
                <w:sz w:val="24"/>
                <w:szCs w:val="24"/>
              </w:rPr>
              <w:t>服务合同。</w:t>
            </w:r>
          </w:p>
          <w:p w14:paraId="0A9A552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textAlignment w:val="auto"/>
              <w:rPr>
                <w:color w:val="auto"/>
              </w:rPr>
            </w:pPr>
            <w:r>
              <w:rPr>
                <w:rFonts w:hint="eastAsia" w:ascii="方正仿宋_GB2312" w:hAnsi="方正仿宋_GB2312" w:eastAsia="方正仿宋_GB2312" w:cs="方正仿宋_GB2312"/>
                <w:color w:val="auto"/>
                <w:sz w:val="24"/>
                <w:szCs w:val="24"/>
              </w:rPr>
              <w:t>2.年度考核合格是指供应商前三个季度考核均合格，年度考核合格</w:t>
            </w:r>
            <w:r>
              <w:rPr>
                <w:rFonts w:hint="eastAsia" w:ascii="方正仿宋_GB2312" w:hAnsi="方正仿宋_GB2312" w:eastAsia="方正仿宋_GB2312" w:cs="方正仿宋_GB2312"/>
                <w:color w:val="auto"/>
                <w:sz w:val="24"/>
                <w:szCs w:val="24"/>
                <w:lang w:val="en-US" w:eastAsia="zh-CN"/>
              </w:rPr>
              <w:t>后</w:t>
            </w:r>
            <w:r>
              <w:rPr>
                <w:rFonts w:hint="eastAsia" w:ascii="方正仿宋_GB2312" w:hAnsi="方正仿宋_GB2312" w:eastAsia="方正仿宋_GB2312" w:cs="方正仿宋_GB2312"/>
                <w:color w:val="auto"/>
                <w:sz w:val="24"/>
                <w:szCs w:val="24"/>
              </w:rPr>
              <w:t>可续签下一年度合同。</w:t>
            </w:r>
          </w:p>
          <w:p w14:paraId="66CE73B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jc w:val="left"/>
              <w:textAlignment w:val="auto"/>
              <w:rPr>
                <w:color w:val="auto"/>
              </w:rPr>
            </w:pPr>
            <w:r>
              <w:rPr>
                <w:rFonts w:hint="eastAsia" w:ascii="方正仿宋_GB2312" w:hAnsi="方正仿宋_GB2312" w:eastAsia="方正仿宋_GB2312" w:cs="方正仿宋_GB2312"/>
                <w:color w:val="auto"/>
                <w:sz w:val="24"/>
                <w:szCs w:val="24"/>
              </w:rPr>
              <w:t>3.考核时间为</w:t>
            </w:r>
            <w:r>
              <w:rPr>
                <w:rFonts w:hint="eastAsia" w:ascii="方正仿宋_GB2312" w:hAnsi="方正仿宋_GB2312" w:eastAsia="方正仿宋_GB2312" w:cs="方正仿宋_GB2312"/>
                <w:color w:val="auto"/>
                <w:sz w:val="24"/>
                <w:szCs w:val="24"/>
                <w:lang w:eastAsia="zh-CN"/>
              </w:rPr>
              <w:t>：每</w:t>
            </w:r>
            <w:r>
              <w:rPr>
                <w:rFonts w:hint="eastAsia" w:ascii="方正仿宋_GB2312" w:hAnsi="方正仿宋_GB2312" w:eastAsia="方正仿宋_GB2312" w:cs="方正仿宋_GB2312"/>
                <w:color w:val="auto"/>
                <w:sz w:val="24"/>
                <w:szCs w:val="24"/>
                <w:lang w:val="en-US" w:eastAsia="zh-CN"/>
              </w:rPr>
              <w:t>三个月</w:t>
            </w:r>
            <w:r>
              <w:rPr>
                <w:rFonts w:hint="eastAsia" w:ascii="方正仿宋_GB2312" w:hAnsi="方正仿宋_GB2312" w:eastAsia="方正仿宋_GB2312" w:cs="方正仿宋_GB2312"/>
                <w:color w:val="auto"/>
                <w:sz w:val="24"/>
                <w:szCs w:val="24"/>
                <w:lang w:eastAsia="zh-CN"/>
              </w:rPr>
              <w:t>服务内容完成后第二个月进行考核</w:t>
            </w:r>
            <w:r>
              <w:rPr>
                <w:rFonts w:hint="eastAsia" w:ascii="方正仿宋_GB2312" w:hAnsi="方正仿宋_GB2312" w:eastAsia="方正仿宋_GB2312" w:cs="方正仿宋_GB2312"/>
                <w:color w:val="auto"/>
                <w:sz w:val="24"/>
                <w:szCs w:val="24"/>
              </w:rPr>
              <w:t>。</w:t>
            </w:r>
          </w:p>
        </w:tc>
      </w:tr>
    </w:tbl>
    <w:p w14:paraId="24F33F49">
      <w:pPr>
        <w:pStyle w:val="16"/>
        <w:keepNext w:val="0"/>
        <w:keepLines w:val="0"/>
        <w:pageBreakBefore w:val="0"/>
        <w:widowControl w:val="0"/>
        <w:kinsoku/>
        <w:wordWrap/>
        <w:overflowPunct/>
        <w:topLinePunct w:val="0"/>
        <w:autoSpaceDE/>
        <w:autoSpaceDN/>
        <w:bidi w:val="0"/>
        <w:adjustRightInd/>
        <w:snapToGrid w:val="0"/>
        <w:spacing w:line="400" w:lineRule="exact"/>
        <w:ind w:firstLine="482" w:firstLineChars="200"/>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五、其他要求</w:t>
      </w:r>
    </w:p>
    <w:p w14:paraId="308B1F17">
      <w:pPr>
        <w:pStyle w:val="16"/>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1.供应商提供自2023年1月1日（含）至响应文件递交截止之日类似项目业绩（类似项目是指包含变频器或变频柜维保服务项目），提供合同复印件并加盖供应商公章。</w:t>
      </w:r>
    </w:p>
    <w:p w14:paraId="04A673D7">
      <w:pPr>
        <w:pStyle w:val="16"/>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color w:val="auto"/>
          <w:sz w:val="24"/>
          <w:szCs w:val="24"/>
          <w:highlight w:val="none"/>
          <w:lang w:val="en-US" w:eastAsia="zh-CN"/>
        </w:rPr>
        <w:t>供应商为本项目拟配备的维保团队人员</w:t>
      </w:r>
      <w:r>
        <w:rPr>
          <w:rFonts w:hint="eastAsia" w:ascii="仿宋" w:hAnsi="仿宋" w:eastAsia="仿宋" w:cs="仿宋"/>
          <w:b w:val="0"/>
          <w:bCs/>
          <w:color w:val="auto"/>
          <w:kern w:val="2"/>
          <w:sz w:val="24"/>
          <w:szCs w:val="24"/>
          <w:highlight w:val="none"/>
          <w:lang w:val="en-US" w:eastAsia="zh-CN"/>
        </w:rPr>
        <w:t>：</w:t>
      </w:r>
      <w:r>
        <w:rPr>
          <w:rFonts w:hint="eastAsia" w:ascii="仿宋" w:hAnsi="仿宋" w:eastAsia="仿宋" w:cs="仿宋"/>
          <w:color w:val="auto"/>
          <w:sz w:val="24"/>
          <w:szCs w:val="24"/>
          <w:highlight w:val="none"/>
          <w:lang w:val="en-US" w:eastAsia="zh-CN"/>
        </w:rPr>
        <w:t>具有</w:t>
      </w:r>
      <w:r>
        <w:rPr>
          <w:rFonts w:hint="eastAsia" w:ascii="仿宋" w:hAnsi="仿宋" w:eastAsia="仿宋" w:cs="仿宋"/>
          <w:sz w:val="24"/>
          <w:szCs w:val="24"/>
          <w:lang w:val="en-US" w:eastAsia="zh-CN"/>
        </w:rPr>
        <w:t>暖通、自控、电气</w:t>
      </w:r>
      <w:r>
        <w:rPr>
          <w:rFonts w:hint="eastAsia" w:ascii="仿宋" w:hAnsi="仿宋" w:eastAsia="仿宋" w:cs="仿宋"/>
          <w:color w:val="auto"/>
          <w:sz w:val="24"/>
          <w:szCs w:val="24"/>
          <w:highlight w:val="none"/>
          <w:lang w:val="en-US" w:eastAsia="zh-CN"/>
        </w:rPr>
        <w:t>工程相关专业之一的中级或高级工程师职称</w:t>
      </w:r>
      <w:r>
        <w:rPr>
          <w:rFonts w:hint="eastAsia" w:ascii="仿宋" w:hAnsi="仿宋" w:eastAsia="仿宋" w:cs="仿宋"/>
          <w:sz w:val="24"/>
          <w:szCs w:val="24"/>
          <w:lang w:val="en-US" w:eastAsia="zh-CN"/>
        </w:rPr>
        <w:t>。</w:t>
      </w:r>
    </w:p>
    <w:p w14:paraId="3AD2B13C">
      <w:pPr>
        <w:pStyle w:val="16"/>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3.供应商针对本项目提供维保服务方案，包括：①设备维护保养计划；②维护保养巡检措施；③设备的维护保养流程、工序；④备品备件更换及质量保障方案。</w:t>
      </w:r>
    </w:p>
    <w:p w14:paraId="50C8F37D">
      <w:pPr>
        <w:pStyle w:val="16"/>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4.供应商针对本项目提供安全、应急保障方案，包括：①作业安全与人员保障方案；②应急事件响应方案；③设备故障响应与抢修方案。</w:t>
      </w:r>
    </w:p>
    <w:p w14:paraId="63F23714">
      <w:pPr>
        <w:pStyle w:val="16"/>
        <w:ind w:firstLine="0"/>
        <w:rPr>
          <w:rFonts w:ascii="Times New Roman" w:hAnsi="Times New Roman" w:eastAsia="仿宋" w:cs="Times New Roman"/>
          <w:sz w:val="24"/>
          <w:szCs w:val="24"/>
        </w:rPr>
      </w:pPr>
    </w:p>
    <w:p w14:paraId="4A6A2942">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65BDB4CC">
      <w:pPr>
        <w:spacing w:line="360" w:lineRule="auto"/>
        <w:jc w:val="left"/>
        <w:rPr>
          <w:rFonts w:ascii="Times New Roman" w:hAnsi="Times New Roman" w:eastAsia="宋体" w:cs="Times New Roman"/>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0FE2E259">
      <w:pPr>
        <w:rPr>
          <w:lang w:val="zh-CN"/>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1279"/>
        <w:gridCol w:w="1057"/>
        <w:gridCol w:w="4525"/>
        <w:gridCol w:w="2150"/>
      </w:tblGrid>
      <w:tr w14:paraId="57E23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842" w:type="dxa"/>
            <w:tcBorders>
              <w:top w:val="single" w:color="auto" w:sz="4" w:space="0"/>
              <w:left w:val="single" w:color="auto" w:sz="4" w:space="0"/>
              <w:bottom w:val="single" w:color="auto" w:sz="4" w:space="0"/>
              <w:right w:val="single" w:color="auto" w:sz="4" w:space="0"/>
            </w:tcBorders>
            <w:vAlign w:val="center"/>
          </w:tcPr>
          <w:p w14:paraId="2FF88295">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序号</w:t>
            </w:r>
          </w:p>
        </w:tc>
        <w:tc>
          <w:tcPr>
            <w:tcW w:w="1279" w:type="dxa"/>
            <w:tcBorders>
              <w:top w:val="single" w:color="auto" w:sz="4" w:space="0"/>
              <w:left w:val="single" w:color="auto" w:sz="4" w:space="0"/>
              <w:bottom w:val="single" w:color="auto" w:sz="4" w:space="0"/>
              <w:right w:val="single" w:color="auto" w:sz="4" w:space="0"/>
            </w:tcBorders>
            <w:vAlign w:val="center"/>
          </w:tcPr>
          <w:p w14:paraId="4990EAF3">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评审因素</w:t>
            </w:r>
          </w:p>
        </w:tc>
        <w:tc>
          <w:tcPr>
            <w:tcW w:w="1057" w:type="dxa"/>
            <w:tcBorders>
              <w:top w:val="single" w:color="auto" w:sz="4" w:space="0"/>
              <w:left w:val="single" w:color="auto" w:sz="4" w:space="0"/>
              <w:bottom w:val="single" w:color="auto" w:sz="4" w:space="0"/>
              <w:right w:val="single" w:color="auto" w:sz="4" w:space="0"/>
            </w:tcBorders>
            <w:vAlign w:val="center"/>
          </w:tcPr>
          <w:p w14:paraId="0D3635EC">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分值</w:t>
            </w:r>
          </w:p>
        </w:tc>
        <w:tc>
          <w:tcPr>
            <w:tcW w:w="4525" w:type="dxa"/>
            <w:tcBorders>
              <w:top w:val="single" w:color="auto" w:sz="4" w:space="0"/>
              <w:left w:val="single" w:color="auto" w:sz="4" w:space="0"/>
              <w:bottom w:val="single" w:color="auto" w:sz="4" w:space="0"/>
              <w:right w:val="single" w:color="auto" w:sz="4" w:space="0"/>
            </w:tcBorders>
            <w:vAlign w:val="center"/>
          </w:tcPr>
          <w:p w14:paraId="09AF4CBC">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评分标准</w:t>
            </w:r>
          </w:p>
        </w:tc>
        <w:tc>
          <w:tcPr>
            <w:tcW w:w="2150" w:type="dxa"/>
            <w:tcBorders>
              <w:top w:val="single" w:color="auto" w:sz="4" w:space="0"/>
              <w:left w:val="single" w:color="auto" w:sz="4" w:space="0"/>
              <w:bottom w:val="single" w:color="auto" w:sz="4" w:space="0"/>
              <w:right w:val="single" w:color="auto" w:sz="4" w:space="0"/>
            </w:tcBorders>
            <w:vAlign w:val="center"/>
          </w:tcPr>
          <w:p w14:paraId="2BBE1C3E">
            <w:pPr>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说明</w:t>
            </w:r>
          </w:p>
        </w:tc>
      </w:tr>
      <w:tr w14:paraId="5DA13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42" w:type="dxa"/>
            <w:tcBorders>
              <w:top w:val="single" w:color="auto" w:sz="4" w:space="0"/>
              <w:left w:val="single" w:color="auto" w:sz="4" w:space="0"/>
              <w:bottom w:val="single" w:color="auto" w:sz="4" w:space="0"/>
              <w:right w:val="single" w:color="auto" w:sz="4" w:space="0"/>
            </w:tcBorders>
            <w:vAlign w:val="center"/>
          </w:tcPr>
          <w:p w14:paraId="1CDEBD2E">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sz w:val="24"/>
                <w:szCs w:val="24"/>
              </w:rPr>
            </w:pPr>
            <w:r>
              <w:rPr>
                <w:rFonts w:hint="eastAsia" w:ascii="仿宋" w:hAnsi="仿宋" w:eastAsia="仿宋" w:cs="仿宋"/>
                <w:sz w:val="24"/>
                <w:szCs w:val="24"/>
                <w:highlight w:val="none"/>
                <w:lang w:val="en-US" w:eastAsia="zh-CN"/>
              </w:rPr>
              <w:t>1</w:t>
            </w:r>
          </w:p>
        </w:tc>
        <w:tc>
          <w:tcPr>
            <w:tcW w:w="1279" w:type="dxa"/>
            <w:tcBorders>
              <w:top w:val="single" w:color="auto" w:sz="4" w:space="0"/>
              <w:left w:val="single" w:color="auto" w:sz="4" w:space="0"/>
              <w:bottom w:val="single" w:color="auto" w:sz="4" w:space="0"/>
              <w:right w:val="single" w:color="auto" w:sz="4" w:space="0"/>
            </w:tcBorders>
            <w:vAlign w:val="center"/>
          </w:tcPr>
          <w:p w14:paraId="5407BCBC">
            <w:pPr>
              <w:keepNext w:val="0"/>
              <w:keepLines w:val="0"/>
              <w:pageBreakBefore w:val="0"/>
              <w:widowControl w:val="0"/>
              <w:kinsoku/>
              <w:wordWrap/>
              <w:overflowPunct/>
              <w:topLinePunct w:val="0"/>
              <w:autoSpaceDE/>
              <w:autoSpaceDN/>
              <w:bidi w:val="0"/>
              <w:adjustRightInd/>
              <w:snapToGrid/>
              <w:spacing w:line="240" w:lineRule="auto"/>
              <w:ind w:left="0" w:leftChars="0" w:firstLine="28" w:firstLineChars="0"/>
              <w:jc w:val="center"/>
              <w:textAlignment w:val="auto"/>
              <w:rPr>
                <w:rFonts w:ascii="Times New Roman" w:hAnsi="Times New Roman" w:eastAsia="仿宋" w:cs="Times New Roman"/>
                <w:sz w:val="24"/>
                <w:szCs w:val="24"/>
              </w:rPr>
            </w:pPr>
            <w:r>
              <w:rPr>
                <w:rFonts w:hint="eastAsia" w:ascii="仿宋" w:hAnsi="仿宋" w:eastAsia="仿宋" w:cs="仿宋"/>
                <w:bCs/>
                <w:sz w:val="24"/>
                <w:szCs w:val="24"/>
                <w:lang w:val="en-US" w:eastAsia="zh-CN"/>
              </w:rPr>
              <w:t>报价</w:t>
            </w:r>
          </w:p>
        </w:tc>
        <w:tc>
          <w:tcPr>
            <w:tcW w:w="1057" w:type="dxa"/>
            <w:tcBorders>
              <w:top w:val="single" w:color="auto" w:sz="4" w:space="0"/>
              <w:left w:val="single" w:color="auto" w:sz="4" w:space="0"/>
              <w:bottom w:val="single" w:color="auto" w:sz="4" w:space="0"/>
              <w:right w:val="single" w:color="auto" w:sz="4" w:space="0"/>
            </w:tcBorders>
            <w:vAlign w:val="center"/>
          </w:tcPr>
          <w:p w14:paraId="15AE3926">
            <w:pPr>
              <w:keepNext w:val="0"/>
              <w:keepLines w:val="0"/>
              <w:pageBreakBefore w:val="0"/>
              <w:widowControl w:val="0"/>
              <w:kinsoku/>
              <w:wordWrap/>
              <w:overflowPunct/>
              <w:topLinePunct w:val="0"/>
              <w:autoSpaceDE/>
              <w:autoSpaceDN/>
              <w:bidi w:val="0"/>
              <w:adjustRightInd/>
              <w:snapToGrid/>
              <w:spacing w:line="240" w:lineRule="auto"/>
              <w:ind w:left="0" w:leftChars="0" w:firstLine="28" w:firstLineChars="0"/>
              <w:jc w:val="center"/>
              <w:textAlignment w:val="auto"/>
              <w:rPr>
                <w:rFonts w:ascii="Times New Roman" w:hAnsi="Times New Roman" w:eastAsia="仿宋" w:cs="Times New Roman"/>
                <w:sz w:val="24"/>
                <w:szCs w:val="24"/>
              </w:rPr>
            </w:pPr>
            <w:r>
              <w:rPr>
                <w:rFonts w:hint="eastAsia" w:ascii="仿宋" w:hAnsi="仿宋" w:eastAsia="仿宋" w:cs="仿宋"/>
                <w:bCs/>
                <w:sz w:val="24"/>
                <w:szCs w:val="24"/>
                <w:lang w:val="en-US" w:eastAsia="zh-CN"/>
              </w:rPr>
              <w:t>30</w:t>
            </w:r>
            <w:r>
              <w:rPr>
                <w:rFonts w:hint="eastAsia" w:ascii="仿宋" w:hAnsi="仿宋" w:eastAsia="仿宋" w:cs="仿宋"/>
                <w:bCs/>
                <w:sz w:val="24"/>
                <w:szCs w:val="24"/>
              </w:rPr>
              <w:t>分</w:t>
            </w:r>
          </w:p>
        </w:tc>
        <w:tc>
          <w:tcPr>
            <w:tcW w:w="4525" w:type="dxa"/>
            <w:tcBorders>
              <w:top w:val="single" w:color="auto" w:sz="4" w:space="0"/>
              <w:left w:val="single" w:color="auto" w:sz="4" w:space="0"/>
              <w:bottom w:val="single" w:color="auto" w:sz="4" w:space="0"/>
              <w:right w:val="single" w:color="auto" w:sz="4" w:space="0"/>
            </w:tcBorders>
            <w:vAlign w:val="center"/>
          </w:tcPr>
          <w:p w14:paraId="3FBBF8A1">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sz w:val="24"/>
                <w:szCs w:val="24"/>
                <w:lang w:val="en-US" w:eastAsia="zh-CN"/>
              </w:rPr>
              <w:t>满足谈判文件要求且响应价格最低的报价为评审基准价，其价格分为满分</w:t>
            </w:r>
            <w:r>
              <w:rPr>
                <w:rFonts w:hint="eastAsia" w:ascii="仿宋" w:hAnsi="仿宋" w:eastAsia="仿宋" w:cs="仿宋"/>
                <w:sz w:val="24"/>
                <w:szCs w:val="24"/>
              </w:rPr>
              <w:t>；报价得分=</w:t>
            </w:r>
            <w:r>
              <w:rPr>
                <w:rFonts w:hint="eastAsia" w:ascii="仿宋" w:hAnsi="仿宋" w:eastAsia="仿宋" w:cs="仿宋"/>
                <w:sz w:val="24"/>
                <w:szCs w:val="24"/>
                <w:lang w:eastAsia="zh-CN"/>
              </w:rPr>
              <w:t>（</w:t>
            </w:r>
            <w:r>
              <w:rPr>
                <w:rFonts w:hint="eastAsia" w:ascii="仿宋" w:hAnsi="仿宋" w:eastAsia="仿宋" w:cs="仿宋"/>
                <w:sz w:val="24"/>
                <w:szCs w:val="24"/>
              </w:rPr>
              <w:t>基准价／报价</w:t>
            </w:r>
            <w:r>
              <w:rPr>
                <w:rFonts w:hint="eastAsia" w:ascii="仿宋" w:hAnsi="仿宋" w:eastAsia="仿宋" w:cs="仿宋"/>
                <w:sz w:val="24"/>
                <w:szCs w:val="24"/>
                <w:lang w:eastAsia="zh-CN"/>
              </w:rPr>
              <w:t>）</w:t>
            </w:r>
            <w:r>
              <w:rPr>
                <w:rFonts w:hint="eastAsia" w:ascii="仿宋" w:hAnsi="仿宋" w:eastAsia="仿宋" w:cs="仿宋"/>
                <w:sz w:val="24"/>
                <w:szCs w:val="24"/>
              </w:rPr>
              <w:t>×</w:t>
            </w:r>
            <w:r>
              <w:rPr>
                <w:rFonts w:hint="eastAsia" w:ascii="仿宋" w:hAnsi="仿宋" w:eastAsia="仿宋" w:cs="仿宋"/>
                <w:sz w:val="24"/>
                <w:szCs w:val="24"/>
                <w:lang w:val="en-US" w:eastAsia="zh-CN"/>
              </w:rPr>
              <w:t>30</w:t>
            </w:r>
            <w:r>
              <w:rPr>
                <w:rFonts w:hint="eastAsia" w:ascii="仿宋" w:hAnsi="仿宋" w:eastAsia="仿宋" w:cs="仿宋"/>
                <w:sz w:val="24"/>
                <w:szCs w:val="24"/>
              </w:rPr>
              <w:t>分。</w:t>
            </w:r>
          </w:p>
        </w:tc>
        <w:tc>
          <w:tcPr>
            <w:tcW w:w="2150" w:type="dxa"/>
            <w:tcBorders>
              <w:top w:val="single" w:color="auto" w:sz="4" w:space="0"/>
              <w:left w:val="single" w:color="auto" w:sz="4" w:space="0"/>
              <w:bottom w:val="single" w:color="auto" w:sz="4" w:space="0"/>
              <w:right w:val="single" w:color="auto" w:sz="4" w:space="0"/>
            </w:tcBorders>
            <w:vAlign w:val="center"/>
          </w:tcPr>
          <w:p w14:paraId="2A75029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仿宋" w:cs="Times New Roman"/>
                <w:sz w:val="24"/>
                <w:szCs w:val="24"/>
              </w:rPr>
            </w:pPr>
          </w:p>
        </w:tc>
      </w:tr>
      <w:tr w14:paraId="64084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42" w:type="dxa"/>
            <w:tcBorders>
              <w:top w:val="single" w:color="auto" w:sz="4" w:space="0"/>
              <w:left w:val="single" w:color="auto" w:sz="4" w:space="0"/>
              <w:right w:val="single" w:color="auto" w:sz="4" w:space="0"/>
            </w:tcBorders>
            <w:vAlign w:val="center"/>
          </w:tcPr>
          <w:p w14:paraId="1828FBB2">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sz w:val="24"/>
                <w:szCs w:val="24"/>
              </w:rPr>
            </w:pPr>
            <w:r>
              <w:rPr>
                <w:rFonts w:hint="eastAsia" w:ascii="仿宋" w:hAnsi="仿宋" w:eastAsia="仿宋" w:cs="仿宋"/>
                <w:sz w:val="24"/>
                <w:szCs w:val="24"/>
                <w:highlight w:val="none"/>
                <w:lang w:val="en-US" w:eastAsia="zh-CN"/>
              </w:rPr>
              <w:t>2</w:t>
            </w:r>
          </w:p>
        </w:tc>
        <w:tc>
          <w:tcPr>
            <w:tcW w:w="1279" w:type="dxa"/>
            <w:tcBorders>
              <w:top w:val="single" w:color="auto" w:sz="4" w:space="0"/>
              <w:left w:val="single" w:color="auto" w:sz="4" w:space="0"/>
              <w:right w:val="single" w:color="auto" w:sz="4" w:space="0"/>
            </w:tcBorders>
            <w:vAlign w:val="center"/>
          </w:tcPr>
          <w:p w14:paraId="61508037">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ascii="Times New Roman" w:hAnsi="Times New Roman" w:eastAsia="仿宋" w:cs="Times New Roman"/>
                <w:sz w:val="24"/>
                <w:szCs w:val="24"/>
              </w:rPr>
            </w:pPr>
            <w:r>
              <w:rPr>
                <w:rFonts w:hint="eastAsia" w:ascii="仿宋" w:hAnsi="仿宋" w:eastAsia="仿宋" w:cs="仿宋"/>
                <w:sz w:val="24"/>
                <w:szCs w:val="24"/>
                <w:highlight w:val="none"/>
              </w:rPr>
              <w:t>业绩</w:t>
            </w:r>
          </w:p>
        </w:tc>
        <w:tc>
          <w:tcPr>
            <w:tcW w:w="1057" w:type="dxa"/>
            <w:tcBorders>
              <w:top w:val="single" w:color="auto" w:sz="4" w:space="0"/>
              <w:left w:val="single" w:color="auto" w:sz="4" w:space="0"/>
              <w:bottom w:val="single" w:color="auto" w:sz="4" w:space="0"/>
              <w:right w:val="single" w:color="auto" w:sz="4" w:space="0"/>
            </w:tcBorders>
            <w:vAlign w:val="center"/>
          </w:tcPr>
          <w:p w14:paraId="5E071495">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ascii="Times New Roman" w:hAnsi="Times New Roman" w:eastAsia="仿宋" w:cs="Times New Roman"/>
                <w:bCs/>
                <w:sz w:val="24"/>
                <w:szCs w:val="24"/>
              </w:rPr>
            </w:pPr>
            <w:r>
              <w:rPr>
                <w:rFonts w:hint="eastAsia" w:ascii="仿宋" w:hAnsi="仿宋" w:eastAsia="仿宋" w:cs="仿宋"/>
                <w:sz w:val="24"/>
                <w:szCs w:val="24"/>
                <w:highlight w:val="none"/>
                <w:lang w:val="en-US" w:eastAsia="zh-CN"/>
              </w:rPr>
              <w:t>42分</w:t>
            </w:r>
          </w:p>
        </w:tc>
        <w:tc>
          <w:tcPr>
            <w:tcW w:w="4525" w:type="dxa"/>
            <w:tcBorders>
              <w:top w:val="single" w:color="auto" w:sz="4" w:space="0"/>
              <w:left w:val="single" w:color="auto" w:sz="4" w:space="0"/>
              <w:bottom w:val="single" w:color="auto" w:sz="4" w:space="0"/>
              <w:right w:val="single" w:color="auto" w:sz="4" w:space="0"/>
            </w:tcBorders>
            <w:vAlign w:val="center"/>
          </w:tcPr>
          <w:p w14:paraId="4C398D55">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sz w:val="24"/>
                <w:szCs w:val="24"/>
                <w:lang w:val="en-US" w:eastAsia="zh-CN"/>
              </w:rPr>
              <w:t>供应商自2023年1月1日（含）至响应文件递交截止之日，每具有1个类似项目业绩（类似项目是指包含变频器或变频柜维保服务项目）得7分。本项最高得42分。</w:t>
            </w:r>
          </w:p>
        </w:tc>
        <w:tc>
          <w:tcPr>
            <w:tcW w:w="2150" w:type="dxa"/>
            <w:tcBorders>
              <w:top w:val="single" w:color="auto" w:sz="4" w:space="0"/>
              <w:left w:val="single" w:color="auto" w:sz="4" w:space="0"/>
              <w:bottom w:val="single" w:color="auto" w:sz="4" w:space="0"/>
              <w:right w:val="single" w:color="auto" w:sz="4" w:space="0"/>
            </w:tcBorders>
            <w:vAlign w:val="center"/>
          </w:tcPr>
          <w:p w14:paraId="7DE7C7D3">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b w:val="0"/>
                <w:bCs/>
                <w:kern w:val="2"/>
                <w:sz w:val="24"/>
                <w:szCs w:val="24"/>
                <w:lang w:val="en-US" w:eastAsia="zh-CN"/>
              </w:rPr>
              <w:t>提供合同复印件并加盖供应商公章</w:t>
            </w:r>
            <w:r>
              <w:rPr>
                <w:rFonts w:hint="eastAsia" w:ascii="仿宋" w:hAnsi="仿宋" w:eastAsia="仿宋" w:cs="仿宋"/>
                <w:sz w:val="24"/>
                <w:szCs w:val="24"/>
              </w:rPr>
              <w:t>。</w:t>
            </w:r>
          </w:p>
        </w:tc>
      </w:tr>
      <w:tr w14:paraId="14BED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42" w:type="dxa"/>
            <w:tcBorders>
              <w:left w:val="single" w:color="auto" w:sz="4" w:space="0"/>
              <w:bottom w:val="single" w:color="auto" w:sz="4" w:space="0"/>
              <w:right w:val="single" w:color="auto" w:sz="4" w:space="0"/>
            </w:tcBorders>
            <w:vAlign w:val="center"/>
          </w:tcPr>
          <w:p w14:paraId="6D7278B9">
            <w:pPr>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3</w:t>
            </w:r>
          </w:p>
        </w:tc>
        <w:tc>
          <w:tcPr>
            <w:tcW w:w="1279" w:type="dxa"/>
            <w:tcBorders>
              <w:left w:val="single" w:color="auto" w:sz="4" w:space="0"/>
              <w:bottom w:val="single" w:color="auto" w:sz="4" w:space="0"/>
              <w:right w:val="single" w:color="auto" w:sz="4" w:space="0"/>
            </w:tcBorders>
            <w:vAlign w:val="center"/>
          </w:tcPr>
          <w:p w14:paraId="0ABCE867">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维保团队人员</w:t>
            </w:r>
          </w:p>
        </w:tc>
        <w:tc>
          <w:tcPr>
            <w:tcW w:w="1057" w:type="dxa"/>
            <w:tcBorders>
              <w:top w:val="single" w:color="auto" w:sz="4" w:space="0"/>
              <w:left w:val="single" w:color="auto" w:sz="4" w:space="0"/>
              <w:bottom w:val="single" w:color="auto" w:sz="4" w:space="0"/>
              <w:right w:val="single" w:color="auto" w:sz="4" w:space="0"/>
            </w:tcBorders>
            <w:vAlign w:val="center"/>
          </w:tcPr>
          <w:p w14:paraId="48826324">
            <w:pPr>
              <w:ind w:firstLine="28" w:firstLineChars="0"/>
              <w:jc w:val="center"/>
              <w:rPr>
                <w:rFonts w:ascii="Times New Roman" w:hAnsi="Times New Roman" w:eastAsia="仿宋" w:cs="Times New Roman"/>
                <w:bCs/>
                <w:sz w:val="24"/>
                <w:szCs w:val="24"/>
                <w:highlight w:val="none"/>
              </w:rPr>
            </w:pPr>
            <w:r>
              <w:rPr>
                <w:rFonts w:hint="eastAsia" w:ascii="Times New Roman" w:hAnsi="Times New Roman" w:eastAsia="仿宋" w:cs="Times New Roman"/>
                <w:bCs/>
                <w:sz w:val="24"/>
                <w:szCs w:val="24"/>
                <w:highlight w:val="none"/>
                <w:lang w:val="en-US" w:eastAsia="zh-CN"/>
              </w:rPr>
              <w:t>14</w:t>
            </w:r>
            <w:r>
              <w:rPr>
                <w:rFonts w:ascii="Times New Roman" w:hAnsi="Times New Roman" w:eastAsia="仿宋" w:cs="Times New Roman"/>
                <w:bCs/>
                <w:sz w:val="24"/>
                <w:szCs w:val="24"/>
                <w:highlight w:val="none"/>
              </w:rPr>
              <w:t>分</w:t>
            </w:r>
          </w:p>
        </w:tc>
        <w:tc>
          <w:tcPr>
            <w:tcW w:w="4525" w:type="dxa"/>
            <w:tcBorders>
              <w:top w:val="single" w:color="auto" w:sz="4" w:space="0"/>
              <w:left w:val="single" w:color="auto" w:sz="4" w:space="0"/>
              <w:bottom w:val="single" w:color="auto" w:sz="4" w:space="0"/>
              <w:right w:val="single" w:color="auto" w:sz="4" w:space="0"/>
            </w:tcBorders>
            <w:vAlign w:val="center"/>
          </w:tcPr>
          <w:p w14:paraId="4B81D5B5">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根据供应商为本项目拟配备的维保团队人员进行评审：</w:t>
            </w:r>
          </w:p>
          <w:p w14:paraId="022FCC45">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拟配备的维保团队人员，具有暖通、自控、电气工程相关专业之一的中级工程师职称的得5分，具有暖通、自控、电气工程相关专业之一的高级工程师职称的得7分，本项最多得14分，未提供不得分。</w:t>
            </w:r>
          </w:p>
        </w:tc>
        <w:tc>
          <w:tcPr>
            <w:tcW w:w="2150" w:type="dxa"/>
            <w:tcBorders>
              <w:top w:val="single" w:color="auto" w:sz="4" w:space="0"/>
              <w:left w:val="single" w:color="auto" w:sz="4" w:space="0"/>
              <w:bottom w:val="single" w:color="auto" w:sz="4" w:space="0"/>
              <w:right w:val="single" w:color="auto" w:sz="4" w:space="0"/>
            </w:tcBorders>
            <w:vAlign w:val="center"/>
          </w:tcPr>
          <w:p w14:paraId="5BC5D702">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default" w:ascii="Times New Roman" w:hAnsi="Times New Roman" w:eastAsia="仿宋" w:cs="Times New Roman"/>
                <w:sz w:val="24"/>
                <w:szCs w:val="24"/>
              </w:rPr>
            </w:pPr>
            <w:r>
              <w:rPr>
                <w:rFonts w:hint="default" w:ascii="Times New Roman" w:hAnsi="Times New Roman" w:eastAsia="仿宋" w:cs="Times New Roman"/>
                <w:sz w:val="24"/>
                <w:szCs w:val="24"/>
                <w:lang w:val="en-US" w:eastAsia="zh-CN"/>
              </w:rPr>
              <w:t>同一人员同时持有多项证书的，按最高一项分值计分，不重复累计。</w:t>
            </w:r>
          </w:p>
          <w:p w14:paraId="28BC0C21">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default" w:ascii="Times New Roman" w:hAnsi="Times New Roman" w:eastAsia="仿宋" w:cs="Times New Roman"/>
                <w:sz w:val="24"/>
                <w:szCs w:val="24"/>
              </w:rPr>
              <w:t>提供相关证书复印件</w:t>
            </w:r>
            <w:r>
              <w:rPr>
                <w:rFonts w:hint="eastAsia" w:ascii="Times New Roman" w:hAnsi="Times New Roman" w:eastAsia="仿宋" w:cs="Times New Roman"/>
                <w:sz w:val="24"/>
                <w:szCs w:val="24"/>
                <w:lang w:val="en-US" w:eastAsia="zh-CN"/>
              </w:rPr>
              <w:t>并加盖供应商公章。</w:t>
            </w:r>
          </w:p>
          <w:p w14:paraId="3493577C">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highlight w:val="yellow"/>
              </w:rPr>
            </w:pPr>
            <w:r>
              <w:rPr>
                <w:rFonts w:hint="eastAsia" w:ascii="Times New Roman" w:hAnsi="Times New Roman" w:eastAsia="仿宋" w:cs="Times New Roman"/>
                <w:sz w:val="24"/>
                <w:szCs w:val="24"/>
                <w:highlight w:val="none"/>
                <w:lang w:val="en-US" w:eastAsia="zh-CN"/>
              </w:rPr>
              <w:t>拟派本项目维保团队人员必须是供应商的正式员工（提供在职证明并加盖供应商公章）。</w:t>
            </w:r>
          </w:p>
        </w:tc>
      </w:tr>
      <w:tr w14:paraId="57F58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42" w:type="dxa"/>
            <w:tcBorders>
              <w:left w:val="single" w:color="auto" w:sz="4" w:space="0"/>
              <w:bottom w:val="single" w:color="auto" w:sz="4" w:space="0"/>
              <w:right w:val="single" w:color="auto" w:sz="4" w:space="0"/>
            </w:tcBorders>
            <w:vAlign w:val="center"/>
          </w:tcPr>
          <w:p w14:paraId="610073C5">
            <w:pPr>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4</w:t>
            </w:r>
          </w:p>
        </w:tc>
        <w:tc>
          <w:tcPr>
            <w:tcW w:w="1279" w:type="dxa"/>
            <w:tcBorders>
              <w:left w:val="single" w:color="auto" w:sz="4" w:space="0"/>
              <w:bottom w:val="single" w:color="auto" w:sz="4" w:space="0"/>
              <w:right w:val="single" w:color="auto" w:sz="4" w:space="0"/>
            </w:tcBorders>
            <w:vAlign w:val="center"/>
          </w:tcPr>
          <w:p w14:paraId="7E9A028C">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维保服务方案</w:t>
            </w:r>
          </w:p>
        </w:tc>
        <w:tc>
          <w:tcPr>
            <w:tcW w:w="1057" w:type="dxa"/>
            <w:tcBorders>
              <w:top w:val="single" w:color="auto" w:sz="4" w:space="0"/>
              <w:left w:val="single" w:color="auto" w:sz="4" w:space="0"/>
              <w:bottom w:val="single" w:color="auto" w:sz="4" w:space="0"/>
              <w:right w:val="single" w:color="auto" w:sz="4" w:space="0"/>
            </w:tcBorders>
            <w:vAlign w:val="center"/>
          </w:tcPr>
          <w:p w14:paraId="6D5282FD">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default" w:ascii="Times New Roman" w:hAnsi="Times New Roman" w:eastAsia="仿宋" w:cs="Times New Roman"/>
                <w:bCs/>
                <w:sz w:val="24"/>
                <w:szCs w:val="24"/>
                <w:lang w:val="en-US"/>
              </w:rPr>
            </w:pPr>
            <w:r>
              <w:rPr>
                <w:rFonts w:hint="eastAsia" w:ascii="仿宋" w:hAnsi="仿宋" w:eastAsia="仿宋" w:cs="仿宋"/>
                <w:kern w:val="2"/>
                <w:sz w:val="24"/>
                <w:szCs w:val="24"/>
                <w:highlight w:val="none"/>
                <w:lang w:val="en-US" w:eastAsia="zh-CN" w:bidi="ar-SA"/>
              </w:rPr>
              <w:t>8分</w:t>
            </w:r>
          </w:p>
        </w:tc>
        <w:tc>
          <w:tcPr>
            <w:tcW w:w="4525" w:type="dxa"/>
            <w:tcBorders>
              <w:top w:val="single" w:color="auto" w:sz="4" w:space="0"/>
              <w:left w:val="single" w:color="auto" w:sz="4" w:space="0"/>
              <w:bottom w:val="single" w:color="auto" w:sz="4" w:space="0"/>
              <w:right w:val="single" w:color="auto" w:sz="4" w:space="0"/>
            </w:tcBorders>
            <w:vAlign w:val="center"/>
          </w:tcPr>
          <w:p w14:paraId="633BBD60">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针对本项目提供维保服务方案，包括：①设备维护保养计划；②维护保养巡检措施；③设备的维护保养流程、工序；④备品备件更换及质量保障方案。涵盖以上内容且不存在缺陷得8分，在此基础上，每缺少一项内容扣2分，每有一处内容存在缺陷扣1分，扣完为止。</w:t>
            </w:r>
          </w:p>
          <w:p w14:paraId="56018C0E">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2150" w:type="dxa"/>
            <w:tcBorders>
              <w:top w:val="single" w:color="auto" w:sz="4" w:space="0"/>
              <w:left w:val="single" w:color="auto" w:sz="4" w:space="0"/>
              <w:bottom w:val="single" w:color="auto" w:sz="4" w:space="0"/>
              <w:right w:val="single" w:color="auto" w:sz="4" w:space="0"/>
            </w:tcBorders>
            <w:vAlign w:val="center"/>
          </w:tcPr>
          <w:p w14:paraId="34C98843">
            <w:pPr>
              <w:jc w:val="center"/>
              <w:rPr>
                <w:rFonts w:ascii="Times New Roman" w:hAnsi="Times New Roman" w:eastAsia="仿宋" w:cs="Times New Roman"/>
                <w:sz w:val="24"/>
                <w:szCs w:val="24"/>
              </w:rPr>
            </w:pPr>
          </w:p>
        </w:tc>
      </w:tr>
      <w:tr w14:paraId="2D6D8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0" w:hRule="atLeast"/>
          <w:jc w:val="center"/>
        </w:trPr>
        <w:tc>
          <w:tcPr>
            <w:tcW w:w="842" w:type="dxa"/>
            <w:tcBorders>
              <w:top w:val="single" w:color="auto" w:sz="4" w:space="0"/>
              <w:left w:val="single" w:color="auto" w:sz="4" w:space="0"/>
              <w:bottom w:val="single" w:color="auto" w:sz="4" w:space="0"/>
              <w:right w:val="single" w:color="auto" w:sz="4" w:space="0"/>
            </w:tcBorders>
            <w:vAlign w:val="center"/>
          </w:tcPr>
          <w:p w14:paraId="3BE4AF17">
            <w:pPr>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5</w:t>
            </w:r>
          </w:p>
        </w:tc>
        <w:tc>
          <w:tcPr>
            <w:tcW w:w="1279" w:type="dxa"/>
            <w:tcBorders>
              <w:top w:val="single" w:color="auto" w:sz="4" w:space="0"/>
              <w:left w:val="single" w:color="auto" w:sz="4" w:space="0"/>
              <w:bottom w:val="single" w:color="auto" w:sz="4" w:space="0"/>
              <w:right w:val="single" w:color="auto" w:sz="4" w:space="0"/>
            </w:tcBorders>
            <w:vAlign w:val="center"/>
          </w:tcPr>
          <w:p w14:paraId="4A25E378">
            <w:pPr>
              <w:ind w:firstLine="28"/>
              <w:jc w:val="center"/>
              <w:rPr>
                <w:rFonts w:hint="default" w:ascii="Times New Roman" w:hAnsi="Times New Roman" w:eastAsia="仿宋" w:cs="Times New Roman"/>
                <w:sz w:val="24"/>
                <w:szCs w:val="24"/>
                <w:lang w:val="en-US" w:eastAsia="zh-CN"/>
              </w:rPr>
            </w:pPr>
            <w:r>
              <w:rPr>
                <w:rFonts w:hint="eastAsia" w:ascii="Times New Roman" w:hAnsi="Times New Roman" w:eastAsia="仿宋" w:cs="Times New Roman"/>
                <w:bCs/>
                <w:sz w:val="24"/>
                <w:szCs w:val="24"/>
                <w:lang w:val="en-US" w:eastAsia="zh-CN"/>
              </w:rPr>
              <w:t>安全、应急保障方案</w:t>
            </w:r>
          </w:p>
        </w:tc>
        <w:tc>
          <w:tcPr>
            <w:tcW w:w="1057" w:type="dxa"/>
            <w:tcBorders>
              <w:top w:val="single" w:color="auto" w:sz="4" w:space="0"/>
              <w:left w:val="single" w:color="auto" w:sz="4" w:space="0"/>
              <w:bottom w:val="single" w:color="auto" w:sz="4" w:space="0"/>
              <w:right w:val="single" w:color="auto" w:sz="4" w:space="0"/>
            </w:tcBorders>
            <w:vAlign w:val="center"/>
          </w:tcPr>
          <w:p w14:paraId="646E8FF8">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bCs/>
                <w:sz w:val="24"/>
                <w:szCs w:val="24"/>
              </w:rPr>
            </w:pPr>
            <w:r>
              <w:rPr>
                <w:rFonts w:hint="eastAsia" w:ascii="仿宋" w:hAnsi="仿宋" w:eastAsia="仿宋" w:cs="仿宋"/>
                <w:kern w:val="2"/>
                <w:sz w:val="24"/>
                <w:szCs w:val="24"/>
                <w:highlight w:val="none"/>
                <w:lang w:val="en-US" w:eastAsia="zh-CN" w:bidi="ar-SA"/>
              </w:rPr>
              <w:t>6分</w:t>
            </w:r>
          </w:p>
        </w:tc>
        <w:tc>
          <w:tcPr>
            <w:tcW w:w="4525" w:type="dxa"/>
            <w:tcBorders>
              <w:top w:val="single" w:color="auto" w:sz="4" w:space="0"/>
              <w:left w:val="single" w:color="auto" w:sz="4" w:space="0"/>
              <w:bottom w:val="single" w:color="auto" w:sz="4" w:space="0"/>
              <w:right w:val="single" w:color="auto" w:sz="4" w:space="0"/>
            </w:tcBorders>
            <w:vAlign w:val="center"/>
          </w:tcPr>
          <w:p w14:paraId="78AAB5E2">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针对本项目提供安全、应急保障方案，包括：①作业安全与人员保障方案；②应急事件响应方案；③设备故障响应与抢修方案。涵盖以上内容且不存在缺陷得6分，在此基础上，每缺少一项内容扣2分，每有一处内容存在缺陷扣1分，扣完为止。</w:t>
            </w:r>
          </w:p>
          <w:p w14:paraId="67C36FB6">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2150" w:type="dxa"/>
            <w:tcBorders>
              <w:top w:val="single" w:color="auto" w:sz="4" w:space="0"/>
              <w:left w:val="single" w:color="auto" w:sz="4" w:space="0"/>
              <w:bottom w:val="single" w:color="auto" w:sz="4" w:space="0"/>
              <w:right w:val="single" w:color="auto" w:sz="4" w:space="0"/>
            </w:tcBorders>
            <w:vAlign w:val="center"/>
          </w:tcPr>
          <w:p w14:paraId="7D1DF76A">
            <w:pPr>
              <w:jc w:val="center"/>
              <w:rPr>
                <w:rFonts w:ascii="Times New Roman" w:hAnsi="Times New Roman" w:eastAsia="仿宋" w:cs="Times New Roman"/>
                <w:sz w:val="24"/>
                <w:szCs w:val="24"/>
              </w:rPr>
            </w:pPr>
          </w:p>
        </w:tc>
      </w:tr>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18" w:name="_Toc3094"/>
      <w:bookmarkStart w:id="19" w:name="_Toc22827"/>
      <w:bookmarkStart w:id="20" w:name="_Toc28171"/>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32352"/>
      <w:bookmarkStart w:id="28" w:name="_Toc1544"/>
      <w:bookmarkStart w:id="29" w:name="_Toc9041"/>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24859"/>
      <w:bookmarkStart w:id="33" w:name="_Toc1690"/>
      <w:bookmarkStart w:id="34" w:name="_Toc3274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24123"/>
      <w:bookmarkStart w:id="37" w:name="_Toc6803"/>
      <w:bookmarkStart w:id="38" w:name="_Toc17905"/>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7526"/>
      <w:bookmarkStart w:id="41" w:name="_Toc5996"/>
      <w:bookmarkStart w:id="42" w:name="_Toc2989"/>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5056"/>
      <w:bookmarkStart w:id="45" w:name="_Toc7233"/>
      <w:bookmarkStart w:id="46" w:name="_Toc2031"/>
      <w:bookmarkStart w:id="47" w:name="_Toc19987"/>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4829"/>
      <w:bookmarkStart w:id="49" w:name="_Toc21519"/>
      <w:bookmarkStart w:id="50" w:name="_Toc6482"/>
      <w:bookmarkStart w:id="51" w:name="_Toc3023"/>
      <w:bookmarkStart w:id="52" w:name="_Toc16029"/>
      <w:bookmarkStart w:id="53" w:name="_Toc11352"/>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30971"/>
      <w:bookmarkStart w:id="55" w:name="_Toc31838"/>
      <w:bookmarkStart w:id="56" w:name="_Toc22676"/>
      <w:bookmarkStart w:id="57" w:name="_Toc17857"/>
      <w:bookmarkStart w:id="58" w:name="_Toc4305"/>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59" w:name="_Toc15613"/>
      <w:bookmarkStart w:id="60" w:name="_Toc27186"/>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14:paraId="76B8A196">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12015"/>
      <w:bookmarkStart w:id="68" w:name="_Toc11351"/>
      <w:bookmarkStart w:id="69" w:name="_Toc15526"/>
      <w:bookmarkStart w:id="70" w:name="_Toc25638"/>
      <w:bookmarkStart w:id="71" w:name="_Toc20589"/>
      <w:bookmarkStart w:id="72" w:name="_Toc27661"/>
      <w:r>
        <w:rPr>
          <w:rStyle w:val="40"/>
          <w:b/>
        </w:rPr>
        <w:t>法定代表人身份证明书</w:t>
      </w:r>
      <w:bookmarkEnd w:id="67"/>
      <w:bookmarkEnd w:id="68"/>
      <w:bookmarkEnd w:id="69"/>
      <w:bookmarkEnd w:id="70"/>
      <w:bookmarkEnd w:id="71"/>
      <w:bookmarkEnd w:id="72"/>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26969"/>
      <w:bookmarkStart w:id="74" w:name="_Toc12967"/>
      <w:bookmarkStart w:id="75" w:name="_Toc2041"/>
      <w:bookmarkStart w:id="76" w:name="_Toc16435"/>
      <w:bookmarkStart w:id="77" w:name="_Toc1074"/>
      <w:bookmarkStart w:id="78" w:name="_Toc23967"/>
      <w:r>
        <w:rPr>
          <w:rStyle w:val="40"/>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21082"/>
      <w:bookmarkStart w:id="80" w:name="_Toc31686"/>
      <w:bookmarkStart w:id="81" w:name="_Toc24806"/>
      <w:bookmarkStart w:id="82" w:name="_Toc1369"/>
      <w:bookmarkStart w:id="83" w:name="_Toc28634"/>
      <w:bookmarkStart w:id="84" w:name="_Toc26839"/>
      <w:r>
        <w:rPr>
          <w:rStyle w:val="40"/>
          <w:b/>
        </w:rPr>
        <w:t>评分需要提供的证明材料</w:t>
      </w:r>
      <w:bookmarkEnd w:id="79"/>
      <w:bookmarkEnd w:id="80"/>
      <w:bookmarkEnd w:id="81"/>
      <w:bookmarkEnd w:id="82"/>
      <w:bookmarkEnd w:id="83"/>
      <w:bookmarkEnd w:id="84"/>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24494"/>
      <w:bookmarkStart w:id="87" w:name="_Toc32605"/>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9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26"/>
        <w:gridCol w:w="2636"/>
        <w:gridCol w:w="3881"/>
        <w:gridCol w:w="2404"/>
      </w:tblGrid>
      <w:tr w14:paraId="4D90A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2" w:hRule="atLeast"/>
          <w:jc w:val="center"/>
        </w:trPr>
        <w:tc>
          <w:tcPr>
            <w:tcW w:w="726" w:type="dxa"/>
            <w:vAlign w:val="center"/>
          </w:tcPr>
          <w:p w14:paraId="2E858C8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仿宋" w:cs="Times New Roman"/>
                <w:b/>
                <w:bCs/>
                <w:kern w:val="0"/>
                <w:sz w:val="22"/>
                <w:szCs w:val="22"/>
                <w:lang w:val="zh-TW" w:eastAsia="zh-TW"/>
              </w:rPr>
            </w:pPr>
            <w:r>
              <w:rPr>
                <w:rFonts w:ascii="Times New Roman" w:hAnsi="Times New Roman" w:eastAsia="仿宋" w:cs="Times New Roman"/>
                <w:b/>
                <w:bCs/>
                <w:kern w:val="0"/>
                <w:sz w:val="22"/>
                <w:szCs w:val="22"/>
                <w:lang w:val="zh-TW" w:eastAsia="zh-TW"/>
              </w:rPr>
              <w:t>序号</w:t>
            </w:r>
          </w:p>
        </w:tc>
        <w:tc>
          <w:tcPr>
            <w:tcW w:w="2636" w:type="dxa"/>
            <w:vAlign w:val="center"/>
          </w:tcPr>
          <w:p w14:paraId="01AB655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仿宋" w:cs="Times New Roman"/>
                <w:b/>
                <w:bCs/>
                <w:kern w:val="0"/>
                <w:sz w:val="22"/>
                <w:szCs w:val="22"/>
                <w:lang w:val="zh-TW" w:eastAsia="zh-TW"/>
              </w:rPr>
            </w:pPr>
            <w:r>
              <w:rPr>
                <w:rFonts w:ascii="Times New Roman" w:hAnsi="Times New Roman" w:eastAsia="仿宋" w:cs="Times New Roman"/>
                <w:b/>
                <w:bCs/>
                <w:kern w:val="0"/>
                <w:sz w:val="22"/>
                <w:szCs w:val="22"/>
                <w:lang w:val="zh-TW" w:eastAsia="zh-TW"/>
              </w:rPr>
              <w:t>采购标的名称</w:t>
            </w:r>
          </w:p>
        </w:tc>
        <w:tc>
          <w:tcPr>
            <w:tcW w:w="3881" w:type="dxa"/>
            <w:vAlign w:val="center"/>
          </w:tcPr>
          <w:p w14:paraId="027E30C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仿宋" w:cs="Times New Roman"/>
                <w:b/>
                <w:bCs/>
                <w:kern w:val="0"/>
                <w:sz w:val="22"/>
                <w:szCs w:val="22"/>
                <w:lang w:val="zh-TW" w:eastAsia="zh-TW"/>
              </w:rPr>
            </w:pPr>
            <w:r>
              <w:rPr>
                <w:rFonts w:hint="eastAsia" w:ascii="Times New Roman" w:hAnsi="Times New Roman" w:eastAsia="仿宋" w:cs="Times New Roman"/>
                <w:b/>
                <w:bCs/>
                <w:kern w:val="0"/>
                <w:sz w:val="22"/>
                <w:szCs w:val="22"/>
                <w:lang w:val="en-US" w:eastAsia="zh-CN"/>
              </w:rPr>
              <w:t>报价</w:t>
            </w:r>
            <w:r>
              <w:rPr>
                <w:rFonts w:ascii="Times New Roman" w:hAnsi="Times New Roman" w:eastAsia="仿宋" w:cs="Times New Roman"/>
                <w:b/>
                <w:bCs/>
                <w:kern w:val="0"/>
                <w:sz w:val="22"/>
                <w:szCs w:val="22"/>
                <w:lang w:val="zh-TW" w:eastAsia="zh-TW"/>
              </w:rPr>
              <w:t>（元）</w:t>
            </w:r>
          </w:p>
        </w:tc>
        <w:tc>
          <w:tcPr>
            <w:tcW w:w="2404" w:type="dxa"/>
            <w:vAlign w:val="center"/>
          </w:tcPr>
          <w:p w14:paraId="631786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仿宋" w:cs="Times New Roman"/>
                <w:b/>
                <w:bCs/>
                <w:kern w:val="0"/>
                <w:sz w:val="22"/>
                <w:szCs w:val="22"/>
                <w:lang w:val="zh-TW" w:eastAsia="zh-CN"/>
              </w:rPr>
            </w:pPr>
            <w:r>
              <w:rPr>
                <w:rFonts w:hint="eastAsia" w:ascii="Times New Roman" w:hAnsi="Times New Roman" w:eastAsia="仿宋" w:cs="Times New Roman"/>
                <w:b/>
                <w:bCs/>
                <w:kern w:val="0"/>
                <w:sz w:val="22"/>
                <w:szCs w:val="22"/>
                <w:lang w:val="en-US" w:eastAsia="zh-CN"/>
              </w:rPr>
              <w:t>备注</w:t>
            </w:r>
          </w:p>
        </w:tc>
      </w:tr>
      <w:tr w14:paraId="35F31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2" w:hRule="atLeast"/>
          <w:jc w:val="center"/>
        </w:trPr>
        <w:tc>
          <w:tcPr>
            <w:tcW w:w="726" w:type="dxa"/>
            <w:vAlign w:val="center"/>
          </w:tcPr>
          <w:p w14:paraId="546DD23E">
            <w:pPr>
              <w:pStyle w:val="7"/>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ascii="Times New Roman" w:hAnsi="Times New Roman" w:eastAsia="仿宋" w:cs="Times New Roman"/>
                <w:sz w:val="22"/>
                <w:szCs w:val="22"/>
              </w:rPr>
            </w:pPr>
            <w:r>
              <w:rPr>
                <w:rFonts w:ascii="Times New Roman" w:hAnsi="Times New Roman" w:eastAsia="仿宋" w:cs="Times New Roman"/>
                <w:sz w:val="22"/>
                <w:szCs w:val="22"/>
              </w:rPr>
              <w:t>1</w:t>
            </w:r>
          </w:p>
        </w:tc>
        <w:tc>
          <w:tcPr>
            <w:tcW w:w="2636" w:type="dxa"/>
            <w:vAlign w:val="center"/>
          </w:tcPr>
          <w:p w14:paraId="12653FA9">
            <w:pPr>
              <w:pStyle w:val="7"/>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变频器及控制柜维保服务</w:t>
            </w:r>
          </w:p>
        </w:tc>
        <w:tc>
          <w:tcPr>
            <w:tcW w:w="3881" w:type="dxa"/>
            <w:vAlign w:val="center"/>
          </w:tcPr>
          <w:p w14:paraId="42A6F169">
            <w:pPr>
              <w:pStyle w:val="7"/>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ascii="Times New Roman" w:hAnsi="Times New Roman" w:eastAsia="仿宋" w:cs="Times New Roman"/>
                <w:sz w:val="22"/>
                <w:szCs w:val="22"/>
              </w:rPr>
            </w:pPr>
          </w:p>
        </w:tc>
        <w:tc>
          <w:tcPr>
            <w:tcW w:w="2404" w:type="dxa"/>
            <w:vAlign w:val="center"/>
          </w:tcPr>
          <w:p w14:paraId="259F32B6">
            <w:pPr>
              <w:pStyle w:val="7"/>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ascii="Times New Roman" w:hAnsi="Times New Roman" w:eastAsia="仿宋" w:cs="Times New Roman"/>
                <w:sz w:val="22"/>
                <w:szCs w:val="22"/>
              </w:rPr>
            </w:pPr>
          </w:p>
        </w:tc>
      </w:tr>
      <w:tr w14:paraId="03113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2" w:hRule="atLeast"/>
          <w:jc w:val="center"/>
        </w:trPr>
        <w:tc>
          <w:tcPr>
            <w:tcW w:w="3362" w:type="dxa"/>
            <w:gridSpan w:val="2"/>
            <w:vAlign w:val="center"/>
          </w:tcPr>
          <w:p w14:paraId="53F34F8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仿宋" w:cs="Times New Roman"/>
                <w:kern w:val="0"/>
                <w:sz w:val="22"/>
                <w:szCs w:val="22"/>
                <w:lang w:val="zh-TW" w:eastAsia="zh-TW"/>
              </w:rPr>
            </w:pPr>
            <w:r>
              <w:rPr>
                <w:rFonts w:ascii="Times New Roman" w:hAnsi="Times New Roman" w:eastAsia="仿宋" w:cs="Times New Roman"/>
                <w:kern w:val="0"/>
                <w:sz w:val="22"/>
                <w:szCs w:val="22"/>
                <w:lang w:val="zh-TW" w:eastAsia="zh-TW"/>
              </w:rPr>
              <w:t>报价合计</w:t>
            </w:r>
          </w:p>
        </w:tc>
        <w:tc>
          <w:tcPr>
            <w:tcW w:w="6285" w:type="dxa"/>
            <w:gridSpan w:val="2"/>
            <w:vAlign w:val="center"/>
          </w:tcPr>
          <w:p w14:paraId="5B3B0638">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ascii="Times New Roman" w:hAnsi="Times New Roman" w:eastAsia="仿宋" w:cs="Times New Roman"/>
                <w:kern w:val="0"/>
                <w:sz w:val="22"/>
                <w:szCs w:val="22"/>
                <w:lang w:val="zh-TW" w:eastAsia="zh-TW"/>
              </w:rPr>
            </w:pPr>
            <w:r>
              <w:rPr>
                <w:rFonts w:ascii="Times New Roman" w:hAnsi="Times New Roman" w:eastAsia="仿宋" w:cs="Times New Roman"/>
                <w:kern w:val="0"/>
                <w:sz w:val="22"/>
                <w:szCs w:val="22"/>
                <w:lang w:val="zh-TW" w:eastAsia="zh-TW"/>
              </w:rPr>
              <w:t xml:space="preserve">大写：       </w:t>
            </w:r>
            <w:r>
              <w:rPr>
                <w:rFonts w:hint="eastAsia" w:ascii="Times New Roman" w:hAnsi="Times New Roman" w:eastAsia="仿宋" w:cs="Times New Roman"/>
                <w:kern w:val="0"/>
                <w:sz w:val="22"/>
                <w:szCs w:val="22"/>
                <w:lang w:val="zh-TW"/>
              </w:rPr>
              <w:t xml:space="preserve">    </w:t>
            </w:r>
            <w:r>
              <w:rPr>
                <w:rFonts w:ascii="Times New Roman" w:hAnsi="Times New Roman" w:eastAsia="仿宋" w:cs="Times New Roman"/>
                <w:kern w:val="0"/>
                <w:sz w:val="22"/>
                <w:szCs w:val="22"/>
                <w:lang w:val="zh-TW" w:eastAsia="zh-TW"/>
              </w:rPr>
              <w:t>小写：</w:t>
            </w:r>
          </w:p>
        </w:tc>
      </w:tr>
    </w:tbl>
    <w:p w14:paraId="227AE5F8">
      <w:pPr>
        <w:pStyle w:val="7"/>
        <w:rPr>
          <w:rFonts w:ascii="Times New Roman" w:hAnsi="Times New Roman" w:eastAsia="仿宋" w:cs="Times New Roman"/>
          <w:szCs w:val="21"/>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30002"/>
      <w:bookmarkStart w:id="91" w:name="_Toc2903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2D744FF1">
      <w:pPr>
        <w:pStyle w:val="41"/>
        <w:rPr>
          <w:sz w:val="48"/>
          <w:szCs w:val="48"/>
        </w:rPr>
      </w:pPr>
      <w:r>
        <w:rPr>
          <w:rFonts w:hint="eastAsia"/>
          <w:sz w:val="48"/>
          <w:szCs w:val="48"/>
        </w:rPr>
        <w:t>*</w:t>
      </w:r>
      <w:r>
        <w:rPr>
          <w:sz w:val="48"/>
          <w:szCs w:val="48"/>
        </w:rPr>
        <w:t>**</w:t>
      </w:r>
      <w:r>
        <w:rPr>
          <w:rFonts w:hint="eastAsia"/>
          <w:sz w:val="48"/>
          <w:szCs w:val="48"/>
        </w:rPr>
        <w:t>服务项目</w:t>
      </w:r>
    </w:p>
    <w:p w14:paraId="622B975B">
      <w:pPr>
        <w:pStyle w:val="41"/>
        <w:rPr>
          <w:sz w:val="48"/>
          <w:szCs w:val="48"/>
        </w:rPr>
      </w:pPr>
      <w:r>
        <w:rPr>
          <w:rFonts w:hint="eastAsia"/>
          <w:sz w:val="48"/>
          <w:szCs w:val="48"/>
        </w:rPr>
        <w:t>采购</w:t>
      </w:r>
      <w:r>
        <w:rPr>
          <w:sz w:val="48"/>
          <w:szCs w:val="48"/>
        </w:rPr>
        <w:t>合同</w:t>
      </w:r>
    </w:p>
    <w:p w14:paraId="51A81929">
      <w:pPr>
        <w:adjustRightInd w:val="0"/>
        <w:ind w:firstLine="420" w:firstLineChars="200"/>
        <w:contextualSpacing/>
        <w:jc w:val="left"/>
        <w:rPr>
          <w:color w:val="000000"/>
          <w:szCs w:val="21"/>
        </w:rPr>
      </w:pPr>
    </w:p>
    <w:p w14:paraId="38DA1C0D">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687"/>
        <w:gridCol w:w="4950"/>
      </w:tblGrid>
      <w:tr w14:paraId="53E544C7">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keepNext w:val="0"/>
        <w:keepLines w:val="0"/>
        <w:pageBreakBefore w:val="0"/>
        <w:widowControl w:val="0"/>
        <w:kinsoku/>
        <w:wordWrap/>
        <w:overflowPunct/>
        <w:topLinePunct w:val="0"/>
        <w:autoSpaceDE/>
        <w:autoSpaceDN/>
        <w:bidi w:val="0"/>
        <w:adjustRightInd w:val="0"/>
        <w:spacing w:line="360" w:lineRule="exact"/>
        <w:ind w:firstLine="420" w:firstLineChars="20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color w:val="000000"/>
          <w:szCs w:val="21"/>
        </w:rPr>
        <w:t>根据《中华人民共和国民法典》及甲方发布的***项目（项目编号</w:t>
      </w:r>
      <w:permStart w:id="0" w:edGrp="everyone"/>
      <w:r>
        <w:rPr>
          <w:rFonts w:hint="eastAsia" w:asciiTheme="minorEastAsia" w:hAnsiTheme="minorEastAsia" w:eastAsiaTheme="minorEastAsia" w:cstheme="minorEastAsia"/>
          <w:color w:val="000000"/>
          <w:szCs w:val="21"/>
        </w:rPr>
        <w:t>：</w:t>
      </w:r>
      <w:r>
        <w:rPr>
          <w:rFonts w:hint="eastAsia" w:asciiTheme="minorEastAsia" w:hAnsiTheme="minorEastAsia" w:eastAsiaTheme="minorEastAsia" w:cstheme="minorEastAsia"/>
          <w:szCs w:val="21"/>
        </w:rPr>
        <w:t>***</w:t>
      </w:r>
      <w:permEnd w:id="0"/>
      <w:r>
        <w:rPr>
          <w:rFonts w:hint="eastAsia" w:asciiTheme="minorEastAsia" w:hAnsiTheme="minorEastAsia" w:eastAsiaTheme="minorEastAsia" w:cstheme="minorEastAsia"/>
          <w:color w:val="000000"/>
          <w:szCs w:val="21"/>
        </w:rPr>
        <w:t>）《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0E683A7E">
      <w:pPr>
        <w:keepNext w:val="0"/>
        <w:keepLines w:val="0"/>
        <w:pageBreakBefore w:val="0"/>
        <w:widowControl w:val="0"/>
        <w:kinsoku/>
        <w:wordWrap/>
        <w:overflowPunct/>
        <w:topLinePunct w:val="0"/>
        <w:autoSpaceDE/>
        <w:autoSpaceDN/>
        <w:bidi w:val="0"/>
        <w:spacing w:line="360" w:lineRule="exact"/>
        <w:contextualSpacing/>
        <w:jc w:val="left"/>
        <w:textAlignment w:val="auto"/>
        <w:rPr>
          <w:rFonts w:hint="eastAsia" w:asciiTheme="minorEastAsia" w:hAnsiTheme="minorEastAsia" w:eastAsiaTheme="minorEastAsia" w:cstheme="minorEastAsia"/>
          <w:b/>
          <w:szCs w:val="21"/>
        </w:rPr>
      </w:pPr>
    </w:p>
    <w:p w14:paraId="4F98A680">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合同标的</w:t>
      </w:r>
    </w:p>
    <w:p w14:paraId="2E385537">
      <w:pPr>
        <w:pStyle w:val="9"/>
        <w:keepNext w:val="0"/>
        <w:keepLines w:val="0"/>
        <w:pageBreakBefore w:val="0"/>
        <w:widowControl w:val="0"/>
        <w:numPr>
          <w:ilvl w:val="0"/>
          <w:numId w:val="12"/>
        </w:numPr>
        <w:kinsoku/>
        <w:wordWrap/>
        <w:overflowPunct/>
        <w:topLinePunct w:val="0"/>
        <w:autoSpaceDE/>
        <w:autoSpaceDN/>
        <w:bidi w:val="0"/>
        <w:spacing w:after="0" w:line="360" w:lineRule="exact"/>
        <w:ind w:left="210" w:leftChars="0" w:hanging="210" w:hangingChars="10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标的名称：</w:t>
      </w:r>
      <w:permStart w:id="1" w:edGrp="everyone"/>
      <w:r>
        <w:rPr>
          <w:rFonts w:hint="eastAsia" w:asciiTheme="minorEastAsia" w:hAnsiTheme="minorEastAsia" w:eastAsiaTheme="minorEastAsia" w:cstheme="minorEastAsia"/>
          <w:szCs w:val="21"/>
        </w:rPr>
        <w:t>***</w:t>
      </w:r>
      <w:permEnd w:id="1"/>
      <w:r>
        <w:rPr>
          <w:rFonts w:hint="eastAsia" w:asciiTheme="minorEastAsia" w:hAnsiTheme="minorEastAsia" w:eastAsiaTheme="minorEastAsia" w:cstheme="minorEastAsia"/>
          <w:szCs w:val="21"/>
        </w:rPr>
        <w:t>。</w:t>
      </w:r>
    </w:p>
    <w:p w14:paraId="4229FB38">
      <w:pPr>
        <w:pStyle w:val="9"/>
        <w:keepNext w:val="0"/>
        <w:keepLines w:val="0"/>
        <w:pageBreakBefore w:val="0"/>
        <w:widowControl w:val="0"/>
        <w:numPr>
          <w:ilvl w:val="0"/>
          <w:numId w:val="12"/>
        </w:numPr>
        <w:kinsoku/>
        <w:wordWrap/>
        <w:overflowPunct/>
        <w:topLinePunct w:val="0"/>
        <w:autoSpaceDE/>
        <w:autoSpaceDN/>
        <w:bidi w:val="0"/>
        <w:spacing w:after="0" w:line="360" w:lineRule="exact"/>
        <w:ind w:left="210" w:leftChars="0" w:hanging="210" w:hangingChars="10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乙方向甲方提供服务的主要内容：***。</w:t>
      </w:r>
    </w:p>
    <w:p w14:paraId="5F975DD2">
      <w:pPr>
        <w:pStyle w:val="9"/>
        <w:keepNext w:val="0"/>
        <w:keepLines w:val="0"/>
        <w:pageBreakBefore w:val="0"/>
        <w:widowControl w:val="0"/>
        <w:numPr>
          <w:ilvl w:val="0"/>
          <w:numId w:val="12"/>
        </w:numPr>
        <w:kinsoku/>
        <w:wordWrap/>
        <w:overflowPunct/>
        <w:topLinePunct w:val="0"/>
        <w:autoSpaceDE/>
        <w:autoSpaceDN/>
        <w:bidi w:val="0"/>
        <w:spacing w:after="0" w:line="360" w:lineRule="exact"/>
        <w:ind w:left="210" w:leftChars="0" w:hanging="210" w:hangingChars="10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服务分项明细：</w:t>
      </w:r>
      <w:r>
        <w:rPr>
          <w:rFonts w:hint="eastAsia" w:asciiTheme="minorEastAsia" w:hAnsiTheme="minorEastAsia" w:eastAsiaTheme="minorEastAsia" w:cstheme="minor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0"/>
        <w:gridCol w:w="2801"/>
        <w:gridCol w:w="3465"/>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序号</w:t>
            </w:r>
          </w:p>
        </w:tc>
        <w:tc>
          <w:tcPr>
            <w:tcW w:w="2977" w:type="dxa"/>
            <w:vAlign w:val="center"/>
          </w:tcPr>
          <w:p w14:paraId="42032E31">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分项服务名称</w:t>
            </w:r>
          </w:p>
        </w:tc>
        <w:tc>
          <w:tcPr>
            <w:tcW w:w="3686" w:type="dxa"/>
            <w:vAlign w:val="center"/>
          </w:tcPr>
          <w:p w14:paraId="0F0FDBF4">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具体内容</w:t>
            </w:r>
          </w:p>
        </w:tc>
        <w:tc>
          <w:tcPr>
            <w:tcW w:w="963" w:type="dxa"/>
            <w:vAlign w:val="center"/>
          </w:tcPr>
          <w:p w14:paraId="6E75E46C">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分项价格（万元）</w:t>
            </w:r>
          </w:p>
        </w:tc>
        <w:tc>
          <w:tcPr>
            <w:tcW w:w="2016" w:type="dxa"/>
          </w:tcPr>
          <w:p w14:paraId="3BC8F9B2">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w:t>
            </w:r>
          </w:p>
        </w:tc>
        <w:tc>
          <w:tcPr>
            <w:tcW w:w="2977" w:type="dxa"/>
            <w:vAlign w:val="center"/>
          </w:tcPr>
          <w:p w14:paraId="629F7C51">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c>
          <w:tcPr>
            <w:tcW w:w="3686" w:type="dxa"/>
            <w:vAlign w:val="center"/>
          </w:tcPr>
          <w:p w14:paraId="1B711F72">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c>
          <w:tcPr>
            <w:tcW w:w="963" w:type="dxa"/>
            <w:vAlign w:val="center"/>
          </w:tcPr>
          <w:p w14:paraId="5DD02118">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p>
        </w:tc>
        <w:tc>
          <w:tcPr>
            <w:tcW w:w="2016" w:type="dxa"/>
          </w:tcPr>
          <w:p w14:paraId="149276E7">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2</w:t>
            </w:r>
          </w:p>
        </w:tc>
        <w:tc>
          <w:tcPr>
            <w:tcW w:w="2977" w:type="dxa"/>
            <w:vAlign w:val="center"/>
          </w:tcPr>
          <w:p w14:paraId="0E44D544">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c>
          <w:tcPr>
            <w:tcW w:w="3686" w:type="dxa"/>
            <w:vAlign w:val="center"/>
          </w:tcPr>
          <w:p w14:paraId="01B65D9C">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c>
          <w:tcPr>
            <w:tcW w:w="963" w:type="dxa"/>
            <w:vAlign w:val="center"/>
          </w:tcPr>
          <w:p w14:paraId="4C31DD39">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p>
        </w:tc>
        <w:tc>
          <w:tcPr>
            <w:tcW w:w="2016" w:type="dxa"/>
          </w:tcPr>
          <w:p w14:paraId="3000AC5A">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3</w:t>
            </w:r>
          </w:p>
        </w:tc>
        <w:tc>
          <w:tcPr>
            <w:tcW w:w="2977" w:type="dxa"/>
            <w:vAlign w:val="center"/>
          </w:tcPr>
          <w:p w14:paraId="71D5F885">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c>
          <w:tcPr>
            <w:tcW w:w="3686" w:type="dxa"/>
            <w:vAlign w:val="center"/>
          </w:tcPr>
          <w:p w14:paraId="38AC0A57">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c>
          <w:tcPr>
            <w:tcW w:w="963" w:type="dxa"/>
            <w:vAlign w:val="center"/>
          </w:tcPr>
          <w:p w14:paraId="3B158765">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p>
        </w:tc>
        <w:tc>
          <w:tcPr>
            <w:tcW w:w="2016" w:type="dxa"/>
          </w:tcPr>
          <w:p w14:paraId="43F7F4B9">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w:t>
            </w:r>
          </w:p>
        </w:tc>
        <w:tc>
          <w:tcPr>
            <w:tcW w:w="2977" w:type="dxa"/>
            <w:vAlign w:val="center"/>
          </w:tcPr>
          <w:p w14:paraId="492CFE5D">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c>
          <w:tcPr>
            <w:tcW w:w="3686" w:type="dxa"/>
            <w:vAlign w:val="center"/>
          </w:tcPr>
          <w:p w14:paraId="5E27032F">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c>
          <w:tcPr>
            <w:tcW w:w="963" w:type="dxa"/>
            <w:vAlign w:val="center"/>
          </w:tcPr>
          <w:p w14:paraId="19B21445">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p>
        </w:tc>
        <w:tc>
          <w:tcPr>
            <w:tcW w:w="2016" w:type="dxa"/>
          </w:tcPr>
          <w:p w14:paraId="5FC047A6">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r>
    </w:tbl>
    <w:p w14:paraId="2D35C912">
      <w:pPr>
        <w:pStyle w:val="29"/>
        <w:keepNext w:val="0"/>
        <w:keepLines w:val="0"/>
        <w:pageBreakBefore w:val="0"/>
        <w:widowControl w:val="0"/>
        <w:numPr>
          <w:ilvl w:val="0"/>
          <w:numId w:val="11"/>
        </w:numPr>
        <w:kinsoku/>
        <w:wordWrap/>
        <w:overflowPunct/>
        <w:topLinePunct w:val="0"/>
        <w:autoSpaceDE/>
        <w:autoSpaceDN/>
        <w:bidi w:val="0"/>
        <w:spacing w:line="360" w:lineRule="exact"/>
        <w:ind w:firstLineChars="0"/>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合同价款</w:t>
      </w:r>
    </w:p>
    <w:p w14:paraId="036F89BD">
      <w:pPr>
        <w:keepNext w:val="0"/>
        <w:keepLines w:val="0"/>
        <w:pageBreakBefore w:val="0"/>
        <w:widowControl w:val="0"/>
        <w:kinsoku/>
        <w:wordWrap/>
        <w:overflowPunct/>
        <w:topLinePunct w:val="0"/>
        <w:autoSpaceDE/>
        <w:autoSpaceDN/>
        <w:bidi w:val="0"/>
        <w:spacing w:line="360" w:lineRule="exact"/>
        <w:ind w:firstLine="480"/>
        <w:contextualSpacing/>
        <w:jc w:val="left"/>
        <w:textAlignment w:val="auto"/>
        <w:rPr>
          <w:rFonts w:hint="eastAsia" w:asciiTheme="minorEastAsia" w:hAnsiTheme="minorEastAsia" w:eastAsiaTheme="minorEastAsia" w:cstheme="minorEastAsia"/>
          <w:szCs w:val="21"/>
        </w:rPr>
      </w:pPr>
      <w:bookmarkStart w:id="95" w:name="OLE_LINK2"/>
      <w:bookmarkStart w:id="96" w:name="OLE_LINK1"/>
      <w:r>
        <w:rPr>
          <w:rFonts w:hint="eastAsia" w:asciiTheme="minorEastAsia" w:hAnsiTheme="minorEastAsia" w:eastAsiaTheme="minorEastAsia" w:cstheme="minorEastAsia"/>
          <w:color w:val="000000"/>
          <w:szCs w:val="21"/>
        </w:rPr>
        <w:sym w:font="Wingdings 2" w:char="F052"/>
      </w:r>
      <w:r>
        <w:rPr>
          <w:rFonts w:hint="eastAsia" w:asciiTheme="minorEastAsia" w:hAnsiTheme="minorEastAsia" w:eastAsiaTheme="minorEastAsia" w:cstheme="minorEastAsia"/>
          <w:szCs w:val="21"/>
        </w:rPr>
        <w:t>全包服务</w:t>
      </w:r>
    </w:p>
    <w:p w14:paraId="6903D519">
      <w:pPr>
        <w:keepNext w:val="0"/>
        <w:keepLines w:val="0"/>
        <w:pageBreakBefore w:val="0"/>
        <w:widowControl w:val="0"/>
        <w:kinsoku/>
        <w:wordWrap/>
        <w:overflowPunct/>
        <w:topLinePunct w:val="0"/>
        <w:autoSpaceDE/>
        <w:autoSpaceDN/>
        <w:bidi w:val="0"/>
        <w:spacing w:line="360" w:lineRule="exact"/>
        <w:ind w:left="420" w:leftChars="200" w:firstLine="420" w:firstLineChars="20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合同总价（含税）为人民币大写：*** 圆整，即RMB *** 元，该合同总价已包括本合同标的所涉及的所有相关费用（包括但不限于技术服务、差旅交通、原材料、备品备件及税费等在内的全部含税费用）。本合同执行期间合同总价不变，甲方无须另向乙方支付本合同规定之外的其他任何费用。</w:t>
      </w:r>
    </w:p>
    <w:bookmarkEnd w:id="95"/>
    <w:bookmarkEnd w:id="96"/>
    <w:p w14:paraId="61352334">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服务期限</w:t>
      </w:r>
      <w:r>
        <w:rPr>
          <w:rFonts w:hint="eastAsia" w:asciiTheme="minorEastAsia" w:hAnsiTheme="minorEastAsia" w:eastAsiaTheme="minorEastAsia" w:cstheme="minorEastAsia"/>
          <w:i/>
          <w:iCs/>
          <w:szCs w:val="21"/>
          <w:highlight w:val="yellow"/>
        </w:rPr>
        <w:t>&lt;根据项目实际情况选择&gt;</w:t>
      </w:r>
    </w:p>
    <w:p w14:paraId="27DB179C">
      <w:pPr>
        <w:pStyle w:val="29"/>
        <w:keepNext w:val="0"/>
        <w:keepLines w:val="0"/>
        <w:pageBreakBefore w:val="0"/>
        <w:widowControl w:val="0"/>
        <w:kinsoku/>
        <w:wordWrap/>
        <w:overflowPunct/>
        <w:topLinePunct w:val="0"/>
        <w:autoSpaceDE/>
        <w:autoSpaceDN/>
        <w:bidi w:val="0"/>
        <w:spacing w:line="360" w:lineRule="exact"/>
        <w:ind w:left="105" w:leftChars="50" w:firstLine="315" w:firstLineChars="150"/>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color w:val="000000"/>
          <w:szCs w:val="21"/>
        </w:rPr>
        <w:sym w:font="Wingdings 2" w:char="F052"/>
      </w:r>
      <w:r>
        <w:rPr>
          <w:rFonts w:hint="eastAsia" w:asciiTheme="minorEastAsia" w:hAnsiTheme="minorEastAsia" w:eastAsiaTheme="minorEastAsia" w:cstheme="minorEastAsia"/>
          <w:bCs/>
          <w:szCs w:val="21"/>
        </w:rPr>
        <w:t>本项目服务期为</w:t>
      </w:r>
      <w:r>
        <w:rPr>
          <w:rFonts w:hint="eastAsia" w:asciiTheme="minorEastAsia" w:hAnsiTheme="minorEastAsia" w:eastAsiaTheme="minorEastAsia" w:cstheme="minorEastAsia"/>
          <w:bCs/>
          <w:szCs w:val="21"/>
          <w:u w:val="single"/>
        </w:rPr>
        <w:t>叁</w:t>
      </w:r>
      <w:r>
        <w:rPr>
          <w:rFonts w:hint="eastAsia" w:asciiTheme="minorEastAsia" w:hAnsiTheme="minorEastAsia" w:eastAsiaTheme="minorEastAsia" w:cstheme="minorEastAsia"/>
          <w:bCs/>
          <w:szCs w:val="21"/>
        </w:rPr>
        <w:t>年（自202*年**月**日到202*年**月**日），合同一年一签，每年服务费为人民币 *** 元（大写：*** 圆整）。本合同为第***期，服务期为自202*年***月***日至202*年**月**日</w:t>
      </w:r>
      <w:r>
        <w:rPr>
          <w:rFonts w:hint="eastAsia" w:asciiTheme="minorEastAsia" w:hAnsiTheme="minorEastAsia" w:eastAsiaTheme="minorEastAsia" w:cstheme="minorEastAsia"/>
          <w:bCs/>
          <w:szCs w:val="21"/>
          <w:u w:val="single"/>
        </w:rPr>
        <w:t>，经甲方考核合格后续签下一年合同</w:t>
      </w:r>
      <w:bookmarkStart w:id="97" w:name="OLE_LINK29"/>
      <w:r>
        <w:rPr>
          <w:rFonts w:hint="eastAsia" w:asciiTheme="minorEastAsia" w:hAnsiTheme="minorEastAsia" w:eastAsiaTheme="minorEastAsia" w:cstheme="minorEastAsia"/>
          <w:bCs/>
          <w:szCs w:val="21"/>
        </w:rPr>
        <w:t>，考核标准详见附件</w:t>
      </w:r>
      <w:r>
        <w:rPr>
          <w:rFonts w:hint="eastAsia" w:asciiTheme="minorEastAsia" w:hAnsiTheme="minorEastAsia" w:eastAsiaTheme="minorEastAsia" w:cstheme="minorEastAsia"/>
          <w:bCs/>
          <w:szCs w:val="21"/>
          <w:u w:val="single"/>
        </w:rPr>
        <w:t>2</w:t>
      </w:r>
      <w:r>
        <w:rPr>
          <w:rFonts w:hint="eastAsia" w:asciiTheme="minorEastAsia" w:hAnsiTheme="minorEastAsia" w:eastAsiaTheme="minorEastAsia" w:cstheme="minorEastAsia"/>
          <w:bCs/>
          <w:szCs w:val="21"/>
        </w:rPr>
        <w:t>《考核标准》</w:t>
      </w:r>
      <w:bookmarkEnd w:id="97"/>
      <w:r>
        <w:rPr>
          <w:rFonts w:hint="eastAsia" w:asciiTheme="minorEastAsia" w:hAnsiTheme="minorEastAsia" w:eastAsiaTheme="minorEastAsia" w:cstheme="minorEastAsia"/>
          <w:bCs/>
          <w:szCs w:val="21"/>
        </w:rPr>
        <w:t>。</w:t>
      </w:r>
    </w:p>
    <w:p w14:paraId="1B257405">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服务方案</w:t>
      </w:r>
    </w:p>
    <w:p w14:paraId="06E0AE13">
      <w:pPr>
        <w:keepNext w:val="0"/>
        <w:keepLines w:val="0"/>
        <w:pageBreakBefore w:val="0"/>
        <w:widowControl w:val="0"/>
        <w:kinsoku/>
        <w:wordWrap/>
        <w:overflowPunct/>
        <w:topLinePunct w:val="0"/>
        <w:autoSpaceDE/>
        <w:autoSpaceDN/>
        <w:bidi w:val="0"/>
        <w:spacing w:line="360" w:lineRule="exact"/>
        <w:ind w:firstLine="420" w:firstLineChars="20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乙方应严格按照本合同服务方案和甲方要求提供服务，服务方案详见附件3《服务方案》。</w:t>
      </w:r>
    </w:p>
    <w:p w14:paraId="7482C29A">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验收</w:t>
      </w:r>
    </w:p>
    <w:p w14:paraId="57707485">
      <w:pPr>
        <w:pStyle w:val="29"/>
        <w:keepNext w:val="0"/>
        <w:keepLines w:val="0"/>
        <w:pageBreakBefore w:val="0"/>
        <w:widowControl w:val="0"/>
        <w:numPr>
          <w:ilvl w:val="0"/>
          <w:numId w:val="13"/>
        </w:numPr>
        <w:kinsoku/>
        <w:wordWrap/>
        <w:overflowPunct/>
        <w:topLinePunct w:val="0"/>
        <w:autoSpaceDE/>
        <w:autoSpaceDN/>
        <w:bidi w:val="0"/>
        <w:spacing w:line="360" w:lineRule="exact"/>
        <w:ind w:left="0" w:firstLine="0"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甲、乙双方确定，按照本合同约定的验收方案对乙方按本合同约定所提供的服务进行验收。</w:t>
      </w:r>
    </w:p>
    <w:p w14:paraId="103305C9">
      <w:pPr>
        <w:pStyle w:val="29"/>
        <w:keepNext w:val="0"/>
        <w:keepLines w:val="0"/>
        <w:pageBreakBefore w:val="0"/>
        <w:widowControl w:val="0"/>
        <w:numPr>
          <w:ilvl w:val="0"/>
          <w:numId w:val="13"/>
        </w:numPr>
        <w:kinsoku/>
        <w:wordWrap/>
        <w:overflowPunct/>
        <w:topLinePunct w:val="0"/>
        <w:autoSpaceDE/>
        <w:autoSpaceDN/>
        <w:bidi w:val="0"/>
        <w:spacing w:line="360" w:lineRule="exact"/>
        <w:ind w:left="0" w:firstLine="0"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验收方案：</w:t>
      </w:r>
    </w:p>
    <w:p w14:paraId="10719FFA">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验收主体：甲方</w:t>
      </w:r>
    </w:p>
    <w:p w14:paraId="7212F6E2">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验收组织方式：自行验收</w:t>
      </w:r>
    </w:p>
    <w:p w14:paraId="5C963DBA">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验收程序：</w:t>
      </w:r>
      <w:r>
        <w:rPr>
          <w:rFonts w:hint="eastAsia" w:asciiTheme="minorEastAsia" w:hAnsiTheme="minorEastAsia" w:eastAsiaTheme="minorEastAsia" w:cstheme="minorEastAsia"/>
        </w:rPr>
        <w:sym w:font="Wingdings 2" w:char="F052"/>
      </w:r>
      <w:r>
        <w:rPr>
          <w:rFonts w:hint="eastAsia" w:asciiTheme="minorEastAsia" w:hAnsiTheme="minorEastAsia" w:eastAsiaTheme="minorEastAsia" w:cstheme="minorEastAsia"/>
          <w:color w:val="000000"/>
          <w:szCs w:val="21"/>
        </w:rPr>
        <w:t xml:space="preserve">一次性验收   </w:t>
      </w:r>
      <w:r>
        <w:rPr>
          <w:rFonts w:hint="eastAsia" w:asciiTheme="minorEastAsia" w:hAnsiTheme="minorEastAsia" w:eastAsiaTheme="minorEastAsia" w:cstheme="minorEastAsia"/>
        </w:rPr>
        <w:sym w:font="Wingdings" w:char="F0A8"/>
      </w:r>
      <w:r>
        <w:rPr>
          <w:rFonts w:hint="eastAsia" w:asciiTheme="minorEastAsia" w:hAnsiTheme="minorEastAsia" w:eastAsiaTheme="minorEastAsia" w:cstheme="minorEastAsia"/>
          <w:color w:val="000000"/>
          <w:szCs w:val="21"/>
        </w:rPr>
        <w:t>分段/分期验收</w:t>
      </w:r>
    </w:p>
    <w:p w14:paraId="0ACAEB8E">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验收方式：</w:t>
      </w:r>
      <w:r>
        <w:rPr>
          <w:rFonts w:hint="eastAsia" w:asciiTheme="minorEastAsia" w:hAnsiTheme="minorEastAsia" w:eastAsiaTheme="minorEastAsia" w:cstheme="minorEastAsia"/>
          <w:color w:val="000000"/>
        </w:rPr>
        <w:sym w:font="Wingdings 2" w:char="F052"/>
      </w:r>
      <w:r>
        <w:rPr>
          <w:rFonts w:hint="eastAsia" w:asciiTheme="minorEastAsia" w:hAnsiTheme="minorEastAsia" w:eastAsiaTheme="minorEastAsia" w:cstheme="minorEastAsia"/>
          <w:color w:val="000000"/>
        </w:rPr>
        <w:t>现场整体验收</w:t>
      </w:r>
      <w:r>
        <w:rPr>
          <w:rFonts w:hint="eastAsia" w:asciiTheme="minorEastAsia" w:hAnsiTheme="minorEastAsia" w:eastAsiaTheme="minorEastAsia" w:cstheme="minorEastAsia"/>
          <w:color w:val="000000"/>
          <w:kern w:val="0"/>
          <w:szCs w:val="21"/>
          <w:shd w:val="clear" w:color="auto" w:fill="FFFFFF"/>
        </w:rPr>
        <w:t xml:space="preserve">   </w:t>
      </w:r>
      <w:r>
        <w:rPr>
          <w:rFonts w:hint="eastAsia" w:asciiTheme="minorEastAsia" w:hAnsiTheme="minorEastAsia" w:eastAsiaTheme="minorEastAsia" w:cstheme="minorEastAsia"/>
          <w:color w:val="000000"/>
          <w:shd w:val="clear" w:color="auto" w:fill="FFFFFF"/>
        </w:rPr>
        <w:sym w:font="Wingdings" w:char="F0A8"/>
      </w:r>
      <w:r>
        <w:rPr>
          <w:rFonts w:hint="eastAsia" w:asciiTheme="minorEastAsia" w:hAnsiTheme="minorEastAsia" w:eastAsiaTheme="minorEastAsia" w:cstheme="minorEastAsia"/>
          <w:color w:val="000000"/>
          <w:shd w:val="clear" w:color="auto" w:fill="FFFFFF"/>
        </w:rPr>
        <w:t>考核验收</w:t>
      </w:r>
      <w:r>
        <w:rPr>
          <w:rFonts w:hint="eastAsia" w:asciiTheme="minorEastAsia" w:hAnsiTheme="minorEastAsia" w:eastAsiaTheme="minorEastAsia" w:cstheme="minorEastAsia"/>
          <w:color w:val="000000"/>
          <w:kern w:val="0"/>
          <w:szCs w:val="21"/>
          <w:shd w:val="clear" w:color="auto" w:fill="FFFFFF"/>
        </w:rPr>
        <w:t xml:space="preserve">   </w:t>
      </w:r>
      <w:r>
        <w:rPr>
          <w:rFonts w:hint="eastAsia" w:asciiTheme="minorEastAsia" w:hAnsiTheme="minorEastAsia" w:eastAsiaTheme="minorEastAsia" w:cstheme="minorEastAsia"/>
          <w:color w:val="000000"/>
          <w:shd w:val="clear" w:color="auto" w:fill="FFFFFF"/>
        </w:rPr>
        <w:sym w:font="Wingdings" w:char="F0A8"/>
      </w:r>
      <w:r>
        <w:rPr>
          <w:rFonts w:hint="eastAsia" w:asciiTheme="minorEastAsia" w:hAnsiTheme="minorEastAsia" w:eastAsiaTheme="minorEastAsia" w:cstheme="minorEastAsia"/>
          <w:color w:val="000000"/>
          <w:shd w:val="clear" w:color="auto" w:fill="FFFFFF"/>
        </w:rPr>
        <w:t>其它验收方式：</w:t>
      </w:r>
      <w:r>
        <w:rPr>
          <w:rFonts w:hint="eastAsia" w:asciiTheme="minorEastAsia" w:hAnsiTheme="minorEastAsia" w:eastAsiaTheme="minorEastAsia" w:cstheme="minorEastAsia"/>
          <w:color w:val="000000"/>
          <w:u w:val="single"/>
          <w:shd w:val="clear" w:color="auto" w:fill="FFFFFF"/>
        </w:rPr>
        <w:t>***</w:t>
      </w:r>
    </w:p>
    <w:p w14:paraId="25BB580A">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履约验收内容：按照甲方的采购文件要求及乙方响应文件响应情况，由乙方向甲方提供的</w:t>
      </w:r>
      <w:r>
        <w:rPr>
          <w:rFonts w:hint="eastAsia" w:asciiTheme="minorEastAsia" w:hAnsiTheme="minorEastAsia" w:eastAsiaTheme="minorEastAsia" w:cstheme="minorEastAsia"/>
          <w:szCs w:val="21"/>
          <w:u w:val="single"/>
        </w:rPr>
        <w:t>全部服务</w:t>
      </w:r>
      <w:r>
        <w:rPr>
          <w:rFonts w:hint="eastAsia" w:asciiTheme="minorEastAsia" w:hAnsiTheme="minorEastAsia" w:eastAsiaTheme="minorEastAsia" w:cstheme="minorEastAsia"/>
          <w:szCs w:val="21"/>
        </w:rPr>
        <w:t>的履约情况。</w:t>
      </w:r>
    </w:p>
    <w:p w14:paraId="1F2D4CFA">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履约验收时间：</w:t>
      </w:r>
    </w:p>
    <w:p w14:paraId="27EEE864">
      <w:pPr>
        <w:pStyle w:val="16"/>
        <w:keepNext w:val="0"/>
        <w:keepLines w:val="0"/>
        <w:pageBreakBefore w:val="0"/>
        <w:widowControl w:val="0"/>
        <w:kinsoku/>
        <w:wordWrap/>
        <w:overflowPunct/>
        <w:topLinePunct w:val="0"/>
        <w:autoSpaceDE/>
        <w:autoSpaceDN/>
        <w:bidi w:val="0"/>
        <w:spacing w:after="0" w:line="360" w:lineRule="exact"/>
        <w:ind w:left="420" w:leftChars="200" w:firstLine="0"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sym w:font="Wingdings 2" w:char="F052"/>
      </w:r>
      <w:r>
        <w:rPr>
          <w:rFonts w:hint="eastAsia" w:asciiTheme="minorEastAsia" w:hAnsiTheme="minorEastAsia" w:eastAsiaTheme="minorEastAsia" w:cstheme="minorEastAsia"/>
          <w:color w:val="000000"/>
          <w:szCs w:val="21"/>
        </w:rPr>
        <w:t>服务期满且乙方完成所有服务内容后X日内通知甲方验收，甲方接乙方通知后X日内组织验收</w:t>
      </w:r>
    </w:p>
    <w:p w14:paraId="13560871">
      <w:pPr>
        <w:pStyle w:val="16"/>
        <w:keepNext w:val="0"/>
        <w:keepLines w:val="0"/>
        <w:pageBreakBefore w:val="0"/>
        <w:widowControl w:val="0"/>
        <w:kinsoku/>
        <w:wordWrap/>
        <w:overflowPunct/>
        <w:topLinePunct w:val="0"/>
        <w:autoSpaceDE/>
        <w:autoSpaceDN/>
        <w:bidi w:val="0"/>
        <w:spacing w:after="0" w:line="360" w:lineRule="exact"/>
        <w:ind w:left="420" w:leftChars="200" w:firstLine="0"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sym w:font="Wingdings" w:char="F0A8"/>
      </w:r>
      <w:r>
        <w:rPr>
          <w:rFonts w:hint="eastAsia" w:asciiTheme="minorEastAsia" w:hAnsiTheme="minorEastAsia" w:eastAsiaTheme="minorEastAsia" w:cstheme="minorEastAsia"/>
          <w:color w:val="000000"/>
          <w:szCs w:val="21"/>
        </w:rPr>
        <w:t>乙方完成每一阶段或轮次服务内容后X日内通知甲方验收，甲方接乙方通知后X日内组织验收</w:t>
      </w:r>
    </w:p>
    <w:p w14:paraId="668E8ECC">
      <w:pPr>
        <w:pStyle w:val="16"/>
        <w:keepNext w:val="0"/>
        <w:keepLines w:val="0"/>
        <w:pageBreakBefore w:val="0"/>
        <w:widowControl w:val="0"/>
        <w:kinsoku/>
        <w:wordWrap/>
        <w:overflowPunct/>
        <w:topLinePunct w:val="0"/>
        <w:autoSpaceDE/>
        <w:autoSpaceDN/>
        <w:bidi w:val="0"/>
        <w:spacing w:after="0" w:line="360" w:lineRule="exact"/>
        <w:ind w:left="420" w:leftChars="200" w:firstLine="0"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sym w:font="Wingdings" w:char="F0A8"/>
      </w:r>
      <w:r>
        <w:rPr>
          <w:rFonts w:hint="eastAsia" w:asciiTheme="minorEastAsia" w:hAnsiTheme="minorEastAsia" w:eastAsiaTheme="minorEastAsia" w:cstheme="minorEastAsia"/>
          <w:color w:val="000000"/>
          <w:szCs w:val="21"/>
        </w:rPr>
        <w:t>甲方完成考核后X日内组织验收</w:t>
      </w:r>
    </w:p>
    <w:p w14:paraId="06090759">
      <w:pPr>
        <w:pStyle w:val="16"/>
        <w:keepNext w:val="0"/>
        <w:keepLines w:val="0"/>
        <w:pageBreakBefore w:val="0"/>
        <w:widowControl w:val="0"/>
        <w:kinsoku/>
        <w:wordWrap/>
        <w:overflowPunct/>
        <w:topLinePunct w:val="0"/>
        <w:autoSpaceDE/>
        <w:autoSpaceDN/>
        <w:bidi w:val="0"/>
        <w:spacing w:after="0" w:line="360" w:lineRule="exact"/>
        <w:ind w:left="420" w:leftChars="200" w:firstLine="0" w:firstLineChars="0"/>
        <w:contextualSpacing/>
        <w:textAlignment w:val="auto"/>
        <w:rPr>
          <w:rFonts w:hint="eastAsia" w:asciiTheme="minorEastAsia" w:hAnsiTheme="minorEastAsia" w:eastAsiaTheme="minorEastAsia" w:cstheme="minorEastAsia"/>
          <w:color w:val="000000"/>
          <w:szCs w:val="21"/>
          <w:shd w:val="clear" w:color="auto" w:fill="FFFFFF"/>
        </w:rPr>
      </w:pPr>
      <w:r>
        <w:rPr>
          <w:rFonts w:hint="eastAsia" w:asciiTheme="minorEastAsia" w:hAnsiTheme="minorEastAsia" w:eastAsiaTheme="minorEastAsia" w:cstheme="minorEastAsia"/>
          <w:color w:val="000000"/>
          <w:szCs w:val="21"/>
        </w:rPr>
        <w:sym w:font="Wingdings" w:char="F0A8"/>
      </w:r>
      <w:r>
        <w:rPr>
          <w:rFonts w:hint="eastAsia" w:asciiTheme="minorEastAsia" w:hAnsiTheme="minorEastAsia" w:eastAsiaTheme="minorEastAsia" w:cstheme="minorEastAsia"/>
          <w:color w:val="000000"/>
          <w:szCs w:val="21"/>
        </w:rPr>
        <w:t xml:space="preserve">其它验收时间：            </w:t>
      </w:r>
    </w:p>
    <w:p w14:paraId="0A943DA8">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是否邀请本项目的其他供应商： </w:t>
      </w:r>
      <w:r>
        <w:rPr>
          <w:rFonts w:hint="eastAsia" w:asciiTheme="minorEastAsia" w:hAnsiTheme="minorEastAsia" w:eastAsiaTheme="minorEastAsia" w:cstheme="minorEastAsia"/>
          <w:kern w:val="0"/>
          <w:shd w:val="clear" w:color="auto" w:fill="FFFFFF"/>
        </w:rPr>
        <w:sym w:font="Wingdings" w:char="F0A8"/>
      </w:r>
      <w:r>
        <w:rPr>
          <w:rFonts w:hint="eastAsia" w:asciiTheme="minorEastAsia" w:hAnsiTheme="minorEastAsia" w:eastAsiaTheme="minorEastAsia" w:cstheme="minorEastAsia"/>
          <w:szCs w:val="21"/>
          <w:shd w:val="clear" w:color="auto" w:fill="FFFFFF"/>
        </w:rPr>
        <w:t xml:space="preserve">是   </w:t>
      </w:r>
      <w:r>
        <w:rPr>
          <w:rFonts w:hint="eastAsia" w:asciiTheme="minorEastAsia" w:hAnsiTheme="minorEastAsia" w:eastAsiaTheme="minorEastAsia" w:cstheme="minorEastAsia"/>
          <w:kern w:val="0"/>
        </w:rPr>
        <w:sym w:font="Wingdings 2" w:char="F052"/>
      </w:r>
      <w:r>
        <w:rPr>
          <w:rFonts w:hint="eastAsia" w:asciiTheme="minorEastAsia" w:hAnsiTheme="minorEastAsia" w:eastAsiaTheme="minorEastAsia" w:cstheme="minorEastAsia"/>
          <w:szCs w:val="21"/>
          <w:shd w:val="clear" w:color="auto" w:fill="FFFFFF"/>
        </w:rPr>
        <w:t>否</w:t>
      </w:r>
    </w:p>
    <w:p w14:paraId="740E083B">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是否邀请专家： </w:t>
      </w:r>
      <w:r>
        <w:rPr>
          <w:rFonts w:hint="eastAsia" w:asciiTheme="minorEastAsia" w:hAnsiTheme="minorEastAsia" w:eastAsiaTheme="minorEastAsia" w:cstheme="minorEastAsia"/>
          <w:kern w:val="0"/>
          <w:shd w:val="clear" w:color="auto" w:fill="FFFFFF"/>
        </w:rPr>
        <w:sym w:font="Wingdings" w:char="F0A8"/>
      </w:r>
      <w:r>
        <w:rPr>
          <w:rFonts w:hint="eastAsia" w:asciiTheme="minorEastAsia" w:hAnsiTheme="minorEastAsia" w:eastAsiaTheme="minorEastAsia" w:cstheme="minorEastAsia"/>
          <w:szCs w:val="21"/>
          <w:shd w:val="clear" w:color="auto" w:fill="FFFFFF"/>
        </w:rPr>
        <w:t xml:space="preserve">是   </w:t>
      </w:r>
      <w:r>
        <w:rPr>
          <w:rFonts w:hint="eastAsia" w:asciiTheme="minorEastAsia" w:hAnsiTheme="minorEastAsia" w:eastAsiaTheme="minorEastAsia" w:cstheme="minorEastAsia"/>
          <w:kern w:val="0"/>
        </w:rPr>
        <w:sym w:font="Wingdings 2" w:char="F052"/>
      </w:r>
      <w:r>
        <w:rPr>
          <w:rFonts w:hint="eastAsia" w:asciiTheme="minorEastAsia" w:hAnsiTheme="minorEastAsia" w:eastAsiaTheme="minorEastAsia" w:cstheme="minorEastAsia"/>
          <w:szCs w:val="21"/>
          <w:shd w:val="clear" w:color="auto" w:fill="FFFFFF"/>
        </w:rPr>
        <w:t>否</w:t>
      </w:r>
    </w:p>
    <w:p w14:paraId="595EB419">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是否邀请服务对象： </w:t>
      </w:r>
      <w:r>
        <w:rPr>
          <w:rFonts w:hint="eastAsia" w:asciiTheme="minorEastAsia" w:hAnsiTheme="minorEastAsia" w:eastAsiaTheme="minorEastAsia" w:cstheme="minorEastAsia"/>
          <w:kern w:val="0"/>
          <w:shd w:val="clear" w:color="auto" w:fill="FFFFFF"/>
        </w:rPr>
        <w:sym w:font="Wingdings" w:char="F0A8"/>
      </w:r>
      <w:r>
        <w:rPr>
          <w:rFonts w:hint="eastAsia" w:asciiTheme="minorEastAsia" w:hAnsiTheme="minorEastAsia" w:eastAsiaTheme="minorEastAsia" w:cstheme="minorEastAsia"/>
          <w:szCs w:val="21"/>
          <w:shd w:val="clear" w:color="auto" w:fill="FFFFFF"/>
        </w:rPr>
        <w:t xml:space="preserve">是   </w:t>
      </w:r>
      <w:r>
        <w:rPr>
          <w:rFonts w:hint="eastAsia" w:asciiTheme="minorEastAsia" w:hAnsiTheme="minorEastAsia" w:eastAsiaTheme="minorEastAsia" w:cstheme="minorEastAsia"/>
          <w:kern w:val="0"/>
        </w:rPr>
        <w:sym w:font="Wingdings 2" w:char="F052"/>
      </w:r>
      <w:r>
        <w:rPr>
          <w:rFonts w:hint="eastAsia" w:asciiTheme="minorEastAsia" w:hAnsiTheme="minorEastAsia" w:eastAsiaTheme="minorEastAsia" w:cstheme="minorEastAsia"/>
          <w:szCs w:val="21"/>
          <w:shd w:val="clear" w:color="auto" w:fill="FFFFFF"/>
        </w:rPr>
        <w:t>否</w:t>
      </w:r>
    </w:p>
    <w:p w14:paraId="212FF5E1">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是否邀请第三方检测机构：</w:t>
      </w:r>
      <w:r>
        <w:rPr>
          <w:rFonts w:hint="eastAsia" w:asciiTheme="minorEastAsia" w:hAnsiTheme="minorEastAsia" w:eastAsiaTheme="minorEastAsia" w:cstheme="minorEastAsia"/>
          <w:kern w:val="0"/>
          <w:shd w:val="clear" w:color="auto" w:fill="FFFFFF"/>
        </w:rPr>
        <w:t xml:space="preserve"> </w:t>
      </w:r>
      <w:r>
        <w:rPr>
          <w:rFonts w:hint="eastAsia" w:asciiTheme="minorEastAsia" w:hAnsiTheme="minorEastAsia" w:eastAsiaTheme="minorEastAsia" w:cstheme="minorEastAsia"/>
          <w:kern w:val="0"/>
          <w:shd w:val="clear" w:color="auto" w:fill="FFFFFF"/>
        </w:rPr>
        <w:sym w:font="Wingdings" w:char="F0A8"/>
      </w:r>
      <w:r>
        <w:rPr>
          <w:rFonts w:hint="eastAsia" w:asciiTheme="minorEastAsia" w:hAnsiTheme="minorEastAsia" w:eastAsiaTheme="minorEastAsia" w:cstheme="minorEastAsia"/>
          <w:szCs w:val="21"/>
          <w:shd w:val="clear" w:color="auto" w:fill="FFFFFF"/>
        </w:rPr>
        <w:t xml:space="preserve">是   </w:t>
      </w:r>
      <w:r>
        <w:rPr>
          <w:rFonts w:hint="eastAsia" w:asciiTheme="minorEastAsia" w:hAnsiTheme="minorEastAsia" w:eastAsiaTheme="minorEastAsia" w:cstheme="minorEastAsia"/>
          <w:kern w:val="0"/>
        </w:rPr>
        <w:sym w:font="Wingdings 2" w:char="F052"/>
      </w:r>
      <w:r>
        <w:rPr>
          <w:rFonts w:hint="eastAsia" w:asciiTheme="minorEastAsia" w:hAnsiTheme="minorEastAsia" w:eastAsiaTheme="minorEastAsia" w:cstheme="minorEastAsia"/>
          <w:szCs w:val="21"/>
          <w:shd w:val="clear" w:color="auto" w:fill="FFFFFF"/>
        </w:rPr>
        <w:t>否</w:t>
      </w:r>
    </w:p>
    <w:p w14:paraId="47F88790">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验收标准：</w:t>
      </w:r>
    </w:p>
    <w:p w14:paraId="24757C73">
      <w:pPr>
        <w:pStyle w:val="16"/>
        <w:keepNext w:val="0"/>
        <w:keepLines w:val="0"/>
        <w:pageBreakBefore w:val="0"/>
        <w:widowControl w:val="0"/>
        <w:numPr>
          <w:ilvl w:val="0"/>
          <w:numId w:val="15"/>
        </w:numPr>
        <w:kinsoku/>
        <w:wordWrap/>
        <w:overflowPunct/>
        <w:topLinePunct w:val="0"/>
        <w:autoSpaceDE/>
        <w:autoSpaceDN/>
        <w:bidi w:val="0"/>
        <w:spacing w:after="0" w:line="360" w:lineRule="exact"/>
        <w:ind w:firstLineChars="0"/>
        <w:contextualSpacing/>
        <w:textAlignment w:val="auto"/>
        <w:rPr>
          <w:rFonts w:hint="eastAsia" w:asciiTheme="minorEastAsia" w:hAnsiTheme="minorEastAsia" w:eastAsiaTheme="minorEastAsia" w:cstheme="minorEastAsia"/>
          <w:szCs w:val="21"/>
        </w:rPr>
      </w:pPr>
      <w:bookmarkStart w:id="98" w:name="OLE_LINK4"/>
      <w:r>
        <w:rPr>
          <w:rFonts w:hint="eastAsia" w:asciiTheme="minorEastAsia" w:hAnsiTheme="minorEastAsia" w:eastAsiaTheme="minorEastAsia" w:cstheme="minorEastAsia"/>
          <w:szCs w:val="21"/>
          <w:shd w:val="clear" w:color="auto" w:fill="FFFFFF"/>
        </w:rPr>
        <w:t>国家相关法律法规、行业标准、技术规范。</w:t>
      </w:r>
    </w:p>
    <w:p w14:paraId="4A341926">
      <w:pPr>
        <w:pStyle w:val="16"/>
        <w:keepNext w:val="0"/>
        <w:keepLines w:val="0"/>
        <w:pageBreakBefore w:val="0"/>
        <w:widowControl w:val="0"/>
        <w:numPr>
          <w:ilvl w:val="0"/>
          <w:numId w:val="15"/>
        </w:numPr>
        <w:kinsoku/>
        <w:wordWrap/>
        <w:overflowPunct/>
        <w:topLinePunct w:val="0"/>
        <w:autoSpaceDE/>
        <w:autoSpaceDN/>
        <w:bidi w:val="0"/>
        <w:spacing w:after="0"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甲方采购文件相关技术、服务要求、乙方响应文件相关响应内容。</w:t>
      </w:r>
    </w:p>
    <w:p w14:paraId="4BB5AAAF">
      <w:pPr>
        <w:pStyle w:val="16"/>
        <w:keepNext w:val="0"/>
        <w:keepLines w:val="0"/>
        <w:pageBreakBefore w:val="0"/>
        <w:widowControl w:val="0"/>
        <w:numPr>
          <w:ilvl w:val="0"/>
          <w:numId w:val="15"/>
        </w:numPr>
        <w:kinsoku/>
        <w:wordWrap/>
        <w:overflowPunct/>
        <w:topLinePunct w:val="0"/>
        <w:autoSpaceDE/>
        <w:autoSpaceDN/>
        <w:bidi w:val="0"/>
        <w:spacing w:after="0"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如本项目验收方式为考核验收，则考核结果须为合格。</w:t>
      </w:r>
    </w:p>
    <w:bookmarkEnd w:id="98"/>
    <w:p w14:paraId="2BFFECC6">
      <w:pPr>
        <w:pStyle w:val="16"/>
        <w:keepNext w:val="0"/>
        <w:keepLines w:val="0"/>
        <w:pageBreakBefore w:val="0"/>
        <w:widowControl w:val="0"/>
        <w:numPr>
          <w:ilvl w:val="0"/>
          <w:numId w:val="15"/>
        </w:numPr>
        <w:kinsoku/>
        <w:wordWrap/>
        <w:overflowPunct/>
        <w:topLinePunct w:val="0"/>
        <w:autoSpaceDE/>
        <w:autoSpaceDN/>
        <w:bidi w:val="0"/>
        <w:spacing w:after="0"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如验收时，甲方与乙方认为本项目验收标准中的技术指标、质量要求等内容存在相互抵触或对其理解存在异议，应按照其中更严格的要求、标准等进行验收。</w:t>
      </w:r>
    </w:p>
    <w:p w14:paraId="142B41FF">
      <w:pPr>
        <w:pStyle w:val="16"/>
        <w:keepNext w:val="0"/>
        <w:keepLines w:val="0"/>
        <w:pageBreakBefore w:val="0"/>
        <w:widowControl w:val="0"/>
        <w:numPr>
          <w:ilvl w:val="0"/>
          <w:numId w:val="15"/>
        </w:numPr>
        <w:kinsoku/>
        <w:wordWrap/>
        <w:overflowPunct/>
        <w:topLinePunct w:val="0"/>
        <w:autoSpaceDE/>
        <w:autoSpaceDN/>
        <w:bidi w:val="0"/>
        <w:spacing w:after="0"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参照《财政部关于进一步加强政府采购需求和履约验收管理的指导意见》（财库〔2016〕205号）的要求进行验收。</w:t>
      </w:r>
    </w:p>
    <w:p w14:paraId="5A8F93D9">
      <w:pPr>
        <w:pStyle w:val="16"/>
        <w:keepNext w:val="0"/>
        <w:keepLines w:val="0"/>
        <w:pageBreakBefore w:val="0"/>
        <w:widowControl w:val="0"/>
        <w:numPr>
          <w:ilvl w:val="0"/>
          <w:numId w:val="15"/>
        </w:numPr>
        <w:kinsoku/>
        <w:wordWrap/>
        <w:overflowPunct/>
        <w:topLinePunct w:val="0"/>
        <w:autoSpaceDE/>
        <w:autoSpaceDN/>
        <w:bidi w:val="0"/>
        <w:spacing w:after="0"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其它标准：</w:t>
      </w:r>
      <w:r>
        <w:rPr>
          <w:rFonts w:hint="eastAsia" w:asciiTheme="minorEastAsia" w:hAnsiTheme="minorEastAsia" w:eastAsiaTheme="minorEastAsia" w:cstheme="minorEastAsia"/>
          <w:szCs w:val="21"/>
          <w:u w:val="single"/>
        </w:rPr>
        <w:t>无。</w:t>
      </w:r>
    </w:p>
    <w:p w14:paraId="5FCD4D1B">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其它验收要求：</w:t>
      </w:r>
      <w:r>
        <w:rPr>
          <w:rFonts w:hint="eastAsia" w:asciiTheme="minorEastAsia" w:hAnsiTheme="minorEastAsia" w:eastAsiaTheme="minorEastAsia" w:cstheme="minorEastAsia"/>
          <w:color w:val="000000"/>
          <w:kern w:val="0"/>
          <w:szCs w:val="21"/>
          <w:u w:val="single"/>
        </w:rPr>
        <w:t>无</w:t>
      </w:r>
      <w:r>
        <w:rPr>
          <w:rFonts w:hint="eastAsia" w:asciiTheme="minorEastAsia" w:hAnsiTheme="minorEastAsia" w:eastAsiaTheme="minorEastAsia" w:cstheme="minorEastAsia"/>
          <w:i/>
          <w:iCs/>
          <w:color w:val="000000"/>
          <w:kern w:val="0"/>
          <w:szCs w:val="21"/>
          <w:highlight w:val="yellow"/>
        </w:rPr>
        <w:t>&lt;如有请填写</w:t>
      </w:r>
      <w:r>
        <w:rPr>
          <w:rFonts w:hint="eastAsia" w:asciiTheme="minorEastAsia" w:hAnsiTheme="minorEastAsia" w:eastAsiaTheme="minorEastAsia" w:cstheme="minorEastAsia"/>
          <w:i/>
          <w:iCs/>
          <w:color w:val="000000"/>
          <w:kern w:val="0"/>
          <w:szCs w:val="21"/>
        </w:rPr>
        <w:t>&gt;</w:t>
      </w:r>
    </w:p>
    <w:p w14:paraId="6213DBF3">
      <w:pPr>
        <w:pStyle w:val="29"/>
        <w:keepNext w:val="0"/>
        <w:keepLines w:val="0"/>
        <w:pageBreakBefore w:val="0"/>
        <w:widowControl w:val="0"/>
        <w:numPr>
          <w:ilvl w:val="0"/>
          <w:numId w:val="13"/>
        </w:numPr>
        <w:kinsoku/>
        <w:wordWrap/>
        <w:overflowPunct/>
        <w:topLinePunct w:val="0"/>
        <w:autoSpaceDE/>
        <w:autoSpaceDN/>
        <w:bidi w:val="0"/>
        <w:spacing w:line="360" w:lineRule="exact"/>
        <w:ind w:left="0" w:firstLine="0" w:firstLineChars="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10%的违约金给甲方，违约金不能弥补甲方损失的，乙方应全额赔偿。</w:t>
      </w:r>
    </w:p>
    <w:p w14:paraId="2EE9DCA2">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付款方式</w:t>
      </w:r>
    </w:p>
    <w:p w14:paraId="5CC20725">
      <w:pPr>
        <w:pStyle w:val="9"/>
        <w:keepNext w:val="0"/>
        <w:keepLines w:val="0"/>
        <w:pageBreakBefore w:val="0"/>
        <w:widowControl w:val="0"/>
        <w:numPr>
          <w:ilvl w:val="0"/>
          <w:numId w:val="16"/>
        </w:numPr>
        <w:kinsoku/>
        <w:wordWrap/>
        <w:overflowPunct/>
        <w:topLinePunct w:val="0"/>
        <w:autoSpaceDE/>
        <w:autoSpaceDN/>
        <w:bidi w:val="0"/>
        <w:spacing w:after="0" w:line="360" w:lineRule="exact"/>
        <w:ind w:left="227" w:leftChars="0" w:hanging="227"/>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履约保证金：</w:t>
      </w:r>
    </w:p>
    <w:p w14:paraId="1A98FD8C">
      <w:pPr>
        <w:pStyle w:val="16"/>
        <w:keepNext w:val="0"/>
        <w:keepLines w:val="0"/>
        <w:pageBreakBefore w:val="0"/>
        <w:widowControl w:val="0"/>
        <w:kinsoku/>
        <w:wordWrap/>
        <w:overflowPunct/>
        <w:topLinePunct w:val="0"/>
        <w:autoSpaceDE/>
        <w:autoSpaceDN/>
        <w:bidi w:val="0"/>
        <w:spacing w:after="0" w:line="360" w:lineRule="exact"/>
        <w:ind w:left="420" w:leftChars="200" w:firstLine="0"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sym w:font="Wingdings 2" w:char="F052"/>
      </w:r>
      <w:r>
        <w:rPr>
          <w:rFonts w:hint="eastAsia" w:asciiTheme="minorEastAsia" w:hAnsiTheme="minorEastAsia" w:eastAsiaTheme="minorEastAsia" w:cstheme="minorEastAsia"/>
          <w:color w:val="000000"/>
          <w:szCs w:val="21"/>
        </w:rPr>
        <w:t>乙方在合同签订生效之日起的</w:t>
      </w:r>
      <w:r>
        <w:rPr>
          <w:rFonts w:hint="eastAsia" w:asciiTheme="minorEastAsia" w:hAnsiTheme="minorEastAsia" w:eastAsiaTheme="minorEastAsia" w:cstheme="minorEastAsia"/>
          <w:color w:val="000000"/>
          <w:szCs w:val="21"/>
          <w:u w:val="single"/>
        </w:rPr>
        <w:t>***</w:t>
      </w:r>
      <w:r>
        <w:rPr>
          <w:rFonts w:hint="eastAsia" w:asciiTheme="minorEastAsia" w:hAnsiTheme="minorEastAsia" w:eastAsiaTheme="minorEastAsia" w:cstheme="minorEastAsia"/>
          <w:color w:val="000000"/>
          <w:szCs w:val="21"/>
        </w:rPr>
        <w:t>个工作日内，按合同总价</w:t>
      </w:r>
      <w:r>
        <w:rPr>
          <w:rFonts w:hint="eastAsia" w:asciiTheme="minorEastAsia" w:hAnsiTheme="minorEastAsia" w:eastAsiaTheme="minorEastAsia" w:cstheme="minorEastAsia"/>
          <w:color w:val="000000"/>
          <w:szCs w:val="21"/>
          <w:u w:val="single"/>
        </w:rPr>
        <w:t>***</w:t>
      </w:r>
      <w:r>
        <w:rPr>
          <w:rFonts w:hint="eastAsia" w:asciiTheme="minorEastAsia" w:hAnsiTheme="minorEastAsia" w:eastAsiaTheme="minorEastAsia" w:cstheme="minorEastAsia"/>
          <w:color w:val="000000"/>
          <w:szCs w:val="21"/>
        </w:rPr>
        <w:t>%支付履约保证金；本合同服务期满且验收合格后，甲方接到乙方付款申请后</w:t>
      </w:r>
      <w:r>
        <w:rPr>
          <w:rFonts w:hint="eastAsia" w:asciiTheme="minorEastAsia" w:hAnsiTheme="minorEastAsia" w:eastAsiaTheme="minorEastAsia" w:cstheme="minorEastAsia"/>
          <w:color w:val="000000"/>
          <w:szCs w:val="21"/>
          <w:u w:val="single"/>
        </w:rPr>
        <w:t>30</w:t>
      </w:r>
      <w:r>
        <w:rPr>
          <w:rFonts w:hint="eastAsia" w:asciiTheme="minorEastAsia" w:hAnsiTheme="minorEastAsia" w:eastAsiaTheme="minorEastAsia" w:cstheme="minorEastAsia"/>
          <w:color w:val="000000"/>
          <w:szCs w:val="21"/>
        </w:rPr>
        <w:t>个工作日内，甲方一次性无息退还乙方的履约保证金；经验收后乙方履约不合格的，履约保证金不予退还。</w:t>
      </w:r>
    </w:p>
    <w:p w14:paraId="0DB5940E">
      <w:pPr>
        <w:pStyle w:val="9"/>
        <w:keepNext w:val="0"/>
        <w:keepLines w:val="0"/>
        <w:pageBreakBefore w:val="0"/>
        <w:widowControl w:val="0"/>
        <w:numPr>
          <w:ilvl w:val="0"/>
          <w:numId w:val="16"/>
        </w:numPr>
        <w:kinsoku/>
        <w:wordWrap/>
        <w:overflowPunct/>
        <w:topLinePunct w:val="0"/>
        <w:autoSpaceDE/>
        <w:autoSpaceDN/>
        <w:bidi w:val="0"/>
        <w:spacing w:after="0" w:line="360" w:lineRule="exact"/>
        <w:ind w:left="227" w:leftChars="0" w:hanging="227"/>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本合同价款采用以下方式支付，以人民币结算：</w:t>
      </w:r>
    </w:p>
    <w:p w14:paraId="09FDA0E6">
      <w:pPr>
        <w:pStyle w:val="16"/>
        <w:keepNext w:val="0"/>
        <w:keepLines w:val="0"/>
        <w:pageBreakBefore w:val="0"/>
        <w:widowControl w:val="0"/>
        <w:kinsoku/>
        <w:wordWrap/>
        <w:overflowPunct/>
        <w:topLinePunct w:val="0"/>
        <w:autoSpaceDE/>
        <w:autoSpaceDN/>
        <w:bidi w:val="0"/>
        <w:spacing w:after="0" w:line="360" w:lineRule="exact"/>
        <w:ind w:left="420" w:leftChars="200" w:firstLine="0"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sym w:font="Wingdings 2" w:char="F052"/>
      </w:r>
      <w:r>
        <w:rPr>
          <w:rFonts w:hint="eastAsia" w:asciiTheme="minorEastAsia" w:hAnsiTheme="minorEastAsia" w:eastAsiaTheme="minorEastAsia" w:cstheme="minorEastAsia"/>
          <w:color w:val="000000"/>
          <w:szCs w:val="21"/>
        </w:rPr>
        <w:t>一次性支付：</w:t>
      </w:r>
    </w:p>
    <w:p w14:paraId="621259CA">
      <w:pPr>
        <w:pStyle w:val="16"/>
        <w:keepNext w:val="0"/>
        <w:keepLines w:val="0"/>
        <w:pageBreakBefore w:val="0"/>
        <w:widowControl w:val="0"/>
        <w:kinsoku/>
        <w:wordWrap/>
        <w:overflowPunct/>
        <w:topLinePunct w:val="0"/>
        <w:autoSpaceDE/>
        <w:autoSpaceDN/>
        <w:bidi w:val="0"/>
        <w:spacing w:after="0" w:line="360" w:lineRule="exact"/>
        <w:ind w:left="840" w:leftChars="400" w:firstLineChars="20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szCs w:val="21"/>
        </w:rPr>
        <w:t>本合同服务期满且经甲方验收合格后</w:t>
      </w:r>
      <w:r>
        <w:rPr>
          <w:rFonts w:hint="eastAsia" w:asciiTheme="minorEastAsia" w:hAnsiTheme="minorEastAsia" w:eastAsiaTheme="minorEastAsia" w:cstheme="minorEastAsia"/>
          <w:szCs w:val="21"/>
          <w:u w:val="single"/>
        </w:rPr>
        <w:t>5</w:t>
      </w:r>
      <w:r>
        <w:rPr>
          <w:rFonts w:hint="eastAsia" w:asciiTheme="minorEastAsia" w:hAnsiTheme="minorEastAsia" w:eastAsiaTheme="minorEastAsia" w:cstheme="minorEastAsia"/>
          <w:szCs w:val="21"/>
        </w:rPr>
        <w:t>日内</w:t>
      </w:r>
      <w:r>
        <w:rPr>
          <w:rFonts w:hint="eastAsia" w:asciiTheme="minorEastAsia" w:hAnsiTheme="minorEastAsia" w:eastAsiaTheme="minorEastAsia" w:cstheme="minorEastAsia"/>
          <w:color w:val="000000"/>
          <w:szCs w:val="21"/>
        </w:rPr>
        <w:t>，乙方须向甲方提供合法有效票据及其他相关请款资料，甲方自收到乙方请款资料后</w:t>
      </w:r>
      <w:r>
        <w:rPr>
          <w:rFonts w:hint="eastAsia" w:asciiTheme="minorEastAsia" w:hAnsiTheme="minorEastAsia" w:eastAsiaTheme="minorEastAsia" w:cstheme="minorEastAsia"/>
          <w:color w:val="000000"/>
          <w:szCs w:val="21"/>
          <w:u w:val="single"/>
        </w:rPr>
        <w:t>55</w:t>
      </w:r>
      <w:r>
        <w:rPr>
          <w:rFonts w:hint="eastAsia" w:asciiTheme="minorEastAsia" w:hAnsiTheme="minorEastAsia" w:eastAsiaTheme="minorEastAsia" w:cstheme="minorEastAsia"/>
          <w:color w:val="000000"/>
          <w:szCs w:val="21"/>
        </w:rPr>
        <w:t>日内支付合同总价100%的金额给乙方。</w:t>
      </w:r>
    </w:p>
    <w:p w14:paraId="750B8A19">
      <w:pPr>
        <w:pStyle w:val="16"/>
        <w:keepNext w:val="0"/>
        <w:keepLines w:val="0"/>
        <w:pageBreakBefore w:val="0"/>
        <w:widowControl w:val="0"/>
        <w:kinsoku/>
        <w:wordWrap/>
        <w:overflowPunct/>
        <w:topLinePunct w:val="0"/>
        <w:autoSpaceDE/>
        <w:autoSpaceDN/>
        <w:bidi w:val="0"/>
        <w:spacing w:after="0" w:line="360" w:lineRule="exact"/>
        <w:ind w:left="420" w:leftChars="200" w:firstLine="0"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sym w:font="Wingdings" w:char="F0A8"/>
      </w:r>
      <w:r>
        <w:rPr>
          <w:rFonts w:hint="eastAsia" w:asciiTheme="minorEastAsia" w:hAnsiTheme="minorEastAsia" w:eastAsiaTheme="minorEastAsia" w:cstheme="minorEastAsia"/>
          <w:color w:val="000000"/>
          <w:szCs w:val="21"/>
        </w:rPr>
        <w:t>分阶段支付，支付期限、方式及额度如下：</w:t>
      </w:r>
    </w:p>
    <w:p w14:paraId="56BDDA9D">
      <w:pPr>
        <w:pStyle w:val="16"/>
        <w:keepNext w:val="0"/>
        <w:keepLines w:val="0"/>
        <w:pageBreakBefore w:val="0"/>
        <w:widowControl w:val="0"/>
        <w:kinsoku/>
        <w:wordWrap/>
        <w:overflowPunct/>
        <w:topLinePunct w:val="0"/>
        <w:autoSpaceDE/>
        <w:autoSpaceDN/>
        <w:bidi w:val="0"/>
        <w:spacing w:after="0" w:line="360" w:lineRule="exact"/>
        <w:ind w:left="840" w:leftChars="400" w:firstLineChars="20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w:t>
      </w:r>
      <w:bookmarkStart w:id="99" w:name="OLE_LINK30"/>
      <w:r>
        <w:rPr>
          <w:rFonts w:hint="eastAsia" w:asciiTheme="minorEastAsia" w:hAnsiTheme="minorEastAsia" w:eastAsiaTheme="minorEastAsia" w:cstheme="minorEastAsia"/>
          <w:szCs w:val="21"/>
        </w:rPr>
        <w:t>固定部分价款</w:t>
      </w:r>
      <w:bookmarkEnd w:id="99"/>
      <w:r>
        <w:rPr>
          <w:rFonts w:hint="eastAsia" w:asciiTheme="minorEastAsia" w:hAnsiTheme="minorEastAsia" w:eastAsiaTheme="minorEastAsia" w:cstheme="minorEastAsia"/>
          <w:color w:val="000000"/>
          <w:szCs w:val="21"/>
        </w:rPr>
        <w:t>：</w:t>
      </w:r>
      <w:r>
        <w:rPr>
          <w:rFonts w:hint="eastAsia" w:asciiTheme="minorEastAsia" w:hAnsiTheme="minorEastAsia" w:eastAsiaTheme="minorEastAsia" w:cstheme="minorEastAsia"/>
          <w:szCs w:val="21"/>
        </w:rPr>
        <w:t>本合同服务期满且经甲方验收合格后5日内</w:t>
      </w:r>
      <w:r>
        <w:rPr>
          <w:rFonts w:hint="eastAsia" w:asciiTheme="minorEastAsia" w:hAnsiTheme="minorEastAsia" w:eastAsiaTheme="minorEastAsia" w:cstheme="minorEastAsia"/>
          <w:color w:val="000000"/>
          <w:szCs w:val="21"/>
        </w:rPr>
        <w:t>，乙方须向甲方提供合法有效票据及其他相关请款资料，甲方自收到乙方请款资料后55日内向乙方支付本合同</w:t>
      </w:r>
      <w:r>
        <w:rPr>
          <w:rFonts w:hint="eastAsia" w:asciiTheme="minorEastAsia" w:hAnsiTheme="minorEastAsia" w:eastAsiaTheme="minorEastAsia" w:cstheme="minorEastAsia"/>
          <w:color w:val="000000"/>
          <w:szCs w:val="21"/>
          <w:u w:val="single"/>
        </w:rPr>
        <w:t>第二条</w:t>
      </w:r>
      <w:r>
        <w:rPr>
          <w:rFonts w:hint="eastAsia" w:asciiTheme="minorEastAsia" w:hAnsiTheme="minorEastAsia" w:eastAsiaTheme="minorEastAsia" w:cstheme="minorEastAsia"/>
          <w:color w:val="000000"/>
          <w:szCs w:val="21"/>
        </w:rPr>
        <w:t>写明的全部</w:t>
      </w:r>
      <w:r>
        <w:rPr>
          <w:rFonts w:hint="eastAsia" w:asciiTheme="minorEastAsia" w:hAnsiTheme="minorEastAsia" w:eastAsiaTheme="minorEastAsia" w:cstheme="minorEastAsia"/>
          <w:szCs w:val="21"/>
        </w:rPr>
        <w:t>固定部分价款</w:t>
      </w:r>
      <w:r>
        <w:rPr>
          <w:rFonts w:hint="eastAsia" w:asciiTheme="minorEastAsia" w:hAnsiTheme="minorEastAsia" w:eastAsiaTheme="minorEastAsia" w:cstheme="minorEastAsia"/>
          <w:color w:val="000000"/>
          <w:szCs w:val="21"/>
        </w:rPr>
        <w:t>。</w:t>
      </w:r>
    </w:p>
    <w:p w14:paraId="4C3983EC">
      <w:pPr>
        <w:pStyle w:val="16"/>
        <w:keepNext w:val="0"/>
        <w:keepLines w:val="0"/>
        <w:pageBreakBefore w:val="0"/>
        <w:widowControl w:val="0"/>
        <w:kinsoku/>
        <w:wordWrap/>
        <w:overflowPunct/>
        <w:topLinePunct w:val="0"/>
        <w:autoSpaceDE/>
        <w:autoSpaceDN/>
        <w:bidi w:val="0"/>
        <w:spacing w:after="0" w:line="360" w:lineRule="exact"/>
        <w:ind w:left="840" w:leftChars="400" w:firstLineChars="20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（2）按实结算部分：每</w:t>
      </w:r>
      <w:r>
        <w:rPr>
          <w:rFonts w:hint="eastAsia" w:asciiTheme="minorEastAsia" w:hAnsiTheme="minorEastAsia" w:eastAsiaTheme="minorEastAsia" w:cstheme="minorEastAsia"/>
          <w:color w:val="000000"/>
          <w:szCs w:val="21"/>
          <w:u w:val="single"/>
        </w:rPr>
        <w:t>XX</w:t>
      </w:r>
      <w:r>
        <w:rPr>
          <w:rFonts w:hint="eastAsia" w:asciiTheme="minorEastAsia" w:hAnsiTheme="minorEastAsia" w:eastAsiaTheme="minorEastAsia" w:cstheme="minorEastAsia"/>
          <w:i/>
          <w:iCs/>
          <w:szCs w:val="21"/>
          <w:highlight w:val="yellow"/>
        </w:rPr>
        <w:t>&lt;约定按固定周期支付的（如每季度），可根据项目具体情况编制本条款&gt;</w:t>
      </w:r>
      <w:r>
        <w:rPr>
          <w:rFonts w:hint="eastAsia" w:asciiTheme="minorEastAsia" w:hAnsiTheme="minorEastAsia" w:eastAsiaTheme="minorEastAsia" w:cstheme="minorEastAsia"/>
          <w:color w:val="000000"/>
          <w:szCs w:val="21"/>
        </w:rPr>
        <w:t>结算一次费用，结算单价以</w:t>
      </w:r>
      <w:r>
        <w:rPr>
          <w:rFonts w:hint="eastAsia" w:asciiTheme="minorEastAsia" w:hAnsiTheme="minorEastAsia" w:eastAsiaTheme="minorEastAsia" w:cstheme="minorEastAsia"/>
          <w:szCs w:val="21"/>
        </w:rPr>
        <w:t>《结算单价清单》</w:t>
      </w:r>
      <w:r>
        <w:rPr>
          <w:rFonts w:hint="eastAsia" w:asciiTheme="minorEastAsia" w:hAnsiTheme="minorEastAsia" w:eastAsiaTheme="minorEastAsia" w:cstheme="minorEastAsia"/>
          <w:color w:val="000000"/>
          <w:szCs w:val="21"/>
        </w:rPr>
        <w:t>为准。</w:t>
      </w:r>
      <w:r>
        <w:rPr>
          <w:rFonts w:hint="eastAsia" w:asciiTheme="minorEastAsia" w:hAnsiTheme="minorEastAsia" w:eastAsiaTheme="minorEastAsia" w:cstheme="minorEastAsia"/>
          <w:lang w:bidi="ar"/>
        </w:rPr>
        <w:t>结算前，乙方须向甲方提供结算费用清单进行确认，并在确认后 5 日内按清单金额向甲方提供合法有效票据及其他相关请款资料，甲方接到乙方请款资料后的</w:t>
      </w:r>
      <w:r>
        <w:rPr>
          <w:rFonts w:hint="eastAsia" w:asciiTheme="minorEastAsia" w:hAnsiTheme="minorEastAsia" w:eastAsiaTheme="minorEastAsia" w:cstheme="minorEastAsia"/>
          <w:u w:val="single"/>
          <w:lang w:bidi="ar"/>
        </w:rPr>
        <w:t>55</w:t>
      </w:r>
      <w:r>
        <w:rPr>
          <w:rFonts w:hint="eastAsia" w:asciiTheme="minorEastAsia" w:hAnsiTheme="minorEastAsia" w:eastAsiaTheme="minorEastAsia" w:cstheme="minorEastAsia"/>
          <w:lang w:bidi="ar"/>
        </w:rPr>
        <w:t>日内，向乙方全额支付上述结算费用。</w:t>
      </w:r>
    </w:p>
    <w:p w14:paraId="5586C7FB">
      <w:pPr>
        <w:pStyle w:val="9"/>
        <w:keepNext w:val="0"/>
        <w:keepLines w:val="0"/>
        <w:pageBreakBefore w:val="0"/>
        <w:widowControl w:val="0"/>
        <w:numPr>
          <w:ilvl w:val="0"/>
          <w:numId w:val="16"/>
        </w:numPr>
        <w:kinsoku/>
        <w:wordWrap/>
        <w:overflowPunct/>
        <w:topLinePunct w:val="0"/>
        <w:autoSpaceDE/>
        <w:autoSpaceDN/>
        <w:bidi w:val="0"/>
        <w:spacing w:after="0" w:line="360" w:lineRule="exact"/>
        <w:ind w:left="227" w:leftChars="0" w:hanging="227"/>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甲方付款前，乙方需</w:t>
      </w:r>
      <w:r>
        <w:rPr>
          <w:rFonts w:hint="eastAsia" w:asciiTheme="minorEastAsia" w:hAnsiTheme="minorEastAsia" w:eastAsiaTheme="minorEastAsia" w:cstheme="minorEastAsia"/>
          <w:lang w:bidi="ar"/>
        </w:rPr>
        <w:t>提供合法有效票据及其他相关请款资料</w:t>
      </w:r>
      <w:r>
        <w:rPr>
          <w:rFonts w:hint="eastAsia" w:asciiTheme="minorEastAsia" w:hAnsiTheme="minorEastAsia" w:eastAsiaTheme="minorEastAsia" w:cstheme="minorEastAsia"/>
          <w:szCs w:val="21"/>
        </w:rPr>
        <w:t>，否则甲方有权拒绝支付且不承担任何违约责任，且乙方不得因此停止服务。</w:t>
      </w:r>
    </w:p>
    <w:p w14:paraId="2EB2BA75">
      <w:pPr>
        <w:pStyle w:val="9"/>
        <w:keepNext w:val="0"/>
        <w:keepLines w:val="0"/>
        <w:pageBreakBefore w:val="0"/>
        <w:widowControl w:val="0"/>
        <w:numPr>
          <w:ilvl w:val="0"/>
          <w:numId w:val="16"/>
        </w:numPr>
        <w:kinsoku/>
        <w:wordWrap/>
        <w:overflowPunct/>
        <w:topLinePunct w:val="0"/>
        <w:autoSpaceDE/>
        <w:autoSpaceDN/>
        <w:bidi w:val="0"/>
        <w:spacing w:after="0" w:line="360" w:lineRule="exact"/>
        <w:ind w:left="227" w:leftChars="0" w:hanging="227"/>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乙方开票信息应与合同预留账户信息一致。如有变更，乙方应当在变更后3日内通知甲方。否则，由此造成的损失由乙方自行承担。</w:t>
      </w:r>
    </w:p>
    <w:p w14:paraId="19A7DEEB">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双方权利与义务</w:t>
      </w:r>
    </w:p>
    <w:p w14:paraId="581F8AA0">
      <w:pPr>
        <w:pStyle w:val="9"/>
        <w:keepNext w:val="0"/>
        <w:keepLines w:val="0"/>
        <w:pageBreakBefore w:val="0"/>
        <w:widowControl w:val="0"/>
        <w:numPr>
          <w:ilvl w:val="0"/>
          <w:numId w:val="17"/>
        </w:numPr>
        <w:kinsoku/>
        <w:wordWrap/>
        <w:overflowPunct/>
        <w:topLinePunct w:val="0"/>
        <w:autoSpaceDE/>
        <w:autoSpaceDN/>
        <w:bidi w:val="0"/>
        <w:spacing w:after="0" w:line="360" w:lineRule="exact"/>
        <w:ind w:left="227" w:leftChars="0" w:hanging="227"/>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甲方权利与义务</w:t>
      </w:r>
    </w:p>
    <w:p w14:paraId="4D16113D">
      <w:pPr>
        <w:pStyle w:val="29"/>
        <w:keepNext w:val="0"/>
        <w:keepLines w:val="0"/>
        <w:pageBreakBefore w:val="0"/>
        <w:widowControl w:val="0"/>
        <w:numPr>
          <w:ilvl w:val="0"/>
          <w:numId w:val="18"/>
        </w:numPr>
        <w:kinsoku/>
        <w:wordWrap/>
        <w:overflowPunct/>
        <w:topLinePunct w:val="0"/>
        <w:autoSpaceDE/>
        <w:autoSpaceDN/>
        <w:bidi w:val="0"/>
        <w:adjustRightInd w:val="0"/>
        <w:spacing w:line="360" w:lineRule="exact"/>
        <w:ind w:left="525"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按合同约定向乙方支付费用。</w:t>
      </w:r>
    </w:p>
    <w:p w14:paraId="62A02753">
      <w:pPr>
        <w:pStyle w:val="29"/>
        <w:keepNext w:val="0"/>
        <w:keepLines w:val="0"/>
        <w:pageBreakBefore w:val="0"/>
        <w:widowControl w:val="0"/>
        <w:numPr>
          <w:ilvl w:val="0"/>
          <w:numId w:val="18"/>
        </w:numPr>
        <w:kinsoku/>
        <w:wordWrap/>
        <w:overflowPunct/>
        <w:topLinePunct w:val="0"/>
        <w:autoSpaceDE/>
        <w:autoSpaceDN/>
        <w:bidi w:val="0"/>
        <w:adjustRightInd w:val="0"/>
        <w:spacing w:line="360" w:lineRule="exact"/>
        <w:ind w:left="525"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保证乙方实施服务所必须的外部条件如电源、水源的正常供应及开启、关闭等。</w:t>
      </w:r>
    </w:p>
    <w:p w14:paraId="35119703">
      <w:pPr>
        <w:pStyle w:val="29"/>
        <w:keepNext w:val="0"/>
        <w:keepLines w:val="0"/>
        <w:pageBreakBefore w:val="0"/>
        <w:widowControl w:val="0"/>
        <w:numPr>
          <w:ilvl w:val="0"/>
          <w:numId w:val="18"/>
        </w:numPr>
        <w:kinsoku/>
        <w:wordWrap/>
        <w:overflowPunct/>
        <w:topLinePunct w:val="0"/>
        <w:autoSpaceDE/>
        <w:autoSpaceDN/>
        <w:bidi w:val="0"/>
        <w:adjustRightInd w:val="0"/>
        <w:spacing w:line="360" w:lineRule="exact"/>
        <w:ind w:left="525"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对于乙方在提供服务期间所提供的信息，甲方应予保密，未经乙方书面同意，甲方不得擅自使用或透露给第三方。</w:t>
      </w:r>
    </w:p>
    <w:p w14:paraId="7EDB0B3A">
      <w:pPr>
        <w:pStyle w:val="29"/>
        <w:keepNext w:val="0"/>
        <w:keepLines w:val="0"/>
        <w:pageBreakBefore w:val="0"/>
        <w:widowControl w:val="0"/>
        <w:numPr>
          <w:ilvl w:val="0"/>
          <w:numId w:val="18"/>
        </w:numPr>
        <w:kinsoku/>
        <w:wordWrap/>
        <w:overflowPunct/>
        <w:topLinePunct w:val="0"/>
        <w:autoSpaceDE/>
        <w:autoSpaceDN/>
        <w:bidi w:val="0"/>
        <w:adjustRightInd w:val="0"/>
        <w:spacing w:line="360" w:lineRule="exact"/>
        <w:ind w:left="525"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甲方对服务人员不满意的，有权要求乙方在7日内更换相关服务人员。</w:t>
      </w:r>
    </w:p>
    <w:p w14:paraId="344AB8AA">
      <w:pPr>
        <w:pStyle w:val="9"/>
        <w:keepNext w:val="0"/>
        <w:keepLines w:val="0"/>
        <w:pageBreakBefore w:val="0"/>
        <w:widowControl w:val="0"/>
        <w:numPr>
          <w:ilvl w:val="0"/>
          <w:numId w:val="17"/>
        </w:numPr>
        <w:kinsoku/>
        <w:wordWrap/>
        <w:overflowPunct/>
        <w:topLinePunct w:val="0"/>
        <w:autoSpaceDE/>
        <w:autoSpaceDN/>
        <w:bidi w:val="0"/>
        <w:spacing w:after="0" w:line="360" w:lineRule="exact"/>
        <w:ind w:left="227" w:leftChars="0" w:hanging="227"/>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乙方权利与义务</w:t>
      </w:r>
    </w:p>
    <w:p w14:paraId="319B30B1">
      <w:pPr>
        <w:pStyle w:val="9"/>
        <w:keepNext w:val="0"/>
        <w:keepLines w:val="0"/>
        <w:pageBreakBefore w:val="0"/>
        <w:widowControl w:val="0"/>
        <w:numPr>
          <w:ilvl w:val="0"/>
          <w:numId w:val="19"/>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按本合同约定向甲方提供服务。</w:t>
      </w:r>
    </w:p>
    <w:p w14:paraId="29A7D576">
      <w:pPr>
        <w:pStyle w:val="9"/>
        <w:keepNext w:val="0"/>
        <w:keepLines w:val="0"/>
        <w:pageBreakBefore w:val="0"/>
        <w:widowControl w:val="0"/>
        <w:numPr>
          <w:ilvl w:val="0"/>
          <w:numId w:val="19"/>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乙方应保证提供的服务人员具备相应的服务能力和服务资质（如涉及）。</w:t>
      </w:r>
    </w:p>
    <w:p w14:paraId="26B4DD92">
      <w:pPr>
        <w:pStyle w:val="9"/>
        <w:keepNext w:val="0"/>
        <w:keepLines w:val="0"/>
        <w:pageBreakBefore w:val="0"/>
        <w:widowControl w:val="0"/>
        <w:numPr>
          <w:ilvl w:val="0"/>
          <w:numId w:val="19"/>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如服务涉及更换备品备件、材料等，乙方应保证服务中更换的备品备件、材料达到本项目采购文件及乙方响应文件中的技术要求和质量标准，符合或优于国家（行业）标准，并保证所更换的备品备件、原材料在正确安装及正常使用和保养条件下，于其使用寿命期内性能满足甲方需求。</w:t>
      </w:r>
    </w:p>
    <w:p w14:paraId="03A4EB61">
      <w:pPr>
        <w:pStyle w:val="9"/>
        <w:keepNext w:val="0"/>
        <w:keepLines w:val="0"/>
        <w:pageBreakBefore w:val="0"/>
        <w:widowControl w:val="0"/>
        <w:numPr>
          <w:ilvl w:val="0"/>
          <w:numId w:val="19"/>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如服务涉及计算机软件产品的，乙方须承诺在服务中设备安装的软件已获得软件厂商的正规授权。</w:t>
      </w:r>
    </w:p>
    <w:p w14:paraId="68E6AAB3">
      <w:pPr>
        <w:pStyle w:val="9"/>
        <w:keepNext w:val="0"/>
        <w:keepLines w:val="0"/>
        <w:pageBreakBefore w:val="0"/>
        <w:widowControl w:val="0"/>
        <w:numPr>
          <w:ilvl w:val="0"/>
          <w:numId w:val="19"/>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乙方对在按本合同约定向甲方提供服务过程中所获得的所有数据、商业秘密或其它技术及经营信息负有保密的义务，不得向任何第三方透露或泄露。</w:t>
      </w:r>
    </w:p>
    <w:p w14:paraId="742F7349">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违约责任</w:t>
      </w:r>
      <w:r>
        <w:rPr>
          <w:rFonts w:hint="eastAsia" w:asciiTheme="minorEastAsia" w:hAnsiTheme="minorEastAsia" w:eastAsiaTheme="minorEastAsia" w:cstheme="minorEastAsia"/>
          <w:bCs/>
          <w:i/>
          <w:iCs/>
          <w:szCs w:val="21"/>
          <w:highlight w:val="yellow"/>
        </w:rPr>
        <w:t>&lt;本条款中违约金比例可根据项目实际情况确定，如合同无固定总金额的，请按实际需求调整表述&gt;</w:t>
      </w:r>
    </w:p>
    <w:p w14:paraId="5B66A4B0">
      <w:pPr>
        <w:pStyle w:val="9"/>
        <w:keepNext w:val="0"/>
        <w:keepLines w:val="0"/>
        <w:pageBreakBefore w:val="0"/>
        <w:widowControl w:val="0"/>
        <w:numPr>
          <w:ilvl w:val="0"/>
          <w:numId w:val="20"/>
        </w:numPr>
        <w:kinsoku/>
        <w:wordWrap/>
        <w:overflowPunct/>
        <w:topLinePunct w:val="0"/>
        <w:autoSpaceDE/>
        <w:autoSpaceDN/>
        <w:bidi w:val="0"/>
        <w:spacing w:after="0" w:line="360" w:lineRule="exact"/>
        <w:ind w:left="227" w:leftChars="0" w:hanging="227"/>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甲方违约责任：甲方无正当理由拒绝乙方按本合同约定提供服务的，甲方应偿付合同总金额的</w:t>
      </w:r>
      <w:r>
        <w:rPr>
          <w:rFonts w:hint="eastAsia" w:asciiTheme="minorEastAsia" w:hAnsiTheme="minorEastAsia" w:eastAsiaTheme="minorEastAsia" w:cstheme="minorEastAsia"/>
          <w:szCs w:val="21"/>
          <w:u w:val="single"/>
        </w:rPr>
        <w:t>10%</w:t>
      </w:r>
      <w:r>
        <w:rPr>
          <w:rFonts w:hint="eastAsia" w:asciiTheme="minorEastAsia" w:hAnsiTheme="minorEastAsia" w:eastAsiaTheme="minorEastAsia" w:cstheme="minorEastAsia"/>
          <w:szCs w:val="21"/>
        </w:rPr>
        <w:t>作为违约金。</w:t>
      </w:r>
    </w:p>
    <w:p w14:paraId="0BC8E6CE">
      <w:pPr>
        <w:pStyle w:val="29"/>
        <w:keepNext w:val="0"/>
        <w:keepLines w:val="0"/>
        <w:pageBreakBefore w:val="0"/>
        <w:widowControl w:val="0"/>
        <w:numPr>
          <w:ilvl w:val="0"/>
          <w:numId w:val="20"/>
        </w:numPr>
        <w:kinsoku/>
        <w:wordWrap/>
        <w:overflowPunct/>
        <w:topLinePunct w:val="0"/>
        <w:autoSpaceDE/>
        <w:autoSpaceDN/>
        <w:bidi w:val="0"/>
        <w:spacing w:line="360" w:lineRule="exact"/>
        <w:ind w:left="0" w:firstLine="0" w:firstLineChars="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乙方违约责任：</w:t>
      </w:r>
    </w:p>
    <w:p w14:paraId="354B31C5">
      <w:pPr>
        <w:pStyle w:val="9"/>
        <w:keepNext w:val="0"/>
        <w:keepLines w:val="0"/>
        <w:pageBreakBefore w:val="0"/>
        <w:widowControl w:val="0"/>
        <w:numPr>
          <w:ilvl w:val="0"/>
          <w:numId w:val="21"/>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bookmarkStart w:id="100" w:name="OLE_LINK17"/>
      <w:bookmarkStart w:id="101" w:name="OLE_LINK18"/>
      <w:r>
        <w:rPr>
          <w:rFonts w:hint="eastAsia" w:asciiTheme="minorEastAsia" w:hAnsiTheme="minorEastAsia" w:eastAsiaTheme="minorEastAsia" w:cstheme="minorEastAsia"/>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9"/>
        <w:keepNext w:val="0"/>
        <w:keepLines w:val="0"/>
        <w:pageBreakBefore w:val="0"/>
        <w:widowControl w:val="0"/>
        <w:numPr>
          <w:ilvl w:val="0"/>
          <w:numId w:val="21"/>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因乙方在服务中更换的备品备件或原材料在质保期内并在正常使用情况下出现质量原因导致甲方或第三方财产或人身损害的，由乙方承担赔偿责任。</w:t>
      </w:r>
    </w:p>
    <w:p w14:paraId="2E725C36">
      <w:pPr>
        <w:pStyle w:val="9"/>
        <w:keepNext w:val="0"/>
        <w:keepLines w:val="0"/>
        <w:pageBreakBefore w:val="0"/>
        <w:widowControl w:val="0"/>
        <w:numPr>
          <w:ilvl w:val="0"/>
          <w:numId w:val="21"/>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在本合同的履行中，如乙方提供的服务存在设计、工艺或材料缺陷（包括潜在缺陷），乙方应当对由于上述缺陷造成的损失负责。</w:t>
      </w:r>
    </w:p>
    <w:p w14:paraId="74485C68">
      <w:pPr>
        <w:pStyle w:val="9"/>
        <w:keepNext w:val="0"/>
        <w:keepLines w:val="0"/>
        <w:pageBreakBefore w:val="0"/>
        <w:widowControl w:val="0"/>
        <w:numPr>
          <w:ilvl w:val="0"/>
          <w:numId w:val="21"/>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在本合同履行中，如乙方未按本合同约定及时向甲方提供服务，每发生一次，乙方应按</w:t>
      </w:r>
      <w:r>
        <w:rPr>
          <w:rFonts w:hint="eastAsia" w:asciiTheme="minorEastAsia" w:hAnsiTheme="minorEastAsia" w:eastAsiaTheme="minorEastAsia" w:cstheme="minorEastAsia"/>
          <w:szCs w:val="21"/>
          <w:u w:val="single"/>
        </w:rPr>
        <w:t>合同总金额</w:t>
      </w:r>
      <w:r>
        <w:rPr>
          <w:rFonts w:hint="eastAsia" w:asciiTheme="minorEastAsia" w:hAnsiTheme="minorEastAsia" w:eastAsiaTheme="minorEastAsia" w:cstheme="minorEastAsia"/>
          <w:szCs w:val="21"/>
        </w:rPr>
        <w:t>的</w:t>
      </w:r>
      <w:r>
        <w:rPr>
          <w:rFonts w:hint="eastAsia" w:asciiTheme="minorEastAsia" w:hAnsiTheme="minorEastAsia" w:cstheme="minorEastAsia"/>
          <w:szCs w:val="21"/>
          <w:u w:val="single"/>
          <w:lang w:val="en-US" w:eastAsia="zh-CN"/>
        </w:rPr>
        <w:t>3</w:t>
      </w:r>
      <w:r>
        <w:rPr>
          <w:rFonts w:hint="eastAsia" w:asciiTheme="minorEastAsia" w:hAnsiTheme="minorEastAsia" w:eastAsiaTheme="minorEastAsia" w:cstheme="minorEastAsia"/>
          <w:szCs w:val="21"/>
        </w:rPr>
        <w:t>‰向甲方支付违约金。甲方可采取必要的补救措施，但由此而产生的风险责任和费用将由乙方负担，甲方根据合同规定对乙方行使的其他权利不受影响。</w:t>
      </w:r>
    </w:p>
    <w:p w14:paraId="170DE4FD">
      <w:pPr>
        <w:pStyle w:val="9"/>
        <w:keepNext w:val="0"/>
        <w:keepLines w:val="0"/>
        <w:pageBreakBefore w:val="0"/>
        <w:widowControl w:val="0"/>
        <w:numPr>
          <w:ilvl w:val="0"/>
          <w:numId w:val="21"/>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乙方在提供服务过程中侵犯他人知识产权，甲方有权单方解除合同，并要求乙方赔偿所造成的损失，同时甲方有权要求对方按照</w:t>
      </w:r>
      <w:r>
        <w:rPr>
          <w:rFonts w:hint="eastAsia" w:asciiTheme="minorEastAsia" w:hAnsiTheme="minorEastAsia" w:eastAsiaTheme="minorEastAsia" w:cstheme="minorEastAsia"/>
          <w:szCs w:val="21"/>
          <w:u w:val="single"/>
        </w:rPr>
        <w:t>合同总金额</w:t>
      </w:r>
      <w:r>
        <w:rPr>
          <w:rFonts w:hint="eastAsia" w:asciiTheme="minorEastAsia" w:hAnsiTheme="minorEastAsia" w:eastAsiaTheme="minorEastAsia" w:cstheme="minorEastAsia"/>
          <w:szCs w:val="21"/>
        </w:rPr>
        <w:t>的</w:t>
      </w:r>
      <w:r>
        <w:rPr>
          <w:rFonts w:hint="eastAsia" w:asciiTheme="minorEastAsia" w:hAnsiTheme="minorEastAsia" w:eastAsiaTheme="minorEastAsia" w:cstheme="minorEastAsia"/>
          <w:szCs w:val="21"/>
          <w:u w:val="single"/>
        </w:rPr>
        <w:t>10</w:t>
      </w:r>
      <w:r>
        <w:rPr>
          <w:rFonts w:hint="eastAsia" w:asciiTheme="minorEastAsia" w:hAnsiTheme="minorEastAsia" w:eastAsiaTheme="minorEastAsia" w:cstheme="minorEastAsia"/>
          <w:szCs w:val="21"/>
        </w:rPr>
        <w:t>%支付违约金。</w:t>
      </w:r>
    </w:p>
    <w:p w14:paraId="0B168445">
      <w:pPr>
        <w:pStyle w:val="9"/>
        <w:keepNext w:val="0"/>
        <w:keepLines w:val="0"/>
        <w:pageBreakBefore w:val="0"/>
        <w:widowControl w:val="0"/>
        <w:numPr>
          <w:ilvl w:val="0"/>
          <w:numId w:val="21"/>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乙方违反保密义务，甲方有权单方解除合同，乙方应按甲方实际损失向甲方进行赔偿并向甲方支付</w:t>
      </w:r>
      <w:r>
        <w:rPr>
          <w:rFonts w:hint="eastAsia" w:asciiTheme="minorEastAsia" w:hAnsiTheme="minorEastAsia" w:eastAsiaTheme="minorEastAsia" w:cstheme="minorEastAsia"/>
          <w:szCs w:val="21"/>
          <w:u w:val="single"/>
        </w:rPr>
        <w:t>合同总金额</w:t>
      </w:r>
      <w:r>
        <w:rPr>
          <w:rFonts w:hint="eastAsia" w:asciiTheme="minorEastAsia" w:hAnsiTheme="minorEastAsia" w:eastAsiaTheme="minorEastAsia" w:cstheme="minorEastAsia"/>
          <w:szCs w:val="21"/>
        </w:rPr>
        <w:t>的</w:t>
      </w:r>
      <w:r>
        <w:rPr>
          <w:rFonts w:hint="eastAsia" w:asciiTheme="minorEastAsia" w:hAnsiTheme="minorEastAsia" w:eastAsiaTheme="minorEastAsia" w:cstheme="minorEastAsia"/>
          <w:szCs w:val="21"/>
          <w:u w:val="single"/>
        </w:rPr>
        <w:t>10</w:t>
      </w:r>
      <w:r>
        <w:rPr>
          <w:rFonts w:hint="eastAsia" w:asciiTheme="minorEastAsia" w:hAnsiTheme="minorEastAsia" w:eastAsiaTheme="minorEastAsia" w:cstheme="minorEastAsia"/>
          <w:szCs w:val="21"/>
        </w:rPr>
        <w:t>%作为违约金。</w:t>
      </w:r>
    </w:p>
    <w:bookmarkEnd w:id="100"/>
    <w:bookmarkEnd w:id="101"/>
    <w:p w14:paraId="79DD140B">
      <w:pPr>
        <w:pStyle w:val="9"/>
        <w:keepNext w:val="0"/>
        <w:keepLines w:val="0"/>
        <w:pageBreakBefore w:val="0"/>
        <w:widowControl w:val="0"/>
        <w:numPr>
          <w:ilvl w:val="0"/>
          <w:numId w:val="21"/>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乙方偿付的违约金不足以弥补甲方损失的，还应按甲方损失尚未弥补的部分，支付赔偿金给甲方。</w:t>
      </w:r>
    </w:p>
    <w:p w14:paraId="3156E70D">
      <w:pPr>
        <w:pStyle w:val="9"/>
        <w:keepNext w:val="0"/>
        <w:keepLines w:val="0"/>
        <w:pageBreakBefore w:val="0"/>
        <w:widowControl w:val="0"/>
        <w:numPr>
          <w:ilvl w:val="0"/>
          <w:numId w:val="21"/>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乙方未按照本合同约定的时限提供合法发票或提供发票瑕疵（包括但不限于发票种类有误、发票金额有误等），甲方付款时限相应顺延并不承担任何延期支付的违约责任。</w:t>
      </w:r>
    </w:p>
    <w:p w14:paraId="6DEABDB4">
      <w:pPr>
        <w:pStyle w:val="9"/>
        <w:keepNext w:val="0"/>
        <w:keepLines w:val="0"/>
        <w:pageBreakBefore w:val="0"/>
        <w:widowControl w:val="0"/>
        <w:numPr>
          <w:ilvl w:val="0"/>
          <w:numId w:val="21"/>
        </w:numPr>
        <w:kinsoku/>
        <w:wordWrap/>
        <w:overflowPunct/>
        <w:topLinePunct w:val="0"/>
        <w:autoSpaceDE/>
        <w:autoSpaceDN/>
        <w:bidi w:val="0"/>
        <w:snapToGrid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keepNext w:val="0"/>
        <w:keepLines w:val="0"/>
        <w:pageBreakBefore w:val="0"/>
        <w:widowControl w:val="0"/>
        <w:kinsoku/>
        <w:wordWrap/>
        <w:overflowPunct/>
        <w:topLinePunct w:val="0"/>
        <w:autoSpaceDE/>
        <w:autoSpaceDN/>
        <w:bidi w:val="0"/>
        <w:spacing w:after="0" w:line="360" w:lineRule="exact"/>
        <w:ind w:left="0" w:leftChars="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3.本合同履行中如有任何一方违约，那么守约方为保障自己合法权益而产生的律师费、诉讼费、差旅费、公告费等，均由违约方承担。</w:t>
      </w:r>
    </w:p>
    <w:p w14:paraId="754D0209">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不可抗力</w:t>
      </w:r>
    </w:p>
    <w:p w14:paraId="26541785">
      <w:pPr>
        <w:pStyle w:val="29"/>
        <w:keepNext w:val="0"/>
        <w:keepLines w:val="0"/>
        <w:pageBreakBefore w:val="0"/>
        <w:widowControl w:val="0"/>
        <w:kinsoku/>
        <w:wordWrap/>
        <w:overflowPunct/>
        <w:topLinePunct w:val="0"/>
        <w:autoSpaceDE/>
        <w:autoSpaceDN/>
        <w:bidi w:val="0"/>
        <w:snapToGrid w:val="0"/>
        <w:spacing w:line="360" w:lineRule="exact"/>
        <w:textAlignment w:val="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如果遇到自然灾害和灾难及其他不可抗力事件而影响合同履行时，乙方应在三个工作日内以书面形式通知甲方。若不可抗力原因影响本合同执行时间超过</w:t>
      </w:r>
      <w:r>
        <w:rPr>
          <w:rFonts w:hint="eastAsia" w:asciiTheme="minorEastAsia" w:hAnsiTheme="minorEastAsia" w:cstheme="minorEastAsia"/>
          <w:bCs/>
          <w:szCs w:val="21"/>
          <w:lang w:val="en-US" w:eastAsia="zh-CN"/>
        </w:rPr>
        <w:t>30</w:t>
      </w:r>
      <w:r>
        <w:rPr>
          <w:rFonts w:hint="eastAsia" w:asciiTheme="minorEastAsia" w:hAnsiTheme="minorEastAsia" w:eastAsiaTheme="minorEastAsia" w:cstheme="minorEastAsia"/>
          <w:bCs/>
          <w:szCs w:val="21"/>
        </w:rPr>
        <w:t>日，甲方有权解除合同，双方互不承担违约责任。</w:t>
      </w:r>
    </w:p>
    <w:p w14:paraId="031713B9">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合同终止及解除</w:t>
      </w:r>
    </w:p>
    <w:p w14:paraId="275C61D9">
      <w:pPr>
        <w:pStyle w:val="29"/>
        <w:keepNext w:val="0"/>
        <w:keepLines w:val="0"/>
        <w:pageBreakBefore w:val="0"/>
        <w:widowControl w:val="0"/>
        <w:numPr>
          <w:ilvl w:val="0"/>
          <w:numId w:val="22"/>
        </w:numPr>
        <w:kinsoku/>
        <w:wordWrap/>
        <w:overflowPunct/>
        <w:topLinePunct w:val="0"/>
        <w:autoSpaceDE/>
        <w:autoSpaceDN/>
        <w:bidi w:val="0"/>
        <w:spacing w:line="360" w:lineRule="exact"/>
        <w:ind w:left="0" w:firstLine="0" w:firstLineChars="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9"/>
        <w:keepNext w:val="0"/>
        <w:keepLines w:val="0"/>
        <w:pageBreakBefore w:val="0"/>
        <w:widowControl w:val="0"/>
        <w:numPr>
          <w:ilvl w:val="0"/>
          <w:numId w:val="22"/>
        </w:numPr>
        <w:kinsoku/>
        <w:wordWrap/>
        <w:overflowPunct/>
        <w:topLinePunct w:val="0"/>
        <w:autoSpaceDE/>
        <w:autoSpaceDN/>
        <w:bidi w:val="0"/>
        <w:spacing w:line="360" w:lineRule="exact"/>
        <w:ind w:left="0" w:firstLine="0" w:firstLineChars="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在甲、乙任何一方有严重违约行为时，另一方有权单方解除合同。</w:t>
      </w:r>
    </w:p>
    <w:p w14:paraId="2BA7B89E">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争议解决办法</w:t>
      </w:r>
    </w:p>
    <w:p w14:paraId="5C6244A3">
      <w:pPr>
        <w:pStyle w:val="29"/>
        <w:keepNext w:val="0"/>
        <w:keepLines w:val="0"/>
        <w:pageBreakBefore w:val="0"/>
        <w:widowControl w:val="0"/>
        <w:numPr>
          <w:ilvl w:val="0"/>
          <w:numId w:val="23"/>
        </w:numPr>
        <w:kinsoku/>
        <w:wordWrap/>
        <w:overflowPunct/>
        <w:topLinePunct w:val="0"/>
        <w:autoSpaceDE/>
        <w:autoSpaceDN/>
        <w:bidi w:val="0"/>
        <w:spacing w:line="360" w:lineRule="exact"/>
        <w:ind w:left="0" w:firstLine="0" w:firstLineChars="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因服务质量问题发生争议，由质量技术监督部门或其指定的质量鉴定机构进行质量鉴定，结果符合标准的，鉴定费由甲方承担；不符合标准的，鉴定费由乙方承担。</w:t>
      </w:r>
    </w:p>
    <w:p w14:paraId="40F006BE">
      <w:pPr>
        <w:pStyle w:val="29"/>
        <w:keepNext w:val="0"/>
        <w:keepLines w:val="0"/>
        <w:pageBreakBefore w:val="0"/>
        <w:widowControl w:val="0"/>
        <w:numPr>
          <w:ilvl w:val="0"/>
          <w:numId w:val="23"/>
        </w:numPr>
        <w:kinsoku/>
        <w:wordWrap/>
        <w:overflowPunct/>
        <w:topLinePunct w:val="0"/>
        <w:autoSpaceDE/>
        <w:autoSpaceDN/>
        <w:bidi w:val="0"/>
        <w:spacing w:line="360" w:lineRule="exact"/>
        <w:ind w:left="0" w:firstLine="0" w:firstLineChars="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合同履行期间,若双方发生争议，可协商或由有关部门调解解决，协商或调解不成的，任何一方均有权向甲方所在地具有管辖权的人民法院起诉。</w:t>
      </w:r>
    </w:p>
    <w:p w14:paraId="533F8595">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送达（送达地址是司法机关、执法机关和仲裁机关将法律文书送达给当事人的收件地址）</w:t>
      </w:r>
    </w:p>
    <w:p w14:paraId="46F487CF">
      <w:pPr>
        <w:pStyle w:val="34"/>
        <w:keepNext w:val="0"/>
        <w:keepLines w:val="0"/>
        <w:pageBreakBefore w:val="0"/>
        <w:widowControl w:val="0"/>
        <w:numPr>
          <w:ilvl w:val="0"/>
          <w:numId w:val="24"/>
        </w:numPr>
        <w:kinsoku/>
        <w:wordWrap/>
        <w:overflowPunct/>
        <w:topLinePunct w:val="0"/>
        <w:autoSpaceDE/>
        <w:autoSpaceDN/>
        <w:bidi w:val="0"/>
        <w:spacing w:line="360" w:lineRule="exact"/>
        <w:ind w:left="0" w:firstLine="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甲方送达地址：四川省成都市青羊区一环路西二段32号。</w:t>
      </w:r>
    </w:p>
    <w:p w14:paraId="2E0AF282">
      <w:pPr>
        <w:pStyle w:val="34"/>
        <w:keepNext w:val="0"/>
        <w:keepLines w:val="0"/>
        <w:pageBreakBefore w:val="0"/>
        <w:widowControl w:val="0"/>
        <w:numPr>
          <w:ilvl w:val="0"/>
          <w:numId w:val="24"/>
        </w:numPr>
        <w:kinsoku/>
        <w:wordWrap/>
        <w:overflowPunct/>
        <w:topLinePunct w:val="0"/>
        <w:autoSpaceDE/>
        <w:autoSpaceDN/>
        <w:bidi w:val="0"/>
        <w:spacing w:line="360" w:lineRule="exact"/>
        <w:ind w:left="0" w:firstLine="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乙方送达地址：***</w:t>
      </w:r>
    </w:p>
    <w:p w14:paraId="750624B0">
      <w:pPr>
        <w:pStyle w:val="34"/>
        <w:keepNext w:val="0"/>
        <w:keepLines w:val="0"/>
        <w:pageBreakBefore w:val="0"/>
        <w:widowControl w:val="0"/>
        <w:numPr>
          <w:ilvl w:val="0"/>
          <w:numId w:val="24"/>
        </w:numPr>
        <w:kinsoku/>
        <w:wordWrap/>
        <w:overflowPunct/>
        <w:topLinePunct w:val="0"/>
        <w:autoSpaceDE/>
        <w:autoSpaceDN/>
        <w:bidi w:val="0"/>
        <w:spacing w:line="360" w:lineRule="exact"/>
        <w:ind w:left="0" w:firstLine="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其他</w:t>
      </w:r>
    </w:p>
    <w:p w14:paraId="162904B6">
      <w:pPr>
        <w:pStyle w:val="29"/>
        <w:keepNext w:val="0"/>
        <w:keepLines w:val="0"/>
        <w:pageBreakBefore w:val="0"/>
        <w:widowControl w:val="0"/>
        <w:numPr>
          <w:ilvl w:val="0"/>
          <w:numId w:val="25"/>
        </w:numPr>
        <w:kinsoku/>
        <w:wordWrap/>
        <w:overflowPunct/>
        <w:topLinePunct w:val="0"/>
        <w:autoSpaceDE/>
        <w:autoSpaceDN/>
        <w:bidi w:val="0"/>
        <w:spacing w:line="360" w:lineRule="exact"/>
        <w:ind w:left="0" w:firstLine="0" w:firstLineChars="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如有未尽事宜，由双方依法订立补充合同。补充合同及本合同附件均为本合同的组成部分，与本合同具有同等法律效力。</w:t>
      </w:r>
    </w:p>
    <w:p w14:paraId="3EA6778F">
      <w:pPr>
        <w:pStyle w:val="29"/>
        <w:keepNext w:val="0"/>
        <w:keepLines w:val="0"/>
        <w:pageBreakBefore w:val="0"/>
        <w:widowControl w:val="0"/>
        <w:numPr>
          <w:ilvl w:val="0"/>
          <w:numId w:val="25"/>
        </w:numPr>
        <w:kinsoku/>
        <w:wordWrap/>
        <w:overflowPunct/>
        <w:topLinePunct w:val="0"/>
        <w:autoSpaceDE/>
        <w:autoSpaceDN/>
        <w:bidi w:val="0"/>
        <w:spacing w:line="360" w:lineRule="exact"/>
        <w:ind w:left="0" w:firstLine="0" w:firstLineChars="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本合同一式</w:t>
      </w:r>
      <w:r>
        <w:rPr>
          <w:rFonts w:hint="eastAsia" w:asciiTheme="minorEastAsia" w:hAnsiTheme="minorEastAsia" w:cstheme="minorEastAsia"/>
          <w:szCs w:val="21"/>
          <w:lang w:val="en-US" w:eastAsia="zh-CN"/>
        </w:rPr>
        <w:t>五</w:t>
      </w:r>
      <w:r>
        <w:rPr>
          <w:rFonts w:hint="eastAsia" w:asciiTheme="minorEastAsia" w:hAnsiTheme="minorEastAsia" w:eastAsiaTheme="minorEastAsia" w:cstheme="minorEastAsia"/>
          <w:szCs w:val="21"/>
        </w:rPr>
        <w:t>份，自双方签字且盖章之日起生效。甲方</w:t>
      </w:r>
      <w:r>
        <w:rPr>
          <w:rFonts w:hint="eastAsia" w:asciiTheme="minorEastAsia" w:hAnsiTheme="minorEastAsia" w:cstheme="minorEastAsia"/>
          <w:szCs w:val="21"/>
          <w:lang w:val="en-US" w:eastAsia="zh-CN"/>
        </w:rPr>
        <w:t>四</w:t>
      </w:r>
      <w:r>
        <w:rPr>
          <w:rFonts w:hint="eastAsia" w:asciiTheme="minorEastAsia" w:hAnsiTheme="minorEastAsia" w:eastAsiaTheme="minorEastAsia" w:cstheme="minorEastAsia"/>
          <w:szCs w:val="21"/>
        </w:rPr>
        <w:t>份，乙方一份。</w:t>
      </w:r>
    </w:p>
    <w:p w14:paraId="134580B1">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合同附件</w:t>
      </w:r>
    </w:p>
    <w:p w14:paraId="6C66D4AC">
      <w:pPr>
        <w:keepNext w:val="0"/>
        <w:keepLines w:val="0"/>
        <w:pageBreakBefore w:val="0"/>
        <w:widowControl w:val="0"/>
        <w:kinsoku/>
        <w:wordWrap/>
        <w:overflowPunct/>
        <w:topLinePunct w:val="0"/>
        <w:autoSpaceDE/>
        <w:autoSpaceDN/>
        <w:bidi w:val="0"/>
        <w:spacing w:line="360" w:lineRule="exac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本合同为</w:t>
      </w:r>
      <w:r>
        <w:rPr>
          <w:rFonts w:hint="eastAsia" w:asciiTheme="minorEastAsia" w:hAnsiTheme="minorEastAsia" w:eastAsiaTheme="minorEastAsia" w:cstheme="minorEastAsia"/>
          <w:szCs w:val="21"/>
          <w:u w:val="single"/>
        </w:rPr>
        <w:t>有</w:t>
      </w:r>
      <w:r>
        <w:rPr>
          <w:rFonts w:hint="eastAsia" w:asciiTheme="minorEastAsia" w:hAnsiTheme="minorEastAsia" w:eastAsiaTheme="minorEastAsia" w:cstheme="minorEastAsia"/>
          <w:szCs w:val="21"/>
        </w:rPr>
        <w:t>附件合同，附件如下：</w:t>
      </w:r>
      <w:r>
        <w:rPr>
          <w:rFonts w:hint="eastAsia" w:asciiTheme="minorEastAsia" w:hAnsiTheme="minorEastAsia" w:eastAsiaTheme="minorEastAsia" w:cstheme="minorEastAsia"/>
          <w:i/>
          <w:iCs/>
          <w:szCs w:val="21"/>
          <w:highlight w:val="yellow"/>
        </w:rPr>
        <w:t>&lt;根据项目实际情况编制&gt;</w:t>
      </w:r>
    </w:p>
    <w:p w14:paraId="3FF9CA8A">
      <w:pPr>
        <w:keepNext w:val="0"/>
        <w:keepLines w:val="0"/>
        <w:pageBreakBefore w:val="0"/>
        <w:widowControl w:val="0"/>
        <w:kinsoku/>
        <w:wordWrap/>
        <w:overflowPunct/>
        <w:topLinePunct w:val="0"/>
        <w:autoSpaceDE/>
        <w:autoSpaceDN/>
        <w:bidi w:val="0"/>
        <w:spacing w:line="360" w:lineRule="exact"/>
        <w:jc w:val="left"/>
        <w:textAlignment w:val="auto"/>
        <w:outlineLvl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附件1《</w:t>
      </w:r>
      <w:bookmarkStart w:id="102" w:name="OLE_LINK32"/>
      <w:r>
        <w:rPr>
          <w:rFonts w:hint="eastAsia" w:asciiTheme="minorEastAsia" w:hAnsiTheme="minorEastAsia" w:eastAsiaTheme="minorEastAsia" w:cstheme="minorEastAsia"/>
          <w:szCs w:val="21"/>
        </w:rPr>
        <w:t>结算单价清单</w:t>
      </w:r>
      <w:bookmarkEnd w:id="102"/>
      <w:r>
        <w:rPr>
          <w:rFonts w:hint="eastAsia" w:asciiTheme="minorEastAsia" w:hAnsiTheme="minorEastAsia" w:eastAsiaTheme="minorEastAsia" w:cstheme="minorEastAsia"/>
          <w:szCs w:val="21"/>
        </w:rPr>
        <w:t>》</w:t>
      </w:r>
    </w:p>
    <w:p w14:paraId="6CDBD3F1">
      <w:pPr>
        <w:keepNext w:val="0"/>
        <w:keepLines w:val="0"/>
        <w:pageBreakBefore w:val="0"/>
        <w:widowControl w:val="0"/>
        <w:kinsoku/>
        <w:wordWrap/>
        <w:overflowPunct/>
        <w:topLinePunct w:val="0"/>
        <w:autoSpaceDE/>
        <w:autoSpaceDN/>
        <w:bidi w:val="0"/>
        <w:spacing w:line="360" w:lineRule="exact"/>
        <w:jc w:val="left"/>
        <w:textAlignment w:val="auto"/>
        <w:outlineLvl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附件2《考核标准》</w:t>
      </w:r>
    </w:p>
    <w:p w14:paraId="485EAD27">
      <w:pPr>
        <w:keepNext w:val="0"/>
        <w:keepLines w:val="0"/>
        <w:pageBreakBefore w:val="0"/>
        <w:widowControl w:val="0"/>
        <w:kinsoku/>
        <w:wordWrap/>
        <w:overflowPunct/>
        <w:topLinePunct w:val="0"/>
        <w:autoSpaceDE/>
        <w:autoSpaceDN/>
        <w:bidi w:val="0"/>
        <w:spacing w:line="360" w:lineRule="exact"/>
        <w:jc w:val="left"/>
        <w:textAlignment w:val="auto"/>
        <w:outlineLvl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附件3《服务方案》</w:t>
      </w:r>
    </w:p>
    <w:p w14:paraId="73257A85">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 w:val="18"/>
          <w:szCs w:val="18"/>
        </w:rPr>
        <w:t>以下无正文</w:t>
      </w:r>
      <w:r>
        <w:rPr>
          <w:rFonts w:hint="eastAsia" w:asciiTheme="minorEastAsia" w:hAnsiTheme="minorEastAsia" w:eastAsiaTheme="minorEastAsia" w:cstheme="minorEastAsia"/>
          <w:szCs w:val="21"/>
        </w:rPr>
        <w:t>——</w:t>
      </w:r>
    </w:p>
    <w:tbl>
      <w:tblPr>
        <w:tblStyle w:val="18"/>
        <w:tblW w:w="5000" w:type="pct"/>
        <w:jc w:val="center"/>
        <w:tblLayout w:type="autofit"/>
        <w:tblCellMar>
          <w:top w:w="0" w:type="dxa"/>
          <w:left w:w="0" w:type="dxa"/>
          <w:bottom w:w="0" w:type="dxa"/>
          <w:right w:w="0" w:type="dxa"/>
        </w:tblCellMar>
      </w:tblPr>
      <w:tblGrid>
        <w:gridCol w:w="4688"/>
        <w:gridCol w:w="4949"/>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签订时间：</w:t>
            </w:r>
            <w:r>
              <w:rPr>
                <w:rFonts w:hint="eastAsia" w:asciiTheme="minorEastAsia" w:hAnsiTheme="minorEastAsia" w:eastAsiaTheme="minorEastAsia" w:cstheme="minorEastAsia"/>
              </w:rPr>
              <w:t>202*</w:t>
            </w:r>
            <w:r>
              <w:rPr>
                <w:rFonts w:hint="eastAsia" w:asciiTheme="minorEastAsia" w:hAnsiTheme="minorEastAsia" w:eastAsiaTheme="minorEastAsia" w:cstheme="minorEastAsia"/>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甲方：四川省人民医院（盖章）</w:t>
            </w:r>
          </w:p>
          <w:p w14:paraId="1BF2641A">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法定代表人（授权代表签字）：</w:t>
            </w:r>
          </w:p>
          <w:p w14:paraId="3CF6E833">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地    址：四川省成都市一环路西二段32号</w:t>
            </w:r>
          </w:p>
          <w:p w14:paraId="6736D38D">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开户银行：建设银行成都青羊支行</w:t>
            </w:r>
          </w:p>
          <w:p w14:paraId="3D5EBF0F">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账号：5100 1446 4360 5037 4282</w:t>
            </w:r>
          </w:p>
        </w:tc>
        <w:tc>
          <w:tcPr>
            <w:tcW w:w="5247" w:type="dxa"/>
          </w:tcPr>
          <w:p w14:paraId="76D47F6F">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w:t>
            </w:r>
            <w:permStart w:id="2" w:edGrp="everyone"/>
            <w:r>
              <w:rPr>
                <w:rFonts w:hint="eastAsia" w:asciiTheme="minorEastAsia" w:hAnsiTheme="minorEastAsia" w:eastAsiaTheme="minorEastAsia" w:cstheme="minorEastAsia"/>
                <w:szCs w:val="21"/>
              </w:rPr>
              <w:t>***</w:t>
            </w:r>
            <w:permEnd w:id="2"/>
            <w:r>
              <w:rPr>
                <w:rFonts w:hint="eastAsia" w:asciiTheme="minorEastAsia" w:hAnsiTheme="minorEastAsia" w:eastAsiaTheme="minorEastAsia" w:cstheme="minorEastAsia"/>
                <w:szCs w:val="21"/>
              </w:rPr>
              <w:t>（盖章）</w:t>
            </w:r>
          </w:p>
          <w:p w14:paraId="5129AF1F">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法定代表人（授权代表签字）：</w:t>
            </w:r>
          </w:p>
          <w:p w14:paraId="47302462">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地址：</w:t>
            </w:r>
            <w:permStart w:id="3" w:edGrp="everyone"/>
            <w:r>
              <w:rPr>
                <w:rFonts w:hint="eastAsia" w:asciiTheme="minorEastAsia" w:hAnsiTheme="minorEastAsia" w:eastAsiaTheme="minorEastAsia" w:cstheme="minorEastAsia"/>
                <w:szCs w:val="21"/>
              </w:rPr>
              <w:t>***</w:t>
            </w:r>
            <w:permEnd w:id="3"/>
          </w:p>
          <w:p w14:paraId="1CF0A190">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开户银行：</w:t>
            </w:r>
            <w:permStart w:id="4" w:edGrp="everyone"/>
            <w:r>
              <w:rPr>
                <w:rFonts w:hint="eastAsia" w:asciiTheme="minorEastAsia" w:hAnsiTheme="minorEastAsia" w:eastAsiaTheme="minorEastAsia" w:cstheme="minorEastAsia"/>
                <w:szCs w:val="21"/>
              </w:rPr>
              <w:t>***</w:t>
            </w:r>
          </w:p>
          <w:permEnd w:id="4"/>
          <w:p w14:paraId="5672E29C">
            <w:pPr>
              <w:widowControl/>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账号：</w:t>
            </w:r>
            <w:permStart w:id="5" w:edGrp="everyone"/>
            <w:r>
              <w:rPr>
                <w:rFonts w:hint="eastAsia" w:asciiTheme="minorEastAsia" w:hAnsiTheme="minorEastAsia" w:eastAsiaTheme="minorEastAsia" w:cstheme="minorEastAsia"/>
                <w:szCs w:val="21"/>
              </w:rPr>
              <w:t>***</w:t>
            </w:r>
            <w:permEnd w:id="5"/>
          </w:p>
        </w:tc>
      </w:tr>
    </w:tbl>
    <w:p w14:paraId="75EB2EEB">
      <w:pP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br w:type="page"/>
      </w:r>
    </w:p>
    <w:p w14:paraId="7B4B943E">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1D831279">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8F2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86880DA">
            <w:pPr>
              <w:widowControl/>
              <w:jc w:val="center"/>
              <w:rPr>
                <w:b/>
                <w:bCs/>
                <w:szCs w:val="21"/>
              </w:rPr>
            </w:pPr>
            <w:r>
              <w:rPr>
                <w:rFonts w:hint="eastAsia"/>
                <w:b/>
                <w:bCs/>
                <w:szCs w:val="21"/>
              </w:rPr>
              <w:t>序号</w:t>
            </w:r>
          </w:p>
        </w:tc>
        <w:tc>
          <w:tcPr>
            <w:tcW w:w="3686" w:type="dxa"/>
            <w:vAlign w:val="center"/>
          </w:tcPr>
          <w:p w14:paraId="6C23FD50">
            <w:pPr>
              <w:widowControl/>
              <w:jc w:val="center"/>
              <w:rPr>
                <w:b/>
                <w:bCs/>
                <w:szCs w:val="21"/>
              </w:rPr>
            </w:pPr>
            <w:r>
              <w:rPr>
                <w:rFonts w:hint="eastAsia"/>
                <w:b/>
                <w:bCs/>
                <w:szCs w:val="21"/>
              </w:rPr>
              <w:t>结算项目名称</w:t>
            </w:r>
          </w:p>
        </w:tc>
        <w:tc>
          <w:tcPr>
            <w:tcW w:w="3402" w:type="dxa"/>
            <w:vAlign w:val="center"/>
          </w:tcPr>
          <w:p w14:paraId="3BB9E943">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66368B4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5589F7C3">
            <w:pPr>
              <w:widowControl/>
              <w:jc w:val="center"/>
              <w:rPr>
                <w:b/>
                <w:bCs/>
                <w:szCs w:val="21"/>
              </w:rPr>
            </w:pPr>
            <w:r>
              <w:rPr>
                <w:rFonts w:hint="eastAsia"/>
                <w:b/>
                <w:bCs/>
                <w:szCs w:val="21"/>
              </w:rPr>
              <w:t>结算单价</w:t>
            </w:r>
          </w:p>
        </w:tc>
      </w:tr>
      <w:tr w14:paraId="273C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5AC9F2E">
            <w:pPr>
              <w:widowControl/>
              <w:jc w:val="center"/>
              <w:rPr>
                <w:szCs w:val="21"/>
              </w:rPr>
            </w:pPr>
            <w:r>
              <w:rPr>
                <w:rFonts w:hint="eastAsia"/>
                <w:szCs w:val="21"/>
              </w:rPr>
              <w:t>1</w:t>
            </w:r>
          </w:p>
        </w:tc>
        <w:tc>
          <w:tcPr>
            <w:tcW w:w="3686" w:type="dxa"/>
            <w:vAlign w:val="center"/>
          </w:tcPr>
          <w:p w14:paraId="4A635D96">
            <w:pPr>
              <w:widowControl/>
              <w:jc w:val="left"/>
              <w:rPr>
                <w:szCs w:val="21"/>
              </w:rPr>
            </w:pPr>
          </w:p>
        </w:tc>
        <w:tc>
          <w:tcPr>
            <w:tcW w:w="3402" w:type="dxa"/>
            <w:vAlign w:val="center"/>
          </w:tcPr>
          <w:p w14:paraId="610A0DF8">
            <w:pPr>
              <w:widowControl/>
              <w:jc w:val="left"/>
              <w:rPr>
                <w:szCs w:val="21"/>
              </w:rPr>
            </w:pPr>
          </w:p>
        </w:tc>
        <w:tc>
          <w:tcPr>
            <w:tcW w:w="992" w:type="dxa"/>
            <w:vAlign w:val="center"/>
          </w:tcPr>
          <w:p w14:paraId="59C6D210">
            <w:pPr>
              <w:widowControl/>
              <w:jc w:val="center"/>
              <w:rPr>
                <w:szCs w:val="21"/>
              </w:rPr>
            </w:pPr>
          </w:p>
        </w:tc>
        <w:tc>
          <w:tcPr>
            <w:tcW w:w="986" w:type="dxa"/>
            <w:vAlign w:val="center"/>
          </w:tcPr>
          <w:p w14:paraId="3B758A07">
            <w:pPr>
              <w:widowControl/>
              <w:jc w:val="center"/>
              <w:rPr>
                <w:szCs w:val="21"/>
              </w:rPr>
            </w:pPr>
          </w:p>
        </w:tc>
      </w:tr>
      <w:tr w14:paraId="09D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B6FD72">
            <w:pPr>
              <w:widowControl/>
              <w:jc w:val="center"/>
              <w:rPr>
                <w:szCs w:val="21"/>
              </w:rPr>
            </w:pPr>
            <w:r>
              <w:rPr>
                <w:rFonts w:hint="eastAsia"/>
                <w:szCs w:val="21"/>
              </w:rPr>
              <w:t>2</w:t>
            </w:r>
          </w:p>
        </w:tc>
        <w:tc>
          <w:tcPr>
            <w:tcW w:w="3686" w:type="dxa"/>
            <w:vAlign w:val="center"/>
          </w:tcPr>
          <w:p w14:paraId="2C25F4E1">
            <w:pPr>
              <w:widowControl/>
              <w:jc w:val="left"/>
              <w:rPr>
                <w:szCs w:val="21"/>
              </w:rPr>
            </w:pPr>
          </w:p>
        </w:tc>
        <w:tc>
          <w:tcPr>
            <w:tcW w:w="3402" w:type="dxa"/>
            <w:vAlign w:val="center"/>
          </w:tcPr>
          <w:p w14:paraId="473015E2">
            <w:pPr>
              <w:widowControl/>
              <w:jc w:val="left"/>
              <w:rPr>
                <w:szCs w:val="21"/>
              </w:rPr>
            </w:pPr>
          </w:p>
        </w:tc>
        <w:tc>
          <w:tcPr>
            <w:tcW w:w="992" w:type="dxa"/>
            <w:vAlign w:val="center"/>
          </w:tcPr>
          <w:p w14:paraId="1AC45725">
            <w:pPr>
              <w:widowControl/>
              <w:jc w:val="center"/>
              <w:rPr>
                <w:szCs w:val="21"/>
              </w:rPr>
            </w:pPr>
          </w:p>
        </w:tc>
        <w:tc>
          <w:tcPr>
            <w:tcW w:w="986" w:type="dxa"/>
            <w:vAlign w:val="center"/>
          </w:tcPr>
          <w:p w14:paraId="794FEA53">
            <w:pPr>
              <w:widowControl/>
              <w:jc w:val="center"/>
              <w:rPr>
                <w:szCs w:val="21"/>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widowControl/>
              <w:jc w:val="center"/>
              <w:rPr>
                <w:szCs w:val="21"/>
              </w:rPr>
            </w:pPr>
            <w:r>
              <w:rPr>
                <w:szCs w:val="21"/>
              </w:rPr>
              <w:t>…</w:t>
            </w:r>
          </w:p>
        </w:tc>
        <w:tc>
          <w:tcPr>
            <w:tcW w:w="3686" w:type="dxa"/>
            <w:vAlign w:val="center"/>
          </w:tcPr>
          <w:p w14:paraId="09F89178">
            <w:pPr>
              <w:widowControl/>
              <w:jc w:val="left"/>
              <w:rPr>
                <w:szCs w:val="21"/>
              </w:rPr>
            </w:pPr>
          </w:p>
        </w:tc>
        <w:tc>
          <w:tcPr>
            <w:tcW w:w="3402" w:type="dxa"/>
            <w:vAlign w:val="center"/>
          </w:tcPr>
          <w:p w14:paraId="1FF16C42">
            <w:pPr>
              <w:widowControl/>
              <w:jc w:val="left"/>
              <w:rPr>
                <w:szCs w:val="21"/>
              </w:rPr>
            </w:pPr>
          </w:p>
        </w:tc>
        <w:tc>
          <w:tcPr>
            <w:tcW w:w="992" w:type="dxa"/>
            <w:vAlign w:val="center"/>
          </w:tcPr>
          <w:p w14:paraId="0BD2D448">
            <w:pPr>
              <w:widowControl/>
              <w:jc w:val="center"/>
              <w:rPr>
                <w:szCs w:val="21"/>
              </w:rPr>
            </w:pPr>
          </w:p>
        </w:tc>
        <w:tc>
          <w:tcPr>
            <w:tcW w:w="986" w:type="dxa"/>
            <w:vAlign w:val="center"/>
          </w:tcPr>
          <w:p w14:paraId="32267964">
            <w:pPr>
              <w:widowControl/>
              <w:jc w:val="center"/>
              <w:rPr>
                <w:szCs w:val="21"/>
              </w:rPr>
            </w:pPr>
          </w:p>
        </w:tc>
      </w:tr>
    </w:tbl>
    <w:p w14:paraId="44110F5C">
      <w:pPr>
        <w:rPr>
          <w:rFonts w:hint="eastAsia" w:ascii="宋体" w:hAnsi="宋体"/>
          <w:b/>
          <w:bCs/>
          <w:szCs w:val="21"/>
        </w:rPr>
      </w:pPr>
      <w:r>
        <w:rPr>
          <w:rFonts w:hint="eastAsia" w:ascii="宋体" w:hAnsi="宋体"/>
          <w:b/>
          <w:bCs/>
          <w:szCs w:val="21"/>
        </w:rPr>
        <w:br w:type="page"/>
      </w:r>
    </w:p>
    <w:p w14:paraId="6BEFDD75">
      <w:pPr>
        <w:widowControl/>
        <w:jc w:val="left"/>
        <w:rPr>
          <w:rFonts w:ascii="宋体" w:hAnsi="宋体"/>
          <w:b/>
          <w:bCs/>
          <w:szCs w:val="21"/>
        </w:rPr>
      </w:pPr>
      <w:r>
        <w:rPr>
          <w:rFonts w:hint="eastAsia" w:ascii="宋体" w:hAnsi="宋体"/>
          <w:b/>
          <w:bCs/>
          <w:szCs w:val="21"/>
        </w:rPr>
        <w:t>附件2：考核标准</w:t>
      </w:r>
    </w:p>
    <w:p w14:paraId="6C0FC75D"/>
    <w:p w14:paraId="26102D6F">
      <w:r>
        <w:rPr>
          <w:rFonts w:hint="eastAsia"/>
        </w:rPr>
        <w:t>*</w:t>
      </w:r>
      <w:r>
        <w:t>**</w:t>
      </w:r>
    </w:p>
    <w:p w14:paraId="492B3245">
      <w:r>
        <w:br w:type="page"/>
      </w:r>
    </w:p>
    <w:p w14:paraId="692BA005">
      <w:pPr>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49A6C9EA"/>
    <w:p w14:paraId="1E9CF7A4">
      <w:r>
        <w:rPr>
          <w:rFonts w:hint="eastAsia"/>
        </w:rPr>
        <w:t>*</w:t>
      </w:r>
      <w:r>
        <w:t>**</w:t>
      </w: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BF17D73-C8DB-490B-B1CE-FCFFD057B84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F09CEAC7-CD44-4DC0-AE96-8F8C4448D80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D504D5AC-3245-4A57-AC1B-2F3BA52C1116}"/>
  </w:font>
  <w:font w:name="FangSong_GB2312">
    <w:altName w:val="仿宋"/>
    <w:panose1 w:val="020B0604020202020204"/>
    <w:charset w:val="86"/>
    <w:family w:val="modern"/>
    <w:pitch w:val="default"/>
    <w:sig w:usb0="00000000" w:usb1="00000000" w:usb2="00000010"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D4417578-079E-4024-8EAB-C5BB4AB81DC9}"/>
  </w:font>
  <w:font w:name="Segoe UI Symbol">
    <w:panose1 w:val="020B0502040204020203"/>
    <w:charset w:val="00"/>
    <w:family w:val="swiss"/>
    <w:pitch w:val="default"/>
    <w:sig w:usb0="800001E3" w:usb1="1200FFEF" w:usb2="00040000" w:usb3="04000000" w:csb0="00000001" w:csb1="40000000"/>
    <w:embedRegular r:id="rId5" w:fontKey="{92C2F21D-BAD7-47A2-88E6-197DA280834D}"/>
  </w:font>
  <w:font w:name="方正仿宋_GB2312">
    <w:panose1 w:val="02000000000000000000"/>
    <w:charset w:val="86"/>
    <w:family w:val="auto"/>
    <w:pitch w:val="default"/>
    <w:sig w:usb0="A00002BF" w:usb1="184F6CFA" w:usb2="00000012" w:usb3="00000000" w:csb0="00040001" w:csb1="00000000"/>
    <w:embedRegular r:id="rId6" w:fontKey="{8FB515B4-0B87-4A17-B04C-E092A046D9C0}"/>
  </w:font>
  <w:font w:name="Wingdings 2">
    <w:altName w:val="Wingdings"/>
    <w:panose1 w:val="05020102010507070707"/>
    <w:charset w:val="4D"/>
    <w:family w:val="decorative"/>
    <w:pitch w:val="default"/>
    <w:sig w:usb0="00000000" w:usb1="00000000" w:usb2="00000000" w:usb3="00000000" w:csb0="80000000" w:csb1="00000000"/>
    <w:embedRegular r:id="rId7" w:fontKey="{4C002C2D-6906-4A8F-AC3F-3508FF1BCE4A}"/>
  </w:font>
  <w:font w:name="Arial">
    <w:panose1 w:val="020B0604020202020204"/>
    <w:charset w:val="00"/>
    <w:family w:val="auto"/>
    <w:pitch w:val="default"/>
    <w:sig w:usb0="E0002EFF" w:usb1="C000785B" w:usb2="00000009" w:usb3="00000000" w:csb0="400001FF" w:csb1="FFFF0000"/>
  </w:font>
  <w:font w:name="Wingdings">
    <w:panose1 w:val="05000000000000000000"/>
    <w:charset w:val="00"/>
    <w:family w:val="auto"/>
    <w:pitch w:val="default"/>
    <w:sig w:usb0="00000000" w:usb1="00000000" w:usb2="00000000" w:usb3="00000000" w:csb0="8000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8F2BD3">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08F2BD3">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3335E">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75DDD96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441CB">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79DF849B">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3">
    <w:nsid w:val="FCA5E3A8"/>
    <w:multiLevelType w:val="singleLevel"/>
    <w:tmpl w:val="FCA5E3A8"/>
    <w:lvl w:ilvl="0" w:tentative="0">
      <w:start w:val="1"/>
      <w:numFmt w:val="decimal"/>
      <w:suff w:val="nothing"/>
      <w:lvlText w:val="（%1）"/>
      <w:lvlJc w:val="left"/>
      <w:pPr>
        <w:ind w:left="-210"/>
      </w:pPr>
    </w:lvl>
  </w:abstractNum>
  <w:abstractNum w:abstractNumId="4">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6">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8">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0">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F712D09"/>
    <w:multiLevelType w:val="singleLevel"/>
    <w:tmpl w:val="1F712D09"/>
    <w:lvl w:ilvl="0" w:tentative="0">
      <w:start w:val="1"/>
      <w:numFmt w:val="decimal"/>
      <w:lvlText w:val="(%1)"/>
      <w:lvlJc w:val="left"/>
      <w:pPr>
        <w:ind w:left="218" w:hanging="425"/>
      </w:pPr>
      <w:rPr>
        <w:rFonts w:hint="default"/>
      </w:rPr>
    </w:lvl>
  </w:abstractNum>
  <w:abstractNum w:abstractNumId="12">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4">
    <w:nsid w:val="3A69C7D9"/>
    <w:multiLevelType w:val="singleLevel"/>
    <w:tmpl w:val="3A69C7D9"/>
    <w:lvl w:ilvl="0" w:tentative="0">
      <w:start w:val="1"/>
      <w:numFmt w:val="decimal"/>
      <w:lvlText w:val="(%1)"/>
      <w:lvlJc w:val="left"/>
      <w:pPr>
        <w:ind w:left="425" w:hanging="425"/>
      </w:pPr>
      <w:rPr>
        <w:rFonts w:hint="default"/>
      </w:rPr>
    </w:lvl>
  </w:abstractNum>
  <w:abstractNum w:abstractNumId="15">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6">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7">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0">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1">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3"/>
  </w:num>
  <w:num w:numId="2">
    <w:abstractNumId w:val="2"/>
  </w:num>
  <w:num w:numId="3">
    <w:abstractNumId w:val="15"/>
  </w:num>
  <w:num w:numId="4">
    <w:abstractNumId w:val="24"/>
  </w:num>
  <w:num w:numId="5">
    <w:abstractNumId w:val="11"/>
  </w:num>
  <w:num w:numId="6">
    <w:abstractNumId w:val="19"/>
  </w:num>
  <w:num w:numId="7">
    <w:abstractNumId w:val="14"/>
  </w:num>
  <w:num w:numId="8">
    <w:abstractNumId w:val="1"/>
  </w:num>
  <w:num w:numId="9">
    <w:abstractNumId w:val="0"/>
  </w:num>
  <w:num w:numId="10">
    <w:abstractNumId w:val="3"/>
  </w:num>
  <w:num w:numId="11">
    <w:abstractNumId w:val="10"/>
  </w:num>
  <w:num w:numId="12">
    <w:abstractNumId w:val="20"/>
  </w:num>
  <w:num w:numId="13">
    <w:abstractNumId w:val="23"/>
  </w:num>
  <w:num w:numId="14">
    <w:abstractNumId w:val="17"/>
  </w:num>
  <w:num w:numId="15">
    <w:abstractNumId w:val="7"/>
  </w:num>
  <w:num w:numId="16">
    <w:abstractNumId w:val="5"/>
  </w:num>
  <w:num w:numId="17">
    <w:abstractNumId w:val="21"/>
  </w:num>
  <w:num w:numId="18">
    <w:abstractNumId w:val="16"/>
  </w:num>
  <w:num w:numId="19">
    <w:abstractNumId w:val="6"/>
  </w:num>
  <w:num w:numId="20">
    <w:abstractNumId w:val="9"/>
  </w:num>
  <w:num w:numId="21">
    <w:abstractNumId w:val="22"/>
  </w:num>
  <w:num w:numId="22">
    <w:abstractNumId w:val="4"/>
  </w:num>
  <w:num w:numId="23">
    <w:abstractNumId w:val="18"/>
  </w:num>
  <w:num w:numId="24">
    <w:abstractNumId w:val="8"/>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2D21103"/>
    <w:rsid w:val="02E44199"/>
    <w:rsid w:val="040F1027"/>
    <w:rsid w:val="04A233E0"/>
    <w:rsid w:val="058C78B0"/>
    <w:rsid w:val="05E13064"/>
    <w:rsid w:val="06A96ADB"/>
    <w:rsid w:val="07725732"/>
    <w:rsid w:val="078A573C"/>
    <w:rsid w:val="093A3733"/>
    <w:rsid w:val="0B4508AE"/>
    <w:rsid w:val="0CF161C9"/>
    <w:rsid w:val="0CFA155A"/>
    <w:rsid w:val="0E0B7FF0"/>
    <w:rsid w:val="0F904004"/>
    <w:rsid w:val="0F9148FF"/>
    <w:rsid w:val="10846692"/>
    <w:rsid w:val="117A5014"/>
    <w:rsid w:val="127F05A0"/>
    <w:rsid w:val="12F74478"/>
    <w:rsid w:val="136D78F8"/>
    <w:rsid w:val="13BE15D6"/>
    <w:rsid w:val="15CC4977"/>
    <w:rsid w:val="162A4F7D"/>
    <w:rsid w:val="16A82A66"/>
    <w:rsid w:val="17DA17F2"/>
    <w:rsid w:val="1994787E"/>
    <w:rsid w:val="1BCC54CD"/>
    <w:rsid w:val="1DD000AF"/>
    <w:rsid w:val="1E09745A"/>
    <w:rsid w:val="1E176351"/>
    <w:rsid w:val="1E446AD4"/>
    <w:rsid w:val="21D369EC"/>
    <w:rsid w:val="22935D1D"/>
    <w:rsid w:val="23D4489F"/>
    <w:rsid w:val="262001B9"/>
    <w:rsid w:val="27B87AF9"/>
    <w:rsid w:val="27E80EA9"/>
    <w:rsid w:val="280414A1"/>
    <w:rsid w:val="28570368"/>
    <w:rsid w:val="29C5318E"/>
    <w:rsid w:val="2B502F98"/>
    <w:rsid w:val="2C9A0A9E"/>
    <w:rsid w:val="2DA70D65"/>
    <w:rsid w:val="2F314F6B"/>
    <w:rsid w:val="3427766B"/>
    <w:rsid w:val="343706EB"/>
    <w:rsid w:val="351A08D0"/>
    <w:rsid w:val="36334CE5"/>
    <w:rsid w:val="37691503"/>
    <w:rsid w:val="37E43DA2"/>
    <w:rsid w:val="39076AE5"/>
    <w:rsid w:val="39DC77FF"/>
    <w:rsid w:val="3A1F5A62"/>
    <w:rsid w:val="3A551407"/>
    <w:rsid w:val="3B033C36"/>
    <w:rsid w:val="3B6C15C2"/>
    <w:rsid w:val="3BBF6223"/>
    <w:rsid w:val="3C656F41"/>
    <w:rsid w:val="3E5D4E8E"/>
    <w:rsid w:val="3FE25336"/>
    <w:rsid w:val="41076015"/>
    <w:rsid w:val="42075FF8"/>
    <w:rsid w:val="42842020"/>
    <w:rsid w:val="468567BB"/>
    <w:rsid w:val="47280A93"/>
    <w:rsid w:val="4782487D"/>
    <w:rsid w:val="4AAB5650"/>
    <w:rsid w:val="4B31068E"/>
    <w:rsid w:val="4BA55220"/>
    <w:rsid w:val="4BAD0151"/>
    <w:rsid w:val="4C184E09"/>
    <w:rsid w:val="4C862570"/>
    <w:rsid w:val="4C8F75A2"/>
    <w:rsid w:val="4DAD4403"/>
    <w:rsid w:val="4E3221F7"/>
    <w:rsid w:val="4E8C008E"/>
    <w:rsid w:val="4FEF758C"/>
    <w:rsid w:val="50771A9C"/>
    <w:rsid w:val="51C47F6D"/>
    <w:rsid w:val="529529A5"/>
    <w:rsid w:val="541A3621"/>
    <w:rsid w:val="54505185"/>
    <w:rsid w:val="5455382C"/>
    <w:rsid w:val="570D546C"/>
    <w:rsid w:val="5D0A3490"/>
    <w:rsid w:val="5D7E0D39"/>
    <w:rsid w:val="5E9D3F29"/>
    <w:rsid w:val="60384CD1"/>
    <w:rsid w:val="60655808"/>
    <w:rsid w:val="60F86CEE"/>
    <w:rsid w:val="63A9427A"/>
    <w:rsid w:val="63D462B1"/>
    <w:rsid w:val="641A3596"/>
    <w:rsid w:val="64D96647"/>
    <w:rsid w:val="655B51E5"/>
    <w:rsid w:val="65E40ADA"/>
    <w:rsid w:val="66330B86"/>
    <w:rsid w:val="66E22203"/>
    <w:rsid w:val="67FD181E"/>
    <w:rsid w:val="68AA6162"/>
    <w:rsid w:val="68B812C9"/>
    <w:rsid w:val="69D50CF4"/>
    <w:rsid w:val="6C487AFD"/>
    <w:rsid w:val="6CB24363"/>
    <w:rsid w:val="6EA93466"/>
    <w:rsid w:val="6FB16FC8"/>
    <w:rsid w:val="6FCF0795"/>
    <w:rsid w:val="71381023"/>
    <w:rsid w:val="71696852"/>
    <w:rsid w:val="73714961"/>
    <w:rsid w:val="754D1D92"/>
    <w:rsid w:val="758350A9"/>
    <w:rsid w:val="79687E1D"/>
    <w:rsid w:val="7A4F464A"/>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1330</Words>
  <Characters>1442</Characters>
  <Lines>72</Lines>
  <Paragraphs>20</Paragraphs>
  <TotalTime>3</TotalTime>
  <ScaleCrop>false</ScaleCrop>
  <LinksUpToDate>false</LinksUpToDate>
  <CharactersWithSpaces>1514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DENG</cp:lastModifiedBy>
  <dcterms:modified xsi:type="dcterms:W3CDTF">2026-08-17T08:44:29Z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7BD7FDD1FF91459C9D31EA3B35163A34_13</vt:lpwstr>
  </property>
  <property fmtid="{D5CDD505-2E9C-101B-9397-08002B2CF9AE}" pid="4" name="KSOTemplateDocerSaveRecord">
    <vt:lpwstr>eyJoZGlkIjoiMTg3OTBlMTJhZTliYjA3NDQ0MDEzN2E5YmUzNWUyYzYiLCJ1c2VySWQiOiI2NDE5ODgzNDAifQ==</vt:lpwstr>
  </property>
</Properties>
</file>