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before="634" w:beforeLines="200" w:after="317" w:afterLines="100" w:line="36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四川省人民医院分院区物资供应链管理系统及资产管理系统采购项目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3732434D">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w:t>
      </w:r>
      <w:r>
        <w:rPr>
          <w:rFonts w:hint="eastAsia" w:ascii="Times New Roman" w:hAnsi="Times New Roman" w:eastAsia="黑体" w:cs="Times New Roman"/>
          <w:b/>
          <w:sz w:val="36"/>
          <w:szCs w:val="36"/>
        </w:rPr>
        <w:t>6</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10</w:t>
      </w:r>
      <w:r>
        <w:rPr>
          <w:rFonts w:ascii="Times New Roman" w:hAnsi="Times New Roman" w:eastAsia="黑体" w:cs="Times New Roman"/>
          <w:b/>
          <w:sz w:val="36"/>
          <w:szCs w:val="36"/>
          <w:lang w:val="zh-CN"/>
        </w:rPr>
        <w:t>月</w:t>
      </w:r>
    </w:p>
    <w:p w14:paraId="1E4CC0CF">
      <w:pPr>
        <w:pStyle w:val="14"/>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4"/>
        <w:tabs>
          <w:tab w:val="left" w:pos="6160"/>
        </w:tabs>
        <w:rPr>
          <w:rFonts w:ascii="Times New Roman" w:hAnsi="Times New Roman" w:eastAsia="仿宋" w:cs="Times New Roman"/>
          <w:sz w:val="28"/>
          <w:szCs w:val="32"/>
        </w:rPr>
      </w:pPr>
    </w:p>
    <w:p w14:paraId="267EBE78">
      <w:pPr>
        <w:pStyle w:val="14"/>
        <w:tabs>
          <w:tab w:val="right" w:leader="dot" w:pos="9627"/>
        </w:tabs>
        <w:rPr>
          <w:rFonts w:ascii="Times New Roman" w:hAnsi="Times New Roman" w:eastAsia="仿宋" w:cs="Times New Roman"/>
          <w:sz w:val="28"/>
          <w:szCs w:val="28"/>
          <w:lang w:val="zh-CN"/>
          <w14:ligatures w14:val="standardContextual"/>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"_Toc192583766" </w:instrText>
      </w:r>
      <w:r>
        <w:fldChar w:fldCharType="separate"/>
      </w:r>
      <w:r>
        <w:rPr>
          <w:rStyle w:val="23"/>
          <w:rFonts w:ascii="Times New Roman" w:hAnsi="Times New Roman" w:eastAsia="仿宋" w:cs="Times New Roman"/>
          <w:sz w:val="28"/>
          <w:szCs w:val="28"/>
        </w:rPr>
        <w:t>第一章 谈判邀请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_Toc192583766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75DC840">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"_Toc192583767" </w:instrText>
      </w:r>
      <w:r>
        <w:fldChar w:fldCharType="separate"/>
      </w:r>
      <w:r>
        <w:rPr>
          <w:rStyle w:val="23"/>
          <w:rFonts w:ascii="Times New Roman" w:hAnsi="Times New Roman" w:eastAsia="仿宋" w:cs="Times New Roman"/>
          <w:sz w:val="28"/>
          <w:szCs w:val="28"/>
        </w:rPr>
        <w:t>第二章 供应商须知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_Toc192583767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3D8241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"_Toc192583768" </w:instrText>
      </w:r>
      <w:r>
        <w:fldChar w:fldCharType="separate"/>
      </w:r>
      <w:r>
        <w:rPr>
          <w:rStyle w:val="23"/>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_Toc192583768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5EDE604">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"_Toc192583769" </w:instrText>
      </w:r>
      <w:r>
        <w:fldChar w:fldCharType="separate"/>
      </w:r>
      <w:r>
        <w:rPr>
          <w:rStyle w:val="23"/>
          <w:rFonts w:ascii="Times New Roman" w:hAnsi="Times New Roman" w:eastAsia="仿宋" w:cs="Times New Roman"/>
          <w:sz w:val="28"/>
          <w:szCs w:val="28"/>
        </w:rPr>
        <w:t>第四章 采购需求</w:t>
      </w:r>
      <w:bookmarkStart w:id="94" w:name="_GoBack"/>
      <w:bookmarkEnd w:id="94"/>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_Toc192583769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9E08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"_Toc192583770" </w:instrText>
      </w:r>
      <w:r>
        <w:fldChar w:fldCharType="separate"/>
      </w:r>
      <w:r>
        <w:rPr>
          <w:rStyle w:val="23"/>
          <w:rFonts w:ascii="Times New Roman" w:hAnsi="Times New Roman" w:eastAsia="仿宋" w:cs="Times New Roman"/>
          <w:sz w:val="28"/>
          <w:szCs w:val="28"/>
        </w:rPr>
        <w:t>第五章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_Toc192583770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33C6BEDB">
      <w:pPr>
        <w:pStyle w:val="14"/>
        <w:tabs>
          <w:tab w:val="right" w:leader="dot" w:pos="9627"/>
        </w:tabs>
        <w:rPr>
          <w:rFonts w:ascii="Times New Roman" w:hAnsi="Times New Roman" w:eastAsia="仿宋" w:cs="Times New Roman"/>
          <w:sz w:val="28"/>
          <w:szCs w:val="28"/>
          <w:lang w:val="zh-CN"/>
          <w14:ligatures w14:val="standardContextual"/>
        </w:rPr>
      </w:pPr>
      <w:r>
        <w:fldChar w:fldCharType="begin"/>
      </w:r>
      <w:r>
        <w:instrText xml:space="preserve"> HYPERLINK \l "_Toc192583771" </w:instrText>
      </w:r>
      <w:r>
        <w:fldChar w:fldCharType="separate"/>
      </w:r>
      <w:r>
        <w:rPr>
          <w:rStyle w:val="23"/>
          <w:rFonts w:ascii="Times New Roman" w:hAnsi="Times New Roman" w:eastAsia="仿宋" w:cs="Times New Roman"/>
          <w:sz w:val="28"/>
          <w:szCs w:val="28"/>
        </w:rPr>
        <w:t>第六章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_Toc192583771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33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973806C">
      <w:pPr>
        <w:pStyle w:val="13"/>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192583766"/>
      <w:bookmarkStart w:id="1" w:name="_Toc1907"/>
      <w:bookmarkStart w:id="2" w:name="_Toc471310326"/>
      <w:bookmarkStart w:id="3" w:name="_Toc62832406"/>
      <w:bookmarkStart w:id="4" w:name="_Toc3240"/>
      <w:bookmarkStart w:id="5" w:name="_Toc20358"/>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pPr w:leftFromText="180" w:rightFromText="180" w:vertAnchor="text" w:horzAnchor="page" w:tblpXSpec="center" w:tblpY="300"/>
        <w:tblOverlap w:val="never"/>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68"/>
        <w:gridCol w:w="1879"/>
        <w:gridCol w:w="7236"/>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hint="eastAsia" w:ascii="Times New Roman" w:hAnsi="Times New Roman" w:eastAsia="仿宋" w:cs="Times New Roman"/>
                <w:sz w:val="22"/>
                <w:lang w:eastAsia="zh-CN"/>
              </w:rPr>
            </w:pPr>
            <w:r>
              <w:rPr>
                <w:rFonts w:ascii="Times New Roman" w:hAnsi="Times New Roman" w:eastAsia="仿宋" w:cs="Times New Roman"/>
                <w:sz w:val="22"/>
              </w:rPr>
              <w:t>四川省人民医院</w:t>
            </w:r>
            <w:r>
              <w:rPr>
                <w:rFonts w:hint="eastAsia" w:ascii="Times New Roman" w:hAnsi="Times New Roman" w:eastAsia="仿宋" w:cs="Times New Roman"/>
                <w:sz w:val="22"/>
                <w:lang w:eastAsia="zh-CN"/>
              </w:rPr>
              <w:t>、</w:t>
            </w:r>
            <w:r>
              <w:rPr>
                <w:rFonts w:hint="eastAsia" w:ascii="Times New Roman" w:hAnsi="Times New Roman" w:eastAsia="仿宋" w:cs="Times New Roman"/>
                <w:sz w:val="22"/>
                <w:lang w:val="zh-CN" w:eastAsia="zh-CN"/>
              </w:rPr>
              <w:t>中国农业银行股份有限公司成都光华支行</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8"/>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23C921FB">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四川省人民医院分院区物资供应链管理系统及资产管理系统采购项目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CGZX-YXX20261083</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526F90A0">
            <w:pPr>
              <w:shd w:val="clear"/>
              <w:spacing w:line="360" w:lineRule="auto"/>
              <w:ind w:left="210" w:leftChars="100"/>
              <w:rPr>
                <w:rFonts w:hint="default" w:ascii="Times New Roman" w:hAnsi="Times New Roman" w:eastAsia="仿宋" w:cs="Times New Roman"/>
                <w:sz w:val="22"/>
                <w:highlight w:val="none"/>
                <w:u w:val="none"/>
                <w:lang w:val="en-US" w:eastAsia="zh-CN"/>
              </w:rPr>
            </w:pPr>
            <w:r>
              <w:rPr>
                <w:rFonts w:ascii="Times New Roman" w:hAnsi="Times New Roman" w:eastAsia="仿宋" w:cs="Times New Roman"/>
                <w:sz w:val="22"/>
                <w:u w:val="none"/>
              </w:rPr>
              <w:t>人民币</w:t>
            </w:r>
            <w:r>
              <w:rPr>
                <w:rFonts w:hint="eastAsia" w:ascii="Times New Roman" w:hAnsi="Times New Roman" w:eastAsia="仿宋" w:cs="Times New Roman"/>
                <w:sz w:val="22"/>
                <w:highlight w:val="none"/>
                <w:u w:val="none"/>
                <w:lang w:val="en-US" w:eastAsia="zh-CN"/>
              </w:rPr>
              <w:t>80万</w:t>
            </w:r>
            <w:r>
              <w:rPr>
                <w:rFonts w:ascii="Times New Roman" w:hAnsi="Times New Roman" w:eastAsia="仿宋" w:cs="Times New Roman"/>
                <w:sz w:val="22"/>
                <w:highlight w:val="none"/>
                <w:u w:val="none"/>
              </w:rPr>
              <w:t>元</w:t>
            </w:r>
            <w:r>
              <w:rPr>
                <w:rFonts w:hint="eastAsia" w:ascii="Times New Roman" w:hAnsi="Times New Roman" w:eastAsia="仿宋" w:cs="Times New Roman"/>
                <w:sz w:val="22"/>
                <w:highlight w:val="none"/>
                <w:u w:val="none"/>
                <w:lang w:eastAsia="zh-CN"/>
              </w:rPr>
              <w:t>，</w:t>
            </w:r>
            <w:r>
              <w:rPr>
                <w:rFonts w:hint="eastAsia" w:ascii="Times New Roman" w:hAnsi="Times New Roman" w:eastAsia="仿宋" w:cs="Times New Roman"/>
                <w:sz w:val="22"/>
                <w:highlight w:val="none"/>
                <w:u w:val="none"/>
                <w:lang w:val="en-US" w:eastAsia="zh-CN"/>
              </w:rPr>
              <w:t>限高单价详见第四章。</w:t>
            </w:r>
          </w:p>
          <w:p w14:paraId="1D0C1EB9">
            <w:pPr>
              <w:shd w:val="clea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highlight w:val="none"/>
              </w:rPr>
              <w:t>超过最高限价的报价，</w:t>
            </w:r>
            <w:r>
              <w:rPr>
                <w:rFonts w:ascii="Times New Roman" w:hAnsi="Times New Roman" w:eastAsia="仿宋" w:cs="Times New Roman"/>
                <w:sz w:val="22"/>
              </w:rPr>
              <w:t>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0C1E08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四川省人民医院官方网站上以公告形式</w:t>
            </w:r>
            <w:r>
              <w:rPr>
                <w:rFonts w:hint="eastAsia" w:ascii="Times New Roman" w:hAnsi="Times New Roman" w:eastAsia="仿宋" w:cs="Times New Roman"/>
                <w:sz w:val="22"/>
              </w:rPr>
              <w:t>邀请唯一供应商参与本次谈判</w:t>
            </w:r>
          </w:p>
        </w:tc>
      </w:tr>
      <w:tr w14:paraId="7C5BAA0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023F7F2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8FCE2B0">
            <w:pPr>
              <w:spacing w:line="360" w:lineRule="auto"/>
              <w:jc w:val="center"/>
              <w:rPr>
                <w:rFonts w:ascii="Times New Roman" w:hAnsi="Times New Roman" w:eastAsia="仿宋" w:cs="Times New Roman"/>
                <w:kern w:val="0"/>
                <w:sz w:val="22"/>
              </w:rPr>
            </w:pPr>
            <w:r>
              <w:rPr>
                <w:rFonts w:hint="eastAsia" w:ascii="Times New Roman" w:hAnsi="Times New Roman" w:eastAsia="仿宋" w:cs="Times New Roman"/>
                <w:kern w:val="0"/>
                <w:sz w:val="22"/>
              </w:rPr>
              <w:t>拟定供应商信息</w:t>
            </w:r>
          </w:p>
        </w:tc>
        <w:tc>
          <w:tcPr>
            <w:tcW w:w="7236" w:type="dxa"/>
            <w:vAlign w:val="center"/>
          </w:tcPr>
          <w:p w14:paraId="30A029FA">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供应商名称：</w:t>
            </w:r>
            <w:r>
              <w:rPr>
                <w:rFonts w:hint="eastAsia" w:ascii="Times New Roman" w:hAnsi="Times New Roman" w:eastAsia="仿宋" w:cs="Times New Roman"/>
                <w:sz w:val="22"/>
                <w:highlight w:val="none"/>
                <w:lang w:val="en-US" w:eastAsia="zh-CN"/>
              </w:rPr>
              <w:t>杭州图特信息科技有限公司</w:t>
            </w:r>
          </w:p>
          <w:p w14:paraId="789161A3">
            <w:pPr>
              <w:spacing w:line="360" w:lineRule="auto"/>
              <w:ind w:left="210" w:leftChars="100"/>
              <w:rPr>
                <w:rFonts w:ascii="Times New Roman" w:hAnsi="Times New Roman" w:eastAsia="仿宋" w:cs="Times New Roman"/>
                <w:sz w:val="22"/>
                <w:highlight w:val="none"/>
              </w:rPr>
            </w:pPr>
            <w:r>
              <w:rPr>
                <w:rFonts w:hint="eastAsia" w:ascii="Times New Roman" w:hAnsi="Times New Roman" w:eastAsia="仿宋" w:cs="Times New Roman"/>
                <w:sz w:val="22"/>
                <w:highlight w:val="none"/>
              </w:rPr>
              <w:t>供应商地址：</w:t>
            </w:r>
            <w:r>
              <w:rPr>
                <w:rFonts w:hint="eastAsia" w:ascii="Times New Roman" w:hAnsi="Times New Roman" w:eastAsia="仿宋" w:cs="Times New Roman"/>
                <w:sz w:val="22"/>
                <w:highlight w:val="none"/>
                <w:lang w:val="en-US" w:eastAsia="zh-CN"/>
              </w:rPr>
              <w:t>浙江省杭州市西湖区文三路369号</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30"/>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2C331044">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举行</w:t>
            </w:r>
          </w:p>
          <w:p w14:paraId="3E03D0F4">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r>
              <w:rPr>
                <w:rFonts w:hint="eastAsia" w:ascii="Times New Roman" w:hAnsi="Times New Roman" w:eastAsia="仿宋" w:cs="Times New Roman"/>
                <w:i/>
                <w:iCs/>
                <w:sz w:val="22"/>
                <w:highlight w:val="none"/>
                <w:u w:color="000000"/>
              </w:rPr>
              <w:t>（应有开始及截止时间的说明）</w:t>
            </w:r>
          </w:p>
          <w:p w14:paraId="3373E8B9">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w:t>
            </w:r>
            <w:r>
              <w:rPr>
                <w:rFonts w:hint="eastAsia" w:ascii="Times New Roman" w:hAnsi="Times New Roman" w:eastAsia="仿宋" w:cs="Times New Roman"/>
                <w:sz w:val="22"/>
                <w:u w:color="000000"/>
              </w:rPr>
              <w:t>点</w:t>
            </w:r>
            <w:r>
              <w:rPr>
                <w:rFonts w:ascii="Times New Roman" w:hAnsi="Times New Roman" w:eastAsia="仿宋" w:cs="Times New Roman"/>
                <w:sz w:val="22"/>
                <w:u w:color="000000"/>
              </w:rPr>
              <w:t>：</w:t>
            </w:r>
          </w:p>
          <w:p w14:paraId="00B3D10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w:t>
            </w:r>
            <w:r>
              <w:rPr>
                <w:rFonts w:hint="eastAsia" w:ascii="Times New Roman" w:hAnsi="Times New Roman" w:eastAsia="仿宋" w:cs="Times New Roman"/>
                <w:sz w:val="22"/>
                <w:u w:color="000000"/>
              </w:rPr>
              <w:t>开始</w:t>
            </w:r>
            <w:r>
              <w:rPr>
                <w:rFonts w:ascii="Times New Roman" w:hAnsi="Times New Roman" w:eastAsia="仿宋" w:cs="Times New Roman"/>
                <w:sz w:val="22"/>
                <w:u w:color="000000"/>
              </w:rPr>
              <w:t>时间：</w:t>
            </w:r>
          </w:p>
          <w:p w14:paraId="0D65FE5D">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hint="eastAsia" w:ascii="Times New Roman" w:hAnsi="Times New Roman" w:eastAsia="仿宋" w:cs="Times New Roman"/>
                <w:sz w:val="22"/>
                <w:u w:color="000000"/>
              </w:rPr>
              <w:t>踏勘地点：</w:t>
            </w:r>
          </w:p>
          <w:p w14:paraId="1CDBF7F3">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3DC3F32A">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w:t>
            </w:r>
            <w:r>
              <w:rPr>
                <w:rFonts w:hint="eastAsia" w:ascii="Times New Roman" w:hAnsi="Times New Roman" w:eastAsia="仿宋" w:cs="Times New Roman"/>
                <w:sz w:val="22"/>
              </w:rPr>
              <w:t>签到</w:t>
            </w:r>
            <w:r>
              <w:rPr>
                <w:rFonts w:ascii="Times New Roman" w:hAnsi="Times New Roman" w:eastAsia="仿宋" w:cs="Times New Roman"/>
                <w:sz w:val="22"/>
              </w:rPr>
              <w:t>地点，所产生的费用由供应商自行承担。未在</w:t>
            </w:r>
            <w:r>
              <w:rPr>
                <w:rFonts w:hint="eastAsia" w:ascii="Times New Roman" w:hAnsi="Times New Roman" w:eastAsia="仿宋" w:cs="Times New Roman"/>
                <w:sz w:val="22"/>
              </w:rPr>
              <w:t>要求</w:t>
            </w:r>
            <w:r>
              <w:rPr>
                <w:rFonts w:ascii="Times New Roman" w:hAnsi="Times New Roman" w:eastAsia="仿宋" w:cs="Times New Roman"/>
                <w:sz w:val="22"/>
              </w:rPr>
              <w:t>时间内签到的供应商，视为自行放弃参与本项目踏勘。未在规定时间内签到或未参加探勘的供应商，均视为无效供应商，其响应文件作无效处理，所引起的不利因素以及相关安全责任等问题均由供应商自行承担。</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9"/>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9"/>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FE"/>
            </w:r>
            <w:r>
              <w:rPr>
                <w:rFonts w:ascii="Times New Roman" w:hAnsi="Times New Roman" w:eastAsia="仿宋" w:cs="Times New Roman"/>
                <w:sz w:val="22"/>
                <w:szCs w:val="22"/>
              </w:rPr>
              <w:t>收取</w:t>
            </w:r>
          </w:p>
          <w:p w14:paraId="2F5A69AE">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hint="eastAsia" w:ascii="Times New Roman" w:hAnsi="Times New Roman" w:eastAsia="仿宋" w:cs="Times New Roman"/>
                <w:sz w:val="22"/>
                <w:szCs w:val="22"/>
                <w:lang w:val="zh-CN" w:eastAsia="zh-CN"/>
              </w:rPr>
              <w:t>合同总价10%（逾期未缴纳履约保证金，视为自动放弃</w:t>
            </w:r>
            <w:r>
              <w:rPr>
                <w:rFonts w:hint="eastAsia" w:ascii="Times New Roman" w:hAnsi="Times New Roman" w:eastAsia="仿宋" w:cs="Times New Roman"/>
                <w:sz w:val="22"/>
                <w:szCs w:val="22"/>
                <w:lang w:val="en-US" w:eastAsia="zh-CN"/>
              </w:rPr>
              <w:t>成交</w:t>
            </w:r>
            <w:r>
              <w:rPr>
                <w:rFonts w:hint="eastAsia" w:ascii="Times New Roman" w:hAnsi="Times New Roman" w:eastAsia="仿宋" w:cs="Times New Roman"/>
                <w:sz w:val="22"/>
                <w:szCs w:val="22"/>
                <w:lang w:val="zh-CN" w:eastAsia="zh-CN"/>
              </w:rPr>
              <w:t>资格。）</w:t>
            </w:r>
          </w:p>
          <w:p w14:paraId="3A95077C">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w:t>
            </w:r>
            <w:r>
              <w:rPr>
                <w:rFonts w:hint="eastAsia" w:ascii="Times New Roman" w:hAnsi="Times New Roman" w:eastAsia="仿宋" w:cs="Times New Roman"/>
                <w:sz w:val="22"/>
                <w:szCs w:val="22"/>
                <w:lang w:val="zh-CN" w:eastAsia="zh-CN"/>
              </w:rPr>
              <w:t>履约保证金以现金转账的形式提交（包括网银转账，电汇等方式）</w:t>
            </w:r>
            <w:r>
              <w:rPr>
                <w:rFonts w:ascii="Times New Roman" w:hAnsi="Times New Roman" w:eastAsia="仿宋" w:cs="Times New Roman"/>
                <w:sz w:val="22"/>
                <w:szCs w:val="22"/>
                <w:lang w:val="zh-CN"/>
              </w:rPr>
              <w:t>；</w:t>
            </w:r>
          </w:p>
          <w:p w14:paraId="024D00A2">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w:t>
            </w:r>
            <w:r>
              <w:rPr>
                <w:rFonts w:hint="eastAsia" w:ascii="Times New Roman" w:hAnsi="Times New Roman" w:eastAsia="仿宋" w:cs="Times New Roman"/>
                <w:sz w:val="22"/>
                <w:szCs w:val="22"/>
                <w:lang w:val="zh-CN" w:eastAsia="zh-CN"/>
              </w:rPr>
              <w:t>中国农业银行股份有限公司成都光华支行</w:t>
            </w:r>
          </w:p>
          <w:p w14:paraId="5F1DFF7F">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w:t>
            </w:r>
            <w:r>
              <w:rPr>
                <w:rFonts w:hint="eastAsia" w:ascii="Times New Roman" w:hAnsi="Times New Roman" w:eastAsia="仿宋" w:cs="Times New Roman"/>
                <w:sz w:val="22"/>
                <w:szCs w:val="22"/>
                <w:lang w:val="zh-CN" w:eastAsia="zh-CN"/>
              </w:rPr>
              <w:t>中国农业银行股份有限公司成都光华支行</w:t>
            </w:r>
          </w:p>
          <w:p w14:paraId="1CDF9145">
            <w:pPr>
              <w:pStyle w:val="29"/>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w:t>
            </w:r>
            <w:r>
              <w:rPr>
                <w:rFonts w:hint="eastAsia" w:ascii="Times New Roman" w:hAnsi="Times New Roman" w:eastAsia="仿宋" w:cs="Times New Roman"/>
                <w:sz w:val="22"/>
                <w:szCs w:val="22"/>
                <w:lang w:val="zh-CN" w:eastAsia="zh-CN"/>
              </w:rPr>
              <w:t>22804101040009833</w:t>
            </w:r>
          </w:p>
          <w:p w14:paraId="47D4BE49">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9"/>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FE"/>
            </w:r>
            <w:r>
              <w:rPr>
                <w:rFonts w:hint="eastAsia" w:ascii="Times New Roman" w:hAnsi="Times New Roman" w:eastAsia="仿宋" w:cs="Times New Roman"/>
                <w:sz w:val="22"/>
                <w:szCs w:val="22"/>
                <w:lang w:val="zh-CN" w:eastAsia="zh-CN"/>
              </w:rPr>
              <w:t>合同生效后7个工作日</w:t>
            </w:r>
            <w:r>
              <w:rPr>
                <w:rFonts w:ascii="Times New Roman" w:hAnsi="Times New Roman" w:eastAsia="仿宋" w:cs="Times New Roman"/>
                <w:sz w:val="22"/>
                <w:szCs w:val="22"/>
                <w:lang w:val="zh-CN"/>
              </w:rPr>
              <w:t>；</w:t>
            </w:r>
          </w:p>
          <w:p w14:paraId="33D0822C">
            <w:pPr>
              <w:pStyle w:val="29"/>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hint="eastAsia" w:ascii="Times New Roman" w:hAnsi="Times New Roman" w:eastAsia="仿宋" w:cs="Times New Roman"/>
                <w:sz w:val="22"/>
                <w:szCs w:val="22"/>
                <w:lang w:val="zh-CN" w:eastAsia="zh-CN"/>
              </w:rPr>
              <w:t>项目验收合格且服务期结束后，供应商向采购人提交退款申请及相应票据，采购人在 60 工作日内将履约保证金扣减考核金额（如涉及考核）后一次性无息退还。</w:t>
            </w:r>
          </w:p>
          <w:p w14:paraId="6E42CB63">
            <w:pPr>
              <w:pStyle w:val="29"/>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EBDCC85">
            <w:pPr>
              <w:pStyle w:val="29"/>
              <w:numPr>
                <w:ilvl w:val="0"/>
                <w:numId w:val="8"/>
              </w:numPr>
              <w:tabs>
                <w:tab w:val="left" w:pos="218"/>
              </w:tabs>
              <w:spacing w:line="360" w:lineRule="auto"/>
              <w:ind w:left="218" w:leftChars="104" w:firstLine="0" w:firstLineChars="0"/>
              <w:jc w:val="both"/>
              <w:rPr>
                <w:rFonts w:hint="eastAsia" w:ascii="Times New Roman" w:hAnsi="Times New Roman" w:eastAsia="仿宋" w:cs="Times New Roman"/>
                <w:sz w:val="22"/>
                <w:szCs w:val="22"/>
                <w:lang w:val="en-US" w:eastAsia="zh-CN"/>
              </w:rPr>
            </w:pPr>
            <w:r>
              <w:rPr>
                <w:rFonts w:hint="eastAsia" w:ascii="Times New Roman" w:hAnsi="Times New Roman" w:eastAsia="仿宋" w:cs="Times New Roman"/>
                <w:sz w:val="22"/>
                <w:szCs w:val="22"/>
                <w:lang w:val="en-US" w:eastAsia="zh-CN"/>
              </w:rPr>
              <w:t>供应商拒绝履行与采购人订立的合同；</w:t>
            </w:r>
          </w:p>
          <w:p w14:paraId="4F09EBE3">
            <w:pPr>
              <w:pStyle w:val="29"/>
              <w:numPr>
                <w:ilvl w:val="0"/>
                <w:numId w:val="0"/>
              </w:numPr>
              <w:tabs>
                <w:tab w:val="left" w:pos="218"/>
              </w:tabs>
              <w:spacing w:line="360" w:lineRule="auto"/>
              <w:ind w:leftChars="104"/>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en-US" w:eastAsia="zh-CN"/>
              </w:rPr>
              <w:t>（2）因供应商严重违约或其它违法违规行为等情形，导致双方无法继续履约。</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7D2F400">
            <w:pPr>
              <w:spacing w:line="360" w:lineRule="auto"/>
              <w:ind w:left="210" w:leftChars="100"/>
              <w:rPr>
                <w:rFonts w:ascii="Times New Roman" w:hAnsi="Times New Roman" w:eastAsia="仿宋" w:cs="Times New Roman"/>
                <w:sz w:val="24"/>
                <w:szCs w:val="24"/>
              </w:rPr>
            </w:pPr>
            <w:r>
              <w:rPr>
                <w:rFonts w:hint="eastAsia" w:ascii="Times New Roman" w:hAnsi="Times New Roman" w:eastAsia="仿宋" w:cs="Times New Roman"/>
                <w:sz w:val="24"/>
                <w:szCs w:val="24"/>
              </w:rPr>
              <w:t xml:space="preserve">    </w:t>
            </w:r>
            <w:r>
              <w:rPr>
                <w:rFonts w:hint="eastAsia" w:ascii="Times New Roman" w:hAnsi="Times New Roman" w:eastAsia="仿宋" w:cs="Times New Roman"/>
                <w:sz w:val="22"/>
              </w:rPr>
              <w:t>供应商通过</w:t>
            </w:r>
            <w:r>
              <w:rPr>
                <w:rFonts w:ascii="Times New Roman" w:hAnsi="Times New Roman" w:eastAsia="仿宋" w:cs="Times New Roman"/>
                <w:sz w:val="22"/>
              </w:rPr>
              <w:t>资格、符合性审查且所有技术</w:t>
            </w:r>
            <w:r>
              <w:rPr>
                <w:rFonts w:hint="eastAsia" w:ascii="Times New Roman" w:hAnsi="Times New Roman" w:eastAsia="仿宋" w:cs="Times New Roman"/>
                <w:sz w:val="22"/>
              </w:rPr>
              <w:t>、服务</w:t>
            </w:r>
            <w:r>
              <w:rPr>
                <w:rFonts w:ascii="Times New Roman" w:hAnsi="Times New Roman" w:eastAsia="仿宋" w:cs="Times New Roman"/>
                <w:sz w:val="22"/>
              </w:rPr>
              <w:t>和商务</w:t>
            </w:r>
            <w:r>
              <w:rPr>
                <w:rFonts w:hint="eastAsia" w:ascii="Times New Roman" w:hAnsi="Times New Roman" w:eastAsia="仿宋" w:cs="Times New Roman"/>
                <w:sz w:val="22"/>
              </w:rPr>
              <w:t>条件</w:t>
            </w:r>
            <w:r>
              <w:rPr>
                <w:rFonts w:ascii="Times New Roman" w:hAnsi="Times New Roman" w:eastAsia="仿宋" w:cs="Times New Roman"/>
                <w:sz w:val="22"/>
              </w:rPr>
              <w:t>均符合</w:t>
            </w:r>
            <w:r>
              <w:rPr>
                <w:rFonts w:hint="eastAsia" w:ascii="Times New Roman" w:hAnsi="Times New Roman" w:eastAsia="仿宋" w:cs="Times New Roman"/>
                <w:sz w:val="22"/>
              </w:rPr>
              <w:t>采购文件</w:t>
            </w:r>
            <w:r>
              <w:rPr>
                <w:rFonts w:ascii="Times New Roman" w:hAnsi="Times New Roman" w:eastAsia="仿宋" w:cs="Times New Roman"/>
                <w:sz w:val="22"/>
              </w:rPr>
              <w:t>要求</w:t>
            </w:r>
            <w:r>
              <w:rPr>
                <w:rFonts w:hint="eastAsia" w:ascii="Times New Roman" w:hAnsi="Times New Roman" w:eastAsia="仿宋" w:cs="Times New Roman"/>
                <w:sz w:val="22"/>
              </w:rPr>
              <w:t>，</w:t>
            </w:r>
            <w:r>
              <w:rPr>
                <w:rFonts w:ascii="Times New Roman" w:hAnsi="Times New Roman" w:eastAsia="仿宋" w:cs="Times New Roman"/>
                <w:sz w:val="22"/>
              </w:rPr>
              <w:t>评审小组与供应商谈判确定成交</w:t>
            </w:r>
            <w:r>
              <w:rPr>
                <w:rFonts w:hint="eastAsia" w:ascii="Times New Roman" w:hAnsi="Times New Roman" w:eastAsia="仿宋" w:cs="Times New Roman"/>
                <w:sz w:val="22"/>
              </w:rPr>
              <w:t>条件。</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8"/>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9"/>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9"/>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8"/>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178277E5">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（1）采购部门：招标采购中心</w:t>
            </w:r>
          </w:p>
          <w:p w14:paraId="0618E8EC">
            <w:pPr>
              <w:spacing w:line="360" w:lineRule="auto"/>
              <w:ind w:left="210" w:leftChars="100"/>
              <w:rPr>
                <w:rFonts w:hint="default" w:ascii="Times New Roman" w:hAnsi="Times New Roman" w:eastAsia="仿宋" w:cs="Times New Roman"/>
                <w:sz w:val="22"/>
                <w:lang w:val="en-US" w:eastAsia="zh-CN"/>
              </w:rPr>
            </w:pPr>
            <w:r>
              <w:rPr>
                <w:rFonts w:ascii="Times New Roman" w:hAnsi="Times New Roman" w:eastAsia="仿宋" w:cs="Times New Roman"/>
                <w:sz w:val="22"/>
              </w:rPr>
              <w:t>联系方式：</w:t>
            </w:r>
            <w:r>
              <w:rPr>
                <w:rFonts w:hint="eastAsia" w:ascii="Times New Roman" w:hAnsi="Times New Roman" w:eastAsia="仿宋" w:cs="Times New Roman"/>
                <w:sz w:val="22"/>
                <w:lang w:val="en-US" w:eastAsia="zh-CN"/>
              </w:rPr>
              <w:t>王</w:t>
            </w:r>
            <w:r>
              <w:rPr>
                <w:rFonts w:ascii="Times New Roman" w:hAnsi="Times New Roman" w:eastAsia="仿宋" w:cs="Times New Roman"/>
                <w:sz w:val="22"/>
              </w:rPr>
              <w:t>老师</w:t>
            </w:r>
            <w:r>
              <w:rPr>
                <w:rFonts w:hint="eastAsia" w:ascii="Times New Roman" w:hAnsi="Times New Roman" w:eastAsia="仿宋" w:cs="Times New Roman"/>
                <w:sz w:val="22"/>
                <w:lang w:val="en-US" w:eastAsia="zh-CN"/>
              </w:rPr>
              <w:t xml:space="preserve"> </w:t>
            </w:r>
            <w:r>
              <w:rPr>
                <w:rFonts w:ascii="Times New Roman" w:hAnsi="Times New Roman" w:eastAsia="仿宋" w:cs="Times New Roman"/>
                <w:sz w:val="22"/>
              </w:rPr>
              <w:t>028-</w:t>
            </w:r>
            <w:r>
              <w:rPr>
                <w:rFonts w:hint="eastAsia" w:ascii="Times New Roman" w:hAnsi="Times New Roman" w:eastAsia="仿宋" w:cs="Times New Roman"/>
                <w:sz w:val="22"/>
                <w:lang w:val="en-US" w:eastAsia="zh-CN"/>
              </w:rPr>
              <w:t>87393060</w:t>
            </w:r>
          </w:p>
          <w:p w14:paraId="64ABCF4D">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（2）归口部门：医学信息中心</w:t>
            </w:r>
          </w:p>
          <w:p w14:paraId="66AD8B09">
            <w:pPr>
              <w:spacing w:line="360" w:lineRule="auto"/>
              <w:ind w:left="210" w:leftChars="100"/>
              <w:rPr>
                <w:rFonts w:hint="default" w:ascii="Times New Roman" w:hAnsi="Times New Roman" w:eastAsia="仿宋" w:cs="Times New Roman"/>
                <w:sz w:val="22"/>
                <w:highlight w:val="none"/>
                <w:lang w:val="en-US" w:eastAsia="zh-CN"/>
              </w:rPr>
            </w:pPr>
            <w:r>
              <w:rPr>
                <w:rFonts w:ascii="Times New Roman" w:hAnsi="Times New Roman" w:eastAsia="仿宋" w:cs="Times New Roman"/>
                <w:sz w:val="22"/>
              </w:rPr>
              <w:t>联系方式</w:t>
            </w:r>
            <w:r>
              <w:rPr>
                <w:rFonts w:ascii="Times New Roman" w:hAnsi="Times New Roman" w:eastAsia="仿宋" w:cs="Times New Roman"/>
                <w:sz w:val="22"/>
                <w:highlight w:val="none"/>
              </w:rPr>
              <w:t>：</w:t>
            </w:r>
            <w:r>
              <w:rPr>
                <w:rFonts w:hint="eastAsia" w:ascii="Times New Roman" w:hAnsi="Times New Roman" w:eastAsia="仿宋" w:cs="Times New Roman"/>
                <w:sz w:val="22"/>
                <w:highlight w:val="none"/>
                <w:lang w:val="en-US" w:eastAsia="zh-CN"/>
              </w:rPr>
              <w:t>舒</w:t>
            </w:r>
            <w:r>
              <w:rPr>
                <w:rFonts w:ascii="Times New Roman" w:hAnsi="Times New Roman" w:eastAsia="仿宋" w:cs="Times New Roman"/>
                <w:sz w:val="22"/>
                <w:highlight w:val="none"/>
              </w:rPr>
              <w:t>老师</w:t>
            </w:r>
            <w:r>
              <w:rPr>
                <w:rFonts w:hint="eastAsia" w:ascii="Times New Roman" w:hAnsi="Times New Roman" w:eastAsia="仿宋" w:cs="Times New Roman"/>
                <w:sz w:val="22"/>
                <w:highlight w:val="none"/>
                <w:lang w:val="en-US" w:eastAsia="zh-CN"/>
              </w:rPr>
              <w:t xml:space="preserve"> </w:t>
            </w:r>
            <w:r>
              <w:rPr>
                <w:rFonts w:ascii="Times New Roman" w:hAnsi="Times New Roman" w:eastAsia="仿宋" w:cs="Times New Roman"/>
                <w:sz w:val="22"/>
                <w:highlight w:val="none"/>
              </w:rPr>
              <w:t>028-</w:t>
            </w:r>
            <w:r>
              <w:rPr>
                <w:rFonts w:hint="eastAsia" w:ascii="Times New Roman" w:hAnsi="Times New Roman" w:eastAsia="仿宋" w:cs="Times New Roman"/>
                <w:sz w:val="22"/>
                <w:highlight w:val="none"/>
                <w:lang w:val="en-US" w:eastAsia="zh-CN"/>
              </w:rPr>
              <w:t>87393250</w:t>
            </w:r>
          </w:p>
          <w:p w14:paraId="2699BB77">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highlight w:val="none"/>
              </w:rPr>
              <w:t>（3）监督部门：审</w:t>
            </w:r>
            <w:r>
              <w:rPr>
                <w:rFonts w:ascii="Times New Roman" w:hAnsi="Times New Roman" w:eastAsia="仿宋" w:cs="Times New Roman"/>
                <w:sz w:val="22"/>
              </w:rPr>
              <w:t>计部</w:t>
            </w:r>
          </w:p>
          <w:p w14:paraId="509376EE">
            <w:pPr>
              <w:spacing w:line="360" w:lineRule="auto"/>
              <w:ind w:left="210" w:leftChars="100"/>
              <w:rPr>
                <w:rFonts w:hint="default" w:ascii="Times New Roman" w:hAnsi="Times New Roman" w:eastAsia="仿宋" w:cs="Times New Roman"/>
                <w:sz w:val="22"/>
              </w:rPr>
            </w:pPr>
            <w:r>
              <w:rPr>
                <w:rFonts w:ascii="Times New Roman" w:hAnsi="Times New Roman" w:eastAsia="仿宋" w:cs="Times New Roman"/>
                <w:sz w:val="22"/>
              </w:rPr>
              <w:t>联系方式：028-87394709</w:t>
            </w:r>
          </w:p>
          <w:p w14:paraId="0E7FA11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14460"/>
      <w:bookmarkStart w:id="7" w:name="_Toc192583767"/>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00"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597"/>
        <w:gridCol w:w="2013"/>
        <w:gridCol w:w="7073"/>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66"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909"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6706"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66" w:type="dxa"/>
            <w:vAlign w:val="center"/>
          </w:tcPr>
          <w:p w14:paraId="5306D9A1">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6706"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66" w:type="dxa"/>
            <w:vAlign w:val="center"/>
          </w:tcPr>
          <w:p w14:paraId="25EBC0F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6706"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12A0774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762" w:hRule="atLeast"/>
          <w:jc w:val="center"/>
        </w:trPr>
        <w:tc>
          <w:tcPr>
            <w:tcW w:w="566" w:type="dxa"/>
            <w:vAlign w:val="center"/>
          </w:tcPr>
          <w:p w14:paraId="4AC0DE18">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641522A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评审要求</w:t>
            </w:r>
          </w:p>
        </w:tc>
        <w:tc>
          <w:tcPr>
            <w:tcW w:w="6706" w:type="dxa"/>
            <w:vAlign w:val="center"/>
          </w:tcPr>
          <w:p w14:paraId="1608060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1</w:t>
            </w:r>
            <w:r>
              <w:rPr>
                <w:rFonts w:ascii="Times New Roman" w:hAnsi="Times New Roman" w:eastAsia="仿宋" w:cs="Times New Roman"/>
                <w:sz w:val="22"/>
              </w:rPr>
              <w:t>）</w:t>
            </w:r>
            <w:r>
              <w:rPr>
                <w:rFonts w:hint="eastAsia" w:ascii="Times New Roman" w:hAnsi="Times New Roman" w:eastAsia="仿宋" w:cs="Times New Roman"/>
                <w:sz w:val="22"/>
              </w:rPr>
              <w:t>谈判</w:t>
            </w:r>
            <w:r>
              <w:rPr>
                <w:rFonts w:ascii="Times New Roman" w:hAnsi="Times New Roman" w:eastAsia="仿宋" w:cs="Times New Roman"/>
                <w:sz w:val="22"/>
              </w:rPr>
              <w:t>当天</w:t>
            </w:r>
            <w:r>
              <w:rPr>
                <w:rFonts w:hint="eastAsia" w:ascii="Times New Roman" w:hAnsi="Times New Roman" w:eastAsia="仿宋" w:cs="Times New Roman"/>
                <w:sz w:val="22"/>
              </w:rPr>
              <w:t>，</w:t>
            </w:r>
            <w:r>
              <w:rPr>
                <w:rFonts w:ascii="Times New Roman" w:hAnsi="Times New Roman" w:eastAsia="仿宋" w:cs="Times New Roman"/>
                <w:sz w:val="22"/>
              </w:rPr>
              <w:t>供应商应保证采购文件中所写明的法定代表人或委托代理人的联系方式（手机或邮箱）的畅通，并确保其具备澄清、说明或者更正及在我单位使用的电子化招采平台上进行操作等条件（在接到通知后的在</w:t>
            </w:r>
            <w:r>
              <w:rPr>
                <w:rFonts w:hint="eastAsia" w:ascii="Times New Roman" w:hAnsi="Times New Roman" w:eastAsia="仿宋" w:cs="Times New Roman"/>
                <w:sz w:val="22"/>
                <w:lang w:val="en-US" w:eastAsia="zh-CN"/>
              </w:rPr>
              <w:t>谈判小组</w:t>
            </w:r>
            <w:r>
              <w:rPr>
                <w:rFonts w:ascii="Times New Roman" w:hAnsi="Times New Roman" w:eastAsia="仿宋" w:cs="Times New Roman"/>
                <w:sz w:val="22"/>
              </w:rPr>
              <w:t>规定时间内未回复做无效处理）。</w:t>
            </w:r>
          </w:p>
          <w:p w14:paraId="031BFB27">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（2）谈判过程中，供应商进行二轮报价或多轮报价且次轮报价不得高于上轮报价，以供应商的最终报价作为有效报价参与谈判。</w:t>
            </w:r>
          </w:p>
          <w:p w14:paraId="3E57DDD1">
            <w:pPr>
              <w:snapToGrid w:val="0"/>
              <w:spacing w:line="360" w:lineRule="auto"/>
              <w:ind w:left="210" w:leftChars="100"/>
              <w:contextualSpacing/>
              <w:rPr>
                <w:rFonts w:ascii="Times New Roman" w:hAnsi="Times New Roman" w:eastAsia="仿宋" w:cs="Times New Roman"/>
                <w:sz w:val="22"/>
              </w:rPr>
            </w:pPr>
            <w:r>
              <w:rPr>
                <w:rFonts w:ascii="Times New Roman" w:hAnsi="Times New Roman" w:eastAsia="仿宋" w:cs="Times New Roman"/>
                <w:sz w:val="22"/>
              </w:rPr>
              <w:t>（</w:t>
            </w:r>
            <w:r>
              <w:rPr>
                <w:rFonts w:hint="eastAsia" w:ascii="Times New Roman" w:hAnsi="Times New Roman" w:eastAsia="仿宋" w:cs="Times New Roman"/>
                <w:sz w:val="22"/>
              </w:rPr>
              <w:t>3</w:t>
            </w:r>
            <w:r>
              <w:rPr>
                <w:rFonts w:ascii="Times New Roman" w:hAnsi="Times New Roman" w:eastAsia="仿宋" w:cs="Times New Roman"/>
                <w:sz w:val="22"/>
              </w:rPr>
              <w:t>）</w:t>
            </w:r>
            <w:r>
              <w:rPr>
                <w:rFonts w:hint="eastAsia" w:ascii="Times New Roman" w:hAnsi="Times New Roman" w:eastAsia="仿宋" w:cs="Times New Roman"/>
                <w:sz w:val="22"/>
              </w:rPr>
              <w:t>评审小组</w:t>
            </w:r>
            <w:r>
              <w:rPr>
                <w:rFonts w:ascii="Times New Roman" w:hAnsi="Times New Roman" w:eastAsia="仿宋" w:cs="Times New Roman"/>
                <w:sz w:val="22"/>
              </w:rPr>
              <w:t>要求供应商的澄清、说明或者更正，不得超出采购文件的范围，不得影响供应商公平竞争。</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66" w:type="dxa"/>
            <w:vAlign w:val="center"/>
          </w:tcPr>
          <w:p w14:paraId="310BFDC3">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6706"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66" w:type="dxa"/>
            <w:vAlign w:val="center"/>
          </w:tcPr>
          <w:p w14:paraId="3C16AED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6706"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66" w:type="dxa"/>
            <w:vAlign w:val="center"/>
          </w:tcPr>
          <w:p w14:paraId="7291B37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6706"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66" w:type="dxa"/>
            <w:vAlign w:val="center"/>
          </w:tcPr>
          <w:p w14:paraId="428C8D8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6706"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7F56B90">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7D2C65B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6706" w:type="dxa"/>
            <w:vAlign w:val="center"/>
          </w:tcPr>
          <w:p w14:paraId="2B4778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093CF7DF">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02FDED93">
            <w:pPr>
              <w:pStyle w:val="29"/>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6706" w:type="dxa"/>
            <w:vAlign w:val="center"/>
          </w:tcPr>
          <w:p w14:paraId="628FBF6C">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9"/>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66" w:type="dxa"/>
            <w:vAlign w:val="center"/>
          </w:tcPr>
          <w:p w14:paraId="16F8B326">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5DFD6E60">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6706" w:type="dxa"/>
            <w:vAlign w:val="center"/>
          </w:tcPr>
          <w:p w14:paraId="5E805435">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Times New Roman" w:hAnsi="Times New Roman" w:eastAsia="仿宋" w:cs="Times New Roman"/>
                <w:sz w:val="22"/>
                <w:szCs w:val="22"/>
                <w:lang w:val="zh-CN"/>
              </w:rPr>
              <w:t>028-8739</w:t>
            </w:r>
            <w:r>
              <w:rPr>
                <w:rFonts w:hint="eastAsia" w:ascii="Times New Roman" w:hAnsi="Times New Roman" w:eastAsia="仿宋" w:cs="Times New Roman"/>
                <w:sz w:val="22"/>
                <w:szCs w:val="22"/>
                <w:lang w:val="zh-CN" w:eastAsia="zh-CN"/>
              </w:rPr>
              <w:t>3</w:t>
            </w:r>
            <w:r>
              <w:rPr>
                <w:rFonts w:hint="eastAsia" w:ascii="Times New Roman" w:hAnsi="Times New Roman" w:eastAsia="仿宋" w:cs="Times New Roman"/>
                <w:sz w:val="22"/>
                <w:szCs w:val="22"/>
                <w:lang w:val="en-US" w:eastAsia="zh-CN"/>
              </w:rPr>
              <w:t>0</w:t>
            </w:r>
            <w:r>
              <w:rPr>
                <w:rFonts w:hint="eastAsia" w:ascii="Times New Roman" w:hAnsi="Times New Roman" w:eastAsia="仿宋" w:cs="Times New Roman"/>
                <w:sz w:val="22"/>
                <w:szCs w:val="22"/>
                <w:lang w:val="zh-CN" w:eastAsia="zh-CN"/>
              </w:rPr>
              <w:t>6</w:t>
            </w:r>
            <w:r>
              <w:rPr>
                <w:rFonts w:hint="eastAsia" w:ascii="Times New Roman" w:hAnsi="Times New Roman" w:eastAsia="仿宋" w:cs="Times New Roman"/>
                <w:sz w:val="22"/>
                <w:szCs w:val="22"/>
                <w:lang w:val="en-US" w:eastAsia="zh-CN"/>
              </w:rPr>
              <w:t>0</w:t>
            </w:r>
            <w:r>
              <w:rPr>
                <w:rFonts w:ascii="Times New Roman" w:hAnsi="Times New Roman" w:eastAsia="仿宋" w:cs="Times New Roman"/>
                <w:sz w:val="22"/>
                <w:szCs w:val="22"/>
                <w:lang w:val="zh-CN"/>
              </w:rPr>
              <w:t>）并将合同初稿发送至</w:t>
            </w:r>
            <w:r>
              <w:rPr>
                <w:rFonts w:hint="eastAsia" w:ascii="Times New Roman" w:hAnsi="Times New Roman" w:eastAsia="仿宋" w:cs="Times New Roman"/>
                <w:sz w:val="22"/>
                <w:szCs w:val="22"/>
                <w:lang w:val="zh-CN" w:eastAsia="zh-CN"/>
              </w:rPr>
              <w:t>sbc3214@vip.163.com</w:t>
            </w:r>
            <w:r>
              <w:rPr>
                <w:rFonts w:ascii="Times New Roman" w:hAnsi="Times New Roman" w:eastAsia="仿宋" w:cs="Times New Roman"/>
                <w:sz w:val="22"/>
                <w:szCs w:val="22"/>
              </w:rPr>
              <w:t>。</w:t>
            </w:r>
          </w:p>
          <w:p w14:paraId="24695EB0">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9"/>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66" w:type="dxa"/>
            <w:vAlign w:val="center"/>
          </w:tcPr>
          <w:p w14:paraId="593A1F9A">
            <w:pPr>
              <w:pStyle w:val="28"/>
              <w:numPr>
                <w:ilvl w:val="0"/>
                <w:numId w:val="10"/>
              </w:numPr>
              <w:tabs>
                <w:tab w:val="left" w:pos="220"/>
              </w:tabs>
              <w:adjustRightInd w:val="0"/>
              <w:snapToGrid w:val="0"/>
              <w:rPr>
                <w:rFonts w:ascii="Times New Roman" w:hAnsi="Times New Roman" w:eastAsia="仿宋" w:cs="Times New Roman"/>
                <w:szCs w:val="21"/>
              </w:rPr>
            </w:pPr>
          </w:p>
        </w:tc>
        <w:tc>
          <w:tcPr>
            <w:tcW w:w="1909" w:type="dxa"/>
            <w:vAlign w:val="center"/>
          </w:tcPr>
          <w:p w14:paraId="25DB3129">
            <w:pPr>
              <w:pStyle w:val="29"/>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6706" w:type="dxa"/>
            <w:vAlign w:val="center"/>
          </w:tcPr>
          <w:p w14:paraId="64F9C00B">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9"/>
              <w:numPr>
                <w:ilvl w:val="0"/>
                <w:numId w:val="11"/>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9"/>
              <w:numPr>
                <w:ilvl w:val="0"/>
                <w:numId w:val="11"/>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192583768"/>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0"/>
        <w:gridCol w:w="2885"/>
        <w:gridCol w:w="6058"/>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9853" w:type="dxa"/>
            <w:gridSpan w:val="3"/>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910"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885"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6058"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910"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885"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605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0330B538">
            <w:pPr>
              <w:widowControl/>
              <w:jc w:val="left"/>
              <w:rPr>
                <w:rFonts w:ascii="Times New Roman" w:hAnsi="Times New Roman" w:eastAsia="仿宋" w:cs="Times New Roman"/>
                <w:bCs/>
                <w:kern w:val="0"/>
                <w:sz w:val="22"/>
              </w:rPr>
            </w:pPr>
            <w:r>
              <w:rPr>
                <w:rFonts w:ascii="Times New Roman" w:hAnsi="Times New Roman" w:eastAsia="仿宋" w:cs="Times New Roman"/>
              </w:rPr>
              <w:t>（4）若为自然人：提供“身份证明材料”</w:t>
            </w: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910"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885"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605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7862BA99">
            <w:pPr>
              <w:jc w:val="left"/>
              <w:rPr>
                <w:rFonts w:ascii="Times New Roman" w:hAnsi="Times New Roman" w:eastAsia="仿宋" w:cs="Times New Roman"/>
                <w:bCs/>
                <w:kern w:val="0"/>
                <w:sz w:val="22"/>
              </w:rPr>
            </w:pPr>
            <w:r>
              <w:rPr>
                <w:rFonts w:ascii="Times New Roman" w:hAnsi="Times New Roman" w:eastAsia="仿宋" w:cs="Times New Roman"/>
                <w:sz w:val="22"/>
              </w:rPr>
              <w:t>（5）供应商为个体工商户或自然人时，可提供承诺函。</w:t>
            </w: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910"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885"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605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4DF8C372">
            <w:pPr>
              <w:jc w:val="center"/>
              <w:rPr>
                <w:rFonts w:ascii="Times New Roman" w:hAnsi="Times New Roman" w:eastAsia="仿宋" w:cs="Times New Roman"/>
                <w:bCs/>
                <w:kern w:val="0"/>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承诺函)</w:t>
            </w: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885"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6058"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910"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885"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6058"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885"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6058"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910"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885"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6058"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910"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885"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6058"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910"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885" w:type="dxa"/>
            <w:vAlign w:val="center"/>
          </w:tcPr>
          <w:p w14:paraId="0520E16E">
            <w:pPr>
              <w:widowControl/>
              <w:jc w:val="left"/>
              <w:rPr>
                <w:rFonts w:hint="eastAsia" w:ascii="Times New Roman" w:hAnsi="Times New Roman" w:eastAsia="仿宋" w:cs="Times New Roman"/>
                <w:b/>
                <w:bCs/>
                <w:sz w:val="22"/>
                <w:lang w:val="en-US" w:eastAsia="zh-CN"/>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r>
              <w:rPr>
                <w:rFonts w:hint="eastAsia" w:ascii="Times New Roman" w:hAnsi="Times New Roman" w:eastAsia="仿宋" w:cs="Times New Roman"/>
                <w:b/>
                <w:bCs/>
                <w:sz w:val="22"/>
                <w:u w:val="single"/>
                <w:lang w:val="en-US" w:eastAsia="zh-CN"/>
              </w:rPr>
              <w:t xml:space="preserve">无 </w:t>
            </w:r>
          </w:p>
        </w:tc>
        <w:tc>
          <w:tcPr>
            <w:tcW w:w="6058" w:type="dxa"/>
            <w:vAlign w:val="center"/>
          </w:tcPr>
          <w:p w14:paraId="7748C337">
            <w:pPr>
              <w:jc w:val="left"/>
              <w:rPr>
                <w:rFonts w:hint="eastAsia" w:ascii="Times New Roman" w:hAnsi="Times New Roman" w:eastAsia="仿宋" w:cs="Times New Roman"/>
                <w:bCs/>
                <w:kern w:val="0"/>
                <w:sz w:val="22"/>
                <w:lang w:val="en-US" w:eastAsia="zh-CN"/>
              </w:rPr>
            </w:pPr>
            <w:r>
              <w:rPr>
                <w:rFonts w:ascii="Times New Roman" w:hAnsi="Times New Roman" w:eastAsia="仿宋" w:cs="Times New Roman"/>
                <w:sz w:val="22"/>
              </w:rPr>
              <w:t>提供</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w:t>
            </w:r>
            <w:r>
              <w:rPr>
                <w:rFonts w:ascii="Times New Roman" w:hAnsi="Times New Roman" w:eastAsia="仿宋" w:cs="Times New Roman"/>
                <w:sz w:val="22"/>
                <w:u w:val="single"/>
              </w:rPr>
              <w:t xml:space="preserve">  </w:t>
            </w:r>
            <w:r>
              <w:rPr>
                <w:rFonts w:hint="eastAsia" w:ascii="Times New Roman" w:hAnsi="Times New Roman" w:eastAsia="仿宋" w:cs="Times New Roman"/>
                <w:sz w:val="22"/>
                <w:u w:val="single"/>
                <w:lang w:val="en-US" w:eastAsia="zh-CN"/>
              </w:rPr>
              <w:t xml:space="preserve"> </w:t>
            </w: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015"/>
        <w:gridCol w:w="2621"/>
        <w:gridCol w:w="6207"/>
        <w:gridCol w:w="10"/>
      </w:tblGrid>
      <w:tr w14:paraId="3D77EE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5000" w:type="pct"/>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13" w:hRule="atLeast"/>
          <w:tblHeader/>
          <w:jc w:val="center"/>
        </w:trPr>
        <w:tc>
          <w:tcPr>
            <w:tcW w:w="515" w:type="pct"/>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330" w:type="pct"/>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3150" w:type="pct"/>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2211" w:hRule="atLeast"/>
          <w:jc w:val="center"/>
        </w:trPr>
        <w:tc>
          <w:tcPr>
            <w:tcW w:w="515" w:type="pct"/>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1330" w:type="pct"/>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3150" w:type="pct"/>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w:t>
            </w:r>
            <w:r>
              <w:rPr>
                <w:rFonts w:hint="eastAsia" w:ascii="Times New Roman" w:hAnsi="Times New Roman" w:eastAsia="仿宋" w:cs="Times New Roman"/>
                <w:sz w:val="22"/>
                <w:lang w:eastAsia="zh-CN"/>
              </w:rPr>
              <w:t>第五章</w:t>
            </w:r>
            <w:r>
              <w:rPr>
                <w:rFonts w:ascii="Times New Roman" w:hAnsi="Times New Roman" w:eastAsia="仿宋" w:cs="Times New Roman"/>
                <w:sz w:val="22"/>
              </w:rPr>
              <w:t>“法定代表人身份证明书”以及法定代表人授权委托。</w:t>
            </w: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39" w:hRule="atLeast"/>
          <w:jc w:val="center"/>
        </w:trPr>
        <w:tc>
          <w:tcPr>
            <w:tcW w:w="515" w:type="pct"/>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1330" w:type="pct"/>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3150" w:type="pct"/>
            <w:vAlign w:val="center"/>
          </w:tcPr>
          <w:p w14:paraId="5222A2F3">
            <w:pPr>
              <w:rPr>
                <w:rFonts w:ascii="Times New Roman" w:hAnsi="Times New Roman" w:eastAsia="仿宋" w:cs="Times New Roman"/>
                <w:sz w:val="22"/>
              </w:rPr>
            </w:pPr>
            <w:r>
              <w:rPr>
                <w:rFonts w:ascii="Times New Roman" w:hAnsi="Times New Roman" w:eastAsia="仿宋" w:cs="Times New Roman"/>
                <w:sz w:val="22"/>
              </w:rPr>
              <w:t>供应商符合第四章</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的条款（若涉及）</w:t>
            </w: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058" w:hRule="atLeast"/>
          <w:jc w:val="center"/>
        </w:trPr>
        <w:tc>
          <w:tcPr>
            <w:tcW w:w="515" w:type="pct"/>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1330" w:type="pct"/>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3150" w:type="pct"/>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958" w:hRule="atLeast"/>
          <w:jc w:val="center"/>
        </w:trPr>
        <w:tc>
          <w:tcPr>
            <w:tcW w:w="515" w:type="pct"/>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1330" w:type="pct"/>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3150" w:type="pct"/>
            <w:vAlign w:val="center"/>
          </w:tcPr>
          <w:p w14:paraId="73143386">
            <w:pPr>
              <w:rPr>
                <w:rFonts w:ascii="Times New Roman" w:hAnsi="Times New Roman" w:eastAsia="仿宋" w:cs="Times New Roman"/>
                <w:sz w:val="22"/>
              </w:rPr>
            </w:pPr>
            <w:r>
              <w:rPr>
                <w:rFonts w:ascii="Times New Roman" w:hAnsi="Times New Roman" w:eastAsia="仿宋" w:cs="Times New Roman"/>
                <w:sz w:val="22"/>
              </w:rPr>
              <w:t>符合采购文件要求;</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3" w:type="pct"/>
          <w:trHeight w:val="1244" w:hRule="atLeast"/>
          <w:jc w:val="center"/>
        </w:trPr>
        <w:tc>
          <w:tcPr>
            <w:tcW w:w="515" w:type="pct"/>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1330" w:type="pct"/>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3150" w:type="pct"/>
            <w:vAlign w:val="center"/>
          </w:tcPr>
          <w:p w14:paraId="6D233D2C">
            <w:pPr>
              <w:rPr>
                <w:rFonts w:ascii="Times New Roman" w:hAnsi="Times New Roman" w:eastAsia="仿宋" w:cs="Times New Roman"/>
                <w:sz w:val="22"/>
              </w:rPr>
            </w:pPr>
            <w:r>
              <w:rPr>
                <w:rFonts w:ascii="Times New Roman" w:hAnsi="Times New Roman" w:eastAsia="仿宋" w:cs="Times New Roman"/>
                <w:sz w:val="22"/>
              </w:rPr>
              <w:t>符合采购文件报价要求;</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3988"/>
      <w:bookmarkStart w:id="13" w:name="_Toc12668"/>
      <w:bookmarkStart w:id="14" w:name="_Toc192583769"/>
      <w:r>
        <w:rPr>
          <w:rFonts w:ascii="Times New Roman" w:hAnsi="Times New Roman" w:cs="Times New Roman"/>
        </w:rPr>
        <w:t>采购需求</w:t>
      </w:r>
      <w:bookmarkEnd w:id="12"/>
      <w:bookmarkEnd w:id="13"/>
      <w:bookmarkEnd w:id="14"/>
    </w:p>
    <w:p w14:paraId="34BB3916">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ind w:left="482" w:hanging="482" w:hangingChars="200"/>
        <w:jc w:val="both"/>
        <w:textAlignment w:val="auto"/>
        <w:rPr>
          <w:rFonts w:hint="eastAsia" w:ascii="仿宋" w:hAnsi="仿宋" w:eastAsia="仿宋" w:cs="仿宋"/>
          <w:sz w:val="24"/>
          <w:szCs w:val="24"/>
        </w:rPr>
      </w:pPr>
      <w:r>
        <w:rPr>
          <w:rFonts w:hint="eastAsia" w:ascii="仿宋" w:hAnsi="仿宋" w:eastAsia="仿宋" w:cs="仿宋"/>
          <w:b/>
          <w:kern w:val="2"/>
          <w:sz w:val="24"/>
          <w:szCs w:val="24"/>
          <w:lang w:val="zh-CN" w:eastAsia="zh-CN" w:bidi="ar-SA"/>
        </w:rPr>
        <w:t>一、</w:t>
      </w:r>
      <w:r>
        <w:rPr>
          <w:rFonts w:hint="eastAsia" w:ascii="仿宋" w:hAnsi="仿宋" w:eastAsia="仿宋" w:cs="仿宋"/>
          <w:b/>
          <w:bCs/>
          <w:sz w:val="24"/>
          <w:szCs w:val="24"/>
        </w:rPr>
        <w:t>项目简介</w:t>
      </w:r>
      <w:r>
        <w:rPr>
          <w:rFonts w:hint="eastAsia" w:ascii="仿宋" w:hAnsi="仿宋" w:eastAsia="仿宋" w:cs="仿宋"/>
          <w:sz w:val="24"/>
          <w:szCs w:val="24"/>
        </w:rPr>
        <w:cr/>
      </w:r>
      <w:r>
        <w:rPr>
          <w:rFonts w:hint="eastAsia" w:ascii="仿宋" w:hAnsi="仿宋" w:eastAsia="仿宋" w:cs="仿宋"/>
          <w:b w:val="0"/>
          <w:bCs/>
          <w:sz w:val="24"/>
          <w:szCs w:val="24"/>
          <w:lang w:val="en-US" w:eastAsia="zh-CN"/>
        </w:rPr>
        <w:t>本项目拟确定一名供应商供应分院区物资供应链管理系统及资产管理系统。</w:t>
      </w:r>
    </w:p>
    <w:p w14:paraId="0B650C22">
      <w:pPr>
        <w:pStyle w:val="3"/>
        <w:keepNext w:val="0"/>
        <w:keepLines w:val="0"/>
        <w:pageBreakBefore w:val="0"/>
        <w:widowControl/>
        <w:numPr>
          <w:ilvl w:val="0"/>
          <w:numId w:val="0"/>
        </w:numPr>
        <w:suppressLineNumbers w:val="0"/>
        <w:kinsoku/>
        <w:wordWrap/>
        <w:overflowPunct/>
        <w:topLinePunct w:val="0"/>
        <w:bidi w:val="0"/>
        <w:adjustRightInd w:val="0"/>
        <w:snapToGrid w:val="0"/>
        <w:spacing w:beforeAutospacing="0" w:afterAutospacing="0" w:line="288" w:lineRule="auto"/>
        <w:jc w:val="both"/>
        <w:textAlignment w:val="auto"/>
        <w:rPr>
          <w:rFonts w:hint="eastAsia" w:ascii="仿宋" w:hAnsi="仿宋" w:eastAsia="仿宋" w:cs="仿宋"/>
          <w:sz w:val="24"/>
          <w:szCs w:val="24"/>
        </w:rPr>
      </w:pPr>
      <w:r>
        <w:rPr>
          <w:rFonts w:hint="eastAsia" w:ascii="仿宋" w:hAnsi="仿宋" w:eastAsia="仿宋" w:cs="仿宋"/>
          <w:b/>
          <w:bCs/>
          <w:sz w:val="24"/>
          <w:szCs w:val="24"/>
        </w:rPr>
        <w:t>二、采购内容</w:t>
      </w:r>
      <w:r>
        <w:rPr>
          <w:rFonts w:hint="eastAsia" w:ascii="仿宋" w:hAnsi="仿宋" w:eastAsia="仿宋" w:cs="仿宋"/>
          <w:sz w:val="24"/>
          <w:szCs w:val="24"/>
        </w:rPr>
        <w:cr/>
      </w:r>
      <w:r>
        <w:rPr>
          <w:rFonts w:hint="eastAsia" w:ascii="仿宋" w:hAnsi="仿宋" w:cs="仿宋"/>
          <w:kern w:val="2"/>
          <w:sz w:val="24"/>
          <w:szCs w:val="24"/>
          <w:lang w:val="en-US" w:eastAsia="zh-CN"/>
        </w:rPr>
        <w:t>1.建设内容</w:t>
      </w:r>
      <w:r>
        <w:rPr>
          <w:rFonts w:hint="eastAsia" w:ascii="仿宋" w:hAnsi="仿宋" w:eastAsia="仿宋" w:cs="仿宋"/>
          <w:kern w:val="2"/>
          <w:sz w:val="24"/>
          <w:szCs w:val="24"/>
        </w:rPr>
        <w:t>清单</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1171"/>
        <w:gridCol w:w="2734"/>
        <w:gridCol w:w="1980"/>
        <w:gridCol w:w="3992"/>
      </w:tblGrid>
      <w:tr w14:paraId="7C9429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7445DF0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序号</w:t>
            </w:r>
          </w:p>
        </w:tc>
        <w:tc>
          <w:tcPr>
            <w:tcW w:w="2734" w:type="dxa"/>
            <w:shd w:val="clear" w:color="auto" w:fill="auto"/>
            <w:tcMar>
              <w:top w:w="60" w:type="dxa"/>
              <w:left w:w="120" w:type="dxa"/>
              <w:bottom w:w="30" w:type="dxa"/>
              <w:right w:w="120" w:type="dxa"/>
            </w:tcMar>
            <w:vAlign w:val="center"/>
          </w:tcPr>
          <w:p w14:paraId="531A29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系统模块名称</w:t>
            </w:r>
          </w:p>
        </w:tc>
        <w:tc>
          <w:tcPr>
            <w:tcW w:w="1980" w:type="dxa"/>
            <w:shd w:val="clear" w:color="auto" w:fill="auto"/>
            <w:tcMar>
              <w:top w:w="60" w:type="dxa"/>
              <w:left w:w="120" w:type="dxa"/>
              <w:bottom w:w="30" w:type="dxa"/>
              <w:right w:w="120" w:type="dxa"/>
            </w:tcMar>
            <w:vAlign w:val="center"/>
          </w:tcPr>
          <w:p w14:paraId="15C632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分项最高限价</w:t>
            </w:r>
          </w:p>
          <w:p w14:paraId="530D20F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（万元）</w:t>
            </w:r>
          </w:p>
        </w:tc>
        <w:tc>
          <w:tcPr>
            <w:tcW w:w="3992" w:type="dxa"/>
            <w:shd w:val="clear" w:color="auto" w:fill="auto"/>
            <w:tcMar>
              <w:top w:w="60" w:type="dxa"/>
              <w:left w:w="120" w:type="dxa"/>
              <w:bottom w:w="30" w:type="dxa"/>
              <w:right w:w="120" w:type="dxa"/>
            </w:tcMar>
            <w:vAlign w:val="center"/>
          </w:tcPr>
          <w:p w14:paraId="7C48CC4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备注</w:t>
            </w:r>
          </w:p>
        </w:tc>
      </w:tr>
      <w:tr w14:paraId="6EFC67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63D0D54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2734" w:type="dxa"/>
            <w:shd w:val="clear" w:color="auto" w:fill="auto"/>
            <w:tcMar>
              <w:top w:w="60" w:type="dxa"/>
              <w:left w:w="120" w:type="dxa"/>
              <w:bottom w:w="30" w:type="dxa"/>
              <w:right w:w="120" w:type="dxa"/>
            </w:tcMar>
            <w:vAlign w:val="center"/>
          </w:tcPr>
          <w:p w14:paraId="1ECBB24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口腔科跟台定制化管理</w:t>
            </w:r>
          </w:p>
        </w:tc>
        <w:tc>
          <w:tcPr>
            <w:tcW w:w="1980" w:type="dxa"/>
            <w:shd w:val="clear" w:color="auto" w:fill="auto"/>
            <w:tcMar>
              <w:top w:w="60" w:type="dxa"/>
              <w:left w:w="120" w:type="dxa"/>
              <w:bottom w:w="30" w:type="dxa"/>
              <w:right w:w="120" w:type="dxa"/>
            </w:tcMar>
            <w:vAlign w:val="center"/>
          </w:tcPr>
          <w:p w14:paraId="23DD3A0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3992" w:type="dxa"/>
            <w:shd w:val="clear" w:color="auto" w:fill="auto"/>
            <w:tcMar>
              <w:top w:w="60" w:type="dxa"/>
              <w:left w:w="120" w:type="dxa"/>
              <w:bottom w:w="30" w:type="dxa"/>
              <w:right w:w="120" w:type="dxa"/>
            </w:tcMar>
            <w:vAlign w:val="center"/>
          </w:tcPr>
          <w:p w14:paraId="00B17797">
            <w:pPr>
              <w:keepNext w:val="0"/>
              <w:keepLines w:val="0"/>
              <w:pageBreakBefore w:val="0"/>
              <w:widowControl/>
              <w:suppressLineNumbers w:val="0"/>
              <w:kinsoku/>
              <w:wordWrap/>
              <w:overflowPunct/>
              <w:topLinePunct w:val="0"/>
              <w:autoSpaceDE/>
              <w:autoSpaceDN/>
              <w:bidi w:val="0"/>
              <w:adjustRightInd w:val="0"/>
              <w:snapToGrid w:val="0"/>
              <w:spacing w:beforeAutospacing="0" w:line="240" w:lineRule="auto"/>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sz w:val="24"/>
                <w:szCs w:val="24"/>
                <w:lang w:val="en-US" w:eastAsia="zh-CN"/>
              </w:rPr>
              <w:t>/</w:t>
            </w:r>
          </w:p>
        </w:tc>
      </w:tr>
      <w:tr w14:paraId="59C621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366EDA8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2734" w:type="dxa"/>
            <w:shd w:val="clear" w:color="auto" w:fill="auto"/>
            <w:tcMar>
              <w:top w:w="60" w:type="dxa"/>
              <w:left w:w="120" w:type="dxa"/>
              <w:bottom w:w="30" w:type="dxa"/>
              <w:right w:w="120" w:type="dxa"/>
            </w:tcMar>
            <w:vAlign w:val="center"/>
          </w:tcPr>
          <w:p w14:paraId="55E5A8F1">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移动护理扫描计费模块</w:t>
            </w:r>
          </w:p>
        </w:tc>
        <w:tc>
          <w:tcPr>
            <w:tcW w:w="1980" w:type="dxa"/>
            <w:shd w:val="clear" w:color="auto" w:fill="auto"/>
            <w:tcMar>
              <w:top w:w="60" w:type="dxa"/>
              <w:left w:w="120" w:type="dxa"/>
              <w:bottom w:w="30" w:type="dxa"/>
              <w:right w:w="120" w:type="dxa"/>
            </w:tcMar>
            <w:vAlign w:val="center"/>
          </w:tcPr>
          <w:p w14:paraId="18A48AA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3992" w:type="dxa"/>
            <w:shd w:val="clear" w:color="auto" w:fill="auto"/>
            <w:tcMar>
              <w:top w:w="60" w:type="dxa"/>
              <w:left w:w="120" w:type="dxa"/>
              <w:bottom w:w="30" w:type="dxa"/>
              <w:right w:w="120" w:type="dxa"/>
            </w:tcMar>
            <w:vAlign w:val="center"/>
          </w:tcPr>
          <w:p w14:paraId="50D1C54D">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优化全院临床护理单元耗材计费场景，降低护理人员工作量</w:t>
            </w:r>
          </w:p>
        </w:tc>
      </w:tr>
      <w:tr w14:paraId="02AC0B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6705B50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color w:val="auto"/>
                <w:kern w:val="0"/>
                <w:sz w:val="24"/>
                <w:szCs w:val="24"/>
                <w:highlight w:val="yellow"/>
                <w:lang w:val="en-US" w:eastAsia="zh-CN" w:bidi="ar"/>
              </w:rPr>
            </w:pPr>
            <w:r>
              <w:rPr>
                <w:rFonts w:hint="eastAsia" w:ascii="仿宋" w:hAnsi="仿宋" w:eastAsia="仿宋" w:cs="仿宋"/>
                <w:color w:val="auto"/>
                <w:kern w:val="0"/>
                <w:sz w:val="24"/>
                <w:szCs w:val="24"/>
                <w:highlight w:val="none"/>
                <w:lang w:val="en-US" w:eastAsia="zh-CN" w:bidi="ar"/>
              </w:rPr>
              <w:t>3</w:t>
            </w:r>
          </w:p>
        </w:tc>
        <w:tc>
          <w:tcPr>
            <w:tcW w:w="2734" w:type="dxa"/>
            <w:shd w:val="clear" w:color="auto" w:fill="auto"/>
            <w:tcMar>
              <w:top w:w="60" w:type="dxa"/>
              <w:left w:w="120" w:type="dxa"/>
              <w:bottom w:w="30" w:type="dxa"/>
              <w:right w:w="120" w:type="dxa"/>
            </w:tcMar>
            <w:vAlign w:val="center"/>
          </w:tcPr>
          <w:p w14:paraId="40F1D41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总务耗材合同管理</w:t>
            </w:r>
          </w:p>
        </w:tc>
        <w:tc>
          <w:tcPr>
            <w:tcW w:w="1980" w:type="dxa"/>
            <w:shd w:val="clear" w:color="auto" w:fill="auto"/>
            <w:tcMar>
              <w:top w:w="60" w:type="dxa"/>
              <w:left w:w="120" w:type="dxa"/>
              <w:bottom w:w="30" w:type="dxa"/>
              <w:right w:w="120" w:type="dxa"/>
            </w:tcMar>
            <w:vAlign w:val="center"/>
          </w:tcPr>
          <w:p w14:paraId="0468BA2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3992" w:type="dxa"/>
            <w:shd w:val="clear" w:color="auto" w:fill="auto"/>
            <w:tcMar>
              <w:top w:w="60" w:type="dxa"/>
              <w:left w:w="120" w:type="dxa"/>
              <w:bottom w:w="30" w:type="dxa"/>
              <w:right w:w="120" w:type="dxa"/>
            </w:tcMar>
            <w:vAlign w:val="center"/>
          </w:tcPr>
          <w:p w14:paraId="4A37F46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覆盖全院总务耗材供货合同管理</w:t>
            </w:r>
          </w:p>
        </w:tc>
      </w:tr>
      <w:tr w14:paraId="6404D0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36A2118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2734" w:type="dxa"/>
            <w:shd w:val="clear" w:color="auto" w:fill="auto"/>
            <w:tcMar>
              <w:top w:w="60" w:type="dxa"/>
              <w:left w:w="120" w:type="dxa"/>
              <w:bottom w:w="30" w:type="dxa"/>
              <w:right w:w="120" w:type="dxa"/>
            </w:tcMar>
            <w:vAlign w:val="center"/>
          </w:tcPr>
          <w:p w14:paraId="1DBDF71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手术申请绑定手术套包功能</w:t>
            </w:r>
          </w:p>
        </w:tc>
        <w:tc>
          <w:tcPr>
            <w:tcW w:w="1980" w:type="dxa"/>
            <w:shd w:val="clear" w:color="auto" w:fill="auto"/>
            <w:tcMar>
              <w:top w:w="60" w:type="dxa"/>
              <w:left w:w="120" w:type="dxa"/>
              <w:bottom w:w="30" w:type="dxa"/>
              <w:right w:w="120" w:type="dxa"/>
            </w:tcMar>
            <w:vAlign w:val="center"/>
          </w:tcPr>
          <w:p w14:paraId="6B182616">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20</w:t>
            </w:r>
          </w:p>
        </w:tc>
        <w:tc>
          <w:tcPr>
            <w:tcW w:w="3992" w:type="dxa"/>
            <w:shd w:val="clear" w:color="auto" w:fill="auto"/>
            <w:tcMar>
              <w:top w:w="60" w:type="dxa"/>
              <w:left w:w="120" w:type="dxa"/>
              <w:bottom w:w="30" w:type="dxa"/>
              <w:right w:w="120" w:type="dxa"/>
            </w:tcMar>
            <w:vAlign w:val="center"/>
          </w:tcPr>
          <w:p w14:paraId="158E2AD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增加手术间管理模式，建立术前预领-发放-使用-记账-退还流程</w:t>
            </w:r>
          </w:p>
        </w:tc>
      </w:tr>
      <w:tr w14:paraId="2A964E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315120A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2734" w:type="dxa"/>
            <w:shd w:val="clear" w:color="auto" w:fill="auto"/>
            <w:tcMar>
              <w:top w:w="60" w:type="dxa"/>
              <w:left w:w="120" w:type="dxa"/>
              <w:bottom w:w="30" w:type="dxa"/>
              <w:right w:w="120" w:type="dxa"/>
            </w:tcMar>
            <w:vAlign w:val="center"/>
          </w:tcPr>
          <w:p w14:paraId="6B3B1CB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常规耗材备货模式精细化改造</w:t>
            </w:r>
          </w:p>
        </w:tc>
        <w:tc>
          <w:tcPr>
            <w:tcW w:w="1980" w:type="dxa"/>
            <w:shd w:val="clear" w:color="auto" w:fill="auto"/>
            <w:tcMar>
              <w:top w:w="60" w:type="dxa"/>
              <w:left w:w="120" w:type="dxa"/>
              <w:bottom w:w="30" w:type="dxa"/>
              <w:right w:w="120" w:type="dxa"/>
            </w:tcMar>
            <w:vAlign w:val="center"/>
          </w:tcPr>
          <w:p w14:paraId="2385933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w:t>
            </w:r>
          </w:p>
        </w:tc>
        <w:tc>
          <w:tcPr>
            <w:tcW w:w="3992" w:type="dxa"/>
            <w:shd w:val="clear" w:color="auto" w:fill="auto"/>
            <w:tcMar>
              <w:top w:w="60" w:type="dxa"/>
              <w:left w:w="120" w:type="dxa"/>
              <w:bottom w:w="30" w:type="dxa"/>
              <w:right w:w="120" w:type="dxa"/>
            </w:tcMar>
            <w:vAlign w:val="center"/>
          </w:tcPr>
          <w:p w14:paraId="275A28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常规医用耗材备货模式改造，增加备货中心库房并改造现有流程</w:t>
            </w:r>
          </w:p>
        </w:tc>
      </w:tr>
      <w:tr w14:paraId="17AB5E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2F3153F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2734" w:type="dxa"/>
            <w:shd w:val="clear" w:color="auto" w:fill="auto"/>
            <w:tcMar>
              <w:top w:w="60" w:type="dxa"/>
              <w:left w:w="120" w:type="dxa"/>
              <w:bottom w:w="30" w:type="dxa"/>
              <w:right w:w="120" w:type="dxa"/>
            </w:tcMar>
            <w:vAlign w:val="center"/>
          </w:tcPr>
          <w:p w14:paraId="23FBF43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门诊开单判断库存管理</w:t>
            </w:r>
          </w:p>
        </w:tc>
        <w:tc>
          <w:tcPr>
            <w:tcW w:w="1980" w:type="dxa"/>
            <w:shd w:val="clear" w:color="auto" w:fill="auto"/>
            <w:tcMar>
              <w:top w:w="60" w:type="dxa"/>
              <w:left w:w="120" w:type="dxa"/>
              <w:bottom w:w="30" w:type="dxa"/>
              <w:right w:w="120" w:type="dxa"/>
            </w:tcMar>
            <w:vAlign w:val="center"/>
          </w:tcPr>
          <w:p w14:paraId="1A70CD9E">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3992" w:type="dxa"/>
            <w:shd w:val="clear" w:color="auto" w:fill="auto"/>
            <w:tcMar>
              <w:top w:w="60" w:type="dxa"/>
              <w:left w:w="120" w:type="dxa"/>
              <w:bottom w:w="30" w:type="dxa"/>
              <w:right w:w="120" w:type="dxa"/>
            </w:tcMar>
            <w:vAlign w:val="center"/>
          </w:tcPr>
          <w:p w14:paraId="1D50889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适配口腔科门诊等业务场景，实现门诊耗材使用管控</w:t>
            </w:r>
          </w:p>
        </w:tc>
      </w:tr>
      <w:tr w14:paraId="2FC89C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5E76C43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2734" w:type="dxa"/>
            <w:shd w:val="clear" w:color="auto" w:fill="auto"/>
            <w:tcMar>
              <w:top w:w="60" w:type="dxa"/>
              <w:left w:w="120" w:type="dxa"/>
              <w:bottom w:w="30" w:type="dxa"/>
              <w:right w:w="120" w:type="dxa"/>
            </w:tcMar>
            <w:vAlign w:val="center"/>
          </w:tcPr>
          <w:p w14:paraId="458494E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口腔科医生库房建设</w:t>
            </w:r>
          </w:p>
        </w:tc>
        <w:tc>
          <w:tcPr>
            <w:tcW w:w="1980" w:type="dxa"/>
            <w:shd w:val="clear" w:color="auto" w:fill="auto"/>
            <w:tcMar>
              <w:top w:w="60" w:type="dxa"/>
              <w:left w:w="120" w:type="dxa"/>
              <w:bottom w:w="30" w:type="dxa"/>
              <w:right w:w="120" w:type="dxa"/>
            </w:tcMar>
            <w:vAlign w:val="center"/>
          </w:tcPr>
          <w:p w14:paraId="1DE0941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10</w:t>
            </w:r>
          </w:p>
        </w:tc>
        <w:tc>
          <w:tcPr>
            <w:tcW w:w="3992" w:type="dxa"/>
            <w:shd w:val="clear" w:color="auto" w:fill="auto"/>
            <w:tcMar>
              <w:top w:w="60" w:type="dxa"/>
              <w:left w:w="120" w:type="dxa"/>
              <w:bottom w:w="30" w:type="dxa"/>
              <w:right w:w="120" w:type="dxa"/>
            </w:tcMar>
            <w:vAlign w:val="center"/>
          </w:tcPr>
          <w:p w14:paraId="5620DE9C">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二级库房向医生三级库房建设延伸</w:t>
            </w:r>
          </w:p>
        </w:tc>
      </w:tr>
      <w:tr w14:paraId="794ADA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53CA4EA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8</w:t>
            </w:r>
          </w:p>
        </w:tc>
        <w:tc>
          <w:tcPr>
            <w:tcW w:w="2734" w:type="dxa"/>
            <w:shd w:val="clear" w:color="auto" w:fill="auto"/>
            <w:tcMar>
              <w:top w:w="60" w:type="dxa"/>
              <w:left w:w="120" w:type="dxa"/>
              <w:bottom w:w="30" w:type="dxa"/>
              <w:right w:w="120" w:type="dxa"/>
            </w:tcMar>
            <w:vAlign w:val="center"/>
          </w:tcPr>
          <w:p w14:paraId="7B56A21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非易耗品物资管理系统建设</w:t>
            </w:r>
          </w:p>
        </w:tc>
        <w:tc>
          <w:tcPr>
            <w:tcW w:w="1980" w:type="dxa"/>
            <w:shd w:val="clear" w:color="auto" w:fill="auto"/>
            <w:tcMar>
              <w:top w:w="60" w:type="dxa"/>
              <w:left w:w="120" w:type="dxa"/>
              <w:bottom w:w="30" w:type="dxa"/>
              <w:right w:w="120" w:type="dxa"/>
            </w:tcMar>
            <w:vAlign w:val="center"/>
          </w:tcPr>
          <w:p w14:paraId="0A7EE185">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11</w:t>
            </w:r>
          </w:p>
        </w:tc>
        <w:tc>
          <w:tcPr>
            <w:tcW w:w="3992" w:type="dxa"/>
            <w:shd w:val="clear" w:color="auto" w:fill="auto"/>
            <w:tcMar>
              <w:top w:w="60" w:type="dxa"/>
              <w:left w:w="120" w:type="dxa"/>
              <w:bottom w:w="30" w:type="dxa"/>
              <w:right w:w="120" w:type="dxa"/>
            </w:tcMar>
            <w:vAlign w:val="center"/>
          </w:tcPr>
          <w:p w14:paraId="2CF5C343">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含非易耗品全流程管理</w:t>
            </w:r>
          </w:p>
        </w:tc>
      </w:tr>
      <w:tr w14:paraId="3E0182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c>
          <w:tcPr>
            <w:tcW w:w="1171" w:type="dxa"/>
            <w:shd w:val="clear" w:color="auto" w:fill="auto"/>
            <w:tcMar>
              <w:top w:w="60" w:type="dxa"/>
              <w:left w:w="120" w:type="dxa"/>
              <w:bottom w:w="30" w:type="dxa"/>
              <w:right w:w="120" w:type="dxa"/>
            </w:tcMar>
            <w:vAlign w:val="center"/>
          </w:tcPr>
          <w:p w14:paraId="0277ADB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right="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9</w:t>
            </w:r>
          </w:p>
        </w:tc>
        <w:tc>
          <w:tcPr>
            <w:tcW w:w="2734" w:type="dxa"/>
            <w:shd w:val="clear" w:color="auto" w:fill="auto"/>
            <w:tcMar>
              <w:top w:w="60" w:type="dxa"/>
              <w:left w:w="120" w:type="dxa"/>
              <w:bottom w:w="30" w:type="dxa"/>
              <w:right w:w="120" w:type="dxa"/>
            </w:tcMar>
            <w:vAlign w:val="center"/>
          </w:tcPr>
          <w:p w14:paraId="52E73CE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耗材管理系统接口开发改造</w:t>
            </w:r>
          </w:p>
        </w:tc>
        <w:tc>
          <w:tcPr>
            <w:tcW w:w="1980" w:type="dxa"/>
            <w:shd w:val="clear" w:color="auto" w:fill="auto"/>
            <w:tcMar>
              <w:top w:w="60" w:type="dxa"/>
              <w:left w:w="120" w:type="dxa"/>
              <w:bottom w:w="30" w:type="dxa"/>
              <w:right w:w="120" w:type="dxa"/>
            </w:tcMar>
            <w:vAlign w:val="center"/>
          </w:tcPr>
          <w:p w14:paraId="0799FBB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3992" w:type="dxa"/>
            <w:shd w:val="clear" w:color="auto" w:fill="auto"/>
            <w:tcMar>
              <w:top w:w="60" w:type="dxa"/>
              <w:left w:w="120" w:type="dxa"/>
              <w:bottom w:w="30" w:type="dxa"/>
              <w:right w:w="120" w:type="dxa"/>
            </w:tcMar>
            <w:vAlign w:val="center"/>
          </w:tcPr>
          <w:p w14:paraId="38D19724">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240" w:lineRule="auto"/>
              <w:ind w:left="0" w:leftChars="0" w:right="0" w:rightChars="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根据本次升级的要求，实现与HIS系统、财务系统、报销系统等相关系统的接口开发和改造</w:t>
            </w:r>
          </w:p>
        </w:tc>
      </w:tr>
    </w:tbl>
    <w:p w14:paraId="489DE092">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Autospacing="0" w:afterAutospacing="0" w:line="288" w:lineRule="auto"/>
        <w:ind w:left="0" w:leftChars="0"/>
        <w:jc w:val="both"/>
        <w:textAlignment w:val="auto"/>
        <w:outlineLvl w:val="1"/>
        <w:rPr>
          <w:rFonts w:hint="eastAsia" w:ascii="仿宋" w:hAnsi="仿宋" w:eastAsia="仿宋" w:cs="仿宋"/>
          <w:b/>
          <w:kern w:val="2"/>
          <w:sz w:val="24"/>
          <w:szCs w:val="24"/>
          <w:lang w:val="zh-CN" w:eastAsia="zh-CN" w:bidi="ar-SA"/>
        </w:rPr>
      </w:pPr>
      <w:r>
        <w:rPr>
          <w:rFonts w:hint="eastAsia" w:ascii="仿宋" w:hAnsi="仿宋" w:eastAsia="仿宋" w:cs="仿宋"/>
          <w:b/>
          <w:kern w:val="2"/>
          <w:sz w:val="24"/>
          <w:szCs w:val="24"/>
          <w:lang w:val="zh-CN" w:eastAsia="zh-CN" w:bidi="ar-SA"/>
        </w:rPr>
        <w:t>2.接口清单</w:t>
      </w:r>
    </w:p>
    <w:p w14:paraId="0C3946C1">
      <w:pPr>
        <w:keepNext w:val="0"/>
        <w:keepLines w:val="0"/>
        <w:pageBreakBefore w:val="0"/>
        <w:widowControl/>
        <w:numPr>
          <w:ilvl w:val="0"/>
          <w:numId w:val="0"/>
        </w:numPr>
        <w:suppressLineNumbers w:val="0"/>
        <w:kinsoku/>
        <w:wordWrap/>
        <w:overflowPunct/>
        <w:topLinePunct w:val="0"/>
        <w:autoSpaceDE w:val="0"/>
        <w:autoSpaceDN w:val="0"/>
        <w:bidi w:val="0"/>
        <w:adjustRightInd w:val="0"/>
        <w:snapToGrid w:val="0"/>
        <w:spacing w:beforeAutospacing="0" w:afterAutospacing="0" w:line="288" w:lineRule="auto"/>
        <w:ind w:firstLine="480" w:firstLineChars="200"/>
        <w:jc w:val="both"/>
        <w:textAlignment w:val="auto"/>
        <w:outlineLvl w:val="1"/>
        <w:rPr>
          <w:rFonts w:hint="eastAsia" w:ascii="仿宋" w:hAnsi="仿宋" w:eastAsia="仿宋" w:cs="仿宋"/>
          <w:b w:val="0"/>
          <w:bCs/>
          <w:kern w:val="2"/>
          <w:sz w:val="24"/>
          <w:szCs w:val="24"/>
          <w:lang w:val="zh-CN" w:eastAsia="zh-CN" w:bidi="ar-SA"/>
        </w:rPr>
      </w:pPr>
      <w:r>
        <w:rPr>
          <w:rFonts w:hint="eastAsia" w:ascii="仿宋" w:hAnsi="仿宋" w:eastAsia="仿宋" w:cs="仿宋"/>
          <w:b w:val="0"/>
          <w:bCs/>
          <w:kern w:val="2"/>
          <w:sz w:val="24"/>
          <w:szCs w:val="24"/>
          <w:lang w:val="zh-CN" w:eastAsia="zh-CN" w:bidi="ar-SA"/>
        </w:rPr>
        <w:t>本项目涉及的全部接口开发、改造及对接费用(含与医院HIS系统、财务系统、报销系统、移动护理系统等第三方系统厂商的接口协调及联调费用)由成交供应商承担，供应商不得再向采购人及任何第三方收取任何费用。”本项目实施期间，凡涉及与东软集团股份有限公司(以下简称“东软”)既有系统对接，所产生的费用由采购人承担;其余非东软系统对接产生的费用，则由成交供应商承担，涵盖设备、包装、运输、安装、调试、税费及可能衍生的各项支出，均包含在本次采购费用中，采购人不再支付成交金额以外的任何款项。对接过程中，成交供应商应与采购人除“东软”外现有软件供应商友好协商，并于协商前向采购人提交接口方案清单，对接所产生费用的限高价为本项目合同总价的10%。</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94"/>
        <w:gridCol w:w="3236"/>
        <w:gridCol w:w="2265"/>
        <w:gridCol w:w="3452"/>
      </w:tblGrid>
      <w:tr w14:paraId="54B7FE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5F1F0A74">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序号</w:t>
            </w:r>
          </w:p>
        </w:tc>
        <w:tc>
          <w:tcPr>
            <w:tcW w:w="3236" w:type="dxa"/>
            <w:shd w:val="clear" w:color="auto" w:fill="auto"/>
            <w:tcMar>
              <w:top w:w="0" w:type="dxa"/>
              <w:left w:w="105" w:type="dxa"/>
              <w:bottom w:w="0" w:type="dxa"/>
              <w:right w:w="105" w:type="dxa"/>
            </w:tcMar>
            <w:vAlign w:val="center"/>
          </w:tcPr>
          <w:p w14:paraId="56B64F87">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接口</w:t>
            </w:r>
          </w:p>
        </w:tc>
        <w:tc>
          <w:tcPr>
            <w:tcW w:w="2265" w:type="dxa"/>
            <w:shd w:val="clear" w:color="auto" w:fill="auto"/>
            <w:tcMar>
              <w:top w:w="0" w:type="dxa"/>
              <w:left w:w="105" w:type="dxa"/>
              <w:bottom w:w="0" w:type="dxa"/>
              <w:right w:w="105" w:type="dxa"/>
            </w:tcMar>
            <w:vAlign w:val="center"/>
          </w:tcPr>
          <w:p w14:paraId="1984ABE8">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软件</w:t>
            </w:r>
          </w:p>
        </w:tc>
        <w:tc>
          <w:tcPr>
            <w:tcW w:w="3452" w:type="dxa"/>
            <w:shd w:val="clear" w:color="auto" w:fill="auto"/>
            <w:tcMar>
              <w:top w:w="0" w:type="dxa"/>
              <w:left w:w="105" w:type="dxa"/>
              <w:bottom w:w="0" w:type="dxa"/>
              <w:right w:w="105" w:type="dxa"/>
            </w:tcMar>
            <w:vAlign w:val="center"/>
          </w:tcPr>
          <w:p w14:paraId="7CE7622C">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b/>
                <w:bCs/>
                <w:kern w:val="0"/>
                <w:sz w:val="24"/>
                <w:szCs w:val="24"/>
                <w:lang w:val="en-US" w:eastAsia="zh-CN" w:bidi="ar"/>
              </w:rPr>
            </w:pPr>
            <w:r>
              <w:rPr>
                <w:rFonts w:hint="eastAsia" w:ascii="仿宋" w:hAnsi="仿宋" w:eastAsia="仿宋" w:cs="仿宋"/>
                <w:b/>
                <w:bCs/>
                <w:kern w:val="0"/>
                <w:sz w:val="24"/>
                <w:szCs w:val="24"/>
                <w:lang w:val="en-US" w:eastAsia="zh-CN" w:bidi="ar"/>
              </w:rPr>
              <w:t>生产厂商（全称）</w:t>
            </w:r>
          </w:p>
        </w:tc>
      </w:tr>
      <w:tr w14:paraId="15AE55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121F5D87">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1</w:t>
            </w:r>
          </w:p>
        </w:tc>
        <w:tc>
          <w:tcPr>
            <w:tcW w:w="3236" w:type="dxa"/>
            <w:shd w:val="clear" w:color="auto" w:fill="auto"/>
            <w:tcMar>
              <w:top w:w="0" w:type="dxa"/>
              <w:left w:w="105" w:type="dxa"/>
              <w:bottom w:w="0" w:type="dxa"/>
              <w:right w:w="105" w:type="dxa"/>
            </w:tcMar>
            <w:vAlign w:val="center"/>
          </w:tcPr>
          <w:p w14:paraId="0131F150">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移动护理扫描计费接口</w:t>
            </w:r>
          </w:p>
        </w:tc>
        <w:tc>
          <w:tcPr>
            <w:tcW w:w="2265" w:type="dxa"/>
            <w:shd w:val="clear" w:color="auto" w:fill="auto"/>
            <w:tcMar>
              <w:top w:w="0" w:type="dxa"/>
              <w:left w:w="105" w:type="dxa"/>
              <w:bottom w:w="0" w:type="dxa"/>
              <w:right w:w="105" w:type="dxa"/>
            </w:tcMar>
            <w:vAlign w:val="center"/>
          </w:tcPr>
          <w:p w14:paraId="4A6F8754">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移动护理系统</w:t>
            </w:r>
          </w:p>
        </w:tc>
        <w:tc>
          <w:tcPr>
            <w:tcW w:w="3452" w:type="dxa"/>
            <w:shd w:val="clear" w:color="auto" w:fill="auto"/>
            <w:tcMar>
              <w:top w:w="0" w:type="dxa"/>
              <w:left w:w="105" w:type="dxa"/>
              <w:bottom w:w="0" w:type="dxa"/>
              <w:right w:w="105" w:type="dxa"/>
            </w:tcMar>
            <w:vAlign w:val="center"/>
          </w:tcPr>
          <w:p w14:paraId="65E3958E">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北京远卓科技有限责任公司</w:t>
            </w:r>
          </w:p>
        </w:tc>
      </w:tr>
      <w:tr w14:paraId="501A97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79A8C7FC">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2</w:t>
            </w:r>
          </w:p>
        </w:tc>
        <w:tc>
          <w:tcPr>
            <w:tcW w:w="3236" w:type="dxa"/>
            <w:shd w:val="clear" w:color="auto" w:fill="auto"/>
            <w:tcMar>
              <w:top w:w="0" w:type="dxa"/>
              <w:left w:w="105" w:type="dxa"/>
              <w:bottom w:w="0" w:type="dxa"/>
              <w:right w:w="105" w:type="dxa"/>
            </w:tcMar>
            <w:vAlign w:val="center"/>
          </w:tcPr>
          <w:p w14:paraId="2173FDCD">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门诊开单判断库存接口</w:t>
            </w:r>
          </w:p>
        </w:tc>
        <w:tc>
          <w:tcPr>
            <w:tcW w:w="2265" w:type="dxa"/>
            <w:shd w:val="clear" w:color="auto" w:fill="auto"/>
            <w:tcMar>
              <w:top w:w="0" w:type="dxa"/>
              <w:left w:w="105" w:type="dxa"/>
              <w:bottom w:w="0" w:type="dxa"/>
              <w:right w:w="105" w:type="dxa"/>
            </w:tcMar>
            <w:vAlign w:val="center"/>
          </w:tcPr>
          <w:p w14:paraId="6A648A6F">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医院HIS系统</w:t>
            </w:r>
          </w:p>
        </w:tc>
        <w:tc>
          <w:tcPr>
            <w:tcW w:w="3452" w:type="dxa"/>
            <w:shd w:val="clear" w:color="auto" w:fill="auto"/>
            <w:tcMar>
              <w:top w:w="0" w:type="dxa"/>
              <w:left w:w="105" w:type="dxa"/>
              <w:bottom w:w="0" w:type="dxa"/>
              <w:right w:w="105" w:type="dxa"/>
            </w:tcMar>
            <w:vAlign w:val="center"/>
          </w:tcPr>
          <w:p w14:paraId="6766C06F">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东软集团股份有限公司</w:t>
            </w:r>
          </w:p>
        </w:tc>
      </w:tr>
      <w:tr w14:paraId="30FC9A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7A5CA2DC">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3</w:t>
            </w:r>
          </w:p>
        </w:tc>
        <w:tc>
          <w:tcPr>
            <w:tcW w:w="3236" w:type="dxa"/>
            <w:shd w:val="clear" w:color="auto" w:fill="auto"/>
            <w:tcMar>
              <w:top w:w="0" w:type="dxa"/>
              <w:left w:w="105" w:type="dxa"/>
              <w:bottom w:w="0" w:type="dxa"/>
              <w:right w:w="105" w:type="dxa"/>
            </w:tcMar>
            <w:vAlign w:val="center"/>
          </w:tcPr>
          <w:p w14:paraId="7B28A40B">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与HIS系统计费/退费接口改造</w:t>
            </w:r>
          </w:p>
        </w:tc>
        <w:tc>
          <w:tcPr>
            <w:tcW w:w="2265" w:type="dxa"/>
            <w:shd w:val="clear" w:color="auto" w:fill="auto"/>
            <w:tcMar>
              <w:top w:w="0" w:type="dxa"/>
              <w:left w:w="105" w:type="dxa"/>
              <w:bottom w:w="0" w:type="dxa"/>
              <w:right w:w="105" w:type="dxa"/>
            </w:tcMar>
            <w:vAlign w:val="center"/>
          </w:tcPr>
          <w:p w14:paraId="5A910532">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医院HIS系统</w:t>
            </w:r>
          </w:p>
        </w:tc>
        <w:tc>
          <w:tcPr>
            <w:tcW w:w="3452" w:type="dxa"/>
            <w:shd w:val="clear" w:color="auto" w:fill="auto"/>
            <w:tcMar>
              <w:top w:w="0" w:type="dxa"/>
              <w:left w:w="105" w:type="dxa"/>
              <w:bottom w:w="0" w:type="dxa"/>
              <w:right w:w="105" w:type="dxa"/>
            </w:tcMar>
            <w:vAlign w:val="center"/>
          </w:tcPr>
          <w:p w14:paraId="445EBC34">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东软集团股份有限公司</w:t>
            </w:r>
          </w:p>
        </w:tc>
      </w:tr>
      <w:tr w14:paraId="7C7AFF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0875401D">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4</w:t>
            </w:r>
          </w:p>
        </w:tc>
        <w:tc>
          <w:tcPr>
            <w:tcW w:w="3236" w:type="dxa"/>
            <w:shd w:val="clear" w:color="auto" w:fill="auto"/>
            <w:tcMar>
              <w:top w:w="0" w:type="dxa"/>
              <w:left w:w="105" w:type="dxa"/>
              <w:bottom w:w="0" w:type="dxa"/>
              <w:right w:w="105" w:type="dxa"/>
            </w:tcMar>
            <w:vAlign w:val="center"/>
          </w:tcPr>
          <w:p w14:paraId="401E1F28">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与财务系统（望海）接口对接</w:t>
            </w:r>
          </w:p>
        </w:tc>
        <w:tc>
          <w:tcPr>
            <w:tcW w:w="2265" w:type="dxa"/>
            <w:shd w:val="clear" w:color="auto" w:fill="auto"/>
            <w:tcMar>
              <w:top w:w="0" w:type="dxa"/>
              <w:left w:w="105" w:type="dxa"/>
              <w:bottom w:w="0" w:type="dxa"/>
              <w:right w:w="105" w:type="dxa"/>
            </w:tcMar>
            <w:vAlign w:val="center"/>
          </w:tcPr>
          <w:p w14:paraId="0F035AC9">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成本核算系统</w:t>
            </w:r>
          </w:p>
        </w:tc>
        <w:tc>
          <w:tcPr>
            <w:tcW w:w="3452" w:type="dxa"/>
            <w:shd w:val="clear" w:color="auto" w:fill="auto"/>
            <w:tcMar>
              <w:top w:w="0" w:type="dxa"/>
              <w:left w:w="105" w:type="dxa"/>
              <w:bottom w:w="0" w:type="dxa"/>
              <w:right w:w="105" w:type="dxa"/>
            </w:tcMar>
            <w:vAlign w:val="center"/>
          </w:tcPr>
          <w:p w14:paraId="397061AA">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望海康信（北京）科技股份公司</w:t>
            </w:r>
          </w:p>
        </w:tc>
      </w:tr>
      <w:tr w14:paraId="592B86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382DD8B6">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5</w:t>
            </w:r>
          </w:p>
        </w:tc>
        <w:tc>
          <w:tcPr>
            <w:tcW w:w="3236" w:type="dxa"/>
            <w:shd w:val="clear" w:color="auto" w:fill="auto"/>
            <w:tcMar>
              <w:top w:w="0" w:type="dxa"/>
              <w:left w:w="105" w:type="dxa"/>
              <w:bottom w:w="0" w:type="dxa"/>
              <w:right w:w="105" w:type="dxa"/>
            </w:tcMar>
            <w:vAlign w:val="center"/>
          </w:tcPr>
          <w:p w14:paraId="5E921720">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与报销系统（熙软）接口对接</w:t>
            </w:r>
          </w:p>
        </w:tc>
        <w:tc>
          <w:tcPr>
            <w:tcW w:w="2265" w:type="dxa"/>
            <w:shd w:val="clear" w:color="auto" w:fill="auto"/>
            <w:tcMar>
              <w:top w:w="0" w:type="dxa"/>
              <w:left w:w="105" w:type="dxa"/>
              <w:bottom w:w="0" w:type="dxa"/>
              <w:right w:w="105" w:type="dxa"/>
            </w:tcMar>
            <w:vAlign w:val="center"/>
          </w:tcPr>
          <w:p w14:paraId="735F3BA1">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医院报销系统</w:t>
            </w:r>
          </w:p>
        </w:tc>
        <w:tc>
          <w:tcPr>
            <w:tcW w:w="3452" w:type="dxa"/>
            <w:shd w:val="clear" w:color="auto" w:fill="auto"/>
            <w:tcMar>
              <w:top w:w="0" w:type="dxa"/>
              <w:left w:w="105" w:type="dxa"/>
              <w:bottom w:w="0" w:type="dxa"/>
              <w:right w:w="105" w:type="dxa"/>
            </w:tcMar>
            <w:vAlign w:val="center"/>
          </w:tcPr>
          <w:p w14:paraId="1EF44B53">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上海熙软科技有限公司</w:t>
            </w:r>
          </w:p>
        </w:tc>
      </w:tr>
      <w:tr w14:paraId="690C82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6D28AEC7">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6</w:t>
            </w:r>
          </w:p>
        </w:tc>
        <w:tc>
          <w:tcPr>
            <w:tcW w:w="3236" w:type="dxa"/>
            <w:shd w:val="clear" w:color="auto" w:fill="auto"/>
            <w:tcMar>
              <w:top w:w="0" w:type="dxa"/>
              <w:left w:w="105" w:type="dxa"/>
              <w:bottom w:w="0" w:type="dxa"/>
              <w:right w:w="105" w:type="dxa"/>
            </w:tcMar>
            <w:vAlign w:val="center"/>
          </w:tcPr>
          <w:p w14:paraId="0B4DF0C1">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与耗材供应链管理系统接口对接</w:t>
            </w:r>
          </w:p>
        </w:tc>
        <w:tc>
          <w:tcPr>
            <w:tcW w:w="2265" w:type="dxa"/>
            <w:shd w:val="clear" w:color="auto" w:fill="auto"/>
            <w:tcMar>
              <w:top w:w="0" w:type="dxa"/>
              <w:left w:w="105" w:type="dxa"/>
              <w:bottom w:w="0" w:type="dxa"/>
              <w:right w:w="105" w:type="dxa"/>
            </w:tcMar>
            <w:vAlign w:val="center"/>
          </w:tcPr>
          <w:p w14:paraId="0215DDB0">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医院耗材供应链管理系统</w:t>
            </w:r>
          </w:p>
        </w:tc>
        <w:tc>
          <w:tcPr>
            <w:tcW w:w="3452" w:type="dxa"/>
            <w:shd w:val="clear" w:color="auto" w:fill="auto"/>
            <w:tcMar>
              <w:top w:w="0" w:type="dxa"/>
              <w:left w:w="105" w:type="dxa"/>
              <w:bottom w:w="0" w:type="dxa"/>
              <w:right w:w="105" w:type="dxa"/>
            </w:tcMar>
            <w:vAlign w:val="center"/>
          </w:tcPr>
          <w:p w14:paraId="158D9DAF">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杭州图特信息科技有限公司</w:t>
            </w:r>
          </w:p>
        </w:tc>
      </w:tr>
      <w:tr w14:paraId="2B970E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trPr>
        <w:tc>
          <w:tcPr>
            <w:tcW w:w="894" w:type="dxa"/>
            <w:shd w:val="clear" w:color="auto" w:fill="auto"/>
            <w:tcMar>
              <w:top w:w="0" w:type="dxa"/>
              <w:left w:w="105" w:type="dxa"/>
              <w:bottom w:w="0" w:type="dxa"/>
              <w:right w:w="105" w:type="dxa"/>
            </w:tcMar>
            <w:vAlign w:val="center"/>
          </w:tcPr>
          <w:p w14:paraId="5A019D86">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7</w:t>
            </w:r>
          </w:p>
        </w:tc>
        <w:tc>
          <w:tcPr>
            <w:tcW w:w="3236" w:type="dxa"/>
            <w:shd w:val="clear" w:color="auto" w:fill="auto"/>
            <w:tcMar>
              <w:top w:w="0" w:type="dxa"/>
              <w:left w:w="105" w:type="dxa"/>
              <w:bottom w:w="0" w:type="dxa"/>
              <w:right w:w="105" w:type="dxa"/>
            </w:tcMar>
            <w:vAlign w:val="center"/>
          </w:tcPr>
          <w:p w14:paraId="5084C064">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与供应链云平台接口对接</w:t>
            </w:r>
          </w:p>
        </w:tc>
        <w:tc>
          <w:tcPr>
            <w:tcW w:w="2265" w:type="dxa"/>
            <w:shd w:val="clear" w:color="auto" w:fill="auto"/>
            <w:tcMar>
              <w:top w:w="0" w:type="dxa"/>
              <w:left w:w="105" w:type="dxa"/>
              <w:bottom w:w="0" w:type="dxa"/>
              <w:right w:w="105" w:type="dxa"/>
            </w:tcMar>
            <w:vAlign w:val="center"/>
          </w:tcPr>
          <w:p w14:paraId="34EBFBE1">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图特云平台</w:t>
            </w:r>
          </w:p>
        </w:tc>
        <w:tc>
          <w:tcPr>
            <w:tcW w:w="3452" w:type="dxa"/>
            <w:shd w:val="clear" w:color="auto" w:fill="auto"/>
            <w:tcMar>
              <w:top w:w="0" w:type="dxa"/>
              <w:left w:w="105" w:type="dxa"/>
              <w:bottom w:w="0" w:type="dxa"/>
              <w:right w:w="105" w:type="dxa"/>
            </w:tcMar>
            <w:vAlign w:val="center"/>
          </w:tcPr>
          <w:p w14:paraId="4CA8EFF9">
            <w:pPr>
              <w:pStyle w:val="15"/>
              <w:keepNext w:val="0"/>
              <w:keepLines w:val="0"/>
              <w:pageBreakBefore w:val="0"/>
              <w:widowControl/>
              <w:numPr>
                <w:ilvl w:val="0"/>
                <w:numId w:val="0"/>
              </w:numPr>
              <w:suppressLineNumbers w:val="0"/>
              <w:kinsoku/>
              <w:wordWrap/>
              <w:overflowPunct/>
              <w:topLinePunct w:val="0"/>
              <w:bidi w:val="0"/>
              <w:adjustRightInd w:val="0"/>
              <w:snapToGrid w:val="0"/>
              <w:spacing w:before="0" w:beforeAutospacing="0" w:after="0" w:afterAutospacing="0" w:line="240" w:lineRule="auto"/>
              <w:ind w:left="0" w:leftChars="0" w:right="0" w:rightChars="0" w:firstLine="0" w:firstLineChars="0"/>
              <w:jc w:val="center"/>
              <w:textAlignment w:val="auto"/>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杭州图特信息科技有限公司</w:t>
            </w:r>
          </w:p>
        </w:tc>
      </w:tr>
    </w:tbl>
    <w:p w14:paraId="47BAA63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rPr>
        <w:t>三、技术、服务要求</w:t>
      </w:r>
      <w:r>
        <w:rPr>
          <w:rFonts w:hint="eastAsia" w:ascii="仿宋" w:hAnsi="仿宋" w:eastAsia="仿宋" w:cs="仿宋"/>
          <w:b/>
          <w:bCs/>
          <w:sz w:val="24"/>
          <w:szCs w:val="24"/>
        </w:rPr>
        <w:cr/>
      </w:r>
      <w:r>
        <w:rPr>
          <w:rFonts w:hint="eastAsia" w:ascii="仿宋" w:hAnsi="仿宋" w:eastAsia="仿宋" w:cs="仿宋"/>
          <w:b/>
          <w:bCs/>
          <w:sz w:val="24"/>
          <w:szCs w:val="24"/>
          <w:lang w:val="en-US" w:eastAsia="zh-CN"/>
        </w:rPr>
        <w:t>1.技术要求</w:t>
      </w:r>
    </w:p>
    <w:p w14:paraId="747766E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1.1口腔科跟台定制化管理</w:t>
      </w:r>
    </w:p>
    <w:p w14:paraId="7693767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针对口腔科面向患者定制高值耗材的特殊管理需求进行定制开发，实现从口腔定制耗材的医生申请、采购订单逐级审核、采购订单下达、供应商订单推送、接收订单，供应商处理并提交配送信息、医院验收、HIS门诊系统扫码使用、耗材消耗扣库的闭环流程。具体需求如下：</w:t>
      </w:r>
    </w:p>
    <w:p w14:paraId="45DDDFA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医生可在HIS系统直接调用医院耗材供应链管理系统跟台包申请，发起跟台包订单。医生完成订单填写之后，点击提交。医生提交跟台订单以后，系统将订单实时同步至供应链云平台，订单信息包含医生信息、患者关联信息、耗材需求明细等，以便供应商可在供应链云平台后续操作配货。</w:t>
      </w:r>
    </w:p>
    <w:p w14:paraId="3F96166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医生提交跟台订单后，供应商需在供应链云平台接收订单。供应商根据订单需求在供应链云平台上完成跟台包明细配货操作，配货录入跟台包中的物资信息及配货数量。供应链云平台供应商端可支持口腔定制耗材的扫码配货和无条码耗材手动配货两种方式，配货完成后系统自动记录配货信息，并将配货信息同步至医院内网系统。</w:t>
      </w:r>
    </w:p>
    <w:p w14:paraId="04580B3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供应商在供应链云平台中确认配货后，系统自动将配货信息同步传输至医院内网系统。当内网跟台包明细同步更新后，系统将自动调用短信接口，向医生发送短信，通知医生有待审核的跟台包明细，提醒医生及时在医院耗材供应链管理系统内网系统中操作审核。</w:t>
      </w:r>
    </w:p>
    <w:p w14:paraId="422B9E1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跟台订单审核流程按医院需求进行个性化定制，审核节点、审批权限可支持按照人员工号进行配置，审核流程包括：医装库房编制审核→设置到货时间→医装库房组长审核→医装库房科主任审核→采购审核。院内相关流程审核通过后供应商方可在供应链云平台执行订单配送。</w:t>
      </w:r>
    </w:p>
    <w:p w14:paraId="3D69F973">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（5）新增中心库房口腔跟台包验收功能、新增口腔科二级库跟台包验收功能，新增功能支持多个订单、多个库房的订单进行批量验收，验收时可记录验收数量、质量情况，生成验收单据。</w:t>
      </w:r>
    </w:p>
    <w:p w14:paraId="1ABC6A0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口腔跟台包完成验收以后，实现口腔跟台包与HIS系统对接，医生可在HIS门诊开单中，点“耗材扫码”功能，直接扫描口腔跟台包条码后，选择包条码中的耗材明细，完成HIS计费，计费完成后，收费信息同步回传至医院耗材供应链管理系统，生成对应二级库的耗材使用登记单，并自动生成中心库房的入库、出库单。并自动在供应链云平台供应商端根据入库单生成待开票信息，供应商可进行后续开票结算。</w:t>
      </w:r>
    </w:p>
    <w:p w14:paraId="0E50F982">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1.2移动护理扫描计费模块</w:t>
      </w:r>
    </w:p>
    <w:p w14:paraId="21165BDB">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根据医院需求开发基于PDA的移动护理耗材扫码计费模块，并与现有的耗材供应链管理系统、HIS系统实现无缝集成，方便护理人员扫描患者腕带后可通过扫码方式实现耗材的消耗和实时计费，将耗材管理行为与患者护理工作有效整合并融为一体，解决医院耗材管理中的“最后一公里”问题。具体要求如下：</w:t>
      </w:r>
    </w:p>
    <w:p w14:paraId="3DC28D0F">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（1）提供移动护理系统扫描患者腕带，自动获取对应患者的计费库房信息，通过接口回传给移动护理系统对应的库房ID信息，从而精准匹配耗材计费归属库房信息。</w:t>
      </w:r>
    </w:p>
    <w:p w14:paraId="3056D2A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提供移动护理系统扫描耗材条码，实时查询该耗材在对应二级库的库存状态、规格、价格等信息接口功能，可在定位患者信息后，扫码定位需计费的耗材信息，并实时回传移动护理系统对应扫码耗材库存状态。</w:t>
      </w:r>
    </w:p>
    <w:p w14:paraId="012F6D1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提供实时扣库与HIS计费的接口功能。若在对耗材扫码后，库存充足时，移动护理系统可直接发起扣库申请，调用实时扣库接口。耗材供应链系统自动完成对应扫码耗材的扣库，并向HIS系统自动生成对应计费信息，计费成功后，返回计费成功消息至移动护理系统，实现扣库与计费一体化。</w:t>
      </w:r>
    </w:p>
    <w:p w14:paraId="3E774E1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计费扣库完成后，耗材供应链管理系统在对应的二级库房自动生成耗材使用登记单，记录使用科室、患者、耗材明细、使用时间等关键信息。若有耗材退费需求时，可直接对相应的耗材使用登记单进行冲红操作，并同时完成HIS系统材料退费。</w:t>
      </w:r>
    </w:p>
    <w:p w14:paraId="5BE81BB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1.3总务耗材合同管理</w:t>
      </w:r>
    </w:p>
    <w:p w14:paraId="45CDADB2">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增加总务耗材合同管理模块，支持供应商在供应链云平台中维护总务耗材合同信息，医院端在线审核并同步至内网，自动关联产品字典。支持批量修改合同与字典关联，业务单据自动绑定合同号，可追溯可查询，方便执行核查与审计。具体需求如下：</w:t>
      </w:r>
    </w:p>
    <w:p w14:paraId="535FAE8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（1）支持供应商在供应链云平台供应商端维护供货合同相关信息，可维护内容包括合同编号、合同总金额、合同名称、开始时间、结束时间、合同图片、履约保证金等信息。</w:t>
      </w:r>
    </w:p>
    <w:p w14:paraId="1545FFFD">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供应链云平台医院端可查看、审核供应商维护的合同信息，审核流程可配置，审核结果实时反馈给供应商。在供货合同审核通过后，系统自动提取供货合同关键信息并同步至内网系统，形成供货合同与产品字典之间的关联关系。</w:t>
      </w:r>
    </w:p>
    <w:p w14:paraId="3293AC3F">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医院端内网系统具备对单独或多个物资字典对应的合同信息进行批量修改，修改后同步更新合同与字典的关联关系，提高维护效率。维护过合同的产品字典，在内网系统发生相关业务时，具备自动记录业务单据对应合同号码、合同名称功能，实现业务与合同的绑定追溯。</w:t>
      </w:r>
    </w:p>
    <w:p w14:paraId="3631F563">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（4）具备可通过报表查询相关业务对应的供货合同信息功能，便于后续合同执行情况核查与审计。</w:t>
      </w:r>
    </w:p>
    <w:p w14:paraId="5B30131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 手术申请绑定手术套包功能</w:t>
      </w:r>
    </w:p>
    <w:p w14:paraId="504663C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要求提供手术申请绑定手术套包的功能，支持手术套包维护，可关联手术名称与对应耗材明细，实现术前手术套包关联。并支持手术套包关联，满足手术套包模式下的中心库房配送、手术室二级库房配送出库、手术室到手术间预领发放、术中扫码使用及关联耗材计费，以及术后退库的完整闭环管理。具体要求如下：</w:t>
      </w:r>
    </w:p>
    <w:p w14:paraId="2D0CC0DB">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（1）提供手术套包维护功能，可支持维护手术名称与对应耗材明细的关联关系，支持套包信息的新增、修改、删除。</w:t>
      </w:r>
    </w:p>
    <w:p w14:paraId="3D9E7FCD">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开发获取、更新手术名称的接口服务，确保手术名称与HIS系统保持一致。维护手术套包过程中的手术名称，与HIS中维护的手术名称一致。手术套包维护/更新完成后，通过接口自动同步至HIS系统，支撑手术申请环节的套包绑定。</w:t>
      </w:r>
    </w:p>
    <w:p w14:paraId="484887BF">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开发获取手术套包信息及手术间信息的接口服务，为手术耗材配送提供数据支撑。根据HIS系统的手术套包申请信息，中心库房可将套包耗材出库至手术室二级库，生成出库单据。手术室二级库可将手术套包耗材预领出库至手术间，支持批量预领操作</w:t>
      </w:r>
    </w:p>
    <w:p w14:paraId="551ECF5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支持手术过程中对手术套包中的耗材进行计费处理，可通过扫码或系统自动关联方式完成。手术完成后，未使用的耗材可从手术间预领退库至手术室二级库，手术室二级库可将未使用耗材退还至中心库房，形成退库闭环。</w:t>
      </w:r>
    </w:p>
    <w:p w14:paraId="2D4AD2F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 常规耗材备货模式精细化改造</w:t>
      </w:r>
    </w:p>
    <w:p w14:paraId="27661B1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建立医用耗材备货中心库房管理系统，对常规低值耗材集中管理、统一调配，支持备货采购与入库，实时更新库存。配置科室及二级库请领权限。备货出库后自动生成二级库接收与采购入库单，供应商可在线开票，支持发票与付款登记。并支持对接医院报销系统、财务系统，自动同步收支与结算数据，生成全院收支月报，支持多维度查询统计。具体要求如下：</w:t>
      </w:r>
    </w:p>
    <w:p w14:paraId="2D2C462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建立医用耗材备货中心库房，实现常规低值耗材的集中管理、统一调配功能。支持常规低值耗材以备货采购方式提交采购订单，系统自动关联供应商及产品信息。支持常规低值耗材以备货入库方式进行中心库房备货入库，形成库房备货库存，库存信息实时更新。</w:t>
      </w:r>
    </w:p>
    <w:p w14:paraId="33539E3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（2）配置科室/二级库人员对备货中心库房的请领权限，区分周计划、月计划、追加计划的请领权限及请领时间段。支持科室对中心库房备货库存进行请领，系统生成请领单据，实现中心库房按单备货出库功能。</w:t>
      </w:r>
    </w:p>
    <w:p w14:paraId="052CE06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常规耗材备货中心库房支持以备货出库形式向科室/二级库配送耗材，生成二级库接收入库单，二级库确认接收后系统自动生成采购入库单据。供应商可在云平台对采购入库单据进行开票操作，系统支持发票登记、付款单登记功能。</w:t>
      </w:r>
    </w:p>
    <w:p w14:paraId="75289E8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（4）配置常规耗材备货中心库房与报销系统（熙软）、财务系统（望海）的接口对接，实现收支数据、结算数据自动同步。</w:t>
      </w:r>
    </w:p>
    <w:p w14:paraId="7FFD052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（5）生成常规耗材备货中心库房全院收支月报报表，支持按时间段、耗材类别等维度查询统计。</w:t>
      </w:r>
    </w:p>
    <w:p w14:paraId="626E6B33">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1.6 门诊开单判断库存管理</w:t>
      </w:r>
    </w:p>
    <w:p w14:paraId="7733C39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改造现有耗材供应链管理系统，通过接口开发增加HIS门诊开单库存实时判断功能，具体要求如下：</w:t>
      </w:r>
    </w:p>
    <w:p w14:paraId="6DD8834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耗材供应链管理系统提供开单判断库存接口的研发及部署，接口部署后，其功能可支持HIS系统调用该接口实时查询开单耗材在所在二级库的对应库存。接口可根据口腔科等实际业务场景，实现口腔科医生关联的二级库库房的库存判断，确保库存查询精准性。</w:t>
      </w:r>
    </w:p>
    <w:p w14:paraId="7949C29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（2）HIS系统调用库存查询接口后，对应库房库存充足的耗材，可正常开单收费；对接口返回无库存的耗材进行限制门诊开单操作，避免对无库存耗材的违规计费。</w:t>
      </w:r>
    </w:p>
    <w:p w14:paraId="14EF292D">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1.7 口腔科医生库房建设</w:t>
      </w:r>
    </w:p>
    <w:p w14:paraId="5385315D">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增加口腔科医生三级库房管理系统，从口腔科二级库房延伸到医生三级库房管理，支持对出库到每个医生耗材的精确消耗管控和患者使用关联，并与HIS门诊开单系统联动实现实时扣库整合，实现口腔耗材专业化、精细化管理。具体需求如下：</w:t>
      </w:r>
    </w:p>
    <w:p w14:paraId="5C2B7C0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（1）为口腔科每位医生建立配置对应的三级库房（共40个），具备按医生、科室维度进行库房权限划分功能。</w:t>
      </w:r>
    </w:p>
    <w:p w14:paraId="79EB9B6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提供口腔科二级库房向医生三级库房发放出库耗材的功能，口腔科二级库房出库后，医生三级库房可自动生成接收单据，口腔医生可在对应的三级库房中，完成耗材接收。接收后自动增加对应库房的耗材库存数量，明确耗材归属。</w:t>
      </w:r>
    </w:p>
    <w:p w14:paraId="1FBA392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开发HIS门诊开单实时扣库接口，实现医生在HIS门诊开单后，保存医嘱的同时，调用实时扣库接口。若接口返回库存充足，则医嘱成功保存，若返回耗材对应的库存不足，则限制HIS对该医嘱进行保存。无需人工干预开单医嘱对应库房库存是否充足。</w:t>
      </w:r>
    </w:p>
    <w:p w14:paraId="17EF88E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（4）提供医生三级库对不可收费的耗材进行消耗出库、盘存处理功能，可支持后续查询消耗明细记录，以及盘存记录查询。</w:t>
      </w:r>
    </w:p>
    <w:p w14:paraId="05B9170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提供医生三级库相关查询报表功能，支持查询入库、出库、使用等相关报表，满足日常管理与核查需求。包括二级库入库明细报表，可按照业务仓库，物资名称，规格，会计期间等条件查询指定时间内的入库信息；二级库出库明细报表，可按照业务仓库，物资名称，规格，会计期间等条件查询指定时间内的出库信息；使用登记记录查询，可按照业务仓库，物资名称，规格，会计期间等条件查询指定时间内的患者耗材使用登记信息。</w:t>
      </w:r>
    </w:p>
    <w:p w14:paraId="518CF97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1.8 非易耗品物资管理系统建设</w:t>
      </w:r>
    </w:p>
    <w:p w14:paraId="0B1E23A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建设非易耗品物资管理系统，实现医院各类非易耗品的全流程管理。</w:t>
      </w:r>
    </w:p>
    <w:p w14:paraId="1221AD7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（1）建立非易耗品物资中心库房，实现非易耗品的集中管理和进销存管理功能，可按角色分配对应菜单的操作权限，确保管理规范。</w:t>
      </w:r>
    </w:p>
    <w:p w14:paraId="1BBF853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（2）按需配置非易耗品物资库房的物资分类及核算科目，满足财务核算需求。</w:t>
      </w:r>
    </w:p>
    <w:p w14:paraId="2F41292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（3）提供非易耗品物资的台账管理功能，可实现物资名称、规格、数量、价值、使用部门、使用状态等信息的记录，供后续追溯查询。</w:t>
      </w:r>
    </w:p>
    <w:p w14:paraId="586EFB5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（4）提供非易耗品台账的转科操作功能、非易耗品台账的报废操作功能，可办理物资在不同科室间的转移，同步更新台账信息。以及在经过审批流程后，报废后更新台账状态，生成报废记录。</w:t>
      </w:r>
    </w:p>
    <w:p w14:paraId="12E1899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（5）非易耗品出库给科室后，自动生成科室在用台账，可供后续查询相关台账信息，跟踪物资使用全周期。</w:t>
      </w:r>
    </w:p>
    <w:p w14:paraId="7299688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（6）提供非易耗品入库处理、出库处理、发票登记、付款单登记功能，实现库房主要业务开展与财务联动。</w:t>
      </w:r>
    </w:p>
    <w:p w14:paraId="1785C1AB">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7）配置非易耗品物资中心库房与报销系统、财务系统的接口对接，实现非易耗品库房相关业务数据同步至财务与报销系统。同时提供非易耗品物资中心库房全院收支月报报表，支持台账查询报表，便于核查与管理。</w:t>
      </w:r>
    </w:p>
    <w:p w14:paraId="1BC2221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（8）带量耗材统计报表：新增带量耗材统计功能，支持统计同品类耗材中非带量品规的用量，以及非带量品规与带量品规的用量比率。</w:t>
      </w:r>
    </w:p>
    <w:p w14:paraId="3808B63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（9）带量耗材统计报表：报表支持按时间段、耗材品类、科室等维度筛选查询，支持数据导出功能，便于医院成本分析与医保合规管理。</w:t>
      </w:r>
    </w:p>
    <w:p w14:paraId="76E12A4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（10）耗材进销存统计报表：支持按全院维度查询耗材进销存数据，包含采购量、入库量、出库量、库存量、消耗金额等核心指标。查询数据按照物资品规进行汇总体现。</w:t>
      </w:r>
    </w:p>
    <w:p w14:paraId="66C14D9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（11）耗材进销存统计报表：支持按科室维度查询耗材进销存数据，支持按耗材类别、时间段等进行筛选，精准反映各科室耗材使用与库存情况。查询数据按照科室进行汇总体现。</w:t>
      </w:r>
    </w:p>
    <w:p w14:paraId="44D994B3">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（12）出库单据批量删除明细功能：实现已创建出库单的批量删除明细功能，用户可勾选多条明细一次性删除，提高单据编辑效率。</w:t>
      </w:r>
    </w:p>
    <w:p w14:paraId="5E34B63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（13）出库单据批量删除明细功能：删除操作需记录操作日志，包含操作人、操作时间、删除明细内容等，便于追溯核查。</w:t>
      </w:r>
    </w:p>
    <w:p w14:paraId="264AEF5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（14）供应商订单按院区显示：供应链云平台供应商端，订单配送环节支持显示订单对应的院区信息，便于供应商按订单院区信息进行精准配送。</w:t>
      </w:r>
    </w:p>
    <w:p w14:paraId="660108D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（15）供应商订单按院区显示：内网系统发送订单时，根据请领来源科室，自动生成对应院区ID，并同步至外网云平台，确保订单院区信息一致。</w:t>
      </w:r>
    </w:p>
    <w:p w14:paraId="045D0AD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1.9 耗材管理系统接口开发与改造</w:t>
      </w:r>
    </w:p>
    <w:p w14:paraId="60F3F5A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根据本次升级的要求，实现与HIS系统、财务系统、报销系统等相关系统的接口开发和改造。具体要求如下：</w:t>
      </w:r>
    </w:p>
    <w:p w14:paraId="4754C90B">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1）与HIS系统计费/退费接口：要求提供医用耗材消耗与HIS系统计费接口改造，实现HIS系统医用材料计费与科室耗材二级库房库存联动扣减库存，生成对应的耗材消耗单据。接口同时要支持HIS退费、消耗库存归还业务。同时优化对应接口运行速度。</w:t>
      </w:r>
    </w:p>
    <w:p w14:paraId="1F52082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（2）与财务系统接口：要求提供数据接口改造，支持财务系统通过接口调用获取医用耗材库房入库、出库、结算等数据。</w:t>
      </w:r>
    </w:p>
    <w:p w14:paraId="43CBB0CD">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after="0" w:line="360" w:lineRule="auto"/>
        <w:ind w:firstLine="480" w:firstLineChars="200"/>
        <w:textAlignment w:val="auto"/>
        <w:rPr>
          <w:rFonts w:hint="eastAsia" w:ascii="仿宋" w:hAnsi="仿宋" w:eastAsia="仿宋" w:cs="仿宋"/>
          <w:b/>
          <w:bCs/>
          <w:sz w:val="24"/>
          <w:szCs w:val="24"/>
          <w:lang w:val="en-US" w:eastAsia="zh-CN"/>
        </w:rPr>
      </w:pPr>
      <w:r>
        <w:rPr>
          <w:rFonts w:hint="eastAsia" w:ascii="仿宋" w:hAnsi="仿宋" w:eastAsia="仿宋" w:cs="仿宋"/>
          <w:sz w:val="24"/>
          <w:szCs w:val="24"/>
          <w:lang w:val="en-US" w:eastAsia="zh-CN"/>
        </w:rPr>
        <w:t>（3）与报销系统接口：要求提供接口改造，实现医用耗材系统与报销系统付款流程数据对接。</w:t>
      </w:r>
    </w:p>
    <w:p w14:paraId="2A5707EC">
      <w:pPr>
        <w:pStyle w:val="8"/>
        <w:numPr>
          <w:ilvl w:val="0"/>
          <w:numId w:val="0"/>
        </w:numPr>
        <w:ind w:firstLine="0" w:firstLineChars="0"/>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2.服务要求</w:t>
      </w:r>
    </w:p>
    <w:tbl>
      <w:tblPr>
        <w:tblStyle w:val="18"/>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871"/>
        <w:gridCol w:w="899"/>
        <w:gridCol w:w="6644"/>
        <w:gridCol w:w="1423"/>
      </w:tblGrid>
      <w:tr w14:paraId="72754C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871" w:type="dxa"/>
            <w:shd w:val="clear" w:color="auto" w:fill="auto"/>
            <w:tcMar>
              <w:top w:w="0" w:type="dxa"/>
              <w:left w:w="105" w:type="dxa"/>
              <w:bottom w:w="0" w:type="dxa"/>
              <w:right w:w="105" w:type="dxa"/>
            </w:tcMar>
            <w:vAlign w:val="center"/>
          </w:tcPr>
          <w:p w14:paraId="7DEFF40B">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序号</w:t>
            </w:r>
          </w:p>
        </w:tc>
        <w:tc>
          <w:tcPr>
            <w:tcW w:w="899" w:type="dxa"/>
            <w:shd w:val="clear" w:color="auto" w:fill="auto"/>
            <w:tcMar>
              <w:top w:w="0" w:type="dxa"/>
              <w:left w:w="105" w:type="dxa"/>
              <w:bottom w:w="0" w:type="dxa"/>
              <w:right w:w="105" w:type="dxa"/>
            </w:tcMar>
            <w:vAlign w:val="center"/>
          </w:tcPr>
          <w:p w14:paraId="1FD38A02">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服务类型</w:t>
            </w:r>
          </w:p>
        </w:tc>
        <w:tc>
          <w:tcPr>
            <w:tcW w:w="6646" w:type="dxa"/>
            <w:shd w:val="clear" w:color="auto" w:fill="auto"/>
            <w:tcMar>
              <w:top w:w="0" w:type="dxa"/>
              <w:left w:w="105" w:type="dxa"/>
              <w:bottom w:w="0" w:type="dxa"/>
              <w:right w:w="105" w:type="dxa"/>
            </w:tcMar>
            <w:vAlign w:val="center"/>
          </w:tcPr>
          <w:p w14:paraId="3E79A4A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b/>
                <w:bCs/>
                <w:kern w:val="2"/>
                <w:sz w:val="24"/>
                <w:szCs w:val="24"/>
              </w:rPr>
            </w:pPr>
            <w:r>
              <w:rPr>
                <w:rFonts w:hint="eastAsia" w:ascii="仿宋" w:hAnsi="仿宋" w:eastAsia="仿宋" w:cs="仿宋"/>
                <w:b/>
                <w:bCs/>
                <w:kern w:val="2"/>
                <w:sz w:val="24"/>
                <w:szCs w:val="24"/>
              </w:rPr>
              <w:t>服务内容</w:t>
            </w:r>
          </w:p>
        </w:tc>
        <w:tc>
          <w:tcPr>
            <w:tcW w:w="1423" w:type="dxa"/>
            <w:shd w:val="clear" w:color="auto" w:fill="auto"/>
            <w:tcMar>
              <w:top w:w="0" w:type="dxa"/>
              <w:left w:w="105" w:type="dxa"/>
              <w:bottom w:w="0" w:type="dxa"/>
              <w:right w:w="105" w:type="dxa"/>
            </w:tcMar>
            <w:vAlign w:val="center"/>
          </w:tcPr>
          <w:p w14:paraId="773FDA8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482" w:leftChars="0" w:hanging="482" w:hangingChars="200"/>
              <w:jc w:val="center"/>
              <w:textAlignment w:val="auto"/>
              <w:rPr>
                <w:rFonts w:hint="default" w:ascii="仿宋" w:hAnsi="仿宋" w:eastAsia="仿宋" w:cs="仿宋"/>
                <w:b/>
                <w:bCs/>
                <w:kern w:val="2"/>
                <w:sz w:val="24"/>
                <w:szCs w:val="24"/>
                <w:lang w:val="en-US" w:eastAsia="zh-CN"/>
              </w:rPr>
            </w:pPr>
            <w:r>
              <w:rPr>
                <w:rFonts w:hint="eastAsia" w:ascii="仿宋" w:hAnsi="仿宋" w:eastAsia="仿宋" w:cs="仿宋"/>
                <w:b/>
                <w:bCs/>
                <w:kern w:val="2"/>
                <w:sz w:val="24"/>
                <w:szCs w:val="24"/>
                <w:lang w:val="en-US" w:eastAsia="zh-CN"/>
              </w:rPr>
              <w:t>服务时间</w:t>
            </w:r>
          </w:p>
        </w:tc>
      </w:tr>
      <w:tr w14:paraId="4E545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871" w:type="dxa"/>
            <w:shd w:val="clear" w:color="auto" w:fill="auto"/>
            <w:tcMar>
              <w:top w:w="0" w:type="dxa"/>
              <w:left w:w="105" w:type="dxa"/>
              <w:bottom w:w="0" w:type="dxa"/>
              <w:right w:w="105" w:type="dxa"/>
            </w:tcMar>
            <w:vAlign w:val="center"/>
          </w:tcPr>
          <w:p w14:paraId="38B9EFC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1</w:t>
            </w:r>
          </w:p>
        </w:tc>
        <w:tc>
          <w:tcPr>
            <w:tcW w:w="899" w:type="dxa"/>
            <w:shd w:val="clear" w:color="auto" w:fill="auto"/>
            <w:tcMar>
              <w:top w:w="0" w:type="dxa"/>
              <w:left w:w="105" w:type="dxa"/>
              <w:bottom w:w="0" w:type="dxa"/>
              <w:right w:w="105" w:type="dxa"/>
            </w:tcMar>
            <w:vAlign w:val="center"/>
          </w:tcPr>
          <w:p w14:paraId="6CC9C25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基本服务</w:t>
            </w:r>
          </w:p>
        </w:tc>
        <w:tc>
          <w:tcPr>
            <w:tcW w:w="6646" w:type="dxa"/>
            <w:shd w:val="clear" w:color="auto" w:fill="auto"/>
            <w:tcMar>
              <w:top w:w="0" w:type="dxa"/>
              <w:left w:w="105" w:type="dxa"/>
              <w:bottom w:w="0" w:type="dxa"/>
              <w:right w:w="105" w:type="dxa"/>
            </w:tcMar>
            <w:vAlign w:val="center"/>
          </w:tcPr>
          <w:p w14:paraId="6F9CC5B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1.稳定性：服务期内需保障系统稳定，不无故出现崩溃或宕机现象。</w:t>
            </w:r>
          </w:p>
          <w:p w14:paraId="6B8F6872">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2.安全性：具备完善的安全防护机制，做好数据备份，具备应急处置方案；</w:t>
            </w:r>
          </w:p>
          <w:p w14:paraId="29F2C74F">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3.数据质量：5个工作日内对数据质量问题进行原因查找和反馈，15个工作日内对数据质量问题进行数据清洗；（若涉及）</w:t>
            </w:r>
          </w:p>
          <w:p w14:paraId="5A01D9E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4.响应速度：服务期内，采购人有不限于电话、微信、现场等支持，需在需求当日内响应；</w:t>
            </w:r>
          </w:p>
          <w:p w14:paraId="1F3DF1B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5.定期巡检：服务期内每月提供至少1次软件服务期巡检报告；</w:t>
            </w:r>
          </w:p>
          <w:p w14:paraId="2598587F">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6.培训服务：每年提供≥2次培训服务，并提交培训方案和签到表；</w:t>
            </w:r>
          </w:p>
          <w:p w14:paraId="5CD9B09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7.文档服务：验收合格之日提交本次采购内容的操作手册、服务器信息、业务数据库表结构，若采购内容的相关文档发生变化，需在30日内提供最新文档。</w:t>
            </w:r>
          </w:p>
        </w:tc>
        <w:tc>
          <w:tcPr>
            <w:tcW w:w="1423" w:type="dxa"/>
            <w:vMerge w:val="restart"/>
            <w:shd w:val="clear" w:color="auto" w:fill="auto"/>
            <w:tcMar>
              <w:top w:w="0" w:type="dxa"/>
              <w:left w:w="105" w:type="dxa"/>
              <w:bottom w:w="0" w:type="dxa"/>
              <w:right w:w="105" w:type="dxa"/>
            </w:tcMar>
            <w:vAlign w:val="center"/>
          </w:tcPr>
          <w:p w14:paraId="1367D73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自验收合格之日起，提供不低于1年的服务。</w:t>
            </w:r>
          </w:p>
        </w:tc>
      </w:tr>
      <w:tr w14:paraId="5CE674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871" w:type="dxa"/>
            <w:shd w:val="clear" w:color="auto" w:fill="auto"/>
            <w:tcMar>
              <w:top w:w="0" w:type="dxa"/>
              <w:left w:w="105" w:type="dxa"/>
              <w:bottom w:w="0" w:type="dxa"/>
              <w:right w:w="105" w:type="dxa"/>
            </w:tcMar>
            <w:vAlign w:val="center"/>
          </w:tcPr>
          <w:p w14:paraId="1471237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2</w:t>
            </w:r>
          </w:p>
        </w:tc>
        <w:tc>
          <w:tcPr>
            <w:tcW w:w="899" w:type="dxa"/>
            <w:shd w:val="clear" w:color="auto" w:fill="auto"/>
            <w:tcMar>
              <w:top w:w="0" w:type="dxa"/>
              <w:left w:w="105" w:type="dxa"/>
              <w:bottom w:w="0" w:type="dxa"/>
              <w:right w:w="105" w:type="dxa"/>
            </w:tcMar>
            <w:vAlign w:val="center"/>
          </w:tcPr>
          <w:p w14:paraId="33E4A7A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质保服务</w:t>
            </w:r>
          </w:p>
        </w:tc>
        <w:tc>
          <w:tcPr>
            <w:tcW w:w="6646" w:type="dxa"/>
            <w:shd w:val="clear" w:color="auto" w:fill="auto"/>
            <w:tcMar>
              <w:top w:w="0" w:type="dxa"/>
              <w:left w:w="105" w:type="dxa"/>
              <w:bottom w:w="0" w:type="dxa"/>
              <w:right w:w="105" w:type="dxa"/>
            </w:tcMar>
            <w:vAlign w:val="center"/>
          </w:tcPr>
          <w:p w14:paraId="3C15833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本项目所包含软件提供保修服务，保证软件功能正常运行。</w:t>
            </w:r>
          </w:p>
        </w:tc>
        <w:tc>
          <w:tcPr>
            <w:tcW w:w="1423" w:type="dxa"/>
            <w:vMerge w:val="continue"/>
            <w:shd w:val="clear" w:color="auto" w:fill="auto"/>
            <w:tcMar>
              <w:top w:w="0" w:type="dxa"/>
              <w:left w:w="105" w:type="dxa"/>
              <w:bottom w:w="0" w:type="dxa"/>
              <w:right w:w="105" w:type="dxa"/>
            </w:tcMar>
            <w:vAlign w:val="center"/>
          </w:tcPr>
          <w:p w14:paraId="51681A1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p>
        </w:tc>
      </w:tr>
      <w:tr w14:paraId="2E8DC3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871" w:type="dxa"/>
            <w:shd w:val="clear" w:color="auto" w:fill="auto"/>
            <w:tcMar>
              <w:top w:w="0" w:type="dxa"/>
              <w:left w:w="105" w:type="dxa"/>
              <w:bottom w:w="0" w:type="dxa"/>
              <w:right w:w="105" w:type="dxa"/>
            </w:tcMar>
            <w:vAlign w:val="center"/>
          </w:tcPr>
          <w:p w14:paraId="493ABAC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3</w:t>
            </w:r>
          </w:p>
        </w:tc>
        <w:tc>
          <w:tcPr>
            <w:tcW w:w="899" w:type="dxa"/>
            <w:shd w:val="clear" w:color="auto" w:fill="auto"/>
            <w:tcMar>
              <w:top w:w="0" w:type="dxa"/>
              <w:left w:w="105" w:type="dxa"/>
              <w:bottom w:w="0" w:type="dxa"/>
              <w:right w:w="105" w:type="dxa"/>
            </w:tcMar>
            <w:vAlign w:val="center"/>
          </w:tcPr>
          <w:p w14:paraId="37F17C5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人员服务</w:t>
            </w:r>
          </w:p>
        </w:tc>
        <w:tc>
          <w:tcPr>
            <w:tcW w:w="6646" w:type="dxa"/>
            <w:shd w:val="clear" w:color="auto" w:fill="auto"/>
            <w:tcMar>
              <w:top w:w="0" w:type="dxa"/>
              <w:left w:w="105" w:type="dxa"/>
              <w:bottom w:w="0" w:type="dxa"/>
              <w:right w:w="105" w:type="dxa"/>
            </w:tcMar>
            <w:vAlign w:val="center"/>
          </w:tcPr>
          <w:p w14:paraId="51D64EA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rPr>
              <w:t>从合同签订之日起提供不低于1人驻场，进行现场引导及维护；工作时间：工作日8:00-17:30,法定节假日按照医院统一放假时间，节假日期间安排人员远程值班,人员轮转、变动须提前通知采购人。</w:t>
            </w:r>
          </w:p>
        </w:tc>
        <w:tc>
          <w:tcPr>
            <w:tcW w:w="1423" w:type="dxa"/>
            <w:vMerge w:val="continue"/>
            <w:shd w:val="clear" w:color="auto" w:fill="auto"/>
            <w:tcMar>
              <w:top w:w="0" w:type="dxa"/>
              <w:left w:w="105" w:type="dxa"/>
              <w:bottom w:w="0" w:type="dxa"/>
              <w:right w:w="105" w:type="dxa"/>
            </w:tcMar>
            <w:vAlign w:val="center"/>
          </w:tcPr>
          <w:p w14:paraId="007B209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p>
        </w:tc>
      </w:tr>
      <w:tr w14:paraId="7A3B32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871" w:type="dxa"/>
            <w:shd w:val="clear" w:color="auto" w:fill="auto"/>
            <w:tcMar>
              <w:top w:w="0" w:type="dxa"/>
              <w:left w:w="105" w:type="dxa"/>
              <w:bottom w:w="0" w:type="dxa"/>
              <w:right w:w="105" w:type="dxa"/>
            </w:tcMar>
            <w:vAlign w:val="center"/>
          </w:tcPr>
          <w:p w14:paraId="550B7EF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lang w:val="en-US" w:eastAsia="zh-CN"/>
              </w:rPr>
            </w:pPr>
            <w:r>
              <w:rPr>
                <w:rFonts w:hint="eastAsia" w:ascii="仿宋" w:hAnsi="仿宋" w:eastAsia="仿宋" w:cs="仿宋"/>
                <w:kern w:val="2"/>
                <w:sz w:val="24"/>
                <w:szCs w:val="24"/>
                <w:lang w:val="en-US" w:eastAsia="zh-CN"/>
              </w:rPr>
              <w:t>4</w:t>
            </w:r>
          </w:p>
        </w:tc>
        <w:tc>
          <w:tcPr>
            <w:tcW w:w="899" w:type="dxa"/>
            <w:shd w:val="clear" w:color="auto" w:fill="auto"/>
            <w:tcMar>
              <w:top w:w="0" w:type="dxa"/>
              <w:left w:w="105" w:type="dxa"/>
              <w:bottom w:w="0" w:type="dxa"/>
              <w:right w:w="105" w:type="dxa"/>
            </w:tcMar>
            <w:vAlign w:val="center"/>
          </w:tcPr>
          <w:p w14:paraId="669D2A52">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jc w:val="center"/>
              <w:textAlignment w:val="auto"/>
              <w:rPr>
                <w:rFonts w:hint="eastAsia" w:ascii="仿宋" w:hAnsi="仿宋" w:eastAsia="仿宋" w:cs="仿宋"/>
                <w:kern w:val="2"/>
                <w:sz w:val="24"/>
                <w:szCs w:val="24"/>
              </w:rPr>
            </w:pPr>
            <w:r>
              <w:rPr>
                <w:rFonts w:hint="eastAsia" w:ascii="仿宋" w:hAnsi="仿宋" w:eastAsia="仿宋" w:cs="仿宋"/>
                <w:kern w:val="2"/>
                <w:sz w:val="24"/>
                <w:szCs w:val="24"/>
              </w:rPr>
              <w:t>项目总体要求</w:t>
            </w:r>
          </w:p>
        </w:tc>
        <w:tc>
          <w:tcPr>
            <w:tcW w:w="6646" w:type="dxa"/>
            <w:shd w:val="clear" w:color="auto" w:fill="auto"/>
            <w:tcMar>
              <w:top w:w="0" w:type="dxa"/>
              <w:left w:w="105" w:type="dxa"/>
              <w:bottom w:w="0" w:type="dxa"/>
              <w:right w:w="105" w:type="dxa"/>
            </w:tcMar>
            <w:vAlign w:val="center"/>
          </w:tcPr>
          <w:p w14:paraId="602DF773">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1.</w:t>
            </w:r>
            <w:r>
              <w:rPr>
                <w:rFonts w:hint="eastAsia" w:ascii="仿宋" w:hAnsi="仿宋" w:eastAsia="仿宋" w:cs="仿宋"/>
                <w:kern w:val="2"/>
                <w:sz w:val="24"/>
                <w:szCs w:val="24"/>
              </w:rPr>
              <w:t>本次升级项目需在医院现有耗材供应链管理系统及供应链云平台基础上开展，确保与原有系统功能兼容、数据互通，不影响现有业务连续性，实现平台一体化建设和单点登录。</w:t>
            </w:r>
          </w:p>
          <w:p w14:paraId="470533EB">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2.</w:t>
            </w:r>
            <w:r>
              <w:rPr>
                <w:rFonts w:hint="eastAsia" w:ascii="仿宋" w:hAnsi="仿宋" w:eastAsia="仿宋" w:cs="仿宋"/>
                <w:kern w:val="2"/>
                <w:sz w:val="24"/>
                <w:szCs w:val="24"/>
              </w:rPr>
              <w:t>系统需采用B/S架构，客户端零安装，支持2000人以上并发使用。</w:t>
            </w:r>
          </w:p>
          <w:p w14:paraId="23C9AF73">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3.</w:t>
            </w:r>
            <w:r>
              <w:rPr>
                <w:rFonts w:hint="eastAsia" w:ascii="仿宋" w:hAnsi="仿宋" w:eastAsia="仿宋" w:cs="仿宋"/>
                <w:kern w:val="2"/>
                <w:sz w:val="24"/>
                <w:szCs w:val="24"/>
              </w:rPr>
              <w:t>需严格遵循卫健委、医保、财政等主管部门政策要求，满足医院精细化管理、医保审计、成本核算等相关需求，确保数据规范、流程合规。</w:t>
            </w:r>
          </w:p>
          <w:p w14:paraId="4E46B79F">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4.</w:t>
            </w:r>
            <w:r>
              <w:rPr>
                <w:rFonts w:hint="eastAsia" w:ascii="仿宋" w:hAnsi="仿宋" w:eastAsia="仿宋" w:cs="仿宋"/>
                <w:kern w:val="2"/>
                <w:sz w:val="24"/>
                <w:szCs w:val="24"/>
              </w:rPr>
              <w:t>系统需实现与医院HIS系统、财务系统、报销系统等系统的无缝对接，保障跨系统数据实时同步、流程顺畅联动。</w:t>
            </w:r>
          </w:p>
          <w:p w14:paraId="43A07BCD">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5.</w:t>
            </w:r>
            <w:r>
              <w:rPr>
                <w:rFonts w:hint="eastAsia" w:ascii="仿宋" w:hAnsi="仿宋" w:eastAsia="仿宋" w:cs="仿宋"/>
                <w:kern w:val="2"/>
                <w:sz w:val="24"/>
                <w:szCs w:val="24"/>
              </w:rPr>
              <w:t>支持供应商、临床科室、物资管理部门、财务部门等多角色协同，实现物资管理全流程信息化、透明化，具备自动提醒、预警功能，减少人工操作错误。</w:t>
            </w:r>
          </w:p>
          <w:p w14:paraId="1B57D54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rPr>
            </w:pPr>
            <w:r>
              <w:rPr>
                <w:rFonts w:hint="eastAsia" w:ascii="仿宋" w:hAnsi="仿宋" w:eastAsia="仿宋" w:cs="仿宋"/>
                <w:kern w:val="2"/>
                <w:sz w:val="24"/>
                <w:szCs w:val="24"/>
                <w:lang w:val="en-US" w:eastAsia="zh-CN"/>
              </w:rPr>
              <w:t>6.</w:t>
            </w:r>
            <w:r>
              <w:rPr>
                <w:rFonts w:hint="eastAsia" w:ascii="仿宋" w:hAnsi="仿宋" w:eastAsia="仿宋" w:cs="仿宋"/>
                <w:kern w:val="2"/>
                <w:sz w:val="24"/>
                <w:szCs w:val="24"/>
              </w:rPr>
              <w:t>提供专业的咨询、实施、开发及培训服务，确保项目快速落地；提供完善的售后服务，保障系统长期稳定运行。</w:t>
            </w:r>
          </w:p>
        </w:tc>
        <w:tc>
          <w:tcPr>
            <w:tcW w:w="1423" w:type="dxa"/>
            <w:vMerge w:val="continue"/>
            <w:shd w:val="clear" w:color="auto" w:fill="auto"/>
            <w:tcMar>
              <w:top w:w="0" w:type="dxa"/>
              <w:left w:w="105" w:type="dxa"/>
              <w:bottom w:w="0" w:type="dxa"/>
              <w:right w:w="105" w:type="dxa"/>
            </w:tcMar>
            <w:vAlign w:val="center"/>
          </w:tcPr>
          <w:p w14:paraId="7540A23B">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40" w:lineRule="auto"/>
              <w:ind w:left="0" w:leftChars="0" w:firstLine="0" w:firstLineChars="0"/>
              <w:textAlignment w:val="auto"/>
              <w:rPr>
                <w:rFonts w:hint="eastAsia" w:ascii="仿宋" w:hAnsi="仿宋" w:eastAsia="仿宋" w:cs="仿宋"/>
                <w:kern w:val="2"/>
                <w:sz w:val="24"/>
                <w:szCs w:val="24"/>
                <w:lang w:val="en-US" w:eastAsia="zh-CN"/>
              </w:rPr>
            </w:pPr>
          </w:p>
        </w:tc>
      </w:tr>
    </w:tbl>
    <w:p w14:paraId="61CEB7E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288" w:lineRule="auto"/>
        <w:ind w:left="482" w:hanging="482" w:hangingChars="200"/>
        <w:textAlignment w:val="auto"/>
        <w:rPr>
          <w:rFonts w:hint="eastAsia" w:ascii="仿宋" w:hAnsi="仿宋" w:eastAsia="仿宋" w:cs="仿宋"/>
          <w:sz w:val="24"/>
          <w:szCs w:val="24"/>
        </w:rPr>
      </w:pPr>
      <w:r>
        <w:rPr>
          <w:rFonts w:hint="eastAsia" w:ascii="仿宋" w:hAnsi="仿宋" w:eastAsia="仿宋" w:cs="仿宋"/>
          <w:b/>
          <w:bCs/>
          <w:sz w:val="24"/>
          <w:szCs w:val="24"/>
        </w:rPr>
        <w:t>四、商务要求</w:t>
      </w:r>
    </w:p>
    <w:p w14:paraId="6E1528B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1.实施时间：本项目合同签订生效后，供应商应在 5 个工作日内开始实施。</w:t>
      </w:r>
    </w:p>
    <w:p w14:paraId="1C72D12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实施周期：本项目开始实施之日起60日内，完成本项目包含的所有软件功能的上线运行。未在实施周期内完成，视为供应商违约并自动放弃该项目，采购人有权终止合同，合同所有款项将不予支付（已缴纳的履约保证金，将不予退还），已支付款项，供应商应于7个工作日内退还采购人。</w:t>
      </w:r>
    </w:p>
    <w:p w14:paraId="2B07641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3.服务地点：本项目涉及的四川省人民医院所有院区。</w:t>
      </w:r>
    </w:p>
    <w:p w14:paraId="024B48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w:t>
      </w:r>
      <w:r>
        <w:rPr>
          <w:rFonts w:hint="eastAsia" w:ascii="仿宋" w:hAnsi="仿宋" w:eastAsia="仿宋" w:cs="仿宋"/>
          <w:sz w:val="24"/>
          <w:szCs w:val="24"/>
          <w:highlight w:val="none"/>
        </w:rPr>
        <w:t>付款</w:t>
      </w:r>
      <w:r>
        <w:rPr>
          <w:rFonts w:hint="eastAsia" w:ascii="仿宋" w:hAnsi="仿宋" w:eastAsia="仿宋" w:cs="仿宋"/>
          <w:sz w:val="24"/>
          <w:szCs w:val="24"/>
          <w:highlight w:val="none"/>
          <w:lang w:val="en-US" w:eastAsia="zh-CN"/>
        </w:rPr>
        <w:t>条件：总价包干，合同签订生效且项目验收合格后，供应商于5日内向采购人提供合法有效票据及其他相关请款资料，采购人于接到上述票据及资料以后的90日内，向供应商支付合同总价100%的金额（如有因考核等原因产生的扣款，应在支付前予以扣除）。</w:t>
      </w:r>
    </w:p>
    <w:p w14:paraId="4741AFEE">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bookmarkStart w:id="15" w:name="_Toc18622"/>
      <w:bookmarkEnd w:id="15"/>
      <w:bookmarkStart w:id="16" w:name="_Toc153964904"/>
      <w:bookmarkEnd w:id="16"/>
      <w:r>
        <w:rPr>
          <w:rFonts w:hint="eastAsia" w:ascii="仿宋" w:hAnsi="仿宋" w:eastAsia="仿宋" w:cs="仿宋"/>
          <w:sz w:val="24"/>
          <w:szCs w:val="24"/>
          <w:highlight w:val="none"/>
          <w:lang w:val="en-US" w:eastAsia="zh-CN"/>
        </w:rPr>
        <w:t>5.履约验收方案</w:t>
      </w:r>
    </w:p>
    <w:p w14:paraId="38B6A9C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（1）验收主体：采购人</w:t>
      </w:r>
    </w:p>
    <w:p w14:paraId="57A51DC0">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（2）验收组织方式：自行验收</w:t>
      </w:r>
    </w:p>
    <w:p w14:paraId="6F002EC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（3）验收程序：一次性验收</w:t>
      </w:r>
    </w:p>
    <w:p w14:paraId="241065C9">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（4）验收方式：现场整体验收</w:t>
      </w:r>
    </w:p>
    <w:p w14:paraId="277E01D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（5）履约验收内容：按照基于本项目采购需求编制的采购文件要求及供应商响应文件情况，供应商实施完成的所有软件功能。</w:t>
      </w:r>
    </w:p>
    <w:p w14:paraId="5778B2C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（6）履约验收时间：系统上线供应商完成所有服务内容后5日内通知采购人验收，采购人接供应商通知后10日内组织验收。</w:t>
      </w:r>
    </w:p>
    <w:p w14:paraId="63BC65D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（7）是否邀请本项目的其他供应商:否</w:t>
      </w:r>
    </w:p>
    <w:p w14:paraId="7E9B965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（8）是否邀请专家：否</w:t>
      </w:r>
    </w:p>
    <w:p w14:paraId="73A3D58C">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（9）是否邀请服务对象：否</w:t>
      </w:r>
    </w:p>
    <w:p w14:paraId="4E709A74">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（10）是否邀请第三方检测机构：否</w:t>
      </w:r>
    </w:p>
    <w:p w14:paraId="3B98E2E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（11）验收标准：</w:t>
      </w:r>
    </w:p>
    <w:p w14:paraId="7FD60C85">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1）国家相关法律法规、行业标准、技术规范。</w:t>
      </w:r>
    </w:p>
    <w:p w14:paraId="223244A8">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2）基于本项目采购需求编制的采购文件相关技术、服务要求、供应商响应文件相关响应内容。</w:t>
      </w:r>
    </w:p>
    <w:p w14:paraId="510B4B61">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3）产品生产厂家出具的产品说明书、技术白皮书等官方技术资料（如涉及）。</w:t>
      </w:r>
    </w:p>
    <w:p w14:paraId="3FBFD516">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4）如验收时，采购人与供应商认为本项目验收标准中的技术指标、质量要求等内容存在相互抵触或对其理解存在异议，应按照其中更严格的要求、标准等进行验收。</w:t>
      </w:r>
    </w:p>
    <w:p w14:paraId="408B22C7">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5）按照《财政部关于进一步加强政府采购需求和履约验收管理的指导意见》（财库〔2016〕205号）的要求进行验收。（如本项目不涉及政府采购，将参照此条款）</w:t>
      </w:r>
    </w:p>
    <w:p w14:paraId="4F99EAAB">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6）如本项目验收方式为考核验收，则考核结果须为合格。</w:t>
      </w:r>
    </w:p>
    <w:p w14:paraId="53A596E0">
      <w:pPr>
        <w:pStyle w:val="8"/>
        <w:keepNext w:val="0"/>
        <w:keepLines w:val="0"/>
        <w:pageBreakBefore w:val="0"/>
        <w:widowControl w:val="0"/>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7）其它标准：无。</w:t>
      </w:r>
    </w:p>
    <w:p w14:paraId="05B2C7AA">
      <w:pPr>
        <w:pStyle w:val="8"/>
        <w:keepNext w:val="0"/>
        <w:keepLines w:val="0"/>
        <w:pageBreakBefore w:val="0"/>
        <w:widowControl w:val="0"/>
        <w:numPr>
          <w:ilvl w:val="0"/>
          <w:numId w:val="0"/>
        </w:numPr>
        <w:kinsoku/>
        <w:wordWrap/>
        <w:overflowPunct/>
        <w:topLinePunct w:val="0"/>
        <w:autoSpaceDE/>
        <w:autoSpaceDN/>
        <w:bidi w:val="0"/>
        <w:adjustRightInd w:val="0"/>
        <w:snapToGrid w:val="0"/>
        <w:spacing w:before="0" w:beforeAutospacing="0" w:after="0" w:afterAutospacing="0" w:line="360" w:lineRule="auto"/>
        <w:ind w:left="0" w:leftChars="0" w:firstLine="480" w:firstLineChars="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（12）履约验收其它事项：无。</w:t>
      </w:r>
    </w:p>
    <w:p w14:paraId="075232A1">
      <w:pPr>
        <w:pStyle w:val="8"/>
        <w:keepNext w:val="0"/>
        <w:keepLines w:val="0"/>
        <w:pageBreakBefore w:val="0"/>
        <w:widowControl w:val="0"/>
        <w:numPr>
          <w:ilvl w:val="0"/>
          <w:numId w:val="0"/>
        </w:numPr>
        <w:kinsoku/>
        <w:wordWrap/>
        <w:overflowPunct/>
        <w:topLinePunct w:val="0"/>
        <w:autoSpaceDE/>
        <w:autoSpaceDN/>
        <w:bidi w:val="0"/>
        <w:adjustRightInd w:val="0"/>
        <w:snapToGrid w:val="0"/>
        <w:spacing w:line="360" w:lineRule="auto"/>
        <w:ind w:left="0"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highlight w:val="none"/>
          <w:lang w:val="en-US" w:eastAsia="zh-CN"/>
        </w:rPr>
        <w:t>6.知识产权归属：由采购人、供应商双方共同开发的项目：采购人、供应商双方共同研发的该系统软件产品，知识产权归采购人、供应商双方共同拥有，软件所有数据归采购人所有。</w:t>
      </w:r>
    </w:p>
    <w:p w14:paraId="09075411">
      <w:pPr>
        <w:pStyle w:val="8"/>
        <w:ind w:firstLine="0"/>
        <w:rPr>
          <w:rFonts w:hint="eastAsia" w:ascii="仿宋" w:hAnsi="仿宋" w:eastAsia="仿宋" w:cs="仿宋"/>
          <w:sz w:val="24"/>
          <w:szCs w:val="24"/>
        </w:rPr>
      </w:pPr>
    </w:p>
    <w:p w14:paraId="108C78E3">
      <w:pPr>
        <w:rPr>
          <w:rFonts w:ascii="Times New Roman" w:hAnsi="Times New Roman" w:eastAsia="宋体" w:cs="Times New Roman"/>
          <w:sz w:val="24"/>
          <w:szCs w:val="24"/>
        </w:rPr>
      </w:pPr>
      <w:r>
        <w:rPr>
          <w:rFonts w:ascii="Times New Roman" w:hAnsi="Times New Roman" w:eastAsia="宋体" w:cs="Times New Roman"/>
          <w:sz w:val="24"/>
          <w:szCs w:val="24"/>
        </w:rPr>
        <w:br w:type="page"/>
      </w:r>
    </w:p>
    <w:p w14:paraId="44F987DC">
      <w:pPr>
        <w:pStyle w:val="2"/>
        <w:keepNext w:val="0"/>
        <w:keepLines w:val="0"/>
        <w:widowControl/>
        <w:numPr>
          <w:ilvl w:val="0"/>
          <w:numId w:val="0"/>
        </w:numPr>
        <w:suppressLineNumbers w:val="0"/>
        <w:spacing w:before="0" w:beforeAutospacing="0" w:after="0" w:afterAutospacing="0"/>
        <w:ind w:leftChars="0"/>
        <w:jc w:val="both"/>
        <w:rPr>
          <w:rFonts w:hint="eastAsia" w:ascii="仿宋" w:hAnsi="仿宋" w:eastAsia="仿宋" w:cs="仿宋"/>
          <w:sz w:val="24"/>
          <w:szCs w:val="24"/>
        </w:rPr>
      </w:pPr>
      <w:r>
        <w:rPr>
          <w:rStyle w:val="21"/>
          <w:rFonts w:hint="eastAsia" w:ascii="仿宋" w:hAnsi="仿宋" w:eastAsia="仿宋" w:cs="仿宋"/>
          <w:b/>
          <w:kern w:val="2"/>
          <w:sz w:val="24"/>
          <w:szCs w:val="24"/>
        </w:rPr>
        <w:t>供应商考核</w:t>
      </w:r>
    </w:p>
    <w:tbl>
      <w:tblPr>
        <w:tblStyle w:val="18"/>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773"/>
        <w:gridCol w:w="1924"/>
        <w:gridCol w:w="15"/>
        <w:gridCol w:w="2181"/>
        <w:gridCol w:w="2454"/>
        <w:gridCol w:w="1560"/>
        <w:gridCol w:w="940"/>
      </w:tblGrid>
      <w:tr w14:paraId="49608B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9750" w:type="dxa"/>
            <w:gridSpan w:val="7"/>
            <w:shd w:val="clear" w:color="auto" w:fill="auto"/>
            <w:tcMar>
              <w:top w:w="0" w:type="dxa"/>
              <w:left w:w="105" w:type="dxa"/>
              <w:bottom w:w="0" w:type="dxa"/>
              <w:right w:w="105" w:type="dxa"/>
            </w:tcMar>
            <w:vAlign w:val="center"/>
          </w:tcPr>
          <w:p w14:paraId="457ED0FF">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32"/>
                <w:szCs w:val="32"/>
                <w:lang w:val="en-US" w:eastAsia="zh-CN" w:bidi="ar"/>
              </w:rPr>
              <w:t>供应商月考核表</w:t>
            </w:r>
          </w:p>
        </w:tc>
      </w:tr>
      <w:tr w14:paraId="46DC99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2685" w:type="dxa"/>
            <w:gridSpan w:val="3"/>
            <w:shd w:val="clear" w:color="auto" w:fill="auto"/>
            <w:tcMar>
              <w:top w:w="0" w:type="dxa"/>
              <w:left w:w="105" w:type="dxa"/>
              <w:bottom w:w="0" w:type="dxa"/>
              <w:right w:w="105" w:type="dxa"/>
            </w:tcMar>
            <w:vAlign w:val="center"/>
          </w:tcPr>
          <w:p w14:paraId="24C4F2E9">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w:t>
            </w:r>
          </w:p>
        </w:tc>
        <w:tc>
          <w:tcPr>
            <w:tcW w:w="2160" w:type="dxa"/>
            <w:shd w:val="clear" w:color="auto" w:fill="auto"/>
            <w:tcMar>
              <w:top w:w="0" w:type="dxa"/>
              <w:left w:w="105" w:type="dxa"/>
              <w:bottom w:w="0" w:type="dxa"/>
              <w:right w:w="105" w:type="dxa"/>
            </w:tcMar>
            <w:vAlign w:val="center"/>
          </w:tcPr>
          <w:p w14:paraId="675FA7FE">
            <w:pPr>
              <w:keepNext w:val="0"/>
              <w:keepLines w:val="0"/>
              <w:widowControl/>
              <w:suppressLineNumbers w:val="0"/>
              <w:spacing w:line="240" w:lineRule="auto"/>
              <w:jc w:val="left"/>
              <w:rPr>
                <w:rFonts w:hint="eastAsia" w:ascii="仿宋" w:hAnsi="仿宋" w:eastAsia="仿宋" w:cs="仿宋"/>
                <w:kern w:val="0"/>
                <w:sz w:val="24"/>
                <w:szCs w:val="24"/>
                <w:lang w:bidi="ar"/>
              </w:rPr>
            </w:pPr>
          </w:p>
        </w:tc>
        <w:tc>
          <w:tcPr>
            <w:tcW w:w="2430" w:type="dxa"/>
            <w:shd w:val="clear" w:color="auto" w:fill="auto"/>
            <w:tcMar>
              <w:top w:w="0" w:type="dxa"/>
              <w:left w:w="105" w:type="dxa"/>
              <w:bottom w:w="0" w:type="dxa"/>
              <w:right w:w="105" w:type="dxa"/>
            </w:tcMar>
            <w:vAlign w:val="center"/>
          </w:tcPr>
          <w:p w14:paraId="2B6E0B67">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服务（系统）</w:t>
            </w:r>
          </w:p>
        </w:tc>
        <w:tc>
          <w:tcPr>
            <w:tcW w:w="2460" w:type="dxa"/>
            <w:gridSpan w:val="2"/>
            <w:shd w:val="clear" w:color="auto" w:fill="auto"/>
            <w:tcMar>
              <w:top w:w="0" w:type="dxa"/>
              <w:left w:w="105" w:type="dxa"/>
              <w:bottom w:w="0" w:type="dxa"/>
              <w:right w:w="105" w:type="dxa"/>
            </w:tcMar>
            <w:vAlign w:val="center"/>
          </w:tcPr>
          <w:p w14:paraId="7BD722AE">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00DA3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55" w:hRule="atLeast"/>
        </w:trPr>
        <w:tc>
          <w:tcPr>
            <w:tcW w:w="9750" w:type="dxa"/>
            <w:gridSpan w:val="7"/>
            <w:shd w:val="clear" w:color="auto" w:fill="auto"/>
            <w:tcMar>
              <w:top w:w="0" w:type="dxa"/>
              <w:left w:w="105" w:type="dxa"/>
              <w:bottom w:w="0" w:type="dxa"/>
              <w:right w:w="105" w:type="dxa"/>
            </w:tcMar>
            <w:vAlign w:val="center"/>
          </w:tcPr>
          <w:p w14:paraId="10A19FE3">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供应商考核指标</w:t>
            </w:r>
          </w:p>
        </w:tc>
      </w:tr>
      <w:tr w14:paraId="52510E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0" w:hRule="atLeast"/>
        </w:trPr>
        <w:tc>
          <w:tcPr>
            <w:tcW w:w="765" w:type="dxa"/>
            <w:shd w:val="clear" w:color="auto" w:fill="auto"/>
            <w:tcMar>
              <w:top w:w="0" w:type="dxa"/>
              <w:left w:w="105" w:type="dxa"/>
              <w:bottom w:w="0" w:type="dxa"/>
              <w:right w:w="105" w:type="dxa"/>
            </w:tcMar>
            <w:vAlign w:val="center"/>
          </w:tcPr>
          <w:p w14:paraId="1286C151">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指标类别</w:t>
            </w:r>
          </w:p>
        </w:tc>
        <w:tc>
          <w:tcPr>
            <w:tcW w:w="1905" w:type="dxa"/>
            <w:shd w:val="clear" w:color="auto" w:fill="auto"/>
            <w:tcMar>
              <w:top w:w="0" w:type="dxa"/>
              <w:left w:w="105" w:type="dxa"/>
              <w:bottom w:w="0" w:type="dxa"/>
              <w:right w:w="105" w:type="dxa"/>
            </w:tcMar>
            <w:vAlign w:val="center"/>
          </w:tcPr>
          <w:p w14:paraId="5D1A31F2">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w:t>
            </w:r>
          </w:p>
        </w:tc>
        <w:tc>
          <w:tcPr>
            <w:tcW w:w="6150" w:type="dxa"/>
            <w:gridSpan w:val="4"/>
            <w:shd w:val="clear" w:color="auto" w:fill="auto"/>
            <w:tcMar>
              <w:top w:w="0" w:type="dxa"/>
              <w:left w:w="105" w:type="dxa"/>
              <w:bottom w:w="0" w:type="dxa"/>
              <w:right w:w="105" w:type="dxa"/>
            </w:tcMar>
            <w:vAlign w:val="center"/>
          </w:tcPr>
          <w:p w14:paraId="23D992DD">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指标内容</w:t>
            </w:r>
          </w:p>
        </w:tc>
        <w:tc>
          <w:tcPr>
            <w:tcW w:w="930" w:type="dxa"/>
            <w:shd w:val="clear" w:color="auto" w:fill="auto"/>
            <w:tcMar>
              <w:top w:w="0" w:type="dxa"/>
              <w:left w:w="105" w:type="dxa"/>
              <w:bottom w:w="0" w:type="dxa"/>
              <w:right w:w="105" w:type="dxa"/>
            </w:tcMar>
            <w:vAlign w:val="center"/>
          </w:tcPr>
          <w:p w14:paraId="3D8DFD90">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扣分</w:t>
            </w:r>
          </w:p>
        </w:tc>
      </w:tr>
      <w:tr w14:paraId="32FE34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765" w:type="dxa"/>
            <w:vMerge w:val="restart"/>
            <w:shd w:val="clear" w:color="auto" w:fill="auto"/>
            <w:tcMar>
              <w:top w:w="0" w:type="dxa"/>
              <w:left w:w="105" w:type="dxa"/>
              <w:bottom w:w="0" w:type="dxa"/>
              <w:right w:w="105" w:type="dxa"/>
            </w:tcMar>
            <w:vAlign w:val="center"/>
          </w:tcPr>
          <w:p w14:paraId="57287C6E">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性能质量评价</w:t>
            </w:r>
          </w:p>
        </w:tc>
        <w:tc>
          <w:tcPr>
            <w:tcW w:w="1905" w:type="dxa"/>
            <w:shd w:val="clear" w:color="auto" w:fill="auto"/>
            <w:tcMar>
              <w:top w:w="0" w:type="dxa"/>
              <w:left w:w="105" w:type="dxa"/>
              <w:bottom w:w="0" w:type="dxa"/>
              <w:right w:w="105" w:type="dxa"/>
            </w:tcMar>
            <w:vAlign w:val="center"/>
          </w:tcPr>
          <w:p w14:paraId="165E31B9">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稳定性</w:t>
            </w:r>
          </w:p>
        </w:tc>
        <w:tc>
          <w:tcPr>
            <w:tcW w:w="6150" w:type="dxa"/>
            <w:gridSpan w:val="4"/>
            <w:shd w:val="clear" w:color="auto" w:fill="auto"/>
            <w:tcMar>
              <w:top w:w="0" w:type="dxa"/>
              <w:left w:w="105" w:type="dxa"/>
              <w:bottom w:w="0" w:type="dxa"/>
              <w:right w:w="105" w:type="dxa"/>
            </w:tcMar>
            <w:vAlign w:val="center"/>
          </w:tcPr>
          <w:p w14:paraId="03A6FB93">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出现故障，导致系统不稳定，影响医院业务：出现故障时间≤30分钟扣1分，30＜分钟且≤60分钟扣2分，&gt;60分钟扣5分</w:t>
            </w:r>
          </w:p>
        </w:tc>
        <w:tc>
          <w:tcPr>
            <w:tcW w:w="930" w:type="dxa"/>
            <w:shd w:val="clear" w:color="auto" w:fill="auto"/>
            <w:tcMar>
              <w:top w:w="0" w:type="dxa"/>
              <w:left w:w="105" w:type="dxa"/>
              <w:bottom w:w="0" w:type="dxa"/>
              <w:right w:w="105" w:type="dxa"/>
            </w:tcMar>
            <w:vAlign w:val="center"/>
          </w:tcPr>
          <w:p w14:paraId="2ACC7749">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79419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525" w:hRule="atLeast"/>
        </w:trPr>
        <w:tc>
          <w:tcPr>
            <w:tcW w:w="765" w:type="dxa"/>
            <w:vMerge w:val="continue"/>
            <w:shd w:val="clear" w:color="auto" w:fill="auto"/>
            <w:tcMar>
              <w:top w:w="0" w:type="dxa"/>
              <w:left w:w="105" w:type="dxa"/>
              <w:bottom w:w="0" w:type="dxa"/>
              <w:right w:w="105" w:type="dxa"/>
            </w:tcMar>
            <w:vAlign w:val="center"/>
          </w:tcPr>
          <w:p w14:paraId="6006A009">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541744D9">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安全性</w:t>
            </w:r>
          </w:p>
        </w:tc>
        <w:tc>
          <w:tcPr>
            <w:tcW w:w="6150" w:type="dxa"/>
            <w:gridSpan w:val="4"/>
            <w:shd w:val="clear" w:color="auto" w:fill="auto"/>
            <w:tcMar>
              <w:top w:w="0" w:type="dxa"/>
              <w:left w:w="105" w:type="dxa"/>
              <w:bottom w:w="0" w:type="dxa"/>
              <w:right w:w="105" w:type="dxa"/>
            </w:tcMar>
            <w:vAlign w:val="center"/>
          </w:tcPr>
          <w:p w14:paraId="562DDE19">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具备完善的安全防护机制，存在数据丢失或泄漏的风险，发现一次扣2分；采购方有权对现有程序和数据保留备份，供应商违规操作导致采购方机器硬盘中的任何数据和程序损坏或丢失一次扣5分；备份维护不合理，备份数据损坏导致在需要时无法恢复，每次扣5分；</w:t>
            </w:r>
          </w:p>
        </w:tc>
        <w:tc>
          <w:tcPr>
            <w:tcW w:w="930" w:type="dxa"/>
            <w:shd w:val="clear" w:color="auto" w:fill="auto"/>
            <w:tcMar>
              <w:top w:w="0" w:type="dxa"/>
              <w:left w:w="105" w:type="dxa"/>
              <w:bottom w:w="0" w:type="dxa"/>
              <w:right w:w="105" w:type="dxa"/>
            </w:tcMar>
            <w:vAlign w:val="center"/>
          </w:tcPr>
          <w:p w14:paraId="552B3A27">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43FD03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65" w:hRule="atLeast"/>
        </w:trPr>
        <w:tc>
          <w:tcPr>
            <w:tcW w:w="765" w:type="dxa"/>
            <w:vMerge w:val="continue"/>
            <w:shd w:val="clear" w:color="auto" w:fill="auto"/>
            <w:tcMar>
              <w:top w:w="0" w:type="dxa"/>
              <w:left w:w="105" w:type="dxa"/>
              <w:bottom w:w="0" w:type="dxa"/>
              <w:right w:w="105" w:type="dxa"/>
            </w:tcMar>
            <w:vAlign w:val="center"/>
          </w:tcPr>
          <w:p w14:paraId="33D042A4">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5AE43474">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用户满意度</w:t>
            </w:r>
          </w:p>
        </w:tc>
        <w:tc>
          <w:tcPr>
            <w:tcW w:w="6150" w:type="dxa"/>
            <w:gridSpan w:val="4"/>
            <w:shd w:val="clear" w:color="auto" w:fill="auto"/>
            <w:tcMar>
              <w:top w:w="0" w:type="dxa"/>
              <w:left w:w="105" w:type="dxa"/>
              <w:bottom w:w="0" w:type="dxa"/>
              <w:right w:w="105" w:type="dxa"/>
            </w:tcMar>
            <w:vAlign w:val="center"/>
          </w:tcPr>
          <w:p w14:paraId="24805987">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接到投诉时，一次扣1分；出现整改和处理后仍然不满足要求的情况，每5日为一个周期追扣2分，不满一个周期的算一个周期；</w:t>
            </w:r>
          </w:p>
        </w:tc>
        <w:tc>
          <w:tcPr>
            <w:tcW w:w="930" w:type="dxa"/>
            <w:shd w:val="clear" w:color="auto" w:fill="auto"/>
            <w:tcMar>
              <w:top w:w="0" w:type="dxa"/>
              <w:left w:w="105" w:type="dxa"/>
              <w:bottom w:w="0" w:type="dxa"/>
              <w:right w:w="105" w:type="dxa"/>
            </w:tcMar>
            <w:vAlign w:val="center"/>
          </w:tcPr>
          <w:p w14:paraId="5D0939BE">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BC26C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15" w:hRule="atLeast"/>
        </w:trPr>
        <w:tc>
          <w:tcPr>
            <w:tcW w:w="765" w:type="dxa"/>
            <w:vMerge w:val="restart"/>
            <w:shd w:val="clear" w:color="auto" w:fill="auto"/>
            <w:tcMar>
              <w:top w:w="0" w:type="dxa"/>
              <w:left w:w="105" w:type="dxa"/>
              <w:bottom w:w="0" w:type="dxa"/>
              <w:right w:w="105" w:type="dxa"/>
            </w:tcMar>
            <w:vAlign w:val="center"/>
          </w:tcPr>
          <w:p w14:paraId="7E0A0D2F">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使用支持评价</w:t>
            </w:r>
          </w:p>
        </w:tc>
        <w:tc>
          <w:tcPr>
            <w:tcW w:w="1905" w:type="dxa"/>
            <w:shd w:val="clear" w:color="auto" w:fill="auto"/>
            <w:tcMar>
              <w:top w:w="0" w:type="dxa"/>
              <w:left w:w="105" w:type="dxa"/>
              <w:bottom w:w="0" w:type="dxa"/>
              <w:right w:w="105" w:type="dxa"/>
            </w:tcMar>
            <w:vAlign w:val="center"/>
          </w:tcPr>
          <w:p w14:paraId="5418D713">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考勤</w:t>
            </w:r>
          </w:p>
        </w:tc>
        <w:tc>
          <w:tcPr>
            <w:tcW w:w="6150" w:type="dxa"/>
            <w:gridSpan w:val="4"/>
            <w:shd w:val="clear" w:color="auto" w:fill="auto"/>
            <w:tcMar>
              <w:top w:w="0" w:type="dxa"/>
              <w:left w:w="105" w:type="dxa"/>
              <w:bottom w:w="0" w:type="dxa"/>
              <w:right w:w="105" w:type="dxa"/>
            </w:tcMar>
            <w:vAlign w:val="center"/>
          </w:tcPr>
          <w:p w14:paraId="0AD3A017">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驻场工程师每日签到，每次迟到一次扣0.5分；旷工或漏签一次扣1分；</w:t>
            </w:r>
          </w:p>
        </w:tc>
        <w:tc>
          <w:tcPr>
            <w:tcW w:w="930" w:type="dxa"/>
            <w:shd w:val="clear" w:color="auto" w:fill="auto"/>
            <w:tcMar>
              <w:top w:w="0" w:type="dxa"/>
              <w:left w:w="105" w:type="dxa"/>
              <w:bottom w:w="0" w:type="dxa"/>
              <w:right w:w="105" w:type="dxa"/>
            </w:tcMar>
            <w:vAlign w:val="center"/>
          </w:tcPr>
          <w:p w14:paraId="5EF4F4E4">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6B246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1155" w:hRule="atLeast"/>
        </w:trPr>
        <w:tc>
          <w:tcPr>
            <w:tcW w:w="765" w:type="dxa"/>
            <w:vMerge w:val="continue"/>
            <w:shd w:val="clear" w:color="auto" w:fill="auto"/>
            <w:tcMar>
              <w:top w:w="0" w:type="dxa"/>
              <w:left w:w="105" w:type="dxa"/>
              <w:bottom w:w="0" w:type="dxa"/>
              <w:right w:w="105" w:type="dxa"/>
            </w:tcMar>
            <w:vAlign w:val="center"/>
          </w:tcPr>
          <w:p w14:paraId="1E3C32EA">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00F7DB6A">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响应速度</w:t>
            </w:r>
          </w:p>
        </w:tc>
        <w:tc>
          <w:tcPr>
            <w:tcW w:w="6150" w:type="dxa"/>
            <w:gridSpan w:val="4"/>
            <w:shd w:val="clear" w:color="auto" w:fill="auto"/>
            <w:tcMar>
              <w:top w:w="0" w:type="dxa"/>
              <w:left w:w="105" w:type="dxa"/>
              <w:bottom w:w="0" w:type="dxa"/>
              <w:right w:w="105" w:type="dxa"/>
            </w:tcMar>
            <w:vAlign w:val="center"/>
          </w:tcPr>
          <w:p w14:paraId="3AA628F2">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若需要现场支持时，须及时响应，不响应扣1分；发现异常不处理或未向向采购人及时汇报，扣0.5分；服务期内不接听电话，每次扣0.5分；微信群响应不及时或不按规定响应，每次扣0.1分；</w:t>
            </w:r>
          </w:p>
        </w:tc>
        <w:tc>
          <w:tcPr>
            <w:tcW w:w="930" w:type="dxa"/>
            <w:shd w:val="clear" w:color="auto" w:fill="auto"/>
            <w:tcMar>
              <w:top w:w="0" w:type="dxa"/>
              <w:left w:w="105" w:type="dxa"/>
              <w:bottom w:w="0" w:type="dxa"/>
              <w:right w:w="105" w:type="dxa"/>
            </w:tcMar>
            <w:vAlign w:val="center"/>
          </w:tcPr>
          <w:p w14:paraId="11C48FA4">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3580F4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285" w:hRule="atLeast"/>
        </w:trPr>
        <w:tc>
          <w:tcPr>
            <w:tcW w:w="765" w:type="dxa"/>
            <w:vMerge w:val="continue"/>
            <w:shd w:val="clear" w:color="auto" w:fill="auto"/>
            <w:tcMar>
              <w:top w:w="0" w:type="dxa"/>
              <w:left w:w="105" w:type="dxa"/>
              <w:bottom w:w="0" w:type="dxa"/>
              <w:right w:w="105" w:type="dxa"/>
            </w:tcMar>
            <w:vAlign w:val="center"/>
          </w:tcPr>
          <w:p w14:paraId="6406D29E">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5DB7AFE1">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备件供应</w:t>
            </w:r>
          </w:p>
          <w:p w14:paraId="0F62F91F">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(本条指标仅涉及提供硬件设备的供应商)</w:t>
            </w:r>
          </w:p>
        </w:tc>
        <w:tc>
          <w:tcPr>
            <w:tcW w:w="6150" w:type="dxa"/>
            <w:gridSpan w:val="4"/>
            <w:shd w:val="clear" w:color="auto" w:fill="auto"/>
            <w:tcMar>
              <w:top w:w="0" w:type="dxa"/>
              <w:left w:w="105" w:type="dxa"/>
              <w:bottom w:w="0" w:type="dxa"/>
              <w:right w:w="105" w:type="dxa"/>
            </w:tcMar>
            <w:vAlign w:val="center"/>
          </w:tcPr>
          <w:p w14:paraId="7D446A55">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能及时按要求提供所需备件（服务期内设备故障并经排查，明确2小时内无法恢复，应当在4小时内提供相同类型和性能的可用机器恢复业务工作，直至故障排除，超过规定时间无法提供备件一次扣5分；未按规定进行机房基础维护每次扣0.5分；</w:t>
            </w:r>
          </w:p>
        </w:tc>
        <w:tc>
          <w:tcPr>
            <w:tcW w:w="930" w:type="dxa"/>
            <w:shd w:val="clear" w:color="auto" w:fill="auto"/>
            <w:tcMar>
              <w:top w:w="0" w:type="dxa"/>
              <w:left w:w="105" w:type="dxa"/>
              <w:bottom w:w="0" w:type="dxa"/>
              <w:right w:w="105" w:type="dxa"/>
            </w:tcMar>
            <w:vAlign w:val="center"/>
          </w:tcPr>
          <w:p w14:paraId="3C3BC4D4">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685A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65" w:hRule="atLeast"/>
        </w:trPr>
        <w:tc>
          <w:tcPr>
            <w:tcW w:w="765" w:type="dxa"/>
            <w:vMerge w:val="continue"/>
            <w:shd w:val="clear" w:color="auto" w:fill="auto"/>
            <w:tcMar>
              <w:top w:w="0" w:type="dxa"/>
              <w:left w:w="105" w:type="dxa"/>
              <w:bottom w:w="0" w:type="dxa"/>
              <w:right w:w="105" w:type="dxa"/>
            </w:tcMar>
            <w:vAlign w:val="center"/>
          </w:tcPr>
          <w:p w14:paraId="06062E2A">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088B81B1">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定期巡检</w:t>
            </w:r>
          </w:p>
        </w:tc>
        <w:tc>
          <w:tcPr>
            <w:tcW w:w="6150" w:type="dxa"/>
            <w:gridSpan w:val="4"/>
            <w:shd w:val="clear" w:color="auto" w:fill="auto"/>
            <w:tcMar>
              <w:top w:w="0" w:type="dxa"/>
              <w:left w:w="105" w:type="dxa"/>
              <w:bottom w:w="0" w:type="dxa"/>
              <w:right w:w="105" w:type="dxa"/>
            </w:tcMar>
            <w:vAlign w:val="center"/>
          </w:tcPr>
          <w:p w14:paraId="7A2A64F5">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每月定期巡检服务，缺少一次扣1分；没有按要求提供巡检报告的，缺少一次扣1分；</w:t>
            </w:r>
          </w:p>
        </w:tc>
        <w:tc>
          <w:tcPr>
            <w:tcW w:w="930" w:type="dxa"/>
            <w:shd w:val="clear" w:color="auto" w:fill="auto"/>
            <w:tcMar>
              <w:top w:w="0" w:type="dxa"/>
              <w:left w:w="105" w:type="dxa"/>
              <w:bottom w:w="0" w:type="dxa"/>
              <w:right w:w="105" w:type="dxa"/>
            </w:tcMar>
            <w:vAlign w:val="center"/>
          </w:tcPr>
          <w:p w14:paraId="522CA0A2">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0F5045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0" w:hRule="atLeast"/>
        </w:trPr>
        <w:tc>
          <w:tcPr>
            <w:tcW w:w="765" w:type="dxa"/>
            <w:vMerge w:val="continue"/>
            <w:shd w:val="clear" w:color="auto" w:fill="auto"/>
            <w:tcMar>
              <w:top w:w="0" w:type="dxa"/>
              <w:left w:w="105" w:type="dxa"/>
              <w:bottom w:w="0" w:type="dxa"/>
              <w:right w:w="105" w:type="dxa"/>
            </w:tcMar>
            <w:vAlign w:val="center"/>
          </w:tcPr>
          <w:p w14:paraId="54CEC5C5">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1FF5FDF4">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培训服务</w:t>
            </w:r>
          </w:p>
        </w:tc>
        <w:tc>
          <w:tcPr>
            <w:tcW w:w="6150" w:type="dxa"/>
            <w:gridSpan w:val="4"/>
            <w:shd w:val="clear" w:color="auto" w:fill="auto"/>
            <w:tcMar>
              <w:top w:w="0" w:type="dxa"/>
              <w:left w:w="105" w:type="dxa"/>
              <w:bottom w:w="0" w:type="dxa"/>
              <w:right w:w="105" w:type="dxa"/>
            </w:tcMar>
            <w:vAlign w:val="center"/>
          </w:tcPr>
          <w:p w14:paraId="01560AAC">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没有按要求派专业技术人员对医院相关人员进行使用操作、设备维修、保养等技术的培训（不少于2次/年，并提供培训方案和培训签到表），缺少一次扣1分；</w:t>
            </w:r>
          </w:p>
        </w:tc>
        <w:tc>
          <w:tcPr>
            <w:tcW w:w="930" w:type="dxa"/>
            <w:shd w:val="clear" w:color="auto" w:fill="auto"/>
            <w:tcMar>
              <w:top w:w="0" w:type="dxa"/>
              <w:left w:w="105" w:type="dxa"/>
              <w:bottom w:w="0" w:type="dxa"/>
              <w:right w:w="105" w:type="dxa"/>
            </w:tcMar>
            <w:vAlign w:val="center"/>
          </w:tcPr>
          <w:p w14:paraId="5617EDC8">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6A3F4B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990" w:hRule="atLeast"/>
        </w:trPr>
        <w:tc>
          <w:tcPr>
            <w:tcW w:w="765" w:type="dxa"/>
            <w:vMerge w:val="continue"/>
            <w:shd w:val="clear" w:color="auto" w:fill="auto"/>
            <w:tcMar>
              <w:top w:w="0" w:type="dxa"/>
              <w:left w:w="105" w:type="dxa"/>
              <w:bottom w:w="0" w:type="dxa"/>
              <w:right w:w="105" w:type="dxa"/>
            </w:tcMar>
            <w:vAlign w:val="center"/>
          </w:tcPr>
          <w:p w14:paraId="582442C4">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4C3B39DC">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技术文档</w:t>
            </w:r>
          </w:p>
        </w:tc>
        <w:tc>
          <w:tcPr>
            <w:tcW w:w="6150" w:type="dxa"/>
            <w:gridSpan w:val="4"/>
            <w:shd w:val="clear" w:color="auto" w:fill="auto"/>
            <w:tcMar>
              <w:top w:w="0" w:type="dxa"/>
              <w:left w:w="105" w:type="dxa"/>
              <w:bottom w:w="0" w:type="dxa"/>
              <w:right w:w="105" w:type="dxa"/>
            </w:tcMar>
            <w:vAlign w:val="center"/>
          </w:tcPr>
          <w:p w14:paraId="3FC4C1C9">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未能在规定时间内按要求提交文档，包括但不限于操作手册、业务数据结构表、运维记录、巡检记录等，缺少一项扣1分；</w:t>
            </w:r>
          </w:p>
        </w:tc>
        <w:tc>
          <w:tcPr>
            <w:tcW w:w="930" w:type="dxa"/>
            <w:shd w:val="clear" w:color="auto" w:fill="auto"/>
            <w:tcMar>
              <w:top w:w="0" w:type="dxa"/>
              <w:left w:w="105" w:type="dxa"/>
              <w:bottom w:w="0" w:type="dxa"/>
              <w:right w:w="105" w:type="dxa"/>
            </w:tcMar>
            <w:vAlign w:val="center"/>
          </w:tcPr>
          <w:p w14:paraId="2BB37B34">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44B8E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45" w:hRule="atLeast"/>
        </w:trPr>
        <w:tc>
          <w:tcPr>
            <w:tcW w:w="765" w:type="dxa"/>
            <w:vMerge w:val="restart"/>
            <w:shd w:val="clear" w:color="auto" w:fill="auto"/>
            <w:tcMar>
              <w:top w:w="0" w:type="dxa"/>
              <w:left w:w="105" w:type="dxa"/>
              <w:bottom w:w="0" w:type="dxa"/>
              <w:right w:w="105" w:type="dxa"/>
            </w:tcMar>
            <w:vAlign w:val="center"/>
          </w:tcPr>
          <w:p w14:paraId="0D26FAC9">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违规违纪评价</w:t>
            </w:r>
          </w:p>
        </w:tc>
        <w:tc>
          <w:tcPr>
            <w:tcW w:w="1905" w:type="dxa"/>
            <w:shd w:val="clear" w:color="auto" w:fill="auto"/>
            <w:tcMar>
              <w:top w:w="0" w:type="dxa"/>
              <w:left w:w="105" w:type="dxa"/>
              <w:bottom w:w="0" w:type="dxa"/>
              <w:right w:w="105" w:type="dxa"/>
            </w:tcMar>
            <w:vAlign w:val="center"/>
          </w:tcPr>
          <w:p w14:paraId="17A380F9">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廉洁从业</w:t>
            </w:r>
          </w:p>
        </w:tc>
        <w:tc>
          <w:tcPr>
            <w:tcW w:w="6150" w:type="dxa"/>
            <w:gridSpan w:val="4"/>
            <w:shd w:val="clear" w:color="auto" w:fill="auto"/>
            <w:tcMar>
              <w:top w:w="0" w:type="dxa"/>
              <w:left w:w="105" w:type="dxa"/>
              <w:bottom w:w="0" w:type="dxa"/>
              <w:right w:w="105" w:type="dxa"/>
            </w:tcMar>
            <w:vAlign w:val="center"/>
          </w:tcPr>
          <w:p w14:paraId="45931FF8">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违反行业廉洁要求或违法违纪行为，一旦查实，一票否决</w:t>
            </w:r>
          </w:p>
        </w:tc>
        <w:tc>
          <w:tcPr>
            <w:tcW w:w="930" w:type="dxa"/>
            <w:shd w:val="clear" w:color="auto" w:fill="auto"/>
            <w:tcMar>
              <w:top w:w="0" w:type="dxa"/>
              <w:left w:w="105" w:type="dxa"/>
              <w:bottom w:w="0" w:type="dxa"/>
              <w:right w:w="105" w:type="dxa"/>
            </w:tcMar>
            <w:vAlign w:val="center"/>
          </w:tcPr>
          <w:p w14:paraId="5A6B8277">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一票否决</w:t>
            </w:r>
          </w:p>
        </w:tc>
      </w:tr>
      <w:tr w14:paraId="028A04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630" w:hRule="atLeast"/>
        </w:trPr>
        <w:tc>
          <w:tcPr>
            <w:tcW w:w="765" w:type="dxa"/>
            <w:vMerge w:val="continue"/>
            <w:shd w:val="clear" w:color="auto" w:fill="auto"/>
            <w:tcMar>
              <w:top w:w="0" w:type="dxa"/>
              <w:left w:w="105" w:type="dxa"/>
              <w:bottom w:w="0" w:type="dxa"/>
              <w:right w:w="105" w:type="dxa"/>
            </w:tcMar>
            <w:vAlign w:val="center"/>
          </w:tcPr>
          <w:p w14:paraId="5DEFA6B0">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44EC316B">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安全规范</w:t>
            </w:r>
          </w:p>
        </w:tc>
        <w:tc>
          <w:tcPr>
            <w:tcW w:w="6150" w:type="dxa"/>
            <w:gridSpan w:val="4"/>
            <w:shd w:val="clear" w:color="auto" w:fill="auto"/>
            <w:tcMar>
              <w:top w:w="0" w:type="dxa"/>
              <w:left w:w="105" w:type="dxa"/>
              <w:bottom w:w="0" w:type="dxa"/>
              <w:right w:w="105" w:type="dxa"/>
            </w:tcMar>
            <w:vAlign w:val="center"/>
          </w:tcPr>
          <w:p w14:paraId="52220F75">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不遵守安全生产规范，每次扣2分；</w:t>
            </w:r>
          </w:p>
        </w:tc>
        <w:tc>
          <w:tcPr>
            <w:tcW w:w="930" w:type="dxa"/>
            <w:shd w:val="clear" w:color="auto" w:fill="auto"/>
            <w:tcMar>
              <w:top w:w="0" w:type="dxa"/>
              <w:left w:w="105" w:type="dxa"/>
              <w:bottom w:w="0" w:type="dxa"/>
              <w:right w:w="105" w:type="dxa"/>
            </w:tcMar>
            <w:vAlign w:val="center"/>
          </w:tcPr>
          <w:p w14:paraId="195FB836">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7073FE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765" w:type="dxa"/>
            <w:vMerge w:val="continue"/>
            <w:shd w:val="clear" w:color="auto" w:fill="auto"/>
            <w:tcMar>
              <w:top w:w="0" w:type="dxa"/>
              <w:left w:w="105" w:type="dxa"/>
              <w:bottom w:w="0" w:type="dxa"/>
              <w:right w:w="105" w:type="dxa"/>
            </w:tcMar>
            <w:vAlign w:val="center"/>
          </w:tcPr>
          <w:p w14:paraId="0D093C2D">
            <w:pPr>
              <w:widowControl/>
              <w:spacing w:line="240" w:lineRule="auto"/>
              <w:jc w:val="left"/>
              <w:rPr>
                <w:rFonts w:hint="eastAsia" w:ascii="仿宋" w:hAnsi="仿宋" w:eastAsia="仿宋" w:cs="仿宋"/>
                <w:kern w:val="0"/>
                <w:sz w:val="24"/>
                <w:szCs w:val="24"/>
                <w:lang w:bidi="ar"/>
              </w:rPr>
            </w:pPr>
          </w:p>
        </w:tc>
        <w:tc>
          <w:tcPr>
            <w:tcW w:w="1905" w:type="dxa"/>
            <w:shd w:val="clear" w:color="auto" w:fill="auto"/>
            <w:tcMar>
              <w:top w:w="0" w:type="dxa"/>
              <w:left w:w="105" w:type="dxa"/>
              <w:bottom w:w="0" w:type="dxa"/>
              <w:right w:w="105" w:type="dxa"/>
            </w:tcMar>
            <w:vAlign w:val="center"/>
          </w:tcPr>
          <w:p w14:paraId="37DC8A11">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Style w:val="21"/>
                <w:rFonts w:hint="eastAsia" w:ascii="仿宋" w:hAnsi="仿宋" w:eastAsia="仿宋" w:cs="仿宋"/>
                <w:kern w:val="0"/>
                <w:sz w:val="24"/>
                <w:szCs w:val="24"/>
                <w:lang w:val="en-US" w:eastAsia="zh-CN" w:bidi="ar"/>
              </w:rPr>
              <w:t>其他违纪违规</w:t>
            </w:r>
          </w:p>
        </w:tc>
        <w:tc>
          <w:tcPr>
            <w:tcW w:w="6150" w:type="dxa"/>
            <w:gridSpan w:val="4"/>
            <w:shd w:val="clear" w:color="auto" w:fill="auto"/>
            <w:tcMar>
              <w:top w:w="0" w:type="dxa"/>
              <w:left w:w="105" w:type="dxa"/>
              <w:bottom w:w="0" w:type="dxa"/>
              <w:right w:w="105" w:type="dxa"/>
            </w:tcMar>
            <w:vAlign w:val="center"/>
          </w:tcPr>
          <w:p w14:paraId="22BFC2EF">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其它不利于医院信息化建设相关行为，视情节严重程度，经采购人讨论酌情扣分</w:t>
            </w:r>
          </w:p>
        </w:tc>
        <w:tc>
          <w:tcPr>
            <w:tcW w:w="930" w:type="dxa"/>
            <w:shd w:val="clear" w:color="auto" w:fill="auto"/>
            <w:tcMar>
              <w:top w:w="0" w:type="dxa"/>
              <w:left w:w="105" w:type="dxa"/>
              <w:bottom w:w="0" w:type="dxa"/>
              <w:right w:w="105" w:type="dxa"/>
            </w:tcMar>
            <w:vAlign w:val="center"/>
          </w:tcPr>
          <w:p w14:paraId="2CD3C693">
            <w:pPr>
              <w:keepNext w:val="0"/>
              <w:keepLines w:val="0"/>
              <w:widowControl/>
              <w:suppressLineNumbers w:val="0"/>
              <w:spacing w:line="240" w:lineRule="auto"/>
              <w:jc w:val="left"/>
              <w:rPr>
                <w:rFonts w:hint="eastAsia" w:ascii="仿宋" w:hAnsi="仿宋" w:eastAsia="仿宋" w:cs="仿宋"/>
                <w:kern w:val="0"/>
                <w:sz w:val="24"/>
                <w:szCs w:val="24"/>
                <w:lang w:bidi="ar"/>
              </w:rPr>
            </w:pPr>
          </w:p>
        </w:tc>
      </w:tr>
      <w:tr w14:paraId="024D71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765" w:type="dxa"/>
            <w:shd w:val="clear" w:color="auto" w:fill="auto"/>
            <w:tcMar>
              <w:top w:w="0" w:type="dxa"/>
              <w:left w:w="105" w:type="dxa"/>
              <w:bottom w:w="0" w:type="dxa"/>
              <w:right w:w="105" w:type="dxa"/>
            </w:tcMar>
            <w:vAlign w:val="center"/>
          </w:tcPr>
          <w:p w14:paraId="3595C421">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月度考核情况</w:t>
            </w:r>
          </w:p>
        </w:tc>
        <w:tc>
          <w:tcPr>
            <w:tcW w:w="8985" w:type="dxa"/>
            <w:gridSpan w:val="6"/>
            <w:shd w:val="clear" w:color="auto" w:fill="auto"/>
            <w:tcMar>
              <w:top w:w="0" w:type="dxa"/>
              <w:left w:w="105" w:type="dxa"/>
              <w:bottom w:w="0" w:type="dxa"/>
              <w:right w:w="105" w:type="dxa"/>
            </w:tcMar>
            <w:vAlign w:val="center"/>
          </w:tcPr>
          <w:p w14:paraId="7354E8B0">
            <w:pPr>
              <w:keepNext w:val="0"/>
              <w:keepLines w:val="0"/>
              <w:widowControl/>
              <w:suppressLineNumbers w:val="0"/>
              <w:spacing w:before="0" w:beforeAutospacing="1" w:after="0" w:afterAutospacing="1" w:line="240" w:lineRule="auto"/>
              <w:ind w:left="0" w:right="0"/>
              <w:jc w:val="center"/>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[本条填写扣分值]</w:t>
            </w:r>
          </w:p>
        </w:tc>
      </w:tr>
      <w:tr w14:paraId="6ADC39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360" w:hRule="atLeast"/>
        </w:trPr>
        <w:tc>
          <w:tcPr>
            <w:tcW w:w="765" w:type="dxa"/>
            <w:shd w:val="clear" w:color="auto" w:fill="auto"/>
            <w:tcMar>
              <w:top w:w="0" w:type="dxa"/>
              <w:left w:w="105" w:type="dxa"/>
              <w:bottom w:w="0" w:type="dxa"/>
              <w:right w:w="105" w:type="dxa"/>
            </w:tcMar>
            <w:vAlign w:val="center"/>
          </w:tcPr>
          <w:p w14:paraId="7D8BF3E8">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考核人签名</w:t>
            </w:r>
          </w:p>
        </w:tc>
        <w:tc>
          <w:tcPr>
            <w:tcW w:w="8985" w:type="dxa"/>
            <w:gridSpan w:val="6"/>
            <w:shd w:val="clear" w:color="auto" w:fill="auto"/>
            <w:tcMar>
              <w:top w:w="0" w:type="dxa"/>
              <w:left w:w="105" w:type="dxa"/>
              <w:bottom w:w="0" w:type="dxa"/>
              <w:right w:w="105" w:type="dxa"/>
            </w:tcMar>
            <w:vAlign w:val="center"/>
          </w:tcPr>
          <w:p w14:paraId="6B2F00B0">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w:t>
            </w:r>
          </w:p>
          <w:p w14:paraId="11ABC9CB">
            <w:pPr>
              <w:keepNext w:val="0"/>
              <w:keepLines w:val="0"/>
              <w:widowControl/>
              <w:suppressLineNumbers w:val="0"/>
              <w:spacing w:before="0" w:beforeAutospacing="1" w:after="0" w:afterAutospacing="1" w:line="240" w:lineRule="auto"/>
              <w:ind w:left="0" w:right="0"/>
              <w:jc w:val="left"/>
              <w:rPr>
                <w:rFonts w:hint="eastAsia" w:ascii="仿宋" w:hAnsi="仿宋" w:eastAsia="仿宋" w:cs="仿宋"/>
                <w:kern w:val="0"/>
                <w:sz w:val="24"/>
                <w:szCs w:val="24"/>
                <w:lang w:val="en-US" w:eastAsia="zh-CN" w:bidi="ar"/>
              </w:rPr>
            </w:pPr>
            <w:r>
              <w:rPr>
                <w:rFonts w:hint="eastAsia" w:ascii="仿宋" w:hAnsi="仿宋" w:eastAsia="仿宋" w:cs="仿宋"/>
                <w:kern w:val="0"/>
                <w:sz w:val="24"/>
                <w:szCs w:val="24"/>
                <w:lang w:val="en-US" w:eastAsia="zh-CN" w:bidi="ar"/>
              </w:rPr>
              <w:t>                                                  年    月    日</w:t>
            </w:r>
          </w:p>
        </w:tc>
      </w:tr>
    </w:tbl>
    <w:p w14:paraId="3D1F6267">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right="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备注：</w:t>
      </w:r>
    </w:p>
    <w:p w14:paraId="34466B9B">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1. 服务期内，采购人可按照本项目采购需求内容对应的考核指标对供应商进行考核，具体指标以采购人要求为准；</w:t>
      </w:r>
    </w:p>
    <w:p w14:paraId="26241952">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 考核关联最终付款金额，具体计算规则如下</w:t>
      </w:r>
    </w:p>
    <w:p w14:paraId="147F22F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Style w:val="21"/>
          <w:rFonts w:hint="eastAsia" w:ascii="仿宋" w:hAnsi="仿宋" w:eastAsia="仿宋" w:cs="仿宋"/>
          <w:b w:val="0"/>
          <w:bCs/>
          <w:kern w:val="2"/>
          <w:sz w:val="24"/>
          <w:szCs w:val="24"/>
          <w:lang w:val="en-US" w:eastAsia="zh-CN" w:bidi="ar"/>
        </w:rPr>
        <w:t>1）</w:t>
      </w:r>
      <w:r>
        <w:rPr>
          <w:rStyle w:val="21"/>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=服务期汇总考核扣分之和÷服务期内考核次数；</w:t>
      </w:r>
    </w:p>
    <w:p w14:paraId="5939A22F">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2）0分&lt;</w:t>
      </w:r>
      <w:r>
        <w:rPr>
          <w:rStyle w:val="21"/>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≤3分，将对供应商进行诫勉谈话；  </w:t>
      </w:r>
    </w:p>
    <w:p w14:paraId="71FCE23A">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3）3分&lt;</w:t>
      </w:r>
      <w:r>
        <w:rPr>
          <w:rStyle w:val="21"/>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≤5分，对供应商提出警告，从合同待支付金额中或履约保证金中扣除合同总金额5%费用，扣完为止；</w:t>
      </w:r>
    </w:p>
    <w:p w14:paraId="33E0A8D9">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4）5分&lt;</w:t>
      </w:r>
      <w:r>
        <w:rPr>
          <w:rStyle w:val="21"/>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≤10分，对供应商提出严重警告，从合同待支付金额中或履约保证金中扣除合同总金额10%费用，扣完为止；</w:t>
      </w:r>
    </w:p>
    <w:p w14:paraId="6ED44EA0">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5）10分&lt;</w:t>
      </w:r>
      <w:r>
        <w:rPr>
          <w:rStyle w:val="21"/>
          <w:rFonts w:hint="eastAsia" w:ascii="仿宋" w:hAnsi="仿宋" w:eastAsia="仿宋" w:cs="仿宋"/>
          <w:kern w:val="2"/>
          <w:sz w:val="24"/>
          <w:szCs w:val="24"/>
          <w:lang w:val="en-US" w:eastAsia="zh-CN" w:bidi="ar"/>
        </w:rPr>
        <w:t>平均扣分</w:t>
      </w:r>
      <w:r>
        <w:rPr>
          <w:rFonts w:hint="eastAsia" w:ascii="仿宋" w:hAnsi="仿宋" w:eastAsia="仿宋" w:cs="仿宋"/>
          <w:kern w:val="2"/>
          <w:sz w:val="24"/>
          <w:szCs w:val="24"/>
          <w:lang w:val="en-US" w:eastAsia="zh-CN" w:bidi="ar"/>
        </w:rPr>
        <w:t>，视为</w:t>
      </w:r>
      <w:r>
        <w:rPr>
          <w:rStyle w:val="21"/>
          <w:rFonts w:hint="eastAsia" w:ascii="仿宋" w:hAnsi="仿宋" w:eastAsia="仿宋" w:cs="仿宋"/>
          <w:kern w:val="2"/>
          <w:sz w:val="24"/>
          <w:szCs w:val="24"/>
          <w:lang w:val="en-US" w:eastAsia="zh-CN" w:bidi="ar"/>
        </w:rPr>
        <w:t>不合格</w:t>
      </w:r>
      <w:r>
        <w:rPr>
          <w:rFonts w:hint="eastAsia" w:ascii="仿宋" w:hAnsi="仿宋" w:eastAsia="仿宋" w:cs="仿宋"/>
          <w:kern w:val="2"/>
          <w:sz w:val="24"/>
          <w:szCs w:val="24"/>
          <w:lang w:val="en-US" w:eastAsia="zh-CN" w:bidi="ar"/>
        </w:rPr>
        <w:t>，终止合同，合同待支付金额不予支付，履约保证金（如有履约保证金）不予退还；</w:t>
      </w:r>
    </w:p>
    <w:p w14:paraId="7547ADE8">
      <w:pPr>
        <w:keepNext w:val="0"/>
        <w:keepLines w:val="0"/>
        <w:pageBreakBefore w:val="0"/>
        <w:widowControl/>
        <w:suppressLineNumbers w:val="0"/>
        <w:kinsoku/>
        <w:wordWrap/>
        <w:overflowPunct/>
        <w:topLinePunct w:val="0"/>
        <w:autoSpaceDE/>
        <w:autoSpaceDN/>
        <w:bidi w:val="0"/>
        <w:adjustRightInd w:val="0"/>
        <w:snapToGrid w:val="0"/>
        <w:spacing w:before="0" w:beforeAutospacing="0" w:after="0" w:afterAutospacing="0" w:line="360" w:lineRule="auto"/>
        <w:ind w:left="0" w:right="0" w:firstLine="480" w:firstLineChars="200"/>
        <w:jc w:val="left"/>
        <w:textAlignment w:val="auto"/>
        <w:rPr>
          <w:rFonts w:hint="eastAsia" w:ascii="仿宋" w:hAnsi="仿宋" w:eastAsia="仿宋" w:cs="仿宋"/>
          <w:kern w:val="0"/>
          <w:sz w:val="24"/>
          <w:szCs w:val="24"/>
          <w:lang w:val="en-US" w:eastAsia="zh-CN" w:bidi="ar"/>
        </w:rPr>
      </w:pPr>
      <w:r>
        <w:rPr>
          <w:rFonts w:hint="eastAsia" w:ascii="仿宋" w:hAnsi="仿宋" w:eastAsia="仿宋" w:cs="仿宋"/>
          <w:kern w:val="2"/>
          <w:sz w:val="24"/>
          <w:szCs w:val="24"/>
          <w:lang w:val="en-US" w:eastAsia="zh-CN" w:bidi="ar"/>
        </w:rPr>
        <w:t>3. 供应商出现一票否决时，将对其违法违纪的相关情况汇报院纪委，同时按供应商违约情况取消本次合作，扣除所有剩余款项和履约保证金（如有履约保证金），并保留后续追究供应商责任的权利。</w:t>
      </w:r>
    </w:p>
    <w:p w14:paraId="207ED684">
      <w:pPr>
        <w:keepNext w:val="0"/>
        <w:keepLines w:val="0"/>
        <w:pageBreakBefore w:val="0"/>
        <w:kinsoku/>
        <w:wordWrap/>
        <w:overflowPunct/>
        <w:topLinePunct w:val="0"/>
        <w:autoSpaceDE/>
        <w:autoSpaceDN/>
        <w:bidi w:val="0"/>
        <w:adjustRightInd w:val="0"/>
        <w:snapToGrid w:val="0"/>
        <w:spacing w:beforeAutospacing="0" w:afterAutospacing="0" w:line="360" w:lineRule="auto"/>
        <w:ind w:left="0" w:firstLine="480" w:firstLineChars="200"/>
        <w:jc w:val="left"/>
        <w:textAlignment w:val="auto"/>
        <w:rPr>
          <w:rFonts w:hint="eastAsia" w:ascii="仿宋" w:hAnsi="仿宋" w:eastAsia="仿宋" w:cs="仿宋"/>
          <w:sz w:val="24"/>
          <w:szCs w:val="24"/>
          <w:u w:val="none"/>
        </w:rPr>
      </w:pPr>
      <w:r>
        <w:rPr>
          <w:rFonts w:hint="eastAsia" w:ascii="仿宋" w:hAnsi="仿宋" w:eastAsia="仿宋" w:cs="仿宋"/>
          <w:kern w:val="2"/>
          <w:sz w:val="24"/>
          <w:szCs w:val="24"/>
          <w:lang w:val="en-US" w:eastAsia="zh-CN" w:bidi="ar"/>
        </w:rPr>
        <w:t>4. 本考核指标最终解释权归四川省医学科学院·四川省人民医院。</w:t>
      </w:r>
    </w:p>
    <w:p w14:paraId="7806636B">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7" w:name="_Toc22827"/>
      <w:bookmarkStart w:id="18" w:name="_Toc192583770"/>
      <w:bookmarkStart w:id="19" w:name="_Toc3094"/>
      <w:r>
        <w:rPr>
          <w:rFonts w:ascii="Times New Roman" w:hAnsi="Times New Roman" w:cs="Times New Roman"/>
        </w:rPr>
        <w:t>响应文件格式</w:t>
      </w:r>
      <w:bookmarkEnd w:id="17"/>
      <w:bookmarkEnd w:id="18"/>
      <w:bookmarkEnd w:id="19"/>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0" w:name="_Toc29819"/>
      <w:bookmarkStart w:id="21" w:name="_Toc4960"/>
      <w:bookmarkStart w:id="22" w:name="_Toc5913"/>
      <w:r>
        <w:rPr>
          <w:rFonts w:ascii="Times New Roman" w:hAnsi="Times New Roman" w:eastAsia="仿宋" w:cs="Times New Roman"/>
          <w:sz w:val="28"/>
          <w:szCs w:val="24"/>
        </w:rPr>
        <w:t>（响应文件封面）</w:t>
      </w:r>
      <w:bookmarkEnd w:id="20"/>
      <w:bookmarkEnd w:id="21"/>
      <w:bookmarkEnd w:id="22"/>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3" w:name="_Toc9428"/>
      <w:bookmarkStart w:id="24" w:name="_Toc30609"/>
      <w:bookmarkStart w:id="25" w:name="_Toc19851"/>
      <w:r>
        <w:rPr>
          <w:rFonts w:ascii="Times New Roman" w:hAnsi="Times New Roman" w:eastAsia="仿宋" w:cs="Times New Roman"/>
          <w:sz w:val="24"/>
          <w:szCs w:val="24"/>
        </w:rPr>
        <w:t>项目名称：</w:t>
      </w:r>
      <w:bookmarkEnd w:id="23"/>
      <w:bookmarkEnd w:id="24"/>
      <w:bookmarkEnd w:id="25"/>
    </w:p>
    <w:p w14:paraId="6056BEE9">
      <w:pPr>
        <w:jc w:val="left"/>
        <w:rPr>
          <w:rFonts w:ascii="Times New Roman" w:hAnsi="Times New Roman" w:eastAsia="仿宋" w:cs="Times New Roman"/>
          <w:sz w:val="24"/>
          <w:szCs w:val="24"/>
        </w:rPr>
      </w:pPr>
      <w:bookmarkStart w:id="26" w:name="_Toc32352"/>
      <w:bookmarkStart w:id="27" w:name="_Toc1544"/>
      <w:bookmarkStart w:id="28" w:name="_Toc9041"/>
      <w:r>
        <w:rPr>
          <w:rFonts w:ascii="Times New Roman" w:hAnsi="Times New Roman" w:eastAsia="仿宋" w:cs="Times New Roman"/>
          <w:sz w:val="24"/>
          <w:szCs w:val="24"/>
        </w:rPr>
        <w:t>项目编号：</w:t>
      </w:r>
      <w:bookmarkEnd w:id="26"/>
      <w:bookmarkEnd w:id="27"/>
      <w:bookmarkEnd w:id="28"/>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29" w:name="_Toc21472"/>
      <w:bookmarkStart w:id="30" w:name="_Toc24097"/>
    </w:p>
    <w:bookmarkEnd w:id="29"/>
    <w:bookmarkEnd w:id="30"/>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1" w:name="_Toc1690"/>
      <w:bookmarkStart w:id="32" w:name="_Toc17163"/>
      <w:bookmarkStart w:id="33" w:name="_Toc24859"/>
      <w:bookmarkStart w:id="34" w:name="_Toc32749"/>
      <w:r>
        <w:rPr>
          <w:rFonts w:ascii="Times New Roman" w:hAnsi="Times New Roman" w:eastAsia="仿宋" w:cs="Times New Roman"/>
          <w:sz w:val="28"/>
          <w:szCs w:val="24"/>
        </w:rPr>
        <w:t>供应商名称（公章）：</w:t>
      </w:r>
      <w:bookmarkEnd w:id="31"/>
      <w:bookmarkEnd w:id="32"/>
      <w:bookmarkEnd w:id="33"/>
      <w:bookmarkEnd w:id="34"/>
    </w:p>
    <w:p w14:paraId="7286C9BE">
      <w:pPr>
        <w:jc w:val="left"/>
        <w:rPr>
          <w:rFonts w:ascii="Times New Roman" w:hAnsi="Times New Roman" w:eastAsia="仿宋" w:cs="Times New Roman"/>
          <w:sz w:val="28"/>
          <w:szCs w:val="24"/>
        </w:rPr>
      </w:pPr>
      <w:bookmarkStart w:id="35" w:name="_Toc24123"/>
      <w:bookmarkStart w:id="36" w:name="_Toc3558"/>
      <w:bookmarkStart w:id="37" w:name="_Toc17905"/>
      <w:bookmarkStart w:id="38" w:name="_Toc6803"/>
      <w:r>
        <w:rPr>
          <w:rFonts w:ascii="Times New Roman" w:hAnsi="Times New Roman" w:eastAsia="仿宋" w:cs="Times New Roman"/>
          <w:sz w:val="28"/>
          <w:szCs w:val="24"/>
        </w:rPr>
        <w:t>法定代表人或授权代理人（签字）：</w:t>
      </w:r>
      <w:bookmarkEnd w:id="35"/>
      <w:bookmarkEnd w:id="36"/>
      <w:bookmarkEnd w:id="37"/>
      <w:bookmarkEnd w:id="38"/>
    </w:p>
    <w:p w14:paraId="37F68485">
      <w:pPr>
        <w:jc w:val="left"/>
        <w:rPr>
          <w:rFonts w:ascii="Times New Roman" w:hAnsi="Times New Roman" w:eastAsia="仿宋" w:cs="Times New Roman"/>
          <w:sz w:val="28"/>
          <w:szCs w:val="24"/>
        </w:rPr>
      </w:pPr>
      <w:bookmarkStart w:id="39" w:name="_Toc27526"/>
      <w:bookmarkStart w:id="40" w:name="_Toc2989"/>
      <w:bookmarkStart w:id="41" w:name="_Toc5996"/>
      <w:bookmarkStart w:id="42" w:name="_Toc27135"/>
      <w:r>
        <w:rPr>
          <w:rFonts w:ascii="Times New Roman" w:hAnsi="Times New Roman" w:eastAsia="仿宋" w:cs="Times New Roman"/>
          <w:sz w:val="28"/>
          <w:szCs w:val="24"/>
        </w:rPr>
        <w:t>联系方式（移动电话）：</w:t>
      </w:r>
      <w:bookmarkEnd w:id="39"/>
      <w:bookmarkEnd w:id="40"/>
      <w:bookmarkEnd w:id="41"/>
      <w:bookmarkEnd w:id="42"/>
    </w:p>
    <w:p w14:paraId="0746BDF5">
      <w:pPr>
        <w:jc w:val="left"/>
        <w:rPr>
          <w:rFonts w:ascii="Times New Roman" w:hAnsi="Times New Roman" w:eastAsia="仿宋" w:cs="Times New Roman"/>
          <w:sz w:val="28"/>
          <w:szCs w:val="24"/>
        </w:rPr>
      </w:pPr>
      <w:bookmarkStart w:id="43" w:name="_Toc2031"/>
      <w:bookmarkStart w:id="44" w:name="_Toc19987"/>
      <w:bookmarkStart w:id="45" w:name="_Toc7233"/>
      <w:bookmarkStart w:id="46" w:name="_Toc5056"/>
      <w:r>
        <w:rPr>
          <w:rFonts w:ascii="Times New Roman" w:hAnsi="Times New Roman" w:eastAsia="仿宋" w:cs="Times New Roman"/>
          <w:sz w:val="28"/>
          <w:szCs w:val="24"/>
        </w:rPr>
        <w:t>日期：     年    月     日</w:t>
      </w:r>
      <w:bookmarkEnd w:id="43"/>
      <w:bookmarkEnd w:id="44"/>
      <w:bookmarkEnd w:id="45"/>
      <w:bookmarkEnd w:id="46"/>
    </w:p>
    <w:p w14:paraId="3FF21919">
      <w:pPr>
        <w:jc w:val="center"/>
        <w:rPr>
          <w:rFonts w:ascii="Times New Roman" w:hAnsi="Times New Roman" w:eastAsia="仿宋" w:cs="Times New Roman"/>
          <w:sz w:val="32"/>
          <w:szCs w:val="40"/>
        </w:rPr>
      </w:pPr>
      <w:bookmarkStart w:id="47" w:name="_Toc16029"/>
      <w:bookmarkStart w:id="48" w:name="_Toc14829"/>
      <w:bookmarkStart w:id="49" w:name="_Toc21519"/>
      <w:bookmarkStart w:id="50" w:name="_Toc6482"/>
      <w:bookmarkStart w:id="51" w:name="_Toc3023"/>
      <w:bookmarkStart w:id="52" w:name="_Toc11352"/>
    </w:p>
    <w:p w14:paraId="45B9BDA8">
      <w:pPr>
        <w:rPr>
          <w:rStyle w:val="33"/>
          <w:rFonts w:ascii="Times New Roman" w:hAnsi="Times New Roman" w:eastAsia="仿宋" w:cs="Times New Roman"/>
          <w:b/>
          <w:bCs/>
          <w:sz w:val="32"/>
          <w:szCs w:val="28"/>
        </w:rPr>
      </w:pPr>
      <w:r>
        <w:rPr>
          <w:rStyle w:val="33"/>
          <w:rFonts w:ascii="Times New Roman" w:hAnsi="Times New Roman" w:eastAsia="仿宋" w:cs="Times New Roman"/>
          <w:b/>
          <w:bCs/>
          <w:sz w:val="32"/>
          <w:szCs w:val="28"/>
        </w:rPr>
        <w:br w:type="page"/>
      </w:r>
    </w:p>
    <w:p w14:paraId="01ADAD40">
      <w:pPr>
        <w:pStyle w:val="3"/>
        <w:ind w:firstLine="0"/>
      </w:pPr>
      <w:r>
        <w:t>承诺函</w:t>
      </w:r>
      <w:bookmarkEnd w:id="47"/>
      <w:bookmarkEnd w:id="48"/>
      <w:bookmarkEnd w:id="49"/>
      <w:bookmarkEnd w:id="50"/>
      <w:bookmarkEnd w:id="51"/>
      <w:bookmarkEnd w:id="52"/>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3" w:name="_Toc4305"/>
      <w:bookmarkStart w:id="54" w:name="_Toc30971"/>
      <w:bookmarkStart w:id="55" w:name="_Toc22676"/>
      <w:bookmarkStart w:id="56" w:name="_Toc17857"/>
      <w:bookmarkStart w:id="57" w:name="_Toc31838"/>
      <w:r>
        <w:rPr>
          <w:rFonts w:ascii="Times New Roman" w:hAnsi="Times New Roman" w:cs="Times New Roman"/>
        </w:rPr>
        <w:br w:type="page"/>
      </w:r>
    </w:p>
    <w:p w14:paraId="23ED41BF">
      <w:pPr>
        <w:pStyle w:val="3"/>
        <w:ind w:firstLine="0"/>
      </w:pPr>
      <w:r>
        <w:t>具有独立承担民事责任的能力</w:t>
      </w:r>
      <w:bookmarkEnd w:id="53"/>
      <w:bookmarkEnd w:id="54"/>
      <w:bookmarkEnd w:id="55"/>
      <w:bookmarkEnd w:id="56"/>
      <w:bookmarkEnd w:id="57"/>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3"/>
          <w:szCs w:val="28"/>
        </w:rPr>
      </w:pPr>
      <w:r>
        <w:rPr>
          <w:bCs/>
        </w:rPr>
        <w:br w:type="page"/>
      </w:r>
      <w:bookmarkStart w:id="58" w:name="_Toc15613"/>
      <w:bookmarkStart w:id="59" w:name="_Toc27186"/>
      <w:bookmarkStart w:id="60"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8"/>
      <w:bookmarkEnd w:id="59"/>
      <w:bookmarkStart w:id="61" w:name="_Toc13706"/>
      <w:bookmarkStart w:id="62" w:name="_Toc25357"/>
      <w:bookmarkStart w:id="63" w:name="_Toc13904"/>
    </w:p>
    <w:p w14:paraId="6BE6D0D2">
      <w:pPr>
        <w:pStyle w:val="3"/>
        <w:ind w:firstLine="0"/>
        <w:rPr>
          <w:szCs w:val="32"/>
        </w:rPr>
      </w:pPr>
      <w:bookmarkStart w:id="64" w:name="_Toc23146"/>
      <w:bookmarkStart w:id="65" w:name="_Toc15508"/>
      <w:r>
        <w:t>本项目其他资格条件提供的证明材料</w:t>
      </w:r>
      <w:bookmarkEnd w:id="60"/>
      <w:bookmarkEnd w:id="61"/>
      <w:bookmarkEnd w:id="62"/>
      <w:bookmarkEnd w:id="63"/>
      <w:bookmarkEnd w:id="64"/>
      <w:bookmarkEnd w:id="65"/>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32"/>
        <w:ind w:left="420" w:leftChars="200"/>
        <w:jc w:val="both"/>
        <w:rPr>
          <w:rFonts w:ascii="Times New Roman" w:hAnsi="Times New Roman" w:eastAsia="仿宋" w:cs="Times New Roman"/>
          <w:color w:val="auto"/>
        </w:rPr>
      </w:pPr>
    </w:p>
    <w:p w14:paraId="15610D65">
      <w:pPr>
        <w:pStyle w:val="32"/>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6" w:name="_Toc11351"/>
      <w:bookmarkStart w:id="67" w:name="_Toc25638"/>
      <w:bookmarkStart w:id="68" w:name="_Toc20589"/>
      <w:bookmarkStart w:id="69" w:name="_Toc15526"/>
      <w:bookmarkStart w:id="70" w:name="_Toc27661"/>
      <w:bookmarkStart w:id="71" w:name="_Toc12015"/>
      <w:r>
        <w:rPr>
          <w:rStyle w:val="41"/>
          <w:b/>
        </w:rPr>
        <w:t>法定代表人身份证明书</w:t>
      </w:r>
      <w:bookmarkEnd w:id="66"/>
      <w:bookmarkEnd w:id="67"/>
      <w:bookmarkEnd w:id="68"/>
      <w:bookmarkEnd w:id="69"/>
      <w:bookmarkEnd w:id="70"/>
      <w:bookmarkEnd w:id="71"/>
    </w:p>
    <w:p w14:paraId="3A3BA539">
      <w:pPr>
        <w:pStyle w:val="32"/>
        <w:jc w:val="center"/>
        <w:rPr>
          <w:rFonts w:ascii="Times New Roman" w:hAnsi="Times New Roman" w:eastAsia="仿宋" w:cs="Times New Roman"/>
          <w:color w:val="auto"/>
        </w:rPr>
      </w:pPr>
    </w:p>
    <w:p w14:paraId="1D3E4E35">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32"/>
        <w:jc w:val="center"/>
        <w:rPr>
          <w:rFonts w:ascii="Times New Roman" w:hAnsi="Times New Roman" w:eastAsia="仿宋" w:cs="Times New Roman"/>
          <w:color w:val="auto"/>
        </w:rPr>
      </w:pPr>
    </w:p>
    <w:p w14:paraId="296D8A83">
      <w:pPr>
        <w:pStyle w:val="32"/>
        <w:jc w:val="center"/>
        <w:rPr>
          <w:rFonts w:ascii="Times New Roman" w:hAnsi="Times New Roman" w:eastAsia="仿宋" w:cs="Times New Roman"/>
          <w:color w:val="auto"/>
        </w:rPr>
      </w:pPr>
    </w:p>
    <w:p w14:paraId="6A679389">
      <w:pPr>
        <w:pStyle w:val="32"/>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32"/>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32"/>
        <w:jc w:val="both"/>
        <w:rPr>
          <w:rFonts w:ascii="Times New Roman" w:hAnsi="Times New Roman" w:eastAsia="仿宋" w:cs="Times New Roman"/>
          <w:color w:val="auto"/>
        </w:rPr>
      </w:pPr>
    </w:p>
    <w:p w14:paraId="1381E3FD">
      <w:pPr>
        <w:pStyle w:val="32"/>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32"/>
        <w:jc w:val="center"/>
        <w:rPr>
          <w:rFonts w:ascii="Times New Roman" w:hAnsi="Times New Roman" w:eastAsia="仿宋" w:cs="Times New Roman"/>
          <w:color w:val="auto"/>
        </w:rPr>
      </w:pPr>
    </w:p>
    <w:p w14:paraId="2EEFDF95">
      <w:pPr>
        <w:pStyle w:val="32"/>
        <w:jc w:val="center"/>
        <w:rPr>
          <w:rFonts w:ascii="Times New Roman" w:hAnsi="Times New Roman" w:eastAsia="仿宋" w:cs="Times New Roman"/>
          <w:color w:val="auto"/>
        </w:rPr>
      </w:pPr>
    </w:p>
    <w:p w14:paraId="4361194A">
      <w:pPr>
        <w:pStyle w:val="32"/>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32"/>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32"/>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32"/>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32"/>
        <w:jc w:val="both"/>
        <w:rPr>
          <w:rFonts w:ascii="Times New Roman" w:hAnsi="Times New Roman" w:eastAsia="仿宋" w:cs="Times New Roman"/>
          <w:color w:val="auto"/>
          <w:sz w:val="32"/>
          <w:szCs w:val="32"/>
        </w:rPr>
      </w:pPr>
    </w:p>
    <w:p w14:paraId="6EE83E0D">
      <w:pPr>
        <w:pStyle w:val="32"/>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3"/>
          <w:rFonts w:ascii="Times New Roman" w:hAnsi="Times New Roman" w:eastAsia="仿宋" w:cs="Times New Roman"/>
          <w:b/>
          <w:bCs/>
          <w:color w:val="auto"/>
          <w:kern w:val="2"/>
          <w:sz w:val="32"/>
          <w:szCs w:val="28"/>
        </w:rPr>
        <w:t>法定代表人授权委托书</w:t>
      </w:r>
    </w:p>
    <w:p w14:paraId="5EA16FDB">
      <w:pPr>
        <w:pStyle w:val="32"/>
        <w:jc w:val="center"/>
        <w:rPr>
          <w:rFonts w:ascii="Times New Roman" w:hAnsi="Times New Roman" w:eastAsia="仿宋" w:cs="Times New Roman"/>
          <w:b/>
          <w:bCs/>
          <w:color w:val="auto"/>
        </w:rPr>
      </w:pPr>
    </w:p>
    <w:p w14:paraId="724D1D6A">
      <w:pPr>
        <w:pStyle w:val="32"/>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32"/>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2" w:name="_Toc16435"/>
      <w:bookmarkStart w:id="73" w:name="_Toc1074"/>
      <w:bookmarkStart w:id="74" w:name="_Toc2041"/>
      <w:bookmarkStart w:id="75" w:name="_Toc26969"/>
      <w:bookmarkStart w:id="76" w:name="_Toc12967"/>
      <w:bookmarkStart w:id="77" w:name="_Toc23967"/>
      <w:r>
        <w:rPr>
          <w:rStyle w:val="41"/>
          <w:b/>
        </w:rPr>
        <w:t>采购需求偏离表</w:t>
      </w:r>
      <w:bookmarkEnd w:id="72"/>
      <w:bookmarkEnd w:id="73"/>
      <w:bookmarkEnd w:id="74"/>
      <w:bookmarkEnd w:id="75"/>
      <w:bookmarkEnd w:id="76"/>
      <w:bookmarkEnd w:id="77"/>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8"/>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32"/>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8" w:name="_Toc28634"/>
      <w:bookmarkStart w:id="79" w:name="_Toc24806"/>
      <w:bookmarkStart w:id="80" w:name="_Toc31686"/>
      <w:bookmarkStart w:id="81" w:name="_Toc21082"/>
      <w:bookmarkStart w:id="82" w:name="_Toc1369"/>
      <w:bookmarkStart w:id="83" w:name="_Toc26839"/>
      <w:r>
        <w:rPr>
          <w:rStyle w:val="41"/>
          <w:b/>
        </w:rPr>
        <w:t>评分需要提供的证明材料</w:t>
      </w:r>
      <w:bookmarkEnd w:id="78"/>
      <w:bookmarkEnd w:id="79"/>
      <w:bookmarkEnd w:id="80"/>
      <w:bookmarkEnd w:id="81"/>
      <w:bookmarkEnd w:id="82"/>
      <w:bookmarkEnd w:id="83"/>
    </w:p>
    <w:p w14:paraId="5023EAE2">
      <w:pPr>
        <w:pStyle w:val="32"/>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32"/>
        <w:jc w:val="center"/>
        <w:rPr>
          <w:rFonts w:ascii="Times New Roman" w:hAnsi="Times New Roman" w:eastAsia="仿宋" w:cs="Times New Roman"/>
          <w:b/>
          <w:bCs/>
          <w:color w:val="auto"/>
        </w:rPr>
      </w:pPr>
    </w:p>
    <w:p w14:paraId="6F53CF36">
      <w:pPr>
        <w:rPr>
          <w:rFonts w:ascii="Times New Roman" w:hAnsi="Times New Roman" w:eastAsia="仿宋" w:cs="Times New Roman"/>
          <w:sz w:val="24"/>
          <w:szCs w:val="24"/>
        </w:rPr>
      </w:pPr>
      <w:r>
        <w:rPr>
          <w:rFonts w:ascii="Times New Roman" w:hAnsi="Times New Roman" w:eastAsia="仿宋" w:cs="Times New Roman"/>
          <w:sz w:val="24"/>
          <w:szCs w:val="24"/>
        </w:rPr>
        <w:t>（一）暂用评审因素一代替：</w:t>
      </w:r>
    </w:p>
    <w:p w14:paraId="7D414F63">
      <w:pPr>
        <w:rPr>
          <w:rFonts w:ascii="Times New Roman" w:hAnsi="Times New Roman" w:eastAsia="仿宋" w:cs="Times New Roman"/>
          <w:sz w:val="24"/>
          <w:szCs w:val="24"/>
        </w:rPr>
      </w:pPr>
      <w:r>
        <w:rPr>
          <w:rFonts w:ascii="Times New Roman" w:hAnsi="Times New Roman" w:eastAsia="仿宋" w:cs="Times New Roman"/>
          <w:sz w:val="24"/>
          <w:szCs w:val="24"/>
        </w:rPr>
        <w:t>(......)</w:t>
      </w:r>
    </w:p>
    <w:p w14:paraId="4D8F8412">
      <w:pPr>
        <w:rPr>
          <w:rFonts w:ascii="Times New Roman" w:hAnsi="Times New Roman" w:eastAsia="仿宋" w:cs="Times New Roman"/>
          <w:sz w:val="24"/>
          <w:szCs w:val="24"/>
        </w:rPr>
      </w:pPr>
    </w:p>
    <w:p w14:paraId="15CA912A">
      <w:pPr>
        <w:rPr>
          <w:rFonts w:ascii="Times New Roman" w:hAnsi="Times New Roman" w:eastAsia="仿宋" w:cs="Times New Roman"/>
          <w:sz w:val="24"/>
          <w:szCs w:val="24"/>
        </w:rPr>
      </w:pPr>
      <w:r>
        <w:rPr>
          <w:rFonts w:ascii="Times New Roman" w:hAnsi="Times New Roman" w:eastAsia="仿宋" w:cs="Times New Roman"/>
          <w:sz w:val="24"/>
          <w:szCs w:val="24"/>
        </w:rPr>
        <w:t>（二）暂用评审因素二代替：</w:t>
      </w:r>
    </w:p>
    <w:p w14:paraId="172FBDF2">
      <w:pPr>
        <w:rPr>
          <w:rFonts w:ascii="Times New Roman" w:hAnsi="Times New Roman" w:eastAsia="仿宋" w:cs="Times New Roman"/>
          <w:sz w:val="24"/>
          <w:szCs w:val="24"/>
        </w:rPr>
      </w:pPr>
      <w:r>
        <w:rPr>
          <w:rFonts w:ascii="Times New Roman" w:hAnsi="Times New Roman" w:eastAsia="仿宋" w:cs="Times New Roman"/>
          <w:sz w:val="24"/>
          <w:szCs w:val="24"/>
        </w:rPr>
        <w:t>(......)</w:t>
      </w:r>
    </w:p>
    <w:p w14:paraId="1D969D8C">
      <w:pPr>
        <w:rPr>
          <w:rFonts w:ascii="Times New Roman" w:hAnsi="Times New Roman" w:eastAsia="仿宋" w:cs="Times New Roman"/>
          <w:sz w:val="24"/>
          <w:szCs w:val="24"/>
        </w:rPr>
      </w:pPr>
    </w:p>
    <w:p w14:paraId="3626B2EA">
      <w:pPr>
        <w:rPr>
          <w:rFonts w:ascii="Times New Roman" w:hAnsi="Times New Roman" w:eastAsia="仿宋" w:cs="Times New Roman"/>
          <w:sz w:val="24"/>
          <w:szCs w:val="24"/>
        </w:rPr>
      </w:pPr>
      <w:r>
        <w:rPr>
          <w:rFonts w:ascii="Times New Roman" w:hAnsi="Times New Roman" w:eastAsia="仿宋" w:cs="Times New Roman"/>
          <w:sz w:val="24"/>
          <w:szCs w:val="24"/>
        </w:rPr>
        <w:t>（三）暂用评审因素三代替：</w:t>
      </w:r>
    </w:p>
    <w:p w14:paraId="05AA978C">
      <w:pPr>
        <w:rPr>
          <w:rFonts w:ascii="Times New Roman" w:hAnsi="Times New Roman" w:eastAsia="仿宋" w:cs="Times New Roman"/>
          <w:sz w:val="24"/>
          <w:szCs w:val="24"/>
        </w:rPr>
      </w:pPr>
      <w:r>
        <w:rPr>
          <w:rFonts w:ascii="Times New Roman" w:hAnsi="Times New Roman" w:eastAsia="仿宋" w:cs="Times New Roman"/>
          <w:sz w:val="24"/>
          <w:szCs w:val="24"/>
        </w:rPr>
        <w:t>(......)</w:t>
      </w:r>
    </w:p>
    <w:p w14:paraId="7C8495D8">
      <w:pPr>
        <w:spacing w:line="700" w:lineRule="exact"/>
        <w:jc w:val="center"/>
        <w:rPr>
          <w:rStyle w:val="33"/>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4" w:name="_Toc3871"/>
      <w:bookmarkStart w:id="85" w:name="_Toc32605"/>
      <w:bookmarkStart w:id="86" w:name="_Toc24494"/>
    </w:p>
    <w:p w14:paraId="05758452">
      <w:pPr>
        <w:pStyle w:val="3"/>
        <w:ind w:firstLine="0"/>
      </w:pPr>
      <w:bookmarkStart w:id="87" w:name="_Toc15065"/>
      <w:r>
        <w:t>报价单</w:t>
      </w:r>
      <w:bookmarkEnd w:id="87"/>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42BCF06C">
      <w:pPr>
        <w:pStyle w:val="7"/>
        <w:rPr>
          <w:rFonts w:ascii="宋体" w:hAnsi="宋体" w:eastAsia="宋体" w:cs="Times New Roman"/>
          <w:b/>
          <w:bCs/>
          <w:szCs w:val="21"/>
          <w:lang w:val="zh-TW"/>
        </w:rPr>
      </w:pPr>
      <w:r>
        <w:rPr>
          <w:rFonts w:ascii="宋体" w:hAnsi="宋体" w:eastAsia="宋体" w:cs="Times New Roman"/>
          <w:b/>
          <w:bCs/>
          <w:szCs w:val="21"/>
          <w:lang w:val="zh-TW"/>
        </w:rPr>
        <w:t>1</w:t>
      </w:r>
      <w:r>
        <w:rPr>
          <w:rFonts w:ascii="宋体" w:hAnsi="宋体" w:eastAsia="宋体" w:cs="Times New Roman"/>
          <w:b/>
          <w:bCs/>
          <w:szCs w:val="21"/>
          <w:lang w:val="zh-TW" w:eastAsia="zh-TW"/>
        </w:rPr>
        <w:t>.</w:t>
      </w:r>
      <w:r>
        <w:rPr>
          <w:rFonts w:hint="eastAsia" w:ascii="宋体" w:hAnsi="宋体" w:eastAsia="宋体" w:cs="Times New Roman"/>
          <w:b/>
          <w:bCs/>
          <w:szCs w:val="21"/>
          <w:lang w:val="zh-TW" w:eastAsia="zh-TW"/>
        </w:rPr>
        <w:t>如本次采购标的为货物</w:t>
      </w:r>
      <w:r>
        <w:rPr>
          <w:rFonts w:hint="eastAsia" w:ascii="宋体" w:hAnsi="宋体" w:eastAsia="宋体" w:cs="Times New Roman"/>
          <w:b/>
          <w:bCs/>
          <w:szCs w:val="21"/>
          <w:lang w:val="zh-TW"/>
        </w:rPr>
        <w:t>，</w:t>
      </w:r>
      <w:r>
        <w:rPr>
          <w:rFonts w:ascii="宋体" w:hAnsi="宋体" w:eastAsia="宋体" w:cs="Times New Roman"/>
          <w:b/>
          <w:bCs/>
          <w:szCs w:val="21"/>
          <w:lang w:val="zh-TW"/>
        </w:rPr>
        <w:t>下表中</w:t>
      </w:r>
      <w:r>
        <w:rPr>
          <w:rFonts w:hint="eastAsia" w:ascii="宋体" w:hAnsi="宋体" w:eastAsia="宋体" w:cs="Times New Roman"/>
          <w:b/>
          <w:bCs/>
          <w:szCs w:val="21"/>
          <w:lang w:val="zh-TW"/>
        </w:rPr>
        <w:t>响应的</w:t>
      </w:r>
      <w:r>
        <w:rPr>
          <w:rFonts w:ascii="宋体" w:hAnsi="宋体" w:eastAsia="宋体" w:cs="Times New Roman"/>
          <w:b/>
          <w:bCs/>
          <w:szCs w:val="21"/>
          <w:lang w:val="zh-TW"/>
        </w:rPr>
        <w:t>产品名称、生产厂家、规格型号等信息</w:t>
      </w:r>
      <w:r>
        <w:rPr>
          <w:rFonts w:hint="eastAsia" w:ascii="宋体" w:hAnsi="宋体" w:eastAsia="宋体" w:cs="Times New Roman"/>
          <w:b/>
          <w:bCs/>
          <w:szCs w:val="21"/>
          <w:lang w:val="zh-TW"/>
        </w:rPr>
        <w:t>应</w:t>
      </w:r>
      <w:r>
        <w:rPr>
          <w:rFonts w:ascii="宋体" w:hAnsi="宋体" w:eastAsia="宋体" w:cs="Times New Roman"/>
          <w:b/>
          <w:bCs/>
          <w:szCs w:val="21"/>
          <w:lang w:val="zh-TW"/>
        </w:rPr>
        <w:t>与产品医疗器械注册证或备案凭证对应信息保持一致</w:t>
      </w:r>
      <w:r>
        <w:rPr>
          <w:rFonts w:hint="eastAsia" w:ascii="宋体" w:hAnsi="宋体" w:eastAsia="宋体" w:cs="Times New Roman"/>
          <w:b/>
          <w:bCs/>
          <w:szCs w:val="21"/>
          <w:lang w:val="zh-TW"/>
        </w:rPr>
        <w:t>，不作为医疗器械管理的，应与货物的说明书等官方技术文档对应信息保持一致</w:t>
      </w:r>
      <w:r>
        <w:rPr>
          <w:rFonts w:ascii="宋体" w:hAnsi="宋体" w:eastAsia="宋体" w:cs="Times New Roman"/>
          <w:b/>
          <w:bCs/>
          <w:szCs w:val="21"/>
          <w:lang w:val="zh-TW"/>
        </w:rPr>
        <w:t>。</w:t>
      </w:r>
    </w:p>
    <w:p w14:paraId="65603733">
      <w:pPr>
        <w:pStyle w:val="7"/>
        <w:rPr>
          <w:rFonts w:ascii="宋体" w:hAnsi="宋体" w:eastAsia="宋体" w:cs="Times New Roman"/>
          <w:b/>
          <w:bCs/>
          <w:szCs w:val="21"/>
          <w:lang w:val="zh-TW"/>
        </w:rPr>
      </w:pPr>
      <w:r>
        <w:rPr>
          <w:rFonts w:hint="eastAsia" w:ascii="宋体" w:hAnsi="宋体" w:eastAsia="宋体" w:cs="Times New Roman"/>
          <w:b/>
          <w:bCs/>
          <w:szCs w:val="21"/>
          <w:lang w:val="zh-TW"/>
        </w:rPr>
        <w:t>2</w:t>
      </w:r>
      <w:r>
        <w:rPr>
          <w:rFonts w:ascii="宋体" w:hAnsi="宋体" w:eastAsia="宋体" w:cs="Times New Roman"/>
          <w:b/>
          <w:bCs/>
          <w:szCs w:val="21"/>
          <w:lang w:val="zh-TW" w:eastAsia="zh-TW"/>
        </w:rPr>
        <w:t>.所有报价均用人民币表示。运输、安装、调试、检验、培训、调换、税金和保险等费用以及采购文件规定的其他费用均应包含在报价中。</w:t>
      </w:r>
    </w:p>
    <w:p w14:paraId="373282CF">
      <w:pPr>
        <w:rPr>
          <w:rFonts w:hint="eastAsia" w:ascii="宋体" w:hAnsi="宋体" w:eastAsia="宋体" w:cs="宋体"/>
          <w:sz w:val="21"/>
          <w:szCs w:val="21"/>
          <w:lang w:val="zh-TW"/>
        </w:rPr>
      </w:pPr>
    </w:p>
    <w:p w14:paraId="27D10C87">
      <w:pPr>
        <w:pStyle w:val="7"/>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1.报价一览表</w:t>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15" w:type="dxa"/>
          <w:left w:w="15" w:type="dxa"/>
          <w:bottom w:w="15" w:type="dxa"/>
          <w:right w:w="15" w:type="dxa"/>
        </w:tblCellMar>
      </w:tblPr>
      <w:tblGrid>
        <w:gridCol w:w="927"/>
        <w:gridCol w:w="3674"/>
        <w:gridCol w:w="3041"/>
        <w:gridCol w:w="2235"/>
      </w:tblGrid>
      <w:tr w14:paraId="29D4BE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4E3B4A83">
            <w:pPr>
              <w:widowControl/>
              <w:jc w:val="center"/>
              <w:rPr>
                <w:rFonts w:hint="eastAsia" w:ascii="宋体" w:hAnsi="宋体" w:eastAsia="宋体" w:cs="宋体"/>
                <w:b/>
                <w:bCs/>
                <w:sz w:val="21"/>
                <w:szCs w:val="21"/>
                <w:lang w:val="zh-TW"/>
              </w:rPr>
            </w:pPr>
            <w:r>
              <w:rPr>
                <w:rFonts w:hint="eastAsia" w:ascii="宋体" w:hAnsi="宋体" w:eastAsia="宋体" w:cs="宋体"/>
                <w:b/>
                <w:bCs/>
                <w:sz w:val="21"/>
                <w:szCs w:val="21"/>
                <w:lang w:val="zh-TW"/>
              </w:rPr>
              <w:t>序号</w:t>
            </w:r>
          </w:p>
        </w:tc>
        <w:tc>
          <w:tcPr>
            <w:tcW w:w="3674" w:type="dxa"/>
            <w:shd w:val="clear" w:color="auto" w:fill="auto"/>
            <w:tcMar>
              <w:top w:w="60" w:type="dxa"/>
              <w:left w:w="120" w:type="dxa"/>
              <w:bottom w:w="30" w:type="dxa"/>
              <w:right w:w="120" w:type="dxa"/>
            </w:tcMar>
            <w:vAlign w:val="center"/>
          </w:tcPr>
          <w:p w14:paraId="1A500B3E">
            <w:pPr>
              <w:widowControl/>
              <w:jc w:val="center"/>
              <w:rPr>
                <w:rFonts w:hint="eastAsia" w:ascii="宋体" w:hAnsi="宋体" w:eastAsia="宋体" w:cs="宋体"/>
                <w:b/>
                <w:bCs/>
                <w:sz w:val="21"/>
                <w:szCs w:val="21"/>
                <w:lang w:val="zh-TW"/>
              </w:rPr>
            </w:pPr>
            <w:r>
              <w:rPr>
                <w:rFonts w:hint="eastAsia" w:ascii="宋体" w:hAnsi="宋体" w:eastAsia="宋体" w:cs="宋体"/>
                <w:b/>
                <w:bCs/>
                <w:sz w:val="21"/>
                <w:szCs w:val="21"/>
                <w:lang w:val="zh-TW"/>
              </w:rPr>
              <w:t>系统模块名称</w:t>
            </w:r>
          </w:p>
        </w:tc>
        <w:tc>
          <w:tcPr>
            <w:tcW w:w="3041" w:type="dxa"/>
            <w:shd w:val="clear" w:color="auto" w:fill="auto"/>
            <w:tcMar>
              <w:top w:w="60" w:type="dxa"/>
              <w:left w:w="120" w:type="dxa"/>
              <w:bottom w:w="30" w:type="dxa"/>
              <w:right w:w="120" w:type="dxa"/>
            </w:tcMar>
            <w:vAlign w:val="center"/>
          </w:tcPr>
          <w:p w14:paraId="13CC20D0">
            <w:pPr>
              <w:widowControl/>
              <w:jc w:val="center"/>
              <w:rPr>
                <w:rFonts w:hint="eastAsia" w:ascii="宋体" w:hAnsi="宋体" w:eastAsia="宋体" w:cs="宋体"/>
                <w:b/>
                <w:bCs/>
                <w:sz w:val="21"/>
                <w:szCs w:val="21"/>
                <w:lang w:val="zh-TW"/>
              </w:rPr>
            </w:pPr>
            <w:r>
              <w:rPr>
                <w:rFonts w:hint="eastAsia" w:ascii="宋体" w:hAnsi="宋体" w:eastAsia="宋体" w:cs="宋体"/>
                <w:b/>
                <w:bCs/>
                <w:sz w:val="21"/>
                <w:szCs w:val="21"/>
                <w:lang w:val="en-US" w:eastAsia="zh-CN"/>
              </w:rPr>
              <w:t>报价</w:t>
            </w:r>
            <w:r>
              <w:rPr>
                <w:rFonts w:hint="eastAsia" w:ascii="宋体" w:hAnsi="宋体" w:eastAsia="宋体" w:cs="宋体"/>
                <w:b/>
                <w:bCs/>
                <w:sz w:val="21"/>
                <w:szCs w:val="21"/>
                <w:lang w:val="zh-TW"/>
              </w:rPr>
              <w:t>（万元）</w:t>
            </w:r>
          </w:p>
        </w:tc>
        <w:tc>
          <w:tcPr>
            <w:tcW w:w="2235" w:type="dxa"/>
            <w:shd w:val="clear" w:color="auto" w:fill="auto"/>
            <w:tcMar>
              <w:top w:w="60" w:type="dxa"/>
              <w:left w:w="120" w:type="dxa"/>
              <w:bottom w:w="30" w:type="dxa"/>
              <w:right w:w="120" w:type="dxa"/>
            </w:tcMar>
            <w:vAlign w:val="center"/>
          </w:tcPr>
          <w:p w14:paraId="1A9450EF">
            <w:pPr>
              <w:widowControl/>
              <w:jc w:val="center"/>
              <w:rPr>
                <w:rFonts w:hint="eastAsia" w:ascii="宋体" w:hAnsi="宋体" w:eastAsia="宋体" w:cs="宋体"/>
                <w:b/>
                <w:bCs/>
                <w:sz w:val="21"/>
                <w:szCs w:val="21"/>
                <w:lang w:val="en-US" w:eastAsia="zh-CN"/>
              </w:rPr>
            </w:pPr>
            <w:r>
              <w:rPr>
                <w:rFonts w:hint="eastAsia" w:ascii="宋体" w:hAnsi="宋体" w:eastAsia="宋体" w:cs="宋体"/>
                <w:b/>
                <w:bCs/>
                <w:sz w:val="21"/>
                <w:szCs w:val="21"/>
                <w:lang w:val="en-US" w:eastAsia="zh-CN"/>
              </w:rPr>
              <w:t>服务期</w:t>
            </w:r>
          </w:p>
        </w:tc>
      </w:tr>
      <w:tr w14:paraId="6DF427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4CA706DD">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1</w:t>
            </w:r>
          </w:p>
        </w:tc>
        <w:tc>
          <w:tcPr>
            <w:tcW w:w="3674" w:type="dxa"/>
            <w:shd w:val="clear" w:color="auto" w:fill="auto"/>
            <w:tcMar>
              <w:top w:w="60" w:type="dxa"/>
              <w:left w:w="120" w:type="dxa"/>
              <w:bottom w:w="30" w:type="dxa"/>
              <w:right w:w="120" w:type="dxa"/>
            </w:tcMar>
            <w:vAlign w:val="center"/>
          </w:tcPr>
          <w:p w14:paraId="60F6963B">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口腔科跟台定制化管理</w:t>
            </w:r>
          </w:p>
        </w:tc>
        <w:tc>
          <w:tcPr>
            <w:tcW w:w="3041" w:type="dxa"/>
            <w:shd w:val="clear" w:color="auto" w:fill="auto"/>
            <w:tcMar>
              <w:top w:w="60" w:type="dxa"/>
              <w:left w:w="120" w:type="dxa"/>
              <w:bottom w:w="30" w:type="dxa"/>
              <w:right w:w="120" w:type="dxa"/>
            </w:tcMar>
            <w:vAlign w:val="center"/>
          </w:tcPr>
          <w:p w14:paraId="56D3CA14">
            <w:pPr>
              <w:widowControl/>
              <w:jc w:val="center"/>
              <w:rPr>
                <w:rFonts w:hint="eastAsia" w:ascii="宋体" w:hAnsi="宋体" w:eastAsia="宋体" w:cs="宋体"/>
                <w:sz w:val="21"/>
                <w:szCs w:val="21"/>
                <w:lang w:val="zh-TW"/>
              </w:rPr>
            </w:pPr>
          </w:p>
        </w:tc>
        <w:tc>
          <w:tcPr>
            <w:tcW w:w="2235" w:type="dxa"/>
            <w:vMerge w:val="restart"/>
            <w:shd w:val="clear" w:color="auto" w:fill="auto"/>
            <w:tcMar>
              <w:top w:w="60" w:type="dxa"/>
              <w:left w:w="120" w:type="dxa"/>
              <w:bottom w:w="30" w:type="dxa"/>
              <w:right w:w="120" w:type="dxa"/>
            </w:tcMar>
            <w:vAlign w:val="center"/>
          </w:tcPr>
          <w:p w14:paraId="633B2B5F">
            <w:pPr>
              <w:keepNext w:val="0"/>
              <w:keepLines w:val="0"/>
              <w:pageBreakBefore w:val="0"/>
              <w:widowControl/>
              <w:kinsoku/>
              <w:wordWrap/>
              <w:overflowPunct/>
              <w:topLinePunct w:val="0"/>
              <w:autoSpaceDE/>
              <w:autoSpaceDN/>
              <w:bidi w:val="0"/>
              <w:adjustRightInd/>
              <w:snapToGrid/>
              <w:ind w:left="0" w:firstLine="0" w:firstLineChars="0"/>
              <w:jc w:val="both"/>
              <w:textAlignment w:val="auto"/>
              <w:rPr>
                <w:rFonts w:hint="eastAsia" w:ascii="宋体" w:hAnsi="宋体" w:eastAsia="宋体" w:cs="宋体"/>
                <w:sz w:val="21"/>
                <w:szCs w:val="21"/>
                <w:lang w:val="zh-TW"/>
              </w:rPr>
            </w:pPr>
            <w:r>
              <w:rPr>
                <w:rFonts w:hint="eastAsia" w:ascii="宋体" w:hAnsi="宋体" w:eastAsia="宋体" w:cs="宋体"/>
                <w:sz w:val="21"/>
                <w:szCs w:val="21"/>
                <w:lang w:val="en-US" w:eastAsia="zh-CN"/>
              </w:rPr>
              <w:t>自</w:t>
            </w:r>
            <w:r>
              <w:rPr>
                <w:rFonts w:hint="eastAsia" w:ascii="宋体" w:hAnsi="宋体" w:eastAsia="宋体" w:cs="宋体"/>
                <w:sz w:val="21"/>
                <w:szCs w:val="21"/>
                <w:lang w:val="zh-TW"/>
              </w:rPr>
              <w:t>验收合格之日起，提供</w:t>
            </w:r>
            <w:r>
              <w:rPr>
                <w:rFonts w:hint="eastAsia" w:ascii="宋体" w:hAnsi="宋体" w:eastAsia="宋体" w:cs="宋体"/>
                <w:sz w:val="21"/>
                <w:szCs w:val="21"/>
                <w:u w:val="single"/>
                <w:lang w:val="en-US" w:eastAsia="zh-CN"/>
              </w:rPr>
              <w:t xml:space="preserve">    </w:t>
            </w:r>
            <w:r>
              <w:rPr>
                <w:rFonts w:hint="eastAsia" w:ascii="宋体" w:hAnsi="宋体" w:eastAsia="宋体" w:cs="宋体"/>
                <w:sz w:val="21"/>
                <w:szCs w:val="21"/>
                <w:lang w:val="zh-TW"/>
              </w:rPr>
              <w:t>年的服务</w:t>
            </w:r>
          </w:p>
        </w:tc>
      </w:tr>
      <w:tr w14:paraId="5572B2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374BAC38">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2</w:t>
            </w:r>
          </w:p>
        </w:tc>
        <w:tc>
          <w:tcPr>
            <w:tcW w:w="3674" w:type="dxa"/>
            <w:shd w:val="clear" w:color="auto" w:fill="auto"/>
            <w:tcMar>
              <w:top w:w="60" w:type="dxa"/>
              <w:left w:w="120" w:type="dxa"/>
              <w:bottom w:w="30" w:type="dxa"/>
              <w:right w:w="120" w:type="dxa"/>
            </w:tcMar>
            <w:vAlign w:val="center"/>
          </w:tcPr>
          <w:p w14:paraId="3F4B4D02">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移动护理扫描计费模块</w:t>
            </w:r>
          </w:p>
        </w:tc>
        <w:tc>
          <w:tcPr>
            <w:tcW w:w="3041" w:type="dxa"/>
            <w:shd w:val="clear" w:color="auto" w:fill="auto"/>
            <w:tcMar>
              <w:top w:w="60" w:type="dxa"/>
              <w:left w:w="120" w:type="dxa"/>
              <w:bottom w:w="30" w:type="dxa"/>
              <w:right w:w="120" w:type="dxa"/>
            </w:tcMar>
            <w:vAlign w:val="center"/>
          </w:tcPr>
          <w:p w14:paraId="0CCB7832">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5E8B82B4">
            <w:pPr>
              <w:widowControl/>
              <w:jc w:val="left"/>
              <w:rPr>
                <w:rFonts w:hint="eastAsia" w:ascii="宋体" w:hAnsi="宋体" w:eastAsia="宋体" w:cs="宋体"/>
                <w:sz w:val="21"/>
                <w:szCs w:val="21"/>
                <w:lang w:val="zh-TW"/>
              </w:rPr>
            </w:pPr>
          </w:p>
        </w:tc>
      </w:tr>
      <w:tr w14:paraId="1FAD2D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01734483">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3</w:t>
            </w:r>
          </w:p>
        </w:tc>
        <w:tc>
          <w:tcPr>
            <w:tcW w:w="3674" w:type="dxa"/>
            <w:shd w:val="clear" w:color="auto" w:fill="auto"/>
            <w:tcMar>
              <w:top w:w="60" w:type="dxa"/>
              <w:left w:w="120" w:type="dxa"/>
              <w:bottom w:w="30" w:type="dxa"/>
              <w:right w:w="120" w:type="dxa"/>
            </w:tcMar>
            <w:vAlign w:val="center"/>
          </w:tcPr>
          <w:p w14:paraId="55A0EDBA">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总务耗材合同管理</w:t>
            </w:r>
          </w:p>
        </w:tc>
        <w:tc>
          <w:tcPr>
            <w:tcW w:w="3041" w:type="dxa"/>
            <w:shd w:val="clear" w:color="auto" w:fill="auto"/>
            <w:tcMar>
              <w:top w:w="60" w:type="dxa"/>
              <w:left w:w="120" w:type="dxa"/>
              <w:bottom w:w="30" w:type="dxa"/>
              <w:right w:w="120" w:type="dxa"/>
            </w:tcMar>
            <w:vAlign w:val="center"/>
          </w:tcPr>
          <w:p w14:paraId="2734660F">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53E103F0">
            <w:pPr>
              <w:widowControl/>
              <w:jc w:val="left"/>
              <w:rPr>
                <w:rFonts w:hint="eastAsia" w:ascii="宋体" w:hAnsi="宋体" w:eastAsia="宋体" w:cs="宋体"/>
                <w:sz w:val="21"/>
                <w:szCs w:val="21"/>
                <w:lang w:val="zh-TW"/>
              </w:rPr>
            </w:pPr>
          </w:p>
        </w:tc>
      </w:tr>
      <w:tr w14:paraId="0F5EB1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37829CBD">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4</w:t>
            </w:r>
          </w:p>
        </w:tc>
        <w:tc>
          <w:tcPr>
            <w:tcW w:w="3674" w:type="dxa"/>
            <w:shd w:val="clear" w:color="auto" w:fill="auto"/>
            <w:tcMar>
              <w:top w:w="60" w:type="dxa"/>
              <w:left w:w="120" w:type="dxa"/>
              <w:bottom w:w="30" w:type="dxa"/>
              <w:right w:w="120" w:type="dxa"/>
            </w:tcMar>
            <w:vAlign w:val="center"/>
          </w:tcPr>
          <w:p w14:paraId="6FE85563">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手术申请绑定手术套包功能</w:t>
            </w:r>
          </w:p>
        </w:tc>
        <w:tc>
          <w:tcPr>
            <w:tcW w:w="3041" w:type="dxa"/>
            <w:shd w:val="clear" w:color="auto" w:fill="auto"/>
            <w:tcMar>
              <w:top w:w="60" w:type="dxa"/>
              <w:left w:w="120" w:type="dxa"/>
              <w:bottom w:w="30" w:type="dxa"/>
              <w:right w:w="120" w:type="dxa"/>
            </w:tcMar>
            <w:vAlign w:val="center"/>
          </w:tcPr>
          <w:p w14:paraId="34AEBAB4">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392520DA">
            <w:pPr>
              <w:widowControl/>
              <w:jc w:val="left"/>
              <w:rPr>
                <w:rFonts w:hint="eastAsia" w:ascii="宋体" w:hAnsi="宋体" w:eastAsia="宋体" w:cs="宋体"/>
                <w:sz w:val="21"/>
                <w:szCs w:val="21"/>
                <w:lang w:val="zh-TW"/>
              </w:rPr>
            </w:pPr>
          </w:p>
        </w:tc>
      </w:tr>
      <w:tr w14:paraId="159E8A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169931E1">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5</w:t>
            </w:r>
          </w:p>
        </w:tc>
        <w:tc>
          <w:tcPr>
            <w:tcW w:w="3674" w:type="dxa"/>
            <w:shd w:val="clear" w:color="auto" w:fill="auto"/>
            <w:tcMar>
              <w:top w:w="60" w:type="dxa"/>
              <w:left w:w="120" w:type="dxa"/>
              <w:bottom w:w="30" w:type="dxa"/>
              <w:right w:w="120" w:type="dxa"/>
            </w:tcMar>
            <w:vAlign w:val="center"/>
          </w:tcPr>
          <w:p w14:paraId="51BB5F7B">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常规耗材备货模式精细化改造</w:t>
            </w:r>
          </w:p>
        </w:tc>
        <w:tc>
          <w:tcPr>
            <w:tcW w:w="3041" w:type="dxa"/>
            <w:shd w:val="clear" w:color="auto" w:fill="auto"/>
            <w:tcMar>
              <w:top w:w="60" w:type="dxa"/>
              <w:left w:w="120" w:type="dxa"/>
              <w:bottom w:w="30" w:type="dxa"/>
              <w:right w:w="120" w:type="dxa"/>
            </w:tcMar>
            <w:vAlign w:val="center"/>
          </w:tcPr>
          <w:p w14:paraId="76E2E53B">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59ACA08E">
            <w:pPr>
              <w:widowControl/>
              <w:jc w:val="left"/>
              <w:rPr>
                <w:rFonts w:hint="eastAsia" w:ascii="宋体" w:hAnsi="宋体" w:eastAsia="宋体" w:cs="宋体"/>
                <w:sz w:val="21"/>
                <w:szCs w:val="21"/>
                <w:lang w:val="zh-TW"/>
              </w:rPr>
            </w:pPr>
          </w:p>
        </w:tc>
      </w:tr>
      <w:tr w14:paraId="17AD6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5A9B3C58">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6</w:t>
            </w:r>
          </w:p>
        </w:tc>
        <w:tc>
          <w:tcPr>
            <w:tcW w:w="3674" w:type="dxa"/>
            <w:shd w:val="clear" w:color="auto" w:fill="auto"/>
            <w:tcMar>
              <w:top w:w="60" w:type="dxa"/>
              <w:left w:w="120" w:type="dxa"/>
              <w:bottom w:w="30" w:type="dxa"/>
              <w:right w:w="120" w:type="dxa"/>
            </w:tcMar>
            <w:vAlign w:val="center"/>
          </w:tcPr>
          <w:p w14:paraId="14E3DC76">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门诊开单判断库存管理</w:t>
            </w:r>
          </w:p>
        </w:tc>
        <w:tc>
          <w:tcPr>
            <w:tcW w:w="3041" w:type="dxa"/>
            <w:shd w:val="clear" w:color="auto" w:fill="auto"/>
            <w:tcMar>
              <w:top w:w="60" w:type="dxa"/>
              <w:left w:w="120" w:type="dxa"/>
              <w:bottom w:w="30" w:type="dxa"/>
              <w:right w:w="120" w:type="dxa"/>
            </w:tcMar>
            <w:vAlign w:val="center"/>
          </w:tcPr>
          <w:p w14:paraId="5F07780F">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014CC363">
            <w:pPr>
              <w:widowControl/>
              <w:jc w:val="left"/>
              <w:rPr>
                <w:rFonts w:hint="eastAsia" w:ascii="宋体" w:hAnsi="宋体" w:eastAsia="宋体" w:cs="宋体"/>
                <w:sz w:val="21"/>
                <w:szCs w:val="21"/>
                <w:lang w:val="zh-TW"/>
              </w:rPr>
            </w:pPr>
          </w:p>
        </w:tc>
      </w:tr>
      <w:tr w14:paraId="0BCD2D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458078B6">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7</w:t>
            </w:r>
          </w:p>
        </w:tc>
        <w:tc>
          <w:tcPr>
            <w:tcW w:w="3674" w:type="dxa"/>
            <w:shd w:val="clear" w:color="auto" w:fill="auto"/>
            <w:tcMar>
              <w:top w:w="60" w:type="dxa"/>
              <w:left w:w="120" w:type="dxa"/>
              <w:bottom w:w="30" w:type="dxa"/>
              <w:right w:w="120" w:type="dxa"/>
            </w:tcMar>
            <w:vAlign w:val="center"/>
          </w:tcPr>
          <w:p w14:paraId="441408B3">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口腔科医生库房建设</w:t>
            </w:r>
          </w:p>
        </w:tc>
        <w:tc>
          <w:tcPr>
            <w:tcW w:w="3041" w:type="dxa"/>
            <w:shd w:val="clear" w:color="auto" w:fill="auto"/>
            <w:tcMar>
              <w:top w:w="60" w:type="dxa"/>
              <w:left w:w="120" w:type="dxa"/>
              <w:bottom w:w="30" w:type="dxa"/>
              <w:right w:w="120" w:type="dxa"/>
            </w:tcMar>
            <w:vAlign w:val="center"/>
          </w:tcPr>
          <w:p w14:paraId="6716E315">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0C5B2CA5">
            <w:pPr>
              <w:widowControl/>
              <w:jc w:val="left"/>
              <w:rPr>
                <w:rFonts w:hint="eastAsia" w:ascii="宋体" w:hAnsi="宋体" w:eastAsia="宋体" w:cs="宋体"/>
                <w:sz w:val="21"/>
                <w:szCs w:val="21"/>
                <w:lang w:val="zh-TW"/>
              </w:rPr>
            </w:pPr>
          </w:p>
        </w:tc>
      </w:tr>
      <w:tr w14:paraId="06416BA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54881EFA">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8</w:t>
            </w:r>
          </w:p>
        </w:tc>
        <w:tc>
          <w:tcPr>
            <w:tcW w:w="3674" w:type="dxa"/>
            <w:shd w:val="clear" w:color="auto" w:fill="auto"/>
            <w:tcMar>
              <w:top w:w="60" w:type="dxa"/>
              <w:left w:w="120" w:type="dxa"/>
              <w:bottom w:w="30" w:type="dxa"/>
              <w:right w:w="120" w:type="dxa"/>
            </w:tcMar>
            <w:vAlign w:val="center"/>
          </w:tcPr>
          <w:p w14:paraId="19A90A95">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非易耗品物资管理系统建设</w:t>
            </w:r>
          </w:p>
        </w:tc>
        <w:tc>
          <w:tcPr>
            <w:tcW w:w="3041" w:type="dxa"/>
            <w:shd w:val="clear" w:color="auto" w:fill="auto"/>
            <w:tcMar>
              <w:top w:w="60" w:type="dxa"/>
              <w:left w:w="120" w:type="dxa"/>
              <w:bottom w:w="30" w:type="dxa"/>
              <w:right w:w="120" w:type="dxa"/>
            </w:tcMar>
            <w:vAlign w:val="center"/>
          </w:tcPr>
          <w:p w14:paraId="559CDFD4">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7410395A">
            <w:pPr>
              <w:widowControl/>
              <w:jc w:val="left"/>
              <w:rPr>
                <w:rFonts w:hint="eastAsia" w:ascii="宋体" w:hAnsi="宋体" w:eastAsia="宋体" w:cs="宋体"/>
                <w:sz w:val="21"/>
                <w:szCs w:val="21"/>
                <w:lang w:val="zh-TW"/>
              </w:rPr>
            </w:pPr>
          </w:p>
        </w:tc>
      </w:tr>
      <w:tr w14:paraId="5A5AFB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63032A7B">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9</w:t>
            </w:r>
          </w:p>
        </w:tc>
        <w:tc>
          <w:tcPr>
            <w:tcW w:w="3674" w:type="dxa"/>
            <w:shd w:val="clear" w:color="auto" w:fill="auto"/>
            <w:tcMar>
              <w:top w:w="60" w:type="dxa"/>
              <w:left w:w="120" w:type="dxa"/>
              <w:bottom w:w="30" w:type="dxa"/>
              <w:right w:w="120" w:type="dxa"/>
            </w:tcMar>
            <w:vAlign w:val="center"/>
          </w:tcPr>
          <w:p w14:paraId="02B58EB7">
            <w:pPr>
              <w:widowControl/>
              <w:jc w:val="center"/>
              <w:rPr>
                <w:rFonts w:hint="eastAsia" w:ascii="宋体" w:hAnsi="宋体" w:eastAsia="宋体" w:cs="宋体"/>
                <w:sz w:val="21"/>
                <w:szCs w:val="21"/>
                <w:lang w:val="zh-TW"/>
              </w:rPr>
            </w:pPr>
            <w:r>
              <w:rPr>
                <w:rFonts w:hint="eastAsia" w:ascii="宋体" w:hAnsi="宋体" w:eastAsia="宋体" w:cs="宋体"/>
                <w:sz w:val="21"/>
                <w:szCs w:val="21"/>
                <w:lang w:val="zh-TW"/>
              </w:rPr>
              <w:t>耗材管理系统接口开发改造</w:t>
            </w:r>
          </w:p>
        </w:tc>
        <w:tc>
          <w:tcPr>
            <w:tcW w:w="3041" w:type="dxa"/>
            <w:shd w:val="clear" w:color="auto" w:fill="auto"/>
            <w:tcMar>
              <w:top w:w="60" w:type="dxa"/>
              <w:left w:w="120" w:type="dxa"/>
              <w:bottom w:w="30" w:type="dxa"/>
              <w:right w:w="120" w:type="dxa"/>
            </w:tcMar>
            <w:vAlign w:val="center"/>
          </w:tcPr>
          <w:p w14:paraId="52942259">
            <w:pPr>
              <w:widowControl/>
              <w:jc w:val="center"/>
              <w:rPr>
                <w:rFonts w:hint="eastAsia" w:ascii="宋体" w:hAnsi="宋体" w:eastAsia="宋体" w:cs="宋体"/>
                <w:sz w:val="21"/>
                <w:szCs w:val="21"/>
                <w:lang w:val="zh-TW"/>
              </w:rPr>
            </w:pPr>
          </w:p>
        </w:tc>
        <w:tc>
          <w:tcPr>
            <w:tcW w:w="2235" w:type="dxa"/>
            <w:vMerge w:val="continue"/>
            <w:shd w:val="clear" w:color="auto" w:fill="auto"/>
            <w:tcMar>
              <w:top w:w="60" w:type="dxa"/>
              <w:left w:w="120" w:type="dxa"/>
              <w:bottom w:w="30" w:type="dxa"/>
              <w:right w:w="120" w:type="dxa"/>
            </w:tcMar>
            <w:vAlign w:val="center"/>
          </w:tcPr>
          <w:p w14:paraId="0C98FE8F">
            <w:pPr>
              <w:widowControl/>
              <w:jc w:val="left"/>
              <w:rPr>
                <w:rFonts w:hint="eastAsia" w:ascii="宋体" w:hAnsi="宋体" w:eastAsia="宋体" w:cs="宋体"/>
                <w:sz w:val="21"/>
                <w:szCs w:val="21"/>
                <w:lang w:val="zh-TW"/>
              </w:rPr>
            </w:pPr>
          </w:p>
        </w:tc>
      </w:tr>
      <w:tr w14:paraId="6B050F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15" w:type="dxa"/>
            <w:left w:w="15" w:type="dxa"/>
            <w:bottom w:w="15" w:type="dxa"/>
            <w:right w:w="15" w:type="dxa"/>
          </w:tblCellMar>
        </w:tblPrEx>
        <w:trPr>
          <w:trHeight w:val="454" w:hRule="atLeast"/>
          <w:jc w:val="center"/>
        </w:trPr>
        <w:tc>
          <w:tcPr>
            <w:tcW w:w="927" w:type="dxa"/>
            <w:shd w:val="clear" w:color="auto" w:fill="auto"/>
            <w:tcMar>
              <w:top w:w="60" w:type="dxa"/>
              <w:left w:w="120" w:type="dxa"/>
              <w:bottom w:w="30" w:type="dxa"/>
              <w:right w:w="120" w:type="dxa"/>
            </w:tcMar>
            <w:vAlign w:val="center"/>
          </w:tcPr>
          <w:p w14:paraId="3539E914">
            <w:pPr>
              <w:widowControl/>
              <w:jc w:val="center"/>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合计</w:t>
            </w:r>
          </w:p>
        </w:tc>
        <w:tc>
          <w:tcPr>
            <w:tcW w:w="8950" w:type="dxa"/>
            <w:gridSpan w:val="3"/>
            <w:shd w:val="clear" w:color="auto" w:fill="auto"/>
            <w:tcMar>
              <w:top w:w="60" w:type="dxa"/>
              <w:left w:w="120" w:type="dxa"/>
              <w:bottom w:w="30" w:type="dxa"/>
              <w:right w:w="120" w:type="dxa"/>
            </w:tcMar>
            <w:vAlign w:val="center"/>
          </w:tcPr>
          <w:p w14:paraId="5E677D6C">
            <w:pPr>
              <w:widowControl/>
              <w:ind w:firstLine="1470" w:firstLineChars="700"/>
              <w:jc w:val="left"/>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大写：                 小写：</w:t>
            </w:r>
          </w:p>
        </w:tc>
      </w:tr>
    </w:tbl>
    <w:p w14:paraId="5C6D0490">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hint="eastAsia" w:ascii="Times New Roman" w:hAnsi="Times New Roman" w:eastAsia="仿宋" w:cs="Times New Roman"/>
          <w:sz w:val="24"/>
          <w:szCs w:val="24"/>
          <w:u w:val="single"/>
          <w:lang w:val="en-US" w:eastAsia="zh-CN"/>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r>
        <w:rPr>
          <w:rFonts w:hint="eastAsia" w:ascii="Times New Roman" w:hAnsi="Times New Roman" w:eastAsia="仿宋" w:cs="Times New Roman"/>
          <w:sz w:val="24"/>
          <w:szCs w:val="24"/>
          <w:u w:val="single"/>
          <w:lang w:val="en-US" w:eastAsia="zh-CN"/>
        </w:rPr>
        <w:t xml:space="preserve"> </w:t>
      </w:r>
      <w:r>
        <w:rPr>
          <w:rFonts w:ascii="Times New Roman" w:hAnsi="Times New Roman" w:eastAsia="仿宋" w:cs="Times New Roman"/>
          <w:sz w:val="24"/>
          <w:szCs w:val="24"/>
          <w:u w:val="single"/>
        </w:rPr>
        <w:t xml:space="preserve"> </w:t>
      </w:r>
      <w:bookmarkStart w:id="88" w:name="_Toc14685"/>
      <w:bookmarkStart w:id="89" w:name="_Toc30002"/>
      <w:bookmarkStart w:id="90" w:name="_Toc29032"/>
      <w:r>
        <w:rPr>
          <w:rFonts w:hint="eastAsia" w:ascii="Times New Roman" w:hAnsi="Times New Roman" w:eastAsia="仿宋" w:cs="Times New Roman"/>
          <w:sz w:val="24"/>
          <w:szCs w:val="24"/>
          <w:u w:val="none"/>
          <w:lang w:val="en-US" w:eastAsia="zh-CN"/>
        </w:rPr>
        <w:t>日</w:t>
      </w:r>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4"/>
      <w:bookmarkEnd w:id="85"/>
      <w:bookmarkEnd w:id="86"/>
      <w:bookmarkEnd w:id="88"/>
      <w:bookmarkEnd w:id="89"/>
      <w:bookmarkEnd w:id="90"/>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1" w:name="_Toc20691"/>
      <w:bookmarkStart w:id="92"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3" w:name="_Toc192583771"/>
      <w:r>
        <w:rPr>
          <w:rFonts w:ascii="Times New Roman" w:hAnsi="Times New Roman" w:cs="Times New Roman"/>
        </w:rPr>
        <w:t>合同条款（仅成交后使用）</w:t>
      </w:r>
      <w:bookmarkEnd w:id="91"/>
      <w:bookmarkEnd w:id="92"/>
      <w:bookmarkEnd w:id="93"/>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5664B402">
      <w:pPr>
        <w:widowControl w:val="0"/>
        <w:spacing w:line="360" w:lineRule="auto"/>
        <w:jc w:val="center"/>
        <w:rPr>
          <w:rFonts w:ascii="Times New Roman" w:hAnsi="Times New Roman" w:eastAsia="宋体" w:cs="Times New Roman"/>
          <w:b/>
          <w:kern w:val="2"/>
          <w:sz w:val="52"/>
          <w:szCs w:val="20"/>
          <w:lang w:val="en-US" w:eastAsia="zh-CN" w:bidi="ar-SA"/>
        </w:rPr>
      </w:pPr>
    </w:p>
    <w:p w14:paraId="1617E26B">
      <w:pPr>
        <w:widowControl w:val="0"/>
        <w:spacing w:line="360" w:lineRule="auto"/>
        <w:jc w:val="center"/>
        <w:rPr>
          <w:rFonts w:ascii="宋体" w:hAnsi="宋体" w:eastAsia="宋体" w:cs="宋体"/>
          <w:b/>
          <w:kern w:val="0"/>
          <w:sz w:val="44"/>
          <w:szCs w:val="44"/>
          <w:lang w:val="en-US" w:eastAsia="zh-CN" w:bidi="ar"/>
        </w:rPr>
      </w:pPr>
      <w:r>
        <w:rPr>
          <w:rFonts w:hint="eastAsia" w:ascii="宋体" w:hAnsi="宋体" w:eastAsia="宋体" w:cs="宋体"/>
          <w:b/>
          <w:kern w:val="0"/>
          <w:sz w:val="44"/>
          <w:szCs w:val="44"/>
          <w:lang w:val="en-US" w:eastAsia="zh-CN" w:bidi="ar"/>
        </w:rPr>
        <w:t>********采购协议</w:t>
      </w:r>
    </w:p>
    <w:p w14:paraId="1B936707">
      <w:pPr>
        <w:spacing w:line="360" w:lineRule="auto"/>
        <w:jc w:val="center"/>
        <w:rPr>
          <w:rFonts w:ascii="Times New Roman" w:hAnsi="Times New Roman" w:eastAsia="宋体" w:cs="Times New Roman"/>
          <w:b/>
          <w:sz w:val="36"/>
          <w:szCs w:val="20"/>
        </w:rPr>
      </w:pPr>
    </w:p>
    <w:p w14:paraId="3208C395">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合同编号：CGZX-</w:t>
      </w:r>
    </w:p>
    <w:p w14:paraId="62B18345">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签订地点：四川省成都市</w:t>
      </w:r>
    </w:p>
    <w:p w14:paraId="477A6E82">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签订时间：202</w:t>
      </w:r>
      <w:r>
        <w:rPr>
          <w:rFonts w:hint="eastAsia" w:ascii="宋体" w:hAnsi="宋体" w:eastAsia="宋体" w:cs="宋体"/>
          <w:color w:val="000000"/>
          <w:kern w:val="0"/>
          <w:sz w:val="24"/>
          <w:szCs w:val="24"/>
          <w:lang w:val="en-US" w:eastAsia="zh-CN"/>
        </w:rPr>
        <w:t>6</w:t>
      </w:r>
      <w:r>
        <w:rPr>
          <w:rFonts w:hint="eastAsia" w:ascii="宋体" w:hAnsi="宋体" w:eastAsia="宋体" w:cs="宋体"/>
          <w:color w:val="000000"/>
          <w:kern w:val="0"/>
          <w:sz w:val="24"/>
          <w:szCs w:val="24"/>
        </w:rPr>
        <w:t xml:space="preserve"> 年   月   日</w:t>
      </w:r>
    </w:p>
    <w:p w14:paraId="52AB4DE5">
      <w:pPr>
        <w:spacing w:line="480" w:lineRule="exact"/>
        <w:rPr>
          <w:rFonts w:ascii="宋体" w:hAnsi="宋体" w:eastAsia="宋体" w:cs="宋体"/>
          <w:color w:val="000000"/>
          <w:kern w:val="0"/>
          <w:sz w:val="24"/>
          <w:szCs w:val="24"/>
        </w:rPr>
      </w:pPr>
    </w:p>
    <w:p w14:paraId="02071800">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采购人（以下简称甲方）：四川省人民医院</w:t>
      </w:r>
    </w:p>
    <w:p w14:paraId="2D64C2AB">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地址：四川省成都市一环路西二段 32 号</w:t>
      </w:r>
    </w:p>
    <w:p w14:paraId="35FC6BA9">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电话：</w:t>
      </w:r>
    </w:p>
    <w:p w14:paraId="105BA025">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w:t>
      </w:r>
    </w:p>
    <w:p w14:paraId="595512A7">
      <w:pPr>
        <w:spacing w:line="480" w:lineRule="exact"/>
        <w:rPr>
          <w:rFonts w:ascii="宋体" w:hAnsi="宋体" w:eastAsia="宋体" w:cs="宋体"/>
          <w:color w:val="000000"/>
          <w:kern w:val="0"/>
          <w:sz w:val="24"/>
          <w:szCs w:val="24"/>
        </w:rPr>
      </w:pPr>
    </w:p>
    <w:p w14:paraId="20C6CB0F">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乙方：中国农业银行股份有限公司成都光华支行</w:t>
      </w:r>
    </w:p>
    <w:p w14:paraId="071AA68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地址：四川省成都市小南街3号</w:t>
      </w:r>
    </w:p>
    <w:p w14:paraId="01777A7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电话：028-63930892</w:t>
      </w:r>
    </w:p>
    <w:p w14:paraId="688F6371">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联系人：黄觅</w:t>
      </w:r>
    </w:p>
    <w:p w14:paraId="184370DB">
      <w:pPr>
        <w:spacing w:line="480" w:lineRule="exact"/>
        <w:rPr>
          <w:rFonts w:ascii="宋体" w:hAnsi="宋体" w:eastAsia="宋体" w:cs="宋体"/>
          <w:color w:val="000000"/>
          <w:kern w:val="0"/>
          <w:sz w:val="24"/>
          <w:szCs w:val="24"/>
        </w:rPr>
      </w:pPr>
    </w:p>
    <w:p w14:paraId="38C540B7">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丙方：********公司</w:t>
      </w:r>
    </w:p>
    <w:p w14:paraId="42F0B601">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地址：******</w:t>
      </w:r>
    </w:p>
    <w:p w14:paraId="54215AE4">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移动电话：*****</w:t>
      </w:r>
    </w:p>
    <w:p w14:paraId="72837D06">
      <w:pPr>
        <w:spacing w:line="480" w:lineRule="exact"/>
        <w:rPr>
          <w:rFonts w:ascii="宋体" w:hAnsi="宋体" w:eastAsia="宋体" w:cs="宋体"/>
          <w:color w:val="000000"/>
          <w:kern w:val="0"/>
          <w:sz w:val="24"/>
          <w:szCs w:val="24"/>
        </w:rPr>
      </w:pPr>
      <w:r>
        <w:rPr>
          <w:rFonts w:hint="eastAsia" w:ascii="宋体" w:hAnsi="宋体" w:eastAsia="宋体" w:cs="宋体"/>
          <w:color w:val="000000"/>
          <w:kern w:val="0"/>
          <w:sz w:val="24"/>
          <w:szCs w:val="24"/>
        </w:rPr>
        <w:t>联系人：******</w:t>
      </w:r>
    </w:p>
    <w:p w14:paraId="4164D078">
      <w:pPr>
        <w:spacing w:line="360" w:lineRule="auto"/>
        <w:rPr>
          <w:rFonts w:ascii="Times New Roman" w:hAnsi="Times New Roman" w:eastAsia="宋体" w:cs="Times New Roman"/>
          <w:sz w:val="24"/>
          <w:szCs w:val="20"/>
        </w:rPr>
      </w:pPr>
    </w:p>
    <w:p w14:paraId="76C4E629">
      <w:pPr>
        <w:widowControl/>
        <w:ind w:firstLine="480" w:firstLineChars="200"/>
        <w:jc w:val="left"/>
        <w:rPr>
          <w:rFonts w:ascii="Times New Roman" w:hAnsi="Times New Roman" w:eastAsia="宋体" w:cs="Times New Roman"/>
          <w:sz w:val="24"/>
          <w:szCs w:val="24"/>
        </w:rPr>
      </w:pPr>
      <w:r>
        <w:rPr>
          <w:rFonts w:hint="eastAsia" w:ascii="宋体" w:hAnsi="宋体" w:eastAsia="宋体" w:cs="宋体"/>
          <w:color w:val="000000"/>
          <w:kern w:val="0"/>
          <w:sz w:val="24"/>
          <w:szCs w:val="24"/>
        </w:rPr>
        <w:t xml:space="preserve">甲乙丙三方确认就“**********”采购项目（项目编号： </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）甲方向丙方购买本合同中写明的货物</w:t>
      </w:r>
      <w:r>
        <w:rPr>
          <w:rFonts w:ascii="宋体" w:hAnsi="宋体" w:eastAsia="宋体" w:cs="宋体"/>
          <w:color w:val="000000"/>
          <w:kern w:val="0"/>
          <w:sz w:val="24"/>
          <w:szCs w:val="24"/>
        </w:rPr>
        <w:t xml:space="preserve">/ </w:t>
      </w:r>
      <w:r>
        <w:rPr>
          <w:rFonts w:hint="eastAsia" w:ascii="宋体" w:hAnsi="宋体" w:eastAsia="宋体" w:cs="宋体"/>
          <w:color w:val="000000"/>
          <w:kern w:val="0"/>
          <w:sz w:val="24"/>
          <w:szCs w:val="24"/>
        </w:rPr>
        <w:t>服务事项，根据《中华人民共和国民法典》等法律法规及本项目的相关采购文件，甲、乙、 丙三方同意签订本合同。详细技术说明及其他有关合同项目的特定信息由合同附件予以说明， 合同附件及本项目的相关采购文件均为本合同不可分割的部分。三方同意共同遵守</w:t>
      </w:r>
      <w:r>
        <w:rPr>
          <w:rFonts w:ascii="宋体" w:hAnsi="宋体" w:eastAsia="宋体" w:cs="宋体"/>
          <w:color w:val="000000"/>
          <w:kern w:val="0"/>
          <w:sz w:val="24"/>
          <w:szCs w:val="24"/>
        </w:rPr>
        <w:t>以下</w:t>
      </w:r>
      <w:r>
        <w:rPr>
          <w:rFonts w:hint="eastAsia" w:ascii="宋体" w:hAnsi="宋体" w:eastAsia="宋体" w:cs="宋体"/>
          <w:color w:val="000000"/>
          <w:kern w:val="0"/>
          <w:sz w:val="24"/>
          <w:szCs w:val="24"/>
        </w:rPr>
        <w:t>条款。</w:t>
      </w:r>
    </w:p>
    <w:p w14:paraId="2632FF9E">
      <w:pPr>
        <w:spacing w:line="360" w:lineRule="auto"/>
        <w:rPr>
          <w:rFonts w:ascii="Times New Roman" w:hAnsi="Times New Roman" w:eastAsia="宋体" w:cs="Times New Roman"/>
          <w:b/>
          <w:bCs/>
          <w:sz w:val="18"/>
          <w:szCs w:val="24"/>
        </w:rPr>
      </w:pPr>
      <w:r>
        <w:rPr>
          <w:rFonts w:hint="eastAsia" w:ascii="Times New Roman" w:hAnsi="Times New Roman" w:eastAsia="宋体" w:cs="Times New Roman"/>
          <w:b/>
          <w:sz w:val="24"/>
          <w:szCs w:val="24"/>
        </w:rPr>
        <w:t>一、项目内容</w:t>
      </w:r>
    </w:p>
    <w:tbl>
      <w:tblPr>
        <w:tblStyle w:val="18"/>
        <w:tblW w:w="10041"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98"/>
        <w:gridCol w:w="1245"/>
        <w:gridCol w:w="408"/>
        <w:gridCol w:w="1017"/>
        <w:gridCol w:w="636"/>
        <w:gridCol w:w="534"/>
        <w:gridCol w:w="1200"/>
        <w:gridCol w:w="937"/>
        <w:gridCol w:w="1075"/>
        <w:gridCol w:w="1291"/>
      </w:tblGrid>
      <w:tr w14:paraId="08419F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98" w:type="dxa"/>
            <w:tcBorders>
              <w:top w:val="single" w:color="auto" w:sz="4" w:space="0"/>
              <w:left w:val="single" w:color="auto" w:sz="4" w:space="0"/>
              <w:bottom w:val="single" w:color="auto" w:sz="4" w:space="0"/>
              <w:right w:val="single" w:color="auto" w:sz="4" w:space="0"/>
            </w:tcBorders>
            <w:vAlign w:val="center"/>
          </w:tcPr>
          <w:p w14:paraId="66511D88">
            <w:pPr>
              <w:adjustRightInd w:val="0"/>
              <w:snapToGrid w:val="0"/>
              <w:spacing w:line="360" w:lineRule="auto"/>
              <w:ind w:firstLine="210" w:firstLineChars="100"/>
              <w:rPr>
                <w:rFonts w:ascii="宋体" w:hAnsi="宋体" w:eastAsia="宋体" w:cs="宋体"/>
                <w:szCs w:val="20"/>
              </w:rPr>
            </w:pPr>
            <w:r>
              <w:rPr>
                <w:rFonts w:hint="eastAsia" w:ascii="宋体" w:hAnsi="宋体" w:eastAsia="宋体" w:cs="宋体"/>
                <w:szCs w:val="20"/>
              </w:rPr>
              <w:t>名称</w:t>
            </w:r>
          </w:p>
        </w:tc>
        <w:tc>
          <w:tcPr>
            <w:tcW w:w="1245" w:type="dxa"/>
            <w:tcBorders>
              <w:top w:val="single" w:color="auto" w:sz="4" w:space="0"/>
              <w:left w:val="single" w:color="auto" w:sz="4" w:space="0"/>
              <w:bottom w:val="single" w:color="auto" w:sz="4" w:space="0"/>
              <w:right w:val="single" w:color="auto" w:sz="4" w:space="0"/>
            </w:tcBorders>
            <w:vAlign w:val="center"/>
          </w:tcPr>
          <w:p w14:paraId="1738F025">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品牌</w:t>
            </w:r>
          </w:p>
        </w:tc>
        <w:tc>
          <w:tcPr>
            <w:tcW w:w="1425" w:type="dxa"/>
            <w:gridSpan w:val="2"/>
            <w:tcBorders>
              <w:top w:val="single" w:color="auto" w:sz="4" w:space="0"/>
              <w:left w:val="single" w:color="auto" w:sz="4" w:space="0"/>
              <w:bottom w:val="single" w:color="auto" w:sz="4" w:space="0"/>
              <w:right w:val="single" w:color="auto" w:sz="4" w:space="0"/>
            </w:tcBorders>
            <w:vAlign w:val="center"/>
          </w:tcPr>
          <w:p w14:paraId="570F5F21">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产地</w:t>
            </w:r>
          </w:p>
        </w:tc>
        <w:tc>
          <w:tcPr>
            <w:tcW w:w="1170" w:type="dxa"/>
            <w:gridSpan w:val="2"/>
            <w:tcBorders>
              <w:top w:val="single" w:color="auto" w:sz="4" w:space="0"/>
              <w:left w:val="single" w:color="auto" w:sz="4" w:space="0"/>
              <w:bottom w:val="single" w:color="auto" w:sz="4" w:space="0"/>
              <w:right w:val="single" w:color="auto" w:sz="4" w:space="0"/>
            </w:tcBorders>
            <w:vAlign w:val="center"/>
          </w:tcPr>
          <w:p w14:paraId="7C58B1AC">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规格型号</w:t>
            </w:r>
          </w:p>
        </w:tc>
        <w:tc>
          <w:tcPr>
            <w:tcW w:w="1200" w:type="dxa"/>
            <w:tcBorders>
              <w:top w:val="single" w:color="auto" w:sz="4" w:space="0"/>
              <w:left w:val="single" w:color="auto" w:sz="4" w:space="0"/>
              <w:bottom w:val="single" w:color="auto" w:sz="4" w:space="0"/>
              <w:right w:val="single" w:color="auto" w:sz="4" w:space="0"/>
            </w:tcBorders>
            <w:vAlign w:val="center"/>
          </w:tcPr>
          <w:p w14:paraId="63283DB3">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数量</w:t>
            </w:r>
          </w:p>
        </w:tc>
        <w:tc>
          <w:tcPr>
            <w:tcW w:w="937" w:type="dxa"/>
            <w:tcBorders>
              <w:top w:val="single" w:color="auto" w:sz="4" w:space="0"/>
              <w:left w:val="single" w:color="auto" w:sz="4" w:space="0"/>
              <w:bottom w:val="single" w:color="auto" w:sz="4" w:space="0"/>
              <w:right w:val="single" w:color="auto" w:sz="4" w:space="0"/>
            </w:tcBorders>
          </w:tcPr>
          <w:p w14:paraId="1054A36A">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单位</w:t>
            </w:r>
          </w:p>
        </w:tc>
        <w:tc>
          <w:tcPr>
            <w:tcW w:w="1075" w:type="dxa"/>
            <w:tcBorders>
              <w:top w:val="single" w:color="auto" w:sz="4" w:space="0"/>
              <w:left w:val="single" w:color="auto" w:sz="4" w:space="0"/>
              <w:bottom w:val="single" w:color="auto" w:sz="4" w:space="0"/>
              <w:right w:val="single" w:color="auto" w:sz="4" w:space="0"/>
            </w:tcBorders>
          </w:tcPr>
          <w:p w14:paraId="38E4EBB4">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单/总价</w:t>
            </w:r>
          </w:p>
        </w:tc>
        <w:tc>
          <w:tcPr>
            <w:tcW w:w="1291" w:type="dxa"/>
            <w:tcBorders>
              <w:top w:val="single" w:color="auto" w:sz="4" w:space="0"/>
              <w:left w:val="single" w:color="auto" w:sz="4" w:space="0"/>
              <w:bottom w:val="single" w:color="auto" w:sz="4" w:space="0"/>
              <w:right w:val="single" w:color="auto" w:sz="4" w:space="0"/>
            </w:tcBorders>
            <w:vAlign w:val="center"/>
          </w:tcPr>
          <w:p w14:paraId="66B5BEA2">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备注</w:t>
            </w:r>
          </w:p>
        </w:tc>
      </w:tr>
      <w:tr w14:paraId="3D75A74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47"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638694ED">
            <w:pPr>
              <w:adjustRightInd w:val="0"/>
              <w:snapToGrid w:val="0"/>
              <w:spacing w:line="360" w:lineRule="auto"/>
              <w:jc w:val="center"/>
              <w:rPr>
                <w:rFonts w:ascii="宋体" w:hAnsi="宋体" w:eastAsia="宋体" w:cs="宋体"/>
                <w:sz w:val="22"/>
                <w:szCs w:val="20"/>
                <w:u w:val="single"/>
              </w:rPr>
            </w:pPr>
            <w:r>
              <w:rPr>
                <w:rFonts w:hint="eastAsia" w:ascii="宋体" w:hAnsi="宋体" w:eastAsia="宋体" w:cs="宋体"/>
                <w:color w:val="000000"/>
                <w:kern w:val="0"/>
                <w:sz w:val="24"/>
                <w:szCs w:val="24"/>
              </w:rPr>
              <w:t xml:space="preserve">  </w:t>
            </w:r>
          </w:p>
        </w:tc>
        <w:tc>
          <w:tcPr>
            <w:tcW w:w="1245" w:type="dxa"/>
            <w:tcBorders>
              <w:top w:val="single" w:color="auto" w:sz="4" w:space="0"/>
              <w:left w:val="single" w:color="auto" w:sz="4" w:space="0"/>
              <w:bottom w:val="single" w:color="auto" w:sz="4" w:space="0"/>
              <w:right w:val="single" w:color="auto" w:sz="4" w:space="0"/>
            </w:tcBorders>
            <w:shd w:val="clear" w:color="A4A4A4" w:fill="auto"/>
            <w:vAlign w:val="center"/>
          </w:tcPr>
          <w:p w14:paraId="10A8AEAC">
            <w:pPr>
              <w:adjustRightInd w:val="0"/>
              <w:snapToGrid w:val="0"/>
              <w:spacing w:line="360" w:lineRule="auto"/>
              <w:jc w:val="center"/>
              <w:rPr>
                <w:rFonts w:ascii="宋体" w:hAnsi="宋体" w:eastAsia="宋体" w:cs="宋体"/>
                <w:szCs w:val="20"/>
              </w:rPr>
            </w:pPr>
          </w:p>
        </w:tc>
        <w:tc>
          <w:tcPr>
            <w:tcW w:w="1425"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50191D02">
            <w:pPr>
              <w:adjustRightInd w:val="0"/>
              <w:snapToGrid w:val="0"/>
              <w:spacing w:line="360" w:lineRule="auto"/>
              <w:jc w:val="center"/>
              <w:rPr>
                <w:rFonts w:ascii="宋体" w:hAnsi="宋体" w:eastAsia="宋体" w:cs="宋体"/>
                <w:szCs w:val="20"/>
              </w:rPr>
            </w:pPr>
          </w:p>
        </w:tc>
        <w:tc>
          <w:tcPr>
            <w:tcW w:w="1170" w:type="dxa"/>
            <w:gridSpan w:val="2"/>
            <w:tcBorders>
              <w:top w:val="single" w:color="auto" w:sz="4" w:space="0"/>
              <w:left w:val="single" w:color="auto" w:sz="4" w:space="0"/>
              <w:bottom w:val="single" w:color="auto" w:sz="4" w:space="0"/>
              <w:right w:val="single" w:color="auto" w:sz="4" w:space="0"/>
            </w:tcBorders>
            <w:shd w:val="clear" w:color="A4A4A4" w:fill="auto"/>
            <w:vAlign w:val="center"/>
          </w:tcPr>
          <w:p w14:paraId="612DB80C">
            <w:pPr>
              <w:adjustRightInd w:val="0"/>
              <w:snapToGrid w:val="0"/>
              <w:spacing w:line="360" w:lineRule="auto"/>
              <w:jc w:val="center"/>
              <w:rPr>
                <w:rFonts w:ascii="宋体" w:hAnsi="宋体" w:eastAsia="宋体" w:cs="宋体"/>
                <w:szCs w:val="20"/>
              </w:rPr>
            </w:pPr>
          </w:p>
        </w:tc>
        <w:tc>
          <w:tcPr>
            <w:tcW w:w="1200" w:type="dxa"/>
            <w:tcBorders>
              <w:top w:val="single" w:color="auto" w:sz="4" w:space="0"/>
              <w:left w:val="single" w:color="auto" w:sz="4" w:space="0"/>
              <w:bottom w:val="single" w:color="auto" w:sz="4" w:space="0"/>
              <w:right w:val="single" w:color="auto" w:sz="4" w:space="0"/>
            </w:tcBorders>
            <w:shd w:val="clear" w:color="A4A4A4" w:fill="auto"/>
            <w:vAlign w:val="center"/>
          </w:tcPr>
          <w:p w14:paraId="72A06192">
            <w:pPr>
              <w:adjustRightInd w:val="0"/>
              <w:snapToGrid w:val="0"/>
              <w:spacing w:line="360" w:lineRule="auto"/>
              <w:ind w:firstLine="105" w:firstLineChars="50"/>
              <w:jc w:val="center"/>
              <w:rPr>
                <w:rFonts w:ascii="宋体" w:hAnsi="宋体" w:eastAsia="宋体" w:cs="宋体"/>
                <w:szCs w:val="20"/>
              </w:rPr>
            </w:pPr>
          </w:p>
        </w:tc>
        <w:tc>
          <w:tcPr>
            <w:tcW w:w="937" w:type="dxa"/>
            <w:tcBorders>
              <w:top w:val="single" w:color="auto" w:sz="4" w:space="0"/>
              <w:left w:val="single" w:color="auto" w:sz="4" w:space="0"/>
              <w:bottom w:val="single" w:color="auto" w:sz="4" w:space="0"/>
              <w:right w:val="single" w:color="auto" w:sz="4" w:space="0"/>
            </w:tcBorders>
            <w:shd w:val="clear" w:color="A4A4A4" w:fill="auto"/>
          </w:tcPr>
          <w:p w14:paraId="261C5D9A">
            <w:pPr>
              <w:adjustRightInd w:val="0"/>
              <w:snapToGrid w:val="0"/>
              <w:spacing w:line="360" w:lineRule="auto"/>
              <w:jc w:val="center"/>
              <w:rPr>
                <w:rFonts w:ascii="宋体" w:hAnsi="宋体" w:eastAsia="宋体" w:cs="宋体"/>
                <w:sz w:val="22"/>
                <w:szCs w:val="20"/>
              </w:rPr>
            </w:pPr>
          </w:p>
        </w:tc>
        <w:tc>
          <w:tcPr>
            <w:tcW w:w="1075" w:type="dxa"/>
            <w:tcBorders>
              <w:top w:val="single" w:color="auto" w:sz="4" w:space="0"/>
              <w:left w:val="single" w:color="auto" w:sz="4" w:space="0"/>
              <w:bottom w:val="single" w:color="auto" w:sz="4" w:space="0"/>
              <w:right w:val="single" w:color="auto" w:sz="4" w:space="0"/>
            </w:tcBorders>
            <w:shd w:val="clear" w:color="A4A4A4" w:fill="auto"/>
          </w:tcPr>
          <w:p w14:paraId="65751246">
            <w:pPr>
              <w:adjustRightInd w:val="0"/>
              <w:snapToGrid w:val="0"/>
              <w:spacing w:line="360" w:lineRule="auto"/>
              <w:jc w:val="center"/>
              <w:rPr>
                <w:rFonts w:ascii="宋体" w:hAnsi="宋体" w:eastAsia="宋体" w:cs="宋体"/>
                <w:sz w:val="22"/>
                <w:szCs w:val="20"/>
              </w:rPr>
            </w:pPr>
          </w:p>
        </w:tc>
        <w:tc>
          <w:tcPr>
            <w:tcW w:w="1291" w:type="dxa"/>
            <w:tcBorders>
              <w:top w:val="single" w:color="auto" w:sz="4" w:space="0"/>
              <w:left w:val="single" w:color="auto" w:sz="4" w:space="0"/>
              <w:bottom w:val="single" w:color="auto" w:sz="4" w:space="0"/>
              <w:right w:val="single" w:color="auto" w:sz="4" w:space="0"/>
            </w:tcBorders>
            <w:shd w:val="clear" w:color="A4A4A4" w:fill="auto"/>
            <w:vAlign w:val="center"/>
          </w:tcPr>
          <w:p w14:paraId="7BA8EE80">
            <w:pPr>
              <w:adjustRightInd w:val="0"/>
              <w:snapToGrid w:val="0"/>
              <w:spacing w:line="360" w:lineRule="auto"/>
              <w:jc w:val="center"/>
              <w:rPr>
                <w:rFonts w:ascii="宋体" w:hAnsi="宋体" w:eastAsia="宋体" w:cs="宋体"/>
                <w:sz w:val="22"/>
                <w:szCs w:val="20"/>
              </w:rPr>
            </w:pPr>
          </w:p>
        </w:tc>
      </w:tr>
      <w:tr w14:paraId="371649E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292" w:hRule="atLeast"/>
          <w:jc w:val="center"/>
        </w:trPr>
        <w:tc>
          <w:tcPr>
            <w:tcW w:w="1698" w:type="dxa"/>
            <w:tcBorders>
              <w:top w:val="single" w:color="auto" w:sz="4" w:space="0"/>
              <w:left w:val="single" w:color="auto" w:sz="4" w:space="0"/>
              <w:bottom w:val="single" w:color="auto" w:sz="4" w:space="0"/>
              <w:right w:val="single" w:color="auto" w:sz="4" w:space="0"/>
            </w:tcBorders>
            <w:shd w:val="clear" w:color="A4A4A4" w:fill="auto"/>
            <w:vAlign w:val="center"/>
          </w:tcPr>
          <w:p w14:paraId="431770B9">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技术参数</w:t>
            </w:r>
          </w:p>
          <w:p w14:paraId="124C7161">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（可另附附件）</w:t>
            </w: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0985DCF3">
            <w:pPr>
              <w:adjustRightInd w:val="0"/>
              <w:snapToGrid w:val="0"/>
              <w:spacing w:line="360" w:lineRule="auto"/>
              <w:jc w:val="left"/>
              <w:rPr>
                <w:rFonts w:ascii="宋体" w:hAnsi="宋体" w:eastAsia="宋体" w:cs="宋体"/>
                <w:color w:val="000000"/>
                <w:kern w:val="0"/>
                <w:sz w:val="24"/>
                <w:szCs w:val="24"/>
              </w:rPr>
            </w:pPr>
          </w:p>
        </w:tc>
        <w:tc>
          <w:tcPr>
            <w:tcW w:w="1653" w:type="dxa"/>
            <w:gridSpan w:val="2"/>
            <w:tcBorders>
              <w:top w:val="single" w:color="auto" w:sz="4" w:space="0"/>
              <w:left w:val="single" w:color="auto" w:sz="4" w:space="0"/>
              <w:bottom w:val="single" w:color="auto" w:sz="4" w:space="0"/>
              <w:right w:val="single" w:color="auto" w:sz="4" w:space="0"/>
            </w:tcBorders>
            <w:shd w:val="clear" w:color="A4A4A4" w:fill="auto"/>
          </w:tcPr>
          <w:p w14:paraId="17F2D5C5">
            <w:pPr>
              <w:adjustRightInd w:val="0"/>
              <w:snapToGrid w:val="0"/>
              <w:spacing w:line="360" w:lineRule="auto"/>
              <w:jc w:val="left"/>
              <w:rPr>
                <w:rFonts w:ascii="宋体" w:hAnsi="宋体" w:eastAsia="宋体" w:cs="宋体"/>
                <w:color w:val="000000"/>
                <w:kern w:val="0"/>
                <w:sz w:val="24"/>
                <w:szCs w:val="24"/>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5D0FB70B">
            <w:pPr>
              <w:adjustRightInd w:val="0"/>
              <w:snapToGrid w:val="0"/>
              <w:spacing w:line="360" w:lineRule="auto"/>
              <w:jc w:val="left"/>
              <w:rPr>
                <w:rFonts w:ascii="宋体" w:hAnsi="宋体" w:eastAsia="宋体" w:cs="宋体"/>
                <w:szCs w:val="20"/>
              </w:rPr>
            </w:pPr>
            <w:r>
              <w:rPr>
                <w:rFonts w:hint="eastAsia" w:ascii="宋体" w:hAnsi="宋体" w:eastAsia="宋体" w:cs="宋体"/>
                <w:color w:val="000000"/>
                <w:kern w:val="0"/>
                <w:sz w:val="24"/>
                <w:szCs w:val="24"/>
              </w:rPr>
              <w:t xml:space="preserve">    </w:t>
            </w:r>
          </w:p>
        </w:tc>
      </w:tr>
      <w:tr w14:paraId="024BC4D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restart"/>
            <w:tcBorders>
              <w:top w:val="single" w:color="auto" w:sz="4" w:space="0"/>
              <w:left w:val="single" w:color="auto" w:sz="4" w:space="0"/>
              <w:right w:val="single" w:color="auto" w:sz="4" w:space="0"/>
            </w:tcBorders>
            <w:shd w:val="clear" w:color="A4A4A4" w:fill="auto"/>
            <w:vAlign w:val="center"/>
          </w:tcPr>
          <w:p w14:paraId="66ADEAF6">
            <w:pPr>
              <w:adjustRightInd w:val="0"/>
              <w:snapToGrid w:val="0"/>
              <w:spacing w:line="360" w:lineRule="auto"/>
              <w:jc w:val="center"/>
              <w:rPr>
                <w:rFonts w:ascii="宋体" w:hAnsi="宋体" w:eastAsia="宋体" w:cs="宋体"/>
                <w:szCs w:val="20"/>
              </w:rPr>
            </w:pPr>
            <w:r>
              <w:rPr>
                <w:rFonts w:hint="eastAsia" w:ascii="宋体" w:hAnsi="宋体" w:eastAsia="宋体" w:cs="宋体"/>
                <w:szCs w:val="20"/>
              </w:rPr>
              <w:t>服务期</w:t>
            </w:r>
          </w:p>
        </w:tc>
        <w:tc>
          <w:tcPr>
            <w:tcW w:w="1653" w:type="dxa"/>
            <w:gridSpan w:val="2"/>
            <w:tcBorders>
              <w:top w:val="single" w:color="auto" w:sz="4" w:space="0"/>
              <w:left w:val="single" w:color="auto" w:sz="4" w:space="0"/>
              <w:right w:val="single" w:color="auto" w:sz="4" w:space="0"/>
            </w:tcBorders>
            <w:shd w:val="clear" w:color="A4A4A4" w:fill="auto"/>
          </w:tcPr>
          <w:p w14:paraId="58C66B0B">
            <w:pPr>
              <w:adjustRightInd w:val="0"/>
              <w:snapToGrid w:val="0"/>
              <w:spacing w:line="360" w:lineRule="auto"/>
              <w:jc w:val="left"/>
              <w:rPr>
                <w:rFonts w:ascii="宋体" w:hAnsi="宋体" w:eastAsia="宋体" w:cs="宋体"/>
                <w:szCs w:val="20"/>
              </w:rPr>
            </w:pPr>
          </w:p>
        </w:tc>
        <w:tc>
          <w:tcPr>
            <w:tcW w:w="1653" w:type="dxa"/>
            <w:gridSpan w:val="2"/>
            <w:tcBorders>
              <w:top w:val="single" w:color="auto" w:sz="4" w:space="0"/>
              <w:left w:val="single" w:color="auto" w:sz="4" w:space="0"/>
              <w:right w:val="single" w:color="auto" w:sz="4" w:space="0"/>
            </w:tcBorders>
            <w:shd w:val="clear" w:color="A4A4A4" w:fill="auto"/>
          </w:tcPr>
          <w:p w14:paraId="5E4C43E2">
            <w:pPr>
              <w:adjustRightInd w:val="0"/>
              <w:snapToGrid w:val="0"/>
              <w:spacing w:line="360" w:lineRule="auto"/>
              <w:jc w:val="left"/>
              <w:rPr>
                <w:rFonts w:ascii="宋体" w:hAnsi="宋体" w:eastAsia="宋体" w:cs="宋体"/>
                <w:szCs w:val="20"/>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3E78C7E4">
            <w:pPr>
              <w:adjustRightInd w:val="0"/>
              <w:snapToGrid w:val="0"/>
              <w:spacing w:line="360" w:lineRule="auto"/>
              <w:jc w:val="left"/>
              <w:rPr>
                <w:rFonts w:ascii="宋体" w:hAnsi="宋体" w:eastAsia="宋体" w:cs="宋体"/>
                <w:szCs w:val="20"/>
              </w:rPr>
            </w:pPr>
          </w:p>
        </w:tc>
      </w:tr>
      <w:tr w14:paraId="42C36D2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9" w:hRule="atLeast"/>
          <w:jc w:val="center"/>
        </w:trPr>
        <w:tc>
          <w:tcPr>
            <w:tcW w:w="1698" w:type="dxa"/>
            <w:vMerge w:val="continue"/>
            <w:tcBorders>
              <w:left w:val="single" w:color="auto" w:sz="4" w:space="0"/>
              <w:bottom w:val="single" w:color="auto" w:sz="4" w:space="0"/>
              <w:right w:val="single" w:color="auto" w:sz="4" w:space="0"/>
            </w:tcBorders>
            <w:shd w:val="clear" w:color="A4A4A4" w:fill="auto"/>
            <w:vAlign w:val="center"/>
          </w:tcPr>
          <w:p w14:paraId="5F92DB1E">
            <w:pPr>
              <w:adjustRightInd w:val="0"/>
              <w:snapToGrid w:val="0"/>
              <w:spacing w:line="360" w:lineRule="auto"/>
              <w:jc w:val="center"/>
              <w:rPr>
                <w:rFonts w:ascii="宋体" w:hAnsi="宋体" w:eastAsia="宋体" w:cs="宋体"/>
                <w:szCs w:val="20"/>
              </w:rPr>
            </w:pPr>
          </w:p>
        </w:tc>
        <w:tc>
          <w:tcPr>
            <w:tcW w:w="1653" w:type="dxa"/>
            <w:gridSpan w:val="2"/>
            <w:tcBorders>
              <w:left w:val="single" w:color="auto" w:sz="4" w:space="0"/>
              <w:bottom w:val="single" w:color="auto" w:sz="4" w:space="0"/>
              <w:right w:val="single" w:color="auto" w:sz="4" w:space="0"/>
            </w:tcBorders>
            <w:shd w:val="clear" w:color="A4A4A4" w:fill="auto"/>
          </w:tcPr>
          <w:p w14:paraId="2394CF49">
            <w:pPr>
              <w:adjustRightInd w:val="0"/>
              <w:snapToGrid w:val="0"/>
              <w:spacing w:line="360" w:lineRule="auto"/>
              <w:jc w:val="left"/>
              <w:rPr>
                <w:rFonts w:ascii="宋体" w:hAnsi="宋体" w:eastAsia="宋体" w:cs="宋体"/>
                <w:szCs w:val="20"/>
              </w:rPr>
            </w:pPr>
          </w:p>
        </w:tc>
        <w:tc>
          <w:tcPr>
            <w:tcW w:w="1653" w:type="dxa"/>
            <w:gridSpan w:val="2"/>
            <w:tcBorders>
              <w:left w:val="single" w:color="auto" w:sz="4" w:space="0"/>
              <w:bottom w:val="single" w:color="auto" w:sz="4" w:space="0"/>
              <w:right w:val="single" w:color="auto" w:sz="4" w:space="0"/>
            </w:tcBorders>
            <w:shd w:val="clear" w:color="A4A4A4" w:fill="auto"/>
          </w:tcPr>
          <w:p w14:paraId="28D3CFDE">
            <w:pPr>
              <w:adjustRightInd w:val="0"/>
              <w:snapToGrid w:val="0"/>
              <w:spacing w:line="360" w:lineRule="auto"/>
              <w:jc w:val="left"/>
              <w:rPr>
                <w:rFonts w:ascii="宋体" w:hAnsi="宋体" w:eastAsia="宋体" w:cs="宋体"/>
                <w:szCs w:val="20"/>
              </w:rPr>
            </w:pPr>
          </w:p>
        </w:tc>
        <w:tc>
          <w:tcPr>
            <w:tcW w:w="5037" w:type="dxa"/>
            <w:gridSpan w:val="5"/>
            <w:tcBorders>
              <w:top w:val="single" w:color="auto" w:sz="4" w:space="0"/>
              <w:left w:val="single" w:color="auto" w:sz="4" w:space="0"/>
              <w:bottom w:val="single" w:color="auto" w:sz="4" w:space="0"/>
              <w:right w:val="single" w:color="auto" w:sz="4" w:space="0"/>
            </w:tcBorders>
            <w:shd w:val="clear" w:color="A4A4A4" w:fill="auto"/>
            <w:vAlign w:val="center"/>
          </w:tcPr>
          <w:p w14:paraId="16D72257">
            <w:pPr>
              <w:adjustRightInd w:val="0"/>
              <w:snapToGrid w:val="0"/>
              <w:spacing w:line="360" w:lineRule="auto"/>
              <w:jc w:val="left"/>
              <w:rPr>
                <w:rFonts w:ascii="宋体" w:hAnsi="宋体" w:eastAsia="宋体" w:cs="宋体"/>
                <w:szCs w:val="20"/>
              </w:rPr>
            </w:pPr>
            <w:r>
              <w:rPr>
                <w:rFonts w:hint="eastAsia" w:ascii="宋体" w:hAnsi="宋体" w:eastAsia="宋体" w:cs="宋体"/>
                <w:szCs w:val="20"/>
              </w:rPr>
              <w:t>系统售后技术支持期：自本项目验收合格之日起至</w:t>
            </w:r>
            <w:r>
              <w:rPr>
                <w:rFonts w:hint="eastAsia" w:ascii="宋体" w:hAnsi="宋体" w:eastAsia="宋体" w:cs="宋体"/>
                <w:szCs w:val="20"/>
                <w:u w:val="single"/>
              </w:rPr>
              <w:t>***</w:t>
            </w:r>
            <w:r>
              <w:rPr>
                <w:rFonts w:hint="eastAsia" w:ascii="宋体" w:hAnsi="宋体" w:eastAsia="宋体" w:cs="宋体"/>
                <w:szCs w:val="20"/>
              </w:rPr>
              <w:t>年止</w:t>
            </w:r>
          </w:p>
        </w:tc>
      </w:tr>
    </w:tbl>
    <w:p w14:paraId="3AE204BE">
      <w:pPr>
        <w:spacing w:line="360" w:lineRule="auto"/>
        <w:rPr>
          <w:rFonts w:ascii="Times New Roman" w:hAnsi="Times New Roman" w:eastAsia="宋体" w:cs="Times New Roman"/>
          <w:b/>
          <w:sz w:val="24"/>
          <w:szCs w:val="24"/>
        </w:rPr>
      </w:pPr>
      <w:r>
        <w:rPr>
          <w:rFonts w:ascii="Times New Roman" w:hAnsi="Times New Roman" w:eastAsia="宋体" w:cs="Times New Roman"/>
          <w:b/>
          <w:sz w:val="24"/>
          <w:szCs w:val="24"/>
        </w:rPr>
        <w:t>甲乙双方对上述设备</w:t>
      </w:r>
      <w:r>
        <w:rPr>
          <w:rFonts w:hint="eastAsia" w:ascii="Times New Roman" w:hAnsi="Times New Roman" w:eastAsia="宋体" w:cs="Times New Roman"/>
          <w:b/>
          <w:sz w:val="24"/>
          <w:szCs w:val="24"/>
        </w:rPr>
        <w:t>/软件</w:t>
      </w:r>
      <w:r>
        <w:rPr>
          <w:rFonts w:ascii="Times New Roman" w:hAnsi="Times New Roman" w:eastAsia="宋体" w:cs="Times New Roman"/>
          <w:b/>
          <w:sz w:val="24"/>
          <w:szCs w:val="24"/>
        </w:rPr>
        <w:t>的品牌、生产商、规格型号、数量、单价、总价的选择即确认，向丙方购买设备</w:t>
      </w:r>
      <w:r>
        <w:rPr>
          <w:rFonts w:hint="eastAsia" w:ascii="Times New Roman" w:hAnsi="Times New Roman" w:eastAsia="宋体" w:cs="Times New Roman"/>
          <w:b/>
          <w:sz w:val="24"/>
          <w:szCs w:val="24"/>
        </w:rPr>
        <w:t>/软件</w:t>
      </w:r>
      <w:r>
        <w:rPr>
          <w:rFonts w:ascii="Times New Roman" w:hAnsi="Times New Roman" w:eastAsia="宋体" w:cs="Times New Roman"/>
          <w:b/>
          <w:sz w:val="24"/>
          <w:szCs w:val="24"/>
        </w:rPr>
        <w:t>。</w:t>
      </w:r>
    </w:p>
    <w:p w14:paraId="6D7DF161">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二、合同总价</w:t>
      </w:r>
    </w:p>
    <w:p w14:paraId="2380098F">
      <w:pPr>
        <w:spacing w:line="360" w:lineRule="auto"/>
        <w:ind w:firstLine="480" w:firstLineChars="200"/>
        <w:rPr>
          <w:rFonts w:ascii="Times New Roman" w:hAnsi="Times New Roman" w:eastAsia="宋体" w:cs="Times New Roman"/>
          <w:b/>
          <w:sz w:val="24"/>
          <w:szCs w:val="24"/>
        </w:rPr>
      </w:pPr>
      <w:r>
        <w:rPr>
          <w:rFonts w:hint="eastAsia" w:ascii="宋体" w:hAnsi="宋体" w:eastAsia="宋体" w:cs="宋体"/>
          <w:color w:val="000000"/>
          <w:kern w:val="0"/>
          <w:sz w:val="24"/>
          <w:szCs w:val="24"/>
        </w:rPr>
        <w:t>合同总价（含税）为人民币：******元，大写人民币:*****；该合同总价已包含硬件和软件开发、人工、包装、运输、安装、调试及验收后维保等相关服务的全部含税费用，甲、乙双方无需向丙方支付任何额外费用。</w:t>
      </w:r>
    </w:p>
    <w:p w14:paraId="66D335C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三、付款方式</w:t>
      </w:r>
    </w:p>
    <w:p w14:paraId="29BF4510">
      <w:pPr>
        <w:numPr>
          <w:ilvl w:val="0"/>
          <w:numId w:val="12"/>
        </w:numPr>
        <w:autoSpaceDE w:val="0"/>
        <w:autoSpaceDN w:val="0"/>
        <w:adjustRightInd w:val="0"/>
        <w:spacing w:line="480" w:lineRule="exact"/>
        <w:ind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本合同以人民币转账形式付款。本合同不含税价人民币***元，税额人民币***元；价税合计人民币***元，大写人民币***圆整。</w:t>
      </w:r>
    </w:p>
    <w:p w14:paraId="08EBA20E">
      <w:pPr>
        <w:numPr>
          <w:ilvl w:val="0"/>
          <w:numId w:val="12"/>
        </w:numPr>
        <w:autoSpaceDE w:val="0"/>
        <w:autoSpaceDN w:val="0"/>
        <w:adjustRightInd w:val="0"/>
        <w:spacing w:line="480" w:lineRule="exact"/>
        <w:ind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合同签订完成，乙方接到甲方付款通知书以及丙方符合财务结算的相关有效票据后</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日内，向丙方支付合同金额的**%，人民币****元，大写人民币****。</w:t>
      </w:r>
    </w:p>
    <w:p w14:paraId="79B07679">
      <w:pPr>
        <w:numPr>
          <w:ilvl w:val="0"/>
          <w:numId w:val="12"/>
        </w:numPr>
        <w:autoSpaceDE w:val="0"/>
        <w:autoSpaceDN w:val="0"/>
        <w:adjustRightInd w:val="0"/>
        <w:spacing w:line="480" w:lineRule="exact"/>
        <w:ind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验收合格之日，乙方接到甲方付款通知书以及丙方相关票据和请款资料后</w:t>
      </w:r>
      <w:r>
        <w:rPr>
          <w:rFonts w:hint="eastAsia" w:ascii="宋体" w:hAnsi="宋体" w:eastAsia="宋体" w:cs="宋体"/>
          <w:color w:val="000000"/>
          <w:kern w:val="0"/>
          <w:sz w:val="28"/>
          <w:szCs w:val="28"/>
          <w:u w:val="single"/>
        </w:rPr>
        <w:t xml:space="preserve">    </w:t>
      </w:r>
      <w:r>
        <w:rPr>
          <w:rFonts w:hint="eastAsia" w:ascii="宋体" w:hAnsi="宋体" w:eastAsia="宋体" w:cs="宋体"/>
          <w:color w:val="000000"/>
          <w:kern w:val="0"/>
          <w:sz w:val="28"/>
          <w:szCs w:val="28"/>
        </w:rPr>
        <w:t>日内，向丙方支付合同金额**%，人民币****元，大写人民币****。</w:t>
      </w:r>
    </w:p>
    <w:p w14:paraId="1838CD05">
      <w:pPr>
        <w:numPr>
          <w:ilvl w:val="0"/>
          <w:numId w:val="12"/>
        </w:numPr>
        <w:autoSpaceDE w:val="0"/>
        <w:autoSpaceDN w:val="0"/>
        <w:adjustRightInd w:val="0"/>
        <w:spacing w:line="480" w:lineRule="exact"/>
        <w:ind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丙方指定的收款账户信息如下，如有变更，丙方应当在变更后3日内通知甲方和乙方，否则由此造成的损失，甲方乙方不承担：</w:t>
      </w:r>
    </w:p>
    <w:p w14:paraId="46BFBC62">
      <w:pPr>
        <w:autoSpaceDE w:val="0"/>
        <w:autoSpaceDN w:val="0"/>
        <w:adjustRightInd w:val="0"/>
        <w:spacing w:line="480" w:lineRule="exact"/>
        <w:ind w:left="426" w:leftChars="203"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户名：</w:t>
      </w:r>
    </w:p>
    <w:p w14:paraId="7A5E245E">
      <w:pPr>
        <w:autoSpaceDE w:val="0"/>
        <w:autoSpaceDN w:val="0"/>
        <w:adjustRightInd w:val="0"/>
        <w:spacing w:line="480" w:lineRule="exact"/>
        <w:ind w:left="426" w:leftChars="203"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开户行：</w:t>
      </w:r>
    </w:p>
    <w:p w14:paraId="7C8BDDBC">
      <w:pPr>
        <w:autoSpaceDE w:val="0"/>
        <w:autoSpaceDN w:val="0"/>
        <w:adjustRightInd w:val="0"/>
        <w:spacing w:line="480" w:lineRule="exact"/>
        <w:ind w:left="426" w:leftChars="203"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账号：</w:t>
      </w:r>
    </w:p>
    <w:p w14:paraId="7A956A02">
      <w:pPr>
        <w:autoSpaceDE w:val="0"/>
        <w:autoSpaceDN w:val="0"/>
        <w:adjustRightInd w:val="0"/>
        <w:spacing w:line="480" w:lineRule="exact"/>
        <w:ind w:firstLine="560" w:firstLineChars="200"/>
        <w:jc w:val="left"/>
        <w:rPr>
          <w:rFonts w:ascii="宋体" w:hAnsi="宋体" w:eastAsia="宋体" w:cs="宋体"/>
          <w:color w:val="000000"/>
          <w:kern w:val="0"/>
          <w:sz w:val="28"/>
          <w:szCs w:val="28"/>
        </w:rPr>
      </w:pPr>
      <w:r>
        <w:rPr>
          <w:rFonts w:hint="eastAsia" w:ascii="宋体" w:hAnsi="宋体" w:eastAsia="宋体" w:cs="宋体"/>
          <w:color w:val="000000"/>
          <w:kern w:val="0"/>
          <w:sz w:val="28"/>
          <w:szCs w:val="28"/>
        </w:rPr>
        <w:t>5</w:t>
      </w:r>
      <w:r>
        <w:rPr>
          <w:rFonts w:ascii="宋体" w:hAnsi="宋体" w:eastAsia="宋体" w:cs="宋体"/>
          <w:color w:val="000000"/>
          <w:kern w:val="0"/>
          <w:sz w:val="28"/>
          <w:szCs w:val="28"/>
        </w:rPr>
        <w:t>.</w:t>
      </w:r>
      <w:r>
        <w:rPr>
          <w:rFonts w:hint="eastAsia" w:ascii="宋体" w:hAnsi="宋体" w:eastAsia="宋体" w:cs="宋体"/>
          <w:color w:val="000000"/>
          <w:kern w:val="0"/>
          <w:sz w:val="24"/>
          <w:szCs w:val="24"/>
        </w:rPr>
        <w:t xml:space="preserve"> 甲丙两方在确认验收合格后</w:t>
      </w:r>
      <w:r>
        <w:rPr>
          <w:rFonts w:ascii="宋体" w:hAnsi="宋体" w:eastAsia="宋体" w:cs="宋体"/>
          <w:color w:val="000000"/>
          <w:kern w:val="0"/>
          <w:sz w:val="24"/>
          <w:szCs w:val="24"/>
        </w:rPr>
        <w:t>*</w:t>
      </w:r>
      <w:r>
        <w:rPr>
          <w:rFonts w:hint="eastAsia" w:ascii="宋体" w:hAnsi="宋体" w:eastAsia="宋体" w:cs="宋体"/>
          <w:color w:val="000000"/>
          <w:kern w:val="0"/>
          <w:sz w:val="24"/>
          <w:szCs w:val="24"/>
        </w:rPr>
        <w:t>个工作日内，丙方应按国家有关规定开具合规的发票，否则，乙方有权拒绝付款，并不因此而承担违约责任。</w:t>
      </w:r>
    </w:p>
    <w:p w14:paraId="0594E314">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四、交付地点、方式</w:t>
      </w:r>
    </w:p>
    <w:p w14:paraId="35B26777">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交货地点：</w:t>
      </w:r>
      <w:r>
        <w:rPr>
          <w:rFonts w:hint="eastAsia" w:ascii="Times New Roman" w:hAnsi="Times New Roman" w:eastAsia="宋体" w:cs="Times New Roman"/>
          <w:kern w:val="2"/>
          <w:sz w:val="24"/>
          <w:szCs w:val="20"/>
          <w:lang w:val="en-US" w:eastAsia="zh-CN" w:bidi="ar-SA"/>
        </w:rPr>
        <w:t>甲方指定地点</w:t>
      </w:r>
    </w:p>
    <w:p w14:paraId="308D7385">
      <w:pPr>
        <w:widowControl w:val="0"/>
        <w:numPr>
          <w:ilvl w:val="0"/>
          <w:numId w:val="13"/>
        </w:numPr>
        <w:spacing w:line="360" w:lineRule="auto"/>
        <w:ind w:left="420" w:hanging="420" w:firstLineChars="0"/>
        <w:jc w:val="both"/>
        <w:rPr>
          <w:rFonts w:ascii="宋体" w:hAnsi="宋体" w:eastAsia="宋体" w:cs="Times New Roman"/>
          <w:kern w:val="2"/>
          <w:sz w:val="24"/>
          <w:szCs w:val="24"/>
          <w:lang w:val="en-US" w:eastAsia="zh-CN" w:bidi="ar-SA"/>
        </w:rPr>
      </w:pPr>
      <w:r>
        <w:rPr>
          <w:rFonts w:ascii="Times New Roman" w:hAnsi="Times New Roman" w:eastAsia="宋体" w:cs="Times New Roman"/>
          <w:kern w:val="2"/>
          <w:sz w:val="24"/>
          <w:szCs w:val="20"/>
          <w:lang w:val="en-US" w:eastAsia="zh-CN" w:bidi="ar-SA"/>
        </w:rPr>
        <w:t>交货方式</w:t>
      </w:r>
      <w:r>
        <w:rPr>
          <w:rFonts w:hint="eastAsia" w:ascii="宋体" w:hAnsi="宋体" w:eastAsia="宋体" w:cs="Times New Roman"/>
          <w:kern w:val="2"/>
          <w:sz w:val="24"/>
          <w:szCs w:val="24"/>
          <w:lang w:val="en-US" w:eastAsia="zh-CN" w:bidi="ar-SA"/>
        </w:rPr>
        <w:t>：丙方上门安装</w:t>
      </w:r>
    </w:p>
    <w:p w14:paraId="3A3F0C6E">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丙方按照甲方要求，保证在甲方通知安装后</w:t>
      </w:r>
      <w:r>
        <w:rPr>
          <w:rFonts w:hint="eastAsia" w:ascii="Times New Roman" w:hAnsi="Times New Roman" w:eastAsia="宋体" w:cs="Times New Roman"/>
          <w:sz w:val="24"/>
          <w:szCs w:val="20"/>
        </w:rPr>
        <w:t>*日内</w:t>
      </w:r>
      <w:r>
        <w:rPr>
          <w:rFonts w:ascii="Times New Roman" w:hAnsi="Times New Roman" w:eastAsia="宋体" w:cs="Times New Roman"/>
          <w:sz w:val="24"/>
          <w:szCs w:val="20"/>
        </w:rPr>
        <w:t>由</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方送至甲方指定地点，包装费、运输费用、保险费用及验收合格前的风险均由</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方负责。</w:t>
      </w:r>
    </w:p>
    <w:p w14:paraId="5E4686A2">
      <w:pPr>
        <w:spacing w:line="360" w:lineRule="auto"/>
        <w:rPr>
          <w:rFonts w:ascii="Times New Roman" w:hAnsi="Times New Roman" w:eastAsia="宋体" w:cs="Times New Roman"/>
          <w:b/>
          <w:sz w:val="24"/>
          <w:szCs w:val="24"/>
        </w:rPr>
      </w:pPr>
    </w:p>
    <w:p w14:paraId="53CDA2A1">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五、安装调试及培训</w:t>
      </w:r>
    </w:p>
    <w:p w14:paraId="4B754B83">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方交货后</w:t>
      </w:r>
      <w:r>
        <w:rPr>
          <w:rFonts w:hint="eastAsia" w:ascii="Times New Roman" w:hAnsi="Times New Roman" w:eastAsia="宋体" w:cs="Times New Roman"/>
          <w:sz w:val="24"/>
          <w:szCs w:val="20"/>
          <w:u w:val="single"/>
        </w:rPr>
        <w:t xml:space="preserve"> *** </w:t>
      </w:r>
      <w:r>
        <w:rPr>
          <w:rFonts w:ascii="Times New Roman" w:hAnsi="Times New Roman" w:eastAsia="宋体" w:cs="Times New Roman"/>
          <w:sz w:val="24"/>
          <w:szCs w:val="20"/>
        </w:rPr>
        <w:t>日内，由</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方指派专业人员完成安装以及调试工作。</w:t>
      </w:r>
    </w:p>
    <w:p w14:paraId="6230BF49">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2、</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方应针对软件的特点对甲方人员在软件的性能、原理、操作要领、维修和保养等方面进行培训，并保证其熟悉软件的基本操作。</w:t>
      </w:r>
    </w:p>
    <w:p w14:paraId="17E67B82">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3、安装测试所需要的材料和测试样品等均由</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方负责提供。</w:t>
      </w:r>
    </w:p>
    <w:p w14:paraId="422DBF51">
      <w:pPr>
        <w:spacing w:line="360" w:lineRule="auto"/>
        <w:rPr>
          <w:rFonts w:ascii="宋体" w:hAnsi="宋体" w:eastAsia="宋体" w:cs="Times New Roman"/>
          <w:sz w:val="24"/>
          <w:szCs w:val="24"/>
        </w:rPr>
      </w:pPr>
      <w:r>
        <w:rPr>
          <w:rFonts w:ascii="Times New Roman" w:hAnsi="Times New Roman" w:eastAsia="宋体" w:cs="Times New Roman"/>
          <w:sz w:val="24"/>
          <w:szCs w:val="20"/>
        </w:rPr>
        <w:t>4、期间涉及的交通费、膳食费、住宿费及其他一切费用均由</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方负责。</w:t>
      </w:r>
    </w:p>
    <w:p w14:paraId="195B871F">
      <w:pPr>
        <w:spacing w:line="360" w:lineRule="auto"/>
        <w:rPr>
          <w:rFonts w:ascii="Times New Roman" w:hAnsi="Times New Roman" w:eastAsia="宋体" w:cs="Times New Roman"/>
          <w:b/>
          <w:sz w:val="24"/>
          <w:szCs w:val="24"/>
        </w:rPr>
      </w:pPr>
    </w:p>
    <w:p w14:paraId="5F02E4DD">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六、软件验收</w:t>
      </w:r>
    </w:p>
    <w:p w14:paraId="06250B77">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1、验收时间：</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方完成安装及调试后</w:t>
      </w:r>
      <w:r>
        <w:rPr>
          <w:rFonts w:hint="eastAsia" w:ascii="Times New Roman" w:hAnsi="Times New Roman" w:eastAsia="宋体" w:cs="Times New Roman"/>
          <w:sz w:val="24"/>
          <w:szCs w:val="20"/>
          <w:u w:val="single"/>
        </w:rPr>
        <w:t xml:space="preserve"> *** </w:t>
      </w:r>
      <w:r>
        <w:rPr>
          <w:rFonts w:ascii="Times New Roman" w:hAnsi="Times New Roman" w:eastAsia="宋体" w:cs="Times New Roman"/>
          <w:sz w:val="24"/>
          <w:szCs w:val="20"/>
        </w:rPr>
        <w:t>个工作日内，由甲方指定人员完成验收。</w:t>
      </w:r>
    </w:p>
    <w:p w14:paraId="2060B645">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2、验收</w:t>
      </w:r>
      <w:r>
        <w:rPr>
          <w:rFonts w:hint="eastAsia" w:ascii="Times New Roman" w:hAnsi="Times New Roman" w:eastAsia="宋体" w:cs="Times New Roman"/>
          <w:sz w:val="24"/>
          <w:szCs w:val="20"/>
        </w:rPr>
        <w:t>方式</w:t>
      </w:r>
      <w:r>
        <w:rPr>
          <w:rFonts w:ascii="Times New Roman" w:hAnsi="Times New Roman" w:eastAsia="宋体" w:cs="Times New Roman"/>
          <w:sz w:val="24"/>
          <w:szCs w:val="20"/>
        </w:rPr>
        <w:t>：</w:t>
      </w:r>
      <w:r>
        <w:rPr>
          <w:rFonts w:hint="eastAsia" w:ascii="Times New Roman" w:hAnsi="Times New Roman" w:eastAsia="宋体" w:cs="Times New Roman"/>
          <w:sz w:val="24"/>
          <w:szCs w:val="20"/>
        </w:rPr>
        <w:t>按国家（行业）最高标准，以及本项目采购文件的质量要求和技术指标与出厂标准的最高标准。甲方指定人员对软件质量进行验收。</w:t>
      </w:r>
    </w:p>
    <w:p w14:paraId="33C64A52">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3、甲方在验收中如发现软件的型号、规格、包装和质量等不符合本合同约定的，自软件验收完成后</w:t>
      </w:r>
      <w:r>
        <w:rPr>
          <w:rFonts w:hint="eastAsia" w:ascii="Times New Roman" w:hAnsi="Times New Roman" w:eastAsia="宋体" w:cs="Times New Roman"/>
          <w:sz w:val="24"/>
          <w:szCs w:val="20"/>
          <w:u w:val="single"/>
        </w:rPr>
        <w:t xml:space="preserve"> *** </w:t>
      </w:r>
      <w:r>
        <w:rPr>
          <w:rFonts w:ascii="Times New Roman" w:hAnsi="Times New Roman" w:eastAsia="宋体" w:cs="Times New Roman"/>
          <w:sz w:val="24"/>
          <w:szCs w:val="20"/>
        </w:rPr>
        <w:t>个工作日内向</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方提出书面异议。</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方在接到甲方书面异议后，应在</w:t>
      </w:r>
      <w:r>
        <w:rPr>
          <w:rFonts w:hint="eastAsia" w:ascii="Times New Roman" w:hAnsi="Times New Roman" w:eastAsia="宋体" w:cs="Times New Roman"/>
          <w:sz w:val="24"/>
          <w:szCs w:val="20"/>
          <w:u w:val="single"/>
        </w:rPr>
        <w:t xml:space="preserve"> *** </w:t>
      </w:r>
      <w:r>
        <w:rPr>
          <w:rFonts w:ascii="Times New Roman" w:hAnsi="Times New Roman" w:eastAsia="宋体" w:cs="Times New Roman"/>
          <w:sz w:val="24"/>
          <w:szCs w:val="20"/>
        </w:rPr>
        <w:t>个工作日内负责处理并通知甲方处理情况，否则，即视为</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方已接受甲方提出的异议和处理意见。</w:t>
      </w:r>
    </w:p>
    <w:p w14:paraId="2ACEA7EA">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4、验收时如发现所交付的服务有问题、缺陷或其它不符合标准及本合同规定之情形者，甲方应做出详尽的现场记录，或由甲丙双方签署备忘录，此现场记录或备忘录可用作补充、缺失和更换损坏部件的有效证据，由此产生的时间延误与有关费用、造成的甲方的损失由丙方承担；</w:t>
      </w:r>
    </w:p>
    <w:p w14:paraId="30DD1DB2">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5、如软件经丙方</w:t>
      </w:r>
      <w:r>
        <w:rPr>
          <w:rFonts w:hint="eastAsia" w:ascii="Times New Roman" w:hAnsi="Times New Roman" w:eastAsia="宋体" w:cs="Times New Roman"/>
          <w:sz w:val="24"/>
          <w:szCs w:val="20"/>
          <w:u w:val="single"/>
        </w:rPr>
        <w:t>***</w:t>
      </w:r>
      <w:r>
        <w:rPr>
          <w:rFonts w:hint="eastAsia" w:ascii="Times New Roman" w:hAnsi="Times New Roman" w:eastAsia="宋体" w:cs="Times New Roman"/>
          <w:sz w:val="24"/>
          <w:szCs w:val="20"/>
        </w:rPr>
        <w:t>次维护仍不能达到合同约定的质量标准，甲方有权退货，并视作丙方不能交付软件而须支付违约赔偿金给甲方，甲方还可依法追究丙方的违约责任。</w:t>
      </w:r>
    </w:p>
    <w:p w14:paraId="4A95C32D">
      <w:pPr>
        <w:spacing w:line="360" w:lineRule="auto"/>
        <w:rPr>
          <w:rFonts w:ascii="Times New Roman" w:hAnsi="Times New Roman" w:eastAsia="宋体" w:cs="Times New Roman"/>
          <w:b/>
          <w:sz w:val="24"/>
          <w:szCs w:val="24"/>
        </w:rPr>
      </w:pPr>
    </w:p>
    <w:p w14:paraId="209E8CBD">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七、软件退换</w:t>
      </w:r>
    </w:p>
    <w:p w14:paraId="2C1AFD41">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1、甲方根据本合同第</w:t>
      </w:r>
      <w:r>
        <w:rPr>
          <w:rFonts w:hint="eastAsia" w:ascii="Times New Roman" w:hAnsi="Times New Roman" w:eastAsia="宋体" w:cs="Times New Roman"/>
          <w:sz w:val="24"/>
          <w:szCs w:val="20"/>
        </w:rPr>
        <w:t>六</w:t>
      </w:r>
      <w:r>
        <w:rPr>
          <w:rFonts w:ascii="Times New Roman" w:hAnsi="Times New Roman" w:eastAsia="宋体" w:cs="Times New Roman"/>
          <w:sz w:val="24"/>
          <w:szCs w:val="20"/>
        </w:rPr>
        <w:t>条提出书面异议的，如果</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方在上述约定时间内未能按照甲方要求进行处理的，则甲方有权要求退货或换货，</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方在收到甲方的书面退换货通知后</w:t>
      </w:r>
      <w:r>
        <w:rPr>
          <w:rFonts w:hint="eastAsia" w:ascii="Times New Roman" w:hAnsi="Times New Roman" w:eastAsia="宋体" w:cs="Times New Roman"/>
          <w:sz w:val="24"/>
          <w:szCs w:val="20"/>
          <w:u w:val="single"/>
        </w:rPr>
        <w:t xml:space="preserve"> ***  </w:t>
      </w:r>
      <w:r>
        <w:rPr>
          <w:rFonts w:ascii="Times New Roman" w:hAnsi="Times New Roman" w:eastAsia="宋体" w:cs="Times New Roman"/>
          <w:sz w:val="24"/>
          <w:szCs w:val="20"/>
        </w:rPr>
        <w:t>个工作日内完成退货或换货。</w:t>
      </w:r>
    </w:p>
    <w:p w14:paraId="7E0369E4">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2、软件交付甲方使用后，若甲方在生产作业过程中发现软件确实存在以下问题的，甲方有权退还软件并且解除本合同，同时</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方须退还</w:t>
      </w:r>
      <w:r>
        <w:rPr>
          <w:rFonts w:hint="eastAsia" w:ascii="Times New Roman" w:hAnsi="Times New Roman" w:eastAsia="宋体" w:cs="Times New Roman"/>
          <w:sz w:val="24"/>
          <w:szCs w:val="20"/>
        </w:rPr>
        <w:t>乙方</w:t>
      </w:r>
      <w:r>
        <w:rPr>
          <w:rFonts w:ascii="Times New Roman" w:hAnsi="Times New Roman" w:eastAsia="宋体" w:cs="Times New Roman"/>
          <w:sz w:val="24"/>
          <w:szCs w:val="20"/>
        </w:rPr>
        <w:t>的所付款项。存在的情况为：</w:t>
      </w:r>
    </w:p>
    <w:p w14:paraId="52C81C81">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（1）软件不能正常安装的；</w:t>
      </w:r>
    </w:p>
    <w:p w14:paraId="2831CA85">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（2）软件的使用会影响甲方操作系统的稳定或其他软件的正常使用的；</w:t>
      </w:r>
    </w:p>
    <w:p w14:paraId="32FFD36C">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（3）软件的实际使用功能不能达到</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方软件承诺的功能，而</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方不能在</w:t>
      </w:r>
      <w:r>
        <w:rPr>
          <w:rFonts w:hint="eastAsia" w:ascii="Times New Roman" w:hAnsi="Times New Roman" w:eastAsia="宋体" w:cs="Times New Roman"/>
          <w:sz w:val="24"/>
          <w:szCs w:val="20"/>
          <w:u w:val="single"/>
        </w:rPr>
        <w:t>***</w:t>
      </w:r>
      <w:r>
        <w:rPr>
          <w:rFonts w:ascii="Times New Roman" w:hAnsi="Times New Roman" w:eastAsia="宋体" w:cs="Times New Roman"/>
          <w:sz w:val="24"/>
          <w:szCs w:val="20"/>
        </w:rPr>
        <w:t>个工作日内解决的。</w:t>
      </w:r>
    </w:p>
    <w:p w14:paraId="63FEE243">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3、</w:t>
      </w:r>
      <w:r>
        <w:rPr>
          <w:rFonts w:ascii="Times New Roman" w:hAnsi="Times New Roman" w:eastAsia="宋体" w:cs="Times New Roman"/>
          <w:sz w:val="24"/>
          <w:szCs w:val="20"/>
        </w:rPr>
        <w:t>甲方根据本合同条款提出退货或解除合同的，</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方应在收到甲方通知后</w:t>
      </w:r>
      <w:r>
        <w:rPr>
          <w:rFonts w:hint="eastAsia" w:ascii="Times New Roman" w:hAnsi="Times New Roman" w:eastAsia="宋体" w:cs="Times New Roman"/>
          <w:sz w:val="24"/>
          <w:szCs w:val="20"/>
          <w:u w:val="single"/>
        </w:rPr>
        <w:t>***</w:t>
      </w:r>
      <w:r>
        <w:rPr>
          <w:rFonts w:hint="eastAsia" w:ascii="Times New Roman" w:hAnsi="Times New Roman" w:eastAsia="宋体" w:cs="Times New Roman"/>
          <w:sz w:val="24"/>
          <w:szCs w:val="20"/>
        </w:rPr>
        <w:t>个工作</w:t>
      </w:r>
      <w:r>
        <w:rPr>
          <w:rFonts w:ascii="Times New Roman" w:hAnsi="Times New Roman" w:eastAsia="宋体" w:cs="Times New Roman"/>
          <w:sz w:val="24"/>
          <w:szCs w:val="20"/>
        </w:rPr>
        <w:t>日内退还</w:t>
      </w:r>
      <w:r>
        <w:rPr>
          <w:rFonts w:hint="eastAsia" w:ascii="Times New Roman" w:hAnsi="Times New Roman" w:eastAsia="宋体" w:cs="Times New Roman"/>
          <w:sz w:val="24"/>
          <w:szCs w:val="20"/>
        </w:rPr>
        <w:t>乙</w:t>
      </w:r>
      <w:r>
        <w:rPr>
          <w:rFonts w:ascii="Times New Roman" w:hAnsi="Times New Roman" w:eastAsia="宋体" w:cs="Times New Roman"/>
          <w:sz w:val="24"/>
          <w:szCs w:val="20"/>
        </w:rPr>
        <w:t>方全部已付款项。</w:t>
      </w:r>
    </w:p>
    <w:p w14:paraId="74ED59A4">
      <w:pPr>
        <w:spacing w:line="360" w:lineRule="auto"/>
        <w:rPr>
          <w:rFonts w:ascii="Times New Roman" w:hAnsi="Times New Roman" w:eastAsia="宋体" w:cs="Times New Roman"/>
          <w:b/>
          <w:sz w:val="24"/>
          <w:szCs w:val="24"/>
        </w:rPr>
      </w:pPr>
    </w:p>
    <w:p w14:paraId="02BEE5D4">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八、维护升级、售后服务</w:t>
      </w:r>
    </w:p>
    <w:p w14:paraId="284F7FAB">
      <w:pPr>
        <w:widowControl w:val="0"/>
        <w:numPr>
          <w:ilvl w:val="0"/>
          <w:numId w:val="14"/>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质保期（至验收合格之日起）：***年</w:t>
      </w:r>
    </w:p>
    <w:p w14:paraId="35F9EDF2">
      <w:pPr>
        <w:widowControl w:val="0"/>
        <w:numPr>
          <w:ilvl w:val="0"/>
          <w:numId w:val="14"/>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服务内容：（1）电话支持 （2）</w:t>
      </w:r>
      <w:r>
        <w:rPr>
          <w:rFonts w:hint="eastAsia" w:ascii="宋体" w:hAnsi="宋体" w:eastAsia="宋体" w:cs="Times New Roman"/>
          <w:color w:val="000000"/>
          <w:kern w:val="2"/>
          <w:sz w:val="24"/>
          <w:szCs w:val="24"/>
          <w:lang w:val="en-US" w:eastAsia="zh-CN" w:bidi="ar-SA"/>
        </w:rPr>
        <w:t>远程技术支持 （3）现场服务</w:t>
      </w:r>
    </w:p>
    <w:p w14:paraId="45EA18C7">
      <w:pPr>
        <w:widowControl w:val="0"/>
        <w:numPr>
          <w:ilvl w:val="0"/>
          <w:numId w:val="14"/>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宋体" w:hAnsi="宋体" w:eastAsia="宋体" w:cs="Times New Roman"/>
          <w:color w:val="000000"/>
          <w:kern w:val="2"/>
          <w:sz w:val="24"/>
          <w:szCs w:val="24"/>
          <w:lang w:val="en-US" w:eastAsia="zh-CN" w:bidi="ar-SA"/>
        </w:rPr>
        <w:t>报修响应方案：在质量保证期内，</w:t>
      </w: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方提供技术服务、升级服务并负责对运行中出现软件故障进行处理，根据实际故障情况</w:t>
      </w: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方派员负责查找故障原因并将系统恢复到正常运行状态。</w:t>
      </w: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方向业主方提供 7*24 小时的服务响应，保证业主方可以随时找到相应的技术人员，</w:t>
      </w: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方在接到用户电话、传真等通知后，30分钟内响应，将安排维保人员以在24小时之内赴现场分析故障原因，制定故障排除方案，最终排除故障，实际发生的全部费用由</w:t>
      </w: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方承担（包括交通费和住宿费等）。特殊情况无法修复的，质保期内</w:t>
      </w: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方无条件更换软件；或采取使系统可正常运转的措施。</w:t>
      </w: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方在故障修复同时，应提交详细的故障分析报告，并提出如何积极防范此种故障的建议。</w:t>
      </w:r>
    </w:p>
    <w:p w14:paraId="661EAF77">
      <w:pPr>
        <w:widowControl w:val="0"/>
        <w:numPr>
          <w:ilvl w:val="0"/>
          <w:numId w:val="14"/>
        </w:numPr>
        <w:spacing w:line="360" w:lineRule="auto"/>
        <w:ind w:left="420" w:hanging="420" w:firstLineChars="0"/>
        <w:jc w:val="both"/>
        <w:rPr>
          <w:rFonts w:ascii="宋体" w:hAnsi="宋体" w:eastAsia="宋体" w:cs="Times New Roman"/>
          <w:kern w:val="2"/>
          <w:sz w:val="24"/>
          <w:szCs w:val="24"/>
          <w:lang w:val="en-US" w:eastAsia="zh-CN" w:bidi="ar-SA"/>
        </w:rPr>
      </w:pPr>
      <w:r>
        <w:rPr>
          <w:rFonts w:hint="eastAsia" w:ascii="Times New Roman" w:hAnsi="Times New Roman" w:eastAsia="宋体" w:cs="Times New Roman"/>
          <w:kern w:val="2"/>
          <w:sz w:val="24"/>
          <w:szCs w:val="20"/>
          <w:lang w:val="en-US" w:eastAsia="zh-CN" w:bidi="ar-SA"/>
        </w:rPr>
        <w:t>维护升级标准：只要甲方需要丙方有义务更新软件至最新版。</w:t>
      </w:r>
    </w:p>
    <w:p w14:paraId="08997757">
      <w:pPr>
        <w:spacing w:line="360" w:lineRule="auto"/>
        <w:rPr>
          <w:rFonts w:ascii="宋体" w:hAnsi="宋体" w:eastAsia="宋体" w:cs="Times New Roman"/>
          <w:sz w:val="24"/>
          <w:szCs w:val="24"/>
        </w:rPr>
      </w:pPr>
    </w:p>
    <w:p w14:paraId="378F40F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九、责任和义务</w:t>
      </w:r>
    </w:p>
    <w:p w14:paraId="1CB9F96A">
      <w:pPr>
        <w:widowControl w:val="0"/>
        <w:numPr>
          <w:ilvl w:val="0"/>
          <w:numId w:val="15"/>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甲方责任：</w:t>
      </w:r>
      <w:r>
        <w:rPr>
          <w:rFonts w:ascii="宋体" w:hAnsi="宋体" w:eastAsia="宋体" w:cs="Times New Roman"/>
          <w:color w:val="000000"/>
          <w:kern w:val="2"/>
          <w:sz w:val="24"/>
          <w:szCs w:val="24"/>
          <w:lang w:val="en-US" w:eastAsia="zh-CN" w:bidi="ar-SA"/>
        </w:rPr>
        <w:t>甲方需准备好安装软件的环境，</w:t>
      </w:r>
      <w:r>
        <w:rPr>
          <w:rFonts w:hint="eastAsia" w:ascii="Times New Roman" w:hAnsi="Times New Roman" w:eastAsia="宋体" w:cs="Times New Roman"/>
          <w:kern w:val="2"/>
          <w:sz w:val="24"/>
          <w:szCs w:val="20"/>
          <w:lang w:val="en-US" w:eastAsia="zh-CN" w:bidi="ar-SA"/>
        </w:rPr>
        <w:t>丙</w:t>
      </w:r>
      <w:r>
        <w:rPr>
          <w:rFonts w:ascii="宋体" w:hAnsi="宋体" w:eastAsia="宋体" w:cs="Times New Roman"/>
          <w:color w:val="000000"/>
          <w:kern w:val="2"/>
          <w:sz w:val="24"/>
          <w:szCs w:val="24"/>
          <w:lang w:val="en-US" w:eastAsia="zh-CN" w:bidi="ar-SA"/>
        </w:rPr>
        <w:t>方需对甲方准备工作进行协助、指导。</w:t>
      </w:r>
    </w:p>
    <w:p w14:paraId="2FC21707">
      <w:pPr>
        <w:widowControl w:val="0"/>
        <w:numPr>
          <w:ilvl w:val="0"/>
          <w:numId w:val="15"/>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宋体" w:hAnsi="宋体" w:eastAsia="宋体" w:cs="Times New Roman"/>
          <w:color w:val="000000"/>
          <w:kern w:val="2"/>
          <w:sz w:val="24"/>
          <w:szCs w:val="24"/>
          <w:lang w:val="en-US" w:eastAsia="zh-CN" w:bidi="ar-SA"/>
        </w:rPr>
        <w:t>乙方责任：根据合同约定、甲方付款确认书</w:t>
      </w:r>
      <w:r>
        <w:rPr>
          <w:rFonts w:hint="eastAsia" w:ascii="Times New Roman" w:hAnsi="Times New Roman" w:eastAsia="宋体" w:cs="Times New Roman"/>
          <w:kern w:val="2"/>
          <w:sz w:val="24"/>
          <w:szCs w:val="24"/>
          <w:lang w:val="en-US" w:eastAsia="zh-CN" w:bidi="ar-SA"/>
        </w:rPr>
        <w:t>以及丙方提供的符合财务结算的相关票据，向丙方进行支付。</w:t>
      </w:r>
    </w:p>
    <w:p w14:paraId="06274A10">
      <w:pPr>
        <w:widowControl w:val="0"/>
        <w:numPr>
          <w:ilvl w:val="0"/>
          <w:numId w:val="15"/>
        </w:numPr>
        <w:spacing w:line="360" w:lineRule="auto"/>
        <w:ind w:left="420" w:hanging="420" w:firstLineChars="0"/>
        <w:jc w:val="both"/>
        <w:rPr>
          <w:rFonts w:ascii="宋体" w:hAnsi="宋体" w:eastAsia="宋体" w:cs="Times New Roman"/>
          <w:color w:val="000000"/>
          <w:kern w:val="2"/>
          <w:sz w:val="24"/>
          <w:szCs w:val="24"/>
          <w:lang w:val="en-US" w:eastAsia="zh-CN" w:bidi="ar-SA"/>
        </w:rPr>
      </w:pPr>
      <w:r>
        <w:rPr>
          <w:rFonts w:hint="eastAsia" w:ascii="Times New Roman" w:hAnsi="Times New Roman" w:eastAsia="宋体" w:cs="Times New Roman"/>
          <w:kern w:val="2"/>
          <w:sz w:val="24"/>
          <w:szCs w:val="20"/>
          <w:lang w:val="en-US" w:eastAsia="zh-CN" w:bidi="ar-SA"/>
        </w:rPr>
        <w:t>丙</w:t>
      </w:r>
      <w:r>
        <w:rPr>
          <w:rFonts w:hint="eastAsia" w:ascii="宋体" w:hAnsi="宋体" w:eastAsia="宋体" w:cs="Times New Roman"/>
          <w:color w:val="000000"/>
          <w:kern w:val="2"/>
          <w:sz w:val="24"/>
          <w:szCs w:val="24"/>
          <w:lang w:val="en-US" w:eastAsia="zh-CN" w:bidi="ar-SA"/>
        </w:rPr>
        <w:t>方责任：</w:t>
      </w:r>
    </w:p>
    <w:p w14:paraId="0A7793A9">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（1）</w:t>
      </w:r>
      <w:r>
        <w:rPr>
          <w:rFonts w:hint="eastAsia" w:ascii="Times New Roman" w:hAnsi="Times New Roman" w:eastAsia="宋体" w:cs="Times New Roman"/>
          <w:sz w:val="24"/>
          <w:szCs w:val="20"/>
        </w:rPr>
        <w:t>丙</w:t>
      </w:r>
      <w:r>
        <w:rPr>
          <w:rFonts w:ascii="Times New Roman" w:hAnsi="Times New Roman" w:eastAsia="宋体" w:cs="Times New Roman"/>
          <w:sz w:val="24"/>
          <w:szCs w:val="24"/>
        </w:rPr>
        <w:t>方保证其提供给甲方的软件产品享受厂方升级政策范围内的升级</w:t>
      </w:r>
      <w:r>
        <w:rPr>
          <w:rFonts w:hint="eastAsia" w:ascii="Times New Roman" w:hAnsi="Times New Roman" w:eastAsia="宋体" w:cs="Times New Roman"/>
          <w:sz w:val="24"/>
          <w:szCs w:val="24"/>
        </w:rPr>
        <w:t>和一切改良</w:t>
      </w:r>
      <w:r>
        <w:rPr>
          <w:rFonts w:ascii="Times New Roman" w:hAnsi="Times New Roman" w:eastAsia="宋体" w:cs="Times New Roman"/>
          <w:sz w:val="24"/>
          <w:szCs w:val="24"/>
        </w:rPr>
        <w:t>。</w:t>
      </w:r>
      <w:r>
        <w:rPr>
          <w:rFonts w:hint="eastAsia" w:ascii="宋体" w:hAnsi="宋体" w:eastAsia="宋体" w:cs="Times New Roman"/>
          <w:color w:val="000000"/>
          <w:sz w:val="24"/>
          <w:szCs w:val="24"/>
        </w:rPr>
        <w:t xml:space="preserve"> </w:t>
      </w:r>
    </w:p>
    <w:p w14:paraId="44EC7047">
      <w:pPr>
        <w:spacing w:line="360" w:lineRule="auto"/>
        <w:rPr>
          <w:rFonts w:ascii="宋体" w:hAnsi="宋体" w:eastAsia="宋体" w:cs="Times New Roman"/>
          <w:color w:val="000000"/>
          <w:sz w:val="24"/>
          <w:szCs w:val="24"/>
        </w:rPr>
      </w:pPr>
      <w:r>
        <w:rPr>
          <w:rFonts w:hint="eastAsia" w:ascii="宋体" w:hAnsi="宋体" w:eastAsia="宋体" w:cs="Times New Roman"/>
          <w:color w:val="000000"/>
          <w:sz w:val="24"/>
          <w:szCs w:val="24"/>
        </w:rPr>
        <w:t>（2）</w:t>
      </w:r>
      <w:r>
        <w:rPr>
          <w:rFonts w:hint="eastAsia" w:ascii="Times New Roman" w:hAnsi="Times New Roman" w:eastAsia="宋体" w:cs="Times New Roman"/>
          <w:sz w:val="24"/>
          <w:szCs w:val="20"/>
        </w:rPr>
        <w:t>丙</w:t>
      </w:r>
      <w:r>
        <w:rPr>
          <w:rFonts w:ascii="Times New Roman" w:hAnsi="Times New Roman" w:eastAsia="宋体" w:cs="Times New Roman"/>
          <w:sz w:val="24"/>
          <w:szCs w:val="24"/>
        </w:rPr>
        <w:t>方必须保证本合同所述软件是</w:t>
      </w:r>
      <w:r>
        <w:rPr>
          <w:rFonts w:hint="eastAsia" w:ascii="Times New Roman" w:hAnsi="Times New Roman" w:eastAsia="宋体" w:cs="Times New Roman"/>
          <w:sz w:val="24"/>
          <w:szCs w:val="24"/>
        </w:rPr>
        <w:t>丙</w:t>
      </w:r>
      <w:r>
        <w:rPr>
          <w:rFonts w:ascii="Times New Roman" w:hAnsi="Times New Roman" w:eastAsia="宋体" w:cs="Times New Roman"/>
          <w:sz w:val="24"/>
          <w:szCs w:val="24"/>
        </w:rPr>
        <w:t>方目前的最新版本</w:t>
      </w:r>
      <w:r>
        <w:rPr>
          <w:rFonts w:hint="eastAsia" w:ascii="Times New Roman" w:hAnsi="Times New Roman" w:eastAsia="宋体" w:cs="Times New Roman"/>
          <w:sz w:val="24"/>
          <w:szCs w:val="24"/>
        </w:rPr>
        <w:t>。</w:t>
      </w:r>
    </w:p>
    <w:p w14:paraId="105F4015">
      <w:pPr>
        <w:spacing w:line="360" w:lineRule="auto"/>
        <w:rPr>
          <w:rFonts w:ascii="Times New Roman" w:hAnsi="Times New Roman" w:eastAsia="宋体" w:cs="Times New Roman"/>
          <w:sz w:val="24"/>
          <w:szCs w:val="24"/>
        </w:rPr>
      </w:pPr>
      <w:r>
        <w:rPr>
          <w:rFonts w:hint="eastAsia" w:ascii="宋体" w:hAnsi="宋体" w:eastAsia="宋体" w:cs="Times New Roman"/>
          <w:color w:val="000000"/>
          <w:sz w:val="24"/>
          <w:szCs w:val="24"/>
        </w:rPr>
        <w:t>（3）</w:t>
      </w:r>
      <w:r>
        <w:rPr>
          <w:rFonts w:hint="eastAsia" w:ascii="Times New Roman" w:hAnsi="Times New Roman" w:eastAsia="宋体" w:cs="Times New Roman"/>
          <w:sz w:val="24"/>
          <w:szCs w:val="20"/>
        </w:rPr>
        <w:t>丙</w:t>
      </w:r>
      <w:r>
        <w:rPr>
          <w:rFonts w:ascii="Times New Roman" w:hAnsi="Times New Roman" w:eastAsia="宋体" w:cs="Times New Roman"/>
          <w:sz w:val="24"/>
          <w:szCs w:val="24"/>
        </w:rPr>
        <w:t>方负责以</w:t>
      </w:r>
      <w:r>
        <w:rPr>
          <w:rFonts w:hint="eastAsia" w:ascii="Times New Roman" w:hAnsi="Times New Roman" w:eastAsia="宋体" w:cs="Times New Roman"/>
          <w:sz w:val="24"/>
          <w:szCs w:val="24"/>
        </w:rPr>
        <w:t>软件功能的升级、维护和文档更新。</w:t>
      </w:r>
    </w:p>
    <w:p w14:paraId="6D7BA4A7">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（4）</w:t>
      </w:r>
      <w:r>
        <w:rPr>
          <w:rFonts w:ascii="Times New Roman" w:hAnsi="Times New Roman" w:eastAsia="宋体" w:cs="Times New Roman"/>
          <w:sz w:val="24"/>
          <w:szCs w:val="24"/>
        </w:rPr>
        <w:t>如甲方以后有需要对软件进行改动的，</w:t>
      </w:r>
      <w:r>
        <w:rPr>
          <w:rFonts w:hint="eastAsia" w:ascii="Times New Roman" w:hAnsi="Times New Roman" w:eastAsia="宋体" w:cs="Times New Roman"/>
          <w:sz w:val="24"/>
          <w:szCs w:val="20"/>
        </w:rPr>
        <w:t>丙</w:t>
      </w:r>
      <w:r>
        <w:rPr>
          <w:rFonts w:ascii="Times New Roman" w:hAnsi="Times New Roman" w:eastAsia="宋体" w:cs="Times New Roman"/>
          <w:sz w:val="24"/>
          <w:szCs w:val="24"/>
        </w:rPr>
        <w:t>方</w:t>
      </w:r>
      <w:r>
        <w:rPr>
          <w:rFonts w:hint="eastAsia" w:ascii="Times New Roman" w:hAnsi="Times New Roman" w:eastAsia="宋体" w:cs="Times New Roman"/>
          <w:sz w:val="24"/>
          <w:szCs w:val="24"/>
        </w:rPr>
        <w:t>免费进行改良。</w:t>
      </w:r>
    </w:p>
    <w:p w14:paraId="78D2A0B2">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（5）</w:t>
      </w:r>
      <w:r>
        <w:rPr>
          <w:rFonts w:hint="eastAsia" w:ascii="Times New Roman" w:hAnsi="Times New Roman" w:eastAsia="宋体" w:cs="Times New Roman"/>
          <w:sz w:val="24"/>
          <w:szCs w:val="20"/>
        </w:rPr>
        <w:t>丙</w:t>
      </w:r>
      <w:r>
        <w:rPr>
          <w:rFonts w:ascii="Times New Roman" w:hAnsi="Times New Roman" w:eastAsia="宋体" w:cs="Times New Roman"/>
          <w:sz w:val="24"/>
          <w:szCs w:val="24"/>
        </w:rPr>
        <w:t>方保证其软件系统不带有定期的密码输入</w:t>
      </w:r>
      <w:r>
        <w:rPr>
          <w:rFonts w:hint="eastAsia" w:ascii="Times New Roman" w:hAnsi="Times New Roman" w:eastAsia="宋体" w:cs="Times New Roman"/>
          <w:sz w:val="24"/>
          <w:szCs w:val="24"/>
        </w:rPr>
        <w:t>。</w:t>
      </w:r>
    </w:p>
    <w:p w14:paraId="671E7B93">
      <w:pPr>
        <w:spacing w:line="360" w:lineRule="auto"/>
        <w:rPr>
          <w:rFonts w:ascii="Times New Roman" w:hAnsi="Times New Roman" w:eastAsia="宋体" w:cs="Times New Roman"/>
          <w:sz w:val="24"/>
          <w:szCs w:val="24"/>
        </w:rPr>
      </w:pPr>
      <w:r>
        <w:rPr>
          <w:rFonts w:hint="eastAsia" w:ascii="Times New Roman" w:hAnsi="Times New Roman" w:eastAsia="宋体" w:cs="Times New Roman"/>
          <w:sz w:val="24"/>
          <w:szCs w:val="24"/>
        </w:rPr>
        <w:t>（6）</w:t>
      </w:r>
      <w:r>
        <w:rPr>
          <w:rFonts w:hint="eastAsia" w:ascii="Times New Roman" w:hAnsi="Times New Roman" w:eastAsia="宋体" w:cs="Times New Roman"/>
          <w:sz w:val="24"/>
          <w:szCs w:val="20"/>
        </w:rPr>
        <w:t>丙</w:t>
      </w:r>
      <w:r>
        <w:rPr>
          <w:rFonts w:ascii="Times New Roman" w:hAnsi="Times New Roman" w:eastAsia="宋体" w:cs="Times New Roman"/>
          <w:sz w:val="24"/>
          <w:szCs w:val="24"/>
        </w:rPr>
        <w:t>方的软件不可隐含任何恶意功能，包括但不限于病毒、蠕虫和特洛伊木马等程序，也不可以于未经甲方及其相关联</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"https://v.66law.cn/shuofa/gsf/gsfgd/" \t "_blank" \o "公司" </w:instrText>
      </w:r>
      <w:r>
        <w:rPr>
          <w:rFonts w:ascii="Times New Roman" w:hAnsi="Times New Roman" w:eastAsia="宋体" w:cs="Times New Roman"/>
          <w:szCs w:val="20"/>
        </w:rPr>
        <w:fldChar w:fldCharType="separate"/>
      </w:r>
      <w:r>
        <w:rPr>
          <w:rFonts w:ascii="Times New Roman" w:hAnsi="Times New Roman" w:eastAsia="宋体" w:cs="Times New Roman"/>
          <w:sz w:val="24"/>
          <w:szCs w:val="24"/>
        </w:rPr>
        <w:t>公司</w:t>
      </w:r>
      <w:r>
        <w:rPr>
          <w:rFonts w:ascii="Times New Roman" w:hAnsi="Times New Roman" w:eastAsia="宋体" w:cs="Times New Roman"/>
          <w:sz w:val="24"/>
          <w:szCs w:val="24"/>
        </w:rPr>
        <w:fldChar w:fldCharType="end"/>
      </w:r>
      <w:r>
        <w:rPr>
          <w:rFonts w:ascii="Times New Roman" w:hAnsi="Times New Roman" w:eastAsia="宋体" w:cs="Times New Roman"/>
          <w:sz w:val="24"/>
          <w:szCs w:val="24"/>
        </w:rPr>
        <w:t>授权下透过软件收集和扩散任何甲方及其相关联公司之数据各信息</w:t>
      </w:r>
      <w:r>
        <w:rPr>
          <w:rFonts w:hint="eastAsia" w:ascii="Times New Roman" w:hAnsi="Times New Roman" w:eastAsia="宋体" w:cs="Times New Roman"/>
          <w:sz w:val="24"/>
          <w:szCs w:val="24"/>
        </w:rPr>
        <w:t>。</w:t>
      </w:r>
    </w:p>
    <w:p w14:paraId="4AD03781">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4"/>
        </w:rPr>
        <w:t>（7）</w:t>
      </w:r>
      <w:r>
        <w:rPr>
          <w:rFonts w:hint="eastAsia" w:ascii="Times New Roman" w:hAnsi="Times New Roman" w:eastAsia="宋体" w:cs="Times New Roman"/>
          <w:sz w:val="24"/>
          <w:szCs w:val="20"/>
        </w:rPr>
        <w:t>丙方提供的软件服务需要严格遵守相关网络信息安全规定。</w:t>
      </w:r>
    </w:p>
    <w:p w14:paraId="7A391185">
      <w:pPr>
        <w:spacing w:line="360" w:lineRule="auto"/>
        <w:rPr>
          <w:rFonts w:ascii="宋体" w:hAnsi="宋体" w:eastAsia="宋体" w:cs="Times New Roman"/>
          <w:color w:val="000000"/>
          <w:sz w:val="24"/>
          <w:szCs w:val="24"/>
        </w:rPr>
      </w:pPr>
      <w:r>
        <w:rPr>
          <w:rFonts w:hint="eastAsia" w:ascii="Times New Roman" w:hAnsi="Times New Roman" w:eastAsia="宋体" w:cs="Times New Roman"/>
          <w:sz w:val="24"/>
          <w:szCs w:val="20"/>
        </w:rPr>
        <w:t>（8）丙方工作人员若因操作失误导致系统故障、数据遗失的，丙方应负责调试系统至正常使用状态并恢复数据，由此造成甲方损失的，丙方应承担赔偿责任。</w:t>
      </w:r>
    </w:p>
    <w:p w14:paraId="1AB32E82">
      <w:pPr>
        <w:spacing w:line="360" w:lineRule="auto"/>
        <w:rPr>
          <w:rFonts w:ascii="宋体" w:hAnsi="宋体" w:eastAsia="宋体" w:cs="Times New Roman"/>
          <w:sz w:val="24"/>
          <w:szCs w:val="24"/>
        </w:rPr>
      </w:pPr>
    </w:p>
    <w:p w14:paraId="35101F2E">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w:t>
      </w:r>
      <w:r>
        <w:rPr>
          <w:rFonts w:ascii="Times New Roman" w:hAnsi="Times New Roman" w:eastAsia="宋体" w:cs="Times New Roman"/>
          <w:b/>
          <w:sz w:val="24"/>
          <w:szCs w:val="24"/>
        </w:rPr>
        <w:t>保证条款</w:t>
      </w:r>
    </w:p>
    <w:p w14:paraId="3B50C97B">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方保证交付甲方的软件来源合法</w:t>
      </w:r>
      <w:r>
        <w:rPr>
          <w:rFonts w:hint="eastAsia" w:ascii="Times New Roman" w:hAnsi="Times New Roman" w:eastAsia="宋体" w:cs="Times New Roman"/>
          <w:sz w:val="24"/>
          <w:szCs w:val="20"/>
        </w:rPr>
        <w:t>。</w:t>
      </w:r>
    </w:p>
    <w:p w14:paraId="2A188B8C">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2、</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方保证提供给甲方的软件不侵犯任何第三方的合法权益，包括但不限于</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"https://www.66law.cn/special/shangbiaochaxun/" \t "_blank" \o "商标权" </w:instrText>
      </w:r>
      <w:r>
        <w:rPr>
          <w:rFonts w:ascii="Times New Roman" w:hAnsi="Times New Roman" w:eastAsia="宋体" w:cs="Times New Roman"/>
          <w:szCs w:val="20"/>
        </w:rPr>
        <w:fldChar w:fldCharType="separate"/>
      </w:r>
      <w:r>
        <w:rPr>
          <w:rFonts w:ascii="Times New Roman" w:hAnsi="Times New Roman" w:eastAsia="宋体" w:cs="Times New Roman"/>
          <w:sz w:val="24"/>
          <w:szCs w:val="20"/>
        </w:rPr>
        <w:t>商标权</w:t>
      </w:r>
      <w:r>
        <w:rPr>
          <w:rFonts w:ascii="Times New Roman" w:hAnsi="Times New Roman" w:eastAsia="宋体" w:cs="Times New Roman"/>
          <w:sz w:val="24"/>
          <w:szCs w:val="20"/>
        </w:rPr>
        <w:fldChar w:fldCharType="end"/>
      </w:r>
      <w:r>
        <w:rPr>
          <w:rFonts w:ascii="Times New Roman" w:hAnsi="Times New Roman" w:eastAsia="宋体" w:cs="Times New Roman"/>
          <w:sz w:val="24"/>
          <w:szCs w:val="20"/>
        </w:rPr>
        <w:t>、专利权或</w:t>
      </w:r>
      <w:r>
        <w:rPr>
          <w:rFonts w:ascii="Times New Roman" w:hAnsi="Times New Roman" w:eastAsia="宋体" w:cs="Times New Roman"/>
          <w:szCs w:val="20"/>
        </w:rPr>
        <w:fldChar w:fldCharType="begin"/>
      </w:r>
      <w:r>
        <w:rPr>
          <w:rFonts w:ascii="Times New Roman" w:hAnsi="Times New Roman" w:eastAsia="宋体" w:cs="Times New Roman"/>
          <w:szCs w:val="20"/>
        </w:rPr>
        <w:instrText xml:space="preserve"> HYPERLINK "https://www.66law.cn/special/symm/" \t "_blank" \o "商业秘密" </w:instrText>
      </w:r>
      <w:r>
        <w:rPr>
          <w:rFonts w:ascii="Times New Roman" w:hAnsi="Times New Roman" w:eastAsia="宋体" w:cs="Times New Roman"/>
          <w:szCs w:val="20"/>
        </w:rPr>
        <w:fldChar w:fldCharType="separate"/>
      </w:r>
      <w:r>
        <w:rPr>
          <w:rFonts w:ascii="Times New Roman" w:hAnsi="Times New Roman" w:eastAsia="宋体" w:cs="Times New Roman"/>
          <w:sz w:val="24"/>
          <w:szCs w:val="20"/>
        </w:rPr>
        <w:t>商业秘密</w:t>
      </w:r>
      <w:r>
        <w:rPr>
          <w:rFonts w:ascii="Times New Roman" w:hAnsi="Times New Roman" w:eastAsia="宋体" w:cs="Times New Roman"/>
          <w:sz w:val="24"/>
          <w:szCs w:val="20"/>
        </w:rPr>
        <w:fldChar w:fldCharType="end"/>
      </w:r>
      <w:r>
        <w:rPr>
          <w:rFonts w:ascii="Times New Roman" w:hAnsi="Times New Roman" w:eastAsia="宋体" w:cs="Times New Roman"/>
          <w:sz w:val="24"/>
          <w:szCs w:val="20"/>
        </w:rPr>
        <w:t>等。如出现第三方对甲方使用或销售本合同软件提出所有权异议、索赔等情况的，甲方有权拒绝并立即通知</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方，由</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方自行处理由此导致的问题，并且</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方应在自行承担相关费用的情况下按照甲方之要求采取必要的补救措施确保甲方的损失降至最低。</w:t>
      </w:r>
    </w:p>
    <w:p w14:paraId="1E5FD370">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3、如</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方出现不履行义务、迟延履行义务或其他瑕疵履行的，因此而产生的费用和导致甲方损失的责任均由</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方承担。</w:t>
      </w:r>
    </w:p>
    <w:p w14:paraId="11565D3E">
      <w:pPr>
        <w:spacing w:line="360" w:lineRule="auto"/>
        <w:rPr>
          <w:rFonts w:ascii="Times New Roman" w:hAnsi="Times New Roman" w:eastAsia="宋体" w:cs="Times New Roman"/>
          <w:b/>
          <w:sz w:val="24"/>
          <w:szCs w:val="24"/>
        </w:rPr>
      </w:pPr>
    </w:p>
    <w:p w14:paraId="6A966706">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十一、违约条款</w:t>
      </w:r>
    </w:p>
    <w:p w14:paraId="0878B07A">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1、丙方交付的软件质量不符合合同规定的，丙方应向甲方支付合同总价的百分之拾的违约金，并须在合同规定的交货时间内更换合格的软件给甲方，否则，视作丙方不能交付软件而违约，按本条本款下述第“2”项规定由丙方偿付违约赔偿金给甲方。</w:t>
      </w:r>
    </w:p>
    <w:p w14:paraId="2C494D30">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2、丙方不能交付软件或逾期交付软件而违约的，除应及时交足软件外，应向甲方偿付逾期交货部分货款总额的万分之五/天的违约金；逾期交货超过叁拾天，甲方有权终止合同，丙方则应按合同总价的百分之拾的款额向甲方偿付赔偿金，并须全额退还乙方已经付给丙方的货款及其利息。</w:t>
      </w:r>
    </w:p>
    <w:p w14:paraId="69A58E61">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3、丙方软件经甲方送交具有法定资格条件的质量技术监督机构检测后，如检测结果认定软件质量不符合本合同规定标准的，则视为丙方没有按时交货而违约，丙方须在柒天内无条件更换合格的软件，如逾期不能更换合格的软件，甲方有权终止本合同，丙方应另付合同总价的百分之拾的赔偿金给甲方。</w:t>
      </w:r>
    </w:p>
    <w:p w14:paraId="3BEDD340">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4、丙方保证本合同软件的权利无瑕疵，包括软件所有权及知识产权等权利无瑕疵。如任何第三方经法院（或仲裁机构）裁决有权对上述软件主张权利或国家机关依法对软件进行没收查处的，丙方除应向乙方返还已收款项外，还应另按合同总价的百分之拾向甲方支付违约金并赔偿因此给甲方造成的一切损失。</w:t>
      </w:r>
    </w:p>
    <w:p w14:paraId="1FE551B4">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5、甲乙丙三方因违约偿付的违约金不足以弥补非违约方损失的，还应按非违约方损失尚未弥补的部分，支付赔偿金给非违约方。</w:t>
      </w:r>
    </w:p>
    <w:p w14:paraId="72780527">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6、丙方提供的软件服务需要严格遵守相关网络信息安全规定。未经甲方允许，丙方不能擅自将系统中甲方的相关信息以任何形式透露给第三方，若有相关行为，甲方将依法追究其法律责任。</w:t>
      </w:r>
    </w:p>
    <w:p w14:paraId="4404DBBD">
      <w:pPr>
        <w:spacing w:line="360" w:lineRule="auto"/>
        <w:rPr>
          <w:rFonts w:ascii="宋体" w:hAnsi="宋体" w:eastAsia="宋体" w:cs="Tahoma"/>
          <w:sz w:val="22"/>
          <w:szCs w:val="22"/>
        </w:rPr>
      </w:pPr>
    </w:p>
    <w:p w14:paraId="2704AF1F">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十二、不可抗力</w:t>
      </w:r>
    </w:p>
    <w:p w14:paraId="3B9295EC">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1、不可抗力包括影响合同义务的执行的严重火灾、水灾、台风、地震、罢工等。</w:t>
      </w:r>
    </w:p>
    <w:p w14:paraId="5B0A0045">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2、不可抗力事故受到影响的一方应在</w:t>
      </w:r>
      <w:r>
        <w:rPr>
          <w:rFonts w:hint="eastAsia" w:ascii="Times New Roman" w:hAnsi="Times New Roman" w:eastAsia="宋体" w:cs="Times New Roman"/>
          <w:sz w:val="24"/>
          <w:szCs w:val="20"/>
        </w:rPr>
        <w:t xml:space="preserve"> *** </w:t>
      </w:r>
      <w:r>
        <w:rPr>
          <w:rFonts w:ascii="Times New Roman" w:hAnsi="Times New Roman" w:eastAsia="宋体" w:cs="Times New Roman"/>
          <w:sz w:val="24"/>
          <w:szCs w:val="20"/>
        </w:rPr>
        <w:t>个工作日内通知对方，并出具相关证明。当不可抗力事故消除后，受到影响的一方应尽快书面通知</w:t>
      </w:r>
      <w:r>
        <w:rPr>
          <w:rFonts w:hint="eastAsia" w:ascii="Times New Roman" w:hAnsi="Times New Roman" w:eastAsia="宋体" w:cs="Times New Roman"/>
          <w:sz w:val="24"/>
          <w:szCs w:val="20"/>
        </w:rPr>
        <w:t>其他</w:t>
      </w:r>
      <w:r>
        <w:rPr>
          <w:rFonts w:ascii="Times New Roman" w:hAnsi="Times New Roman" w:eastAsia="宋体" w:cs="Times New Roman"/>
          <w:sz w:val="24"/>
          <w:szCs w:val="20"/>
        </w:rPr>
        <w:t>方。</w:t>
      </w:r>
    </w:p>
    <w:p w14:paraId="748E55B2">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3、由于不可抗力事故而影响合同履行的，但不影响合同目的实现的，可延迟履行合同期限，延迟时间相当于事故所影响的时间。若不可抗力原因影响本合同执行时间超过</w:t>
      </w:r>
      <w:r>
        <w:rPr>
          <w:rFonts w:hint="eastAsia" w:ascii="Times New Roman" w:hAnsi="Times New Roman" w:eastAsia="宋体" w:cs="Times New Roman"/>
          <w:sz w:val="24"/>
          <w:szCs w:val="20"/>
        </w:rPr>
        <w:t>3个月，三方就合同签订履行事宜另行协商。</w:t>
      </w:r>
    </w:p>
    <w:p w14:paraId="1E86C274">
      <w:pPr>
        <w:spacing w:line="360" w:lineRule="auto"/>
        <w:rPr>
          <w:rFonts w:ascii="Times New Roman" w:hAnsi="Times New Roman" w:eastAsia="宋体" w:cs="Times New Roman"/>
          <w:b/>
          <w:sz w:val="24"/>
          <w:szCs w:val="24"/>
        </w:rPr>
      </w:pPr>
    </w:p>
    <w:p w14:paraId="18A7CD94">
      <w:pPr>
        <w:spacing w:line="360" w:lineRule="auto"/>
        <w:rPr>
          <w:rFonts w:ascii="Times New Roman" w:hAnsi="Times New Roman" w:eastAsia="宋体" w:cs="Times New Roman"/>
          <w:b/>
          <w:bCs/>
          <w:sz w:val="24"/>
          <w:szCs w:val="22"/>
        </w:rPr>
      </w:pPr>
      <w:r>
        <w:rPr>
          <w:rFonts w:hint="eastAsia" w:ascii="Times New Roman" w:hAnsi="Times New Roman" w:eastAsia="宋体" w:cs="Times New Roman"/>
          <w:b/>
          <w:sz w:val="24"/>
          <w:szCs w:val="24"/>
        </w:rPr>
        <w:t>十三、</w:t>
      </w:r>
      <w:r>
        <w:rPr>
          <w:rFonts w:hint="eastAsia" w:ascii="Times New Roman" w:hAnsi="Times New Roman" w:eastAsia="宋体" w:cs="Times New Roman"/>
          <w:b/>
          <w:bCs/>
          <w:sz w:val="24"/>
          <w:szCs w:val="22"/>
        </w:rPr>
        <w:t>知识产权及数据隐私保护</w:t>
      </w:r>
    </w:p>
    <w:p w14:paraId="7C8F2BE3">
      <w:pPr>
        <w:spacing w:line="360" w:lineRule="auto"/>
        <w:rPr>
          <w:rFonts w:ascii="Times New Roman" w:hAnsi="Times New Roman" w:eastAsia="宋体" w:cs="Times New Roman"/>
          <w:sz w:val="24"/>
          <w:szCs w:val="20"/>
        </w:rPr>
      </w:pPr>
      <w:r>
        <w:rPr>
          <w:rFonts w:ascii="Times New Roman" w:hAnsi="Times New Roman" w:eastAsia="宋体" w:cs="Times New Roman"/>
          <w:sz w:val="24"/>
          <w:szCs w:val="20"/>
        </w:rPr>
        <w:t>1、</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方必须对本合同履行过程中知悉的甲方的商业</w:t>
      </w:r>
      <w:r>
        <w:rPr>
          <w:rFonts w:hint="eastAsia" w:ascii="Times New Roman" w:hAnsi="Times New Roman" w:eastAsia="宋体" w:cs="Times New Roman"/>
          <w:sz w:val="24"/>
          <w:szCs w:val="20"/>
        </w:rPr>
        <w:t>技术</w:t>
      </w:r>
      <w:r>
        <w:rPr>
          <w:rFonts w:ascii="Times New Roman" w:hAnsi="Times New Roman" w:eastAsia="宋体" w:cs="Times New Roman"/>
          <w:sz w:val="24"/>
          <w:szCs w:val="20"/>
        </w:rPr>
        <w:t>秘密</w:t>
      </w:r>
      <w:r>
        <w:rPr>
          <w:rFonts w:hint="eastAsia" w:ascii="Times New Roman" w:hAnsi="Times New Roman" w:eastAsia="宋体" w:cs="Times New Roman"/>
          <w:sz w:val="24"/>
          <w:szCs w:val="20"/>
        </w:rPr>
        <w:t>、经营秘密、患者隐私数据等甲方未公开的信息</w:t>
      </w:r>
      <w:r>
        <w:rPr>
          <w:rFonts w:ascii="Times New Roman" w:hAnsi="Times New Roman" w:eastAsia="宋体" w:cs="Times New Roman"/>
          <w:sz w:val="24"/>
          <w:szCs w:val="20"/>
        </w:rPr>
        <w:t>负保密义务，不得向任何第三方透露</w:t>
      </w:r>
      <w:r>
        <w:rPr>
          <w:rFonts w:hint="eastAsia" w:ascii="Times New Roman" w:hAnsi="Times New Roman" w:eastAsia="宋体" w:cs="Times New Roman"/>
          <w:sz w:val="24"/>
          <w:szCs w:val="20"/>
        </w:rPr>
        <w:t>，不得用作本协议以外的其他用途</w:t>
      </w:r>
      <w:r>
        <w:rPr>
          <w:rFonts w:ascii="Times New Roman" w:hAnsi="Times New Roman" w:eastAsia="宋体" w:cs="Times New Roman"/>
          <w:sz w:val="24"/>
          <w:szCs w:val="20"/>
        </w:rPr>
        <w:t>。否则，</w:t>
      </w:r>
      <w:r>
        <w:rPr>
          <w:rFonts w:hint="eastAsia" w:ascii="Times New Roman" w:hAnsi="Times New Roman" w:eastAsia="宋体" w:cs="Times New Roman"/>
          <w:sz w:val="24"/>
          <w:szCs w:val="20"/>
        </w:rPr>
        <w:t>丙</w:t>
      </w:r>
      <w:r>
        <w:rPr>
          <w:rFonts w:ascii="Times New Roman" w:hAnsi="Times New Roman" w:eastAsia="宋体" w:cs="Times New Roman"/>
          <w:sz w:val="24"/>
          <w:szCs w:val="20"/>
        </w:rPr>
        <w:t>方应赔偿甲方因此造成的经济损失，包括但不限于实际损失、可得利益损失及为此支付的律师代理费用</w:t>
      </w:r>
      <w:r>
        <w:rPr>
          <w:rFonts w:hint="eastAsia" w:ascii="Times New Roman" w:hAnsi="Times New Roman" w:eastAsia="宋体" w:cs="Times New Roman"/>
          <w:sz w:val="24"/>
          <w:szCs w:val="20"/>
        </w:rPr>
        <w:t>、诉讼费、公告费、公证费、保全费等。保密期为永久。损失无法计算的，甲丙双方同意按照合同金额的1</w:t>
      </w:r>
      <w:r>
        <w:rPr>
          <w:rFonts w:ascii="Times New Roman" w:hAnsi="Times New Roman" w:eastAsia="宋体" w:cs="Times New Roman"/>
          <w:sz w:val="24"/>
          <w:szCs w:val="20"/>
        </w:rPr>
        <w:t>0</w:t>
      </w:r>
      <w:r>
        <w:rPr>
          <w:rFonts w:hint="eastAsia" w:ascii="Times New Roman" w:hAnsi="Times New Roman" w:eastAsia="宋体" w:cs="Times New Roman"/>
          <w:sz w:val="24"/>
          <w:szCs w:val="20"/>
        </w:rPr>
        <w:t>倍计算违约金，甲丙双方均不认为该违约金过高。</w:t>
      </w:r>
    </w:p>
    <w:p w14:paraId="074B1E44">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2</w:t>
      </w:r>
      <w:r>
        <w:rPr>
          <w:rFonts w:ascii="Times New Roman" w:hAnsi="Times New Roman" w:eastAsia="宋体" w:cs="Times New Roman"/>
          <w:sz w:val="24"/>
          <w:szCs w:val="20"/>
        </w:rPr>
        <w:t>、任何一方在未征得对方书面同意，不得将本合同的权利或义务转让给第三方。</w:t>
      </w:r>
      <w:r>
        <w:rPr>
          <w:rFonts w:hint="eastAsia" w:ascii="Times New Roman" w:hAnsi="Times New Roman" w:eastAsia="宋体" w:cs="Times New Roman"/>
          <w:sz w:val="24"/>
          <w:szCs w:val="20"/>
        </w:rPr>
        <w:t>否则，违约方按照合同金额</w:t>
      </w:r>
      <w:r>
        <w:rPr>
          <w:rFonts w:hint="eastAsia" w:ascii="Times New Roman" w:hAnsi="Times New Roman" w:eastAsia="宋体" w:cs="Times New Roman"/>
          <w:sz w:val="24"/>
          <w:szCs w:val="20"/>
          <w:u w:val="single"/>
        </w:rPr>
        <w:t xml:space="preserve">   </w:t>
      </w:r>
      <w:r>
        <w:rPr>
          <w:rFonts w:hint="eastAsia" w:ascii="Times New Roman" w:hAnsi="Times New Roman" w:eastAsia="宋体" w:cs="Times New Roman"/>
          <w:sz w:val="24"/>
          <w:szCs w:val="20"/>
        </w:rPr>
        <w:t>%支付违约金，违约金不足以弥补非违约方损失的，违约方予以补足。</w:t>
      </w:r>
    </w:p>
    <w:p w14:paraId="7078FB00">
      <w:pPr>
        <w:spacing w:line="360" w:lineRule="auto"/>
        <w:rPr>
          <w:rFonts w:ascii="Times New Roman" w:hAnsi="Times New Roman" w:eastAsia="宋体" w:cs="Times New Roman"/>
          <w:sz w:val="24"/>
          <w:szCs w:val="20"/>
        </w:rPr>
      </w:pPr>
      <w:r>
        <w:rPr>
          <w:rFonts w:hint="eastAsia" w:ascii="Times New Roman" w:hAnsi="Times New Roman" w:eastAsia="宋体" w:cs="Times New Roman"/>
          <w:sz w:val="24"/>
          <w:szCs w:val="20"/>
        </w:rPr>
        <w:t>3、甲、丙双方共同研发的该系统软件产品，知识产权归甲、丙双方共同拥有，软件所有数据归甲方所有。</w:t>
      </w:r>
    </w:p>
    <w:p w14:paraId="23AA23D9">
      <w:pPr>
        <w:spacing w:line="360" w:lineRule="auto"/>
        <w:rPr>
          <w:rFonts w:ascii="Times New Roman" w:hAnsi="Times New Roman" w:eastAsia="宋体" w:cs="Times New Roman"/>
          <w:sz w:val="24"/>
          <w:szCs w:val="20"/>
        </w:rPr>
      </w:pPr>
    </w:p>
    <w:p w14:paraId="58BA0144">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十四、廉洁约定</w:t>
      </w:r>
    </w:p>
    <w:p w14:paraId="4D145B27">
      <w:pPr>
        <w:spacing w:line="360" w:lineRule="auto"/>
        <w:ind w:firstLine="480" w:firstLineChars="200"/>
        <w:rPr>
          <w:rFonts w:ascii="Times New Roman" w:hAnsi="Times New Roman" w:eastAsia="宋体" w:cs="Times New Roman"/>
          <w:sz w:val="24"/>
          <w:szCs w:val="24"/>
        </w:rPr>
      </w:pPr>
      <w:r>
        <w:rPr>
          <w:rFonts w:hint="eastAsia" w:ascii="Times New Roman" w:hAnsi="Times New Roman" w:eastAsia="宋体" w:cs="Times New Roman"/>
          <w:sz w:val="24"/>
          <w:szCs w:val="24"/>
        </w:rPr>
        <w:t>甲乙丙三方及相关人员均应严格遵守有关廉洁规定，共同签署《廉洁购销协议》。任一一方或相关人员如有商业贿赂等违法违纪行为，非违约方可单方解除合同，解除合同造成的损失由违约方承担。</w:t>
      </w:r>
    </w:p>
    <w:p w14:paraId="23AD6589">
      <w:pPr>
        <w:spacing w:line="360" w:lineRule="auto"/>
        <w:ind w:firstLine="480" w:firstLineChars="200"/>
        <w:rPr>
          <w:rFonts w:ascii="Times New Roman" w:hAnsi="Times New Roman" w:eastAsia="宋体" w:cs="Times New Roman"/>
          <w:sz w:val="24"/>
          <w:szCs w:val="24"/>
        </w:rPr>
      </w:pPr>
    </w:p>
    <w:p w14:paraId="66937CDA">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十五、合同生效</w:t>
      </w:r>
    </w:p>
    <w:p w14:paraId="7029C074">
      <w:pPr>
        <w:widowControl w:val="0"/>
        <w:numPr>
          <w:ilvl w:val="0"/>
          <w:numId w:val="16"/>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本合同在甲乙丙三方法定代表人、负责人或授权代表签字并加盖单位公章或合同专用章后生效。</w:t>
      </w:r>
    </w:p>
    <w:p w14:paraId="09DFB2DE">
      <w:pPr>
        <w:widowControl w:val="0"/>
        <w:numPr>
          <w:ilvl w:val="0"/>
          <w:numId w:val="16"/>
        </w:numPr>
        <w:spacing w:line="360" w:lineRule="auto"/>
        <w:ind w:left="480" w:hanging="480" w:firstLineChars="0"/>
        <w:jc w:val="both"/>
        <w:rPr>
          <w:rFonts w:ascii="Times New Roman" w:hAnsi="Times New Roman" w:eastAsia="宋体" w:cs="Times New Roman"/>
          <w:kern w:val="2"/>
          <w:sz w:val="24"/>
          <w:szCs w:val="24"/>
          <w:lang w:val="en-US" w:eastAsia="zh-CN" w:bidi="ar-SA"/>
        </w:rPr>
      </w:pPr>
      <w:r>
        <w:rPr>
          <w:rFonts w:hint="eastAsia" w:ascii="Times New Roman" w:hAnsi="Times New Roman" w:eastAsia="宋体" w:cs="Times New Roman"/>
          <w:kern w:val="2"/>
          <w:sz w:val="24"/>
          <w:szCs w:val="24"/>
          <w:lang w:val="en-US" w:eastAsia="zh-CN" w:bidi="ar-SA"/>
        </w:rPr>
        <w:t>本合同一式</w:t>
      </w:r>
      <w:r>
        <w:rPr>
          <w:rFonts w:hint="eastAsia" w:ascii="Times New Roman" w:hAnsi="Times New Roman" w:eastAsia="宋体" w:cs="Times New Roman"/>
          <w:kern w:val="2"/>
          <w:sz w:val="24"/>
          <w:szCs w:val="24"/>
          <w:u w:val="single"/>
          <w:lang w:val="en-US" w:eastAsia="zh-CN" w:bidi="ar-SA"/>
        </w:rPr>
        <w:t>***</w:t>
      </w:r>
      <w:r>
        <w:rPr>
          <w:rFonts w:hint="eastAsia" w:ascii="Times New Roman" w:hAnsi="Times New Roman" w:eastAsia="宋体" w:cs="Times New Roman"/>
          <w:kern w:val="2"/>
          <w:sz w:val="24"/>
          <w:szCs w:val="24"/>
          <w:lang w:val="en-US" w:eastAsia="zh-CN" w:bidi="ar-SA"/>
        </w:rPr>
        <w:t>份，甲方执四份，乙方执</w:t>
      </w:r>
      <w:r>
        <w:rPr>
          <w:rFonts w:hint="eastAsia" w:ascii="Times New Roman" w:hAnsi="Times New Roman" w:eastAsia="宋体" w:cs="Times New Roman"/>
          <w:kern w:val="2"/>
          <w:sz w:val="24"/>
          <w:szCs w:val="24"/>
          <w:u w:val="single"/>
          <w:lang w:val="en-US" w:eastAsia="zh-CN" w:bidi="ar-SA"/>
        </w:rPr>
        <w:t>四</w:t>
      </w:r>
      <w:r>
        <w:rPr>
          <w:rFonts w:hint="eastAsia" w:ascii="Times New Roman" w:hAnsi="Times New Roman" w:eastAsia="宋体" w:cs="Times New Roman"/>
          <w:kern w:val="2"/>
          <w:sz w:val="24"/>
          <w:szCs w:val="24"/>
          <w:lang w:val="en-US" w:eastAsia="zh-CN" w:bidi="ar-SA"/>
        </w:rPr>
        <w:t>份，丙方</w:t>
      </w:r>
      <w:r>
        <w:rPr>
          <w:rFonts w:hint="eastAsia" w:ascii="Times New Roman" w:hAnsi="Times New Roman" w:eastAsia="宋体" w:cs="Times New Roman"/>
          <w:kern w:val="2"/>
          <w:sz w:val="24"/>
          <w:szCs w:val="24"/>
          <w:u w:val="single"/>
          <w:lang w:val="en-US" w:eastAsia="zh-CN" w:bidi="ar-SA"/>
        </w:rPr>
        <w:t>***</w:t>
      </w:r>
      <w:r>
        <w:rPr>
          <w:rFonts w:hint="eastAsia" w:ascii="Times New Roman" w:hAnsi="Times New Roman" w:eastAsia="宋体" w:cs="Times New Roman"/>
          <w:kern w:val="2"/>
          <w:sz w:val="24"/>
          <w:szCs w:val="24"/>
          <w:lang w:val="en-US" w:eastAsia="zh-CN" w:bidi="ar-SA"/>
        </w:rPr>
        <w:t xml:space="preserve"> 份。</w:t>
      </w:r>
    </w:p>
    <w:p w14:paraId="1F9893E5">
      <w:pPr>
        <w:spacing w:line="360" w:lineRule="auto"/>
        <w:rPr>
          <w:rFonts w:ascii="Times New Roman" w:hAnsi="Times New Roman" w:eastAsia="宋体" w:cs="Times New Roman"/>
          <w:sz w:val="24"/>
          <w:szCs w:val="24"/>
        </w:rPr>
      </w:pPr>
    </w:p>
    <w:p w14:paraId="07DA6CFE">
      <w:pPr>
        <w:spacing w:line="360" w:lineRule="auto"/>
        <w:rPr>
          <w:rFonts w:ascii="仿宋" w:hAnsi="仿宋" w:eastAsia="仿宋" w:cs="Times New Roman"/>
          <w:sz w:val="32"/>
          <w:szCs w:val="32"/>
        </w:rPr>
      </w:pPr>
      <w:r>
        <w:rPr>
          <w:rFonts w:hint="eastAsia" w:ascii="Times New Roman" w:hAnsi="Times New Roman" w:eastAsia="宋体" w:cs="Times New Roman"/>
          <w:b/>
          <w:sz w:val="24"/>
          <w:szCs w:val="24"/>
        </w:rPr>
        <w:t>十六、争议解决方式</w:t>
      </w:r>
    </w:p>
    <w:p w14:paraId="4F99A024">
      <w:pPr>
        <w:widowControl w:val="0"/>
        <w:numPr>
          <w:ilvl w:val="0"/>
          <w:numId w:val="17"/>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宋体"/>
          <w:kern w:val="2"/>
          <w:sz w:val="24"/>
          <w:szCs w:val="24"/>
          <w:lang w:val="en-US" w:eastAsia="zh-CN" w:bidi="ar-SA"/>
        </w:rPr>
        <w:t>因交付服务及货物（若有）质量发生争议，由质量技术监督部门或其指定的质量鉴定机构进行质量鉴定。服务及货物（若有）符合标准的，鉴定费由甲方承担；服务及货物（若有）不符合质量标准的，鉴定费由丙方承担。</w:t>
      </w:r>
    </w:p>
    <w:p w14:paraId="622A5005">
      <w:pPr>
        <w:widowControl w:val="0"/>
        <w:numPr>
          <w:ilvl w:val="0"/>
          <w:numId w:val="17"/>
        </w:numPr>
        <w:tabs>
          <w:tab w:val="left" w:pos="540"/>
        </w:tabs>
        <w:spacing w:after="120" w:afterLines="50" w:line="360" w:lineRule="auto"/>
        <w:ind w:left="480" w:hanging="480" w:firstLineChars="0"/>
        <w:jc w:val="both"/>
        <w:outlineLvl w:val="2"/>
        <w:rPr>
          <w:rFonts w:ascii="宋体" w:hAnsi="宋体" w:eastAsia="宋体" w:cs="Times New Roman"/>
          <w:kern w:val="2"/>
          <w:sz w:val="24"/>
          <w:szCs w:val="24"/>
          <w:lang w:val="en-US" w:eastAsia="zh-CN" w:bidi="ar-SA"/>
        </w:rPr>
      </w:pPr>
      <w:r>
        <w:rPr>
          <w:rFonts w:hint="eastAsia" w:ascii="宋体" w:hAnsi="宋体" w:eastAsia="宋体" w:cs="Times New Roman"/>
          <w:kern w:val="2"/>
          <w:sz w:val="24"/>
          <w:szCs w:val="24"/>
          <w:lang w:val="en-US" w:eastAsia="zh-CN" w:bidi="ar-SA"/>
        </w:rPr>
        <w:t>合同履行期间,若双方发生争议，可协商或由有关部门调解解决，协商或调解不成的，任何一方均有权向甲方住所地管辖权的人民法院起诉。</w:t>
      </w:r>
    </w:p>
    <w:p w14:paraId="7516AC77">
      <w:pPr>
        <w:tabs>
          <w:tab w:val="left" w:pos="540"/>
        </w:tabs>
        <w:spacing w:after="120" w:afterLines="50" w:line="360" w:lineRule="auto"/>
        <w:outlineLvl w:val="2"/>
        <w:rPr>
          <w:rFonts w:ascii="宋体" w:hAnsi="宋体" w:eastAsia="宋体" w:cs="Times New Roman"/>
          <w:sz w:val="24"/>
          <w:szCs w:val="24"/>
        </w:rPr>
      </w:pPr>
    </w:p>
    <w:p w14:paraId="021EAAD3">
      <w:pPr>
        <w:spacing w:line="360" w:lineRule="auto"/>
        <w:rPr>
          <w:rFonts w:ascii="Times New Roman" w:hAnsi="Times New Roman" w:eastAsia="宋体" w:cs="Times New Roman"/>
          <w:b/>
          <w:sz w:val="24"/>
          <w:szCs w:val="24"/>
        </w:rPr>
      </w:pPr>
      <w:r>
        <w:rPr>
          <w:rFonts w:hint="eastAsia" w:ascii="Times New Roman" w:hAnsi="Times New Roman" w:eastAsia="宋体" w:cs="Times New Roman"/>
          <w:b/>
          <w:sz w:val="24"/>
          <w:szCs w:val="24"/>
        </w:rPr>
        <w:t>十七、双方需要说明的其他事项（如有）</w:t>
      </w:r>
    </w:p>
    <w:p w14:paraId="11E65E17">
      <w:pPr>
        <w:spacing w:line="360" w:lineRule="auto"/>
        <w:ind w:firstLine="480" w:firstLineChars="200"/>
        <w:rPr>
          <w:rFonts w:ascii="宋体" w:hAnsi="宋体" w:eastAsia="宋体" w:cs="Times New Roman"/>
          <w:sz w:val="24"/>
          <w:szCs w:val="24"/>
        </w:rPr>
      </w:pPr>
      <w:r>
        <w:rPr>
          <w:rFonts w:hint="eastAsia" w:ascii="宋体" w:hAnsi="宋体" w:eastAsia="宋体" w:cs="Times New Roman"/>
          <w:sz w:val="24"/>
          <w:szCs w:val="24"/>
        </w:rPr>
        <w:t>协议内容应符合各方行业的监管要求，若遇国家监管政策调整导致任何一方不能继续履约，合同当事人有权解除或终止协议，且不承担违约或损失赔偿责任等相关条款。</w:t>
      </w:r>
    </w:p>
    <w:p w14:paraId="69938FEF">
      <w:pPr>
        <w:spacing w:line="360" w:lineRule="auto"/>
        <w:outlineLvl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（以下无正文）</w:t>
      </w:r>
    </w:p>
    <w:p w14:paraId="49C85437">
      <w:pPr>
        <w:spacing w:line="360" w:lineRule="auto"/>
        <w:outlineLvl w:val="0"/>
        <w:rPr>
          <w:rFonts w:ascii="Times New Roman" w:hAnsi="Times New Roman" w:eastAsia="宋体" w:cs="Times New Roman"/>
          <w:b/>
          <w:bCs/>
          <w:sz w:val="24"/>
          <w:szCs w:val="24"/>
        </w:rPr>
      </w:pPr>
    </w:p>
    <w:p w14:paraId="770F692B">
      <w:pPr>
        <w:spacing w:line="360" w:lineRule="auto"/>
        <w:outlineLvl w:val="0"/>
        <w:rPr>
          <w:rFonts w:ascii="Times New Roman" w:hAnsi="Times New Roman" w:eastAsia="宋体" w:cs="Times New Roman"/>
          <w:b/>
          <w:bCs/>
          <w:sz w:val="24"/>
          <w:szCs w:val="24"/>
        </w:rPr>
      </w:pPr>
      <w:r>
        <w:rPr>
          <w:rFonts w:hint="eastAsia" w:ascii="Times New Roman" w:hAnsi="Times New Roman" w:eastAsia="宋体" w:cs="Times New Roman"/>
          <w:b/>
          <w:bCs/>
          <w:sz w:val="24"/>
          <w:szCs w:val="24"/>
        </w:rPr>
        <w:t>签约方：</w:t>
      </w:r>
    </w:p>
    <w:tbl>
      <w:tblPr>
        <w:tblStyle w:val="19"/>
        <w:tblW w:w="9854"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4927"/>
        <w:gridCol w:w="4927"/>
      </w:tblGrid>
      <w:tr w14:paraId="613864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35266532">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甲方：四川省人民医院</w:t>
            </w:r>
          </w:p>
          <w:p w14:paraId="43BF4FC4">
            <w:pPr>
              <w:spacing w:line="360" w:lineRule="auto"/>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494C4B8A">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乙方：</w:t>
            </w:r>
          </w:p>
          <w:p w14:paraId="5BB1D8A7">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负责人（授权代表）：</w:t>
            </w:r>
          </w:p>
        </w:tc>
      </w:tr>
      <w:tr w14:paraId="667AE4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BAABBA3">
            <w:pPr>
              <w:spacing w:line="360" w:lineRule="auto"/>
              <w:rPr>
                <w:rFonts w:ascii="宋体" w:hAnsi="宋体" w:eastAsia="宋体" w:cs="Times New Roman"/>
                <w:sz w:val="24"/>
                <w:szCs w:val="24"/>
              </w:rPr>
            </w:pPr>
          </w:p>
        </w:tc>
        <w:tc>
          <w:tcPr>
            <w:tcW w:w="4927" w:type="dxa"/>
            <w:vAlign w:val="center"/>
          </w:tcPr>
          <w:p w14:paraId="73BA0860">
            <w:pPr>
              <w:spacing w:line="360" w:lineRule="auto"/>
              <w:outlineLvl w:val="0"/>
              <w:rPr>
                <w:rFonts w:ascii="宋体" w:hAnsi="宋体" w:eastAsia="宋体" w:cs="Times New Roman"/>
                <w:sz w:val="24"/>
                <w:szCs w:val="24"/>
              </w:rPr>
            </w:pPr>
          </w:p>
        </w:tc>
      </w:tr>
      <w:tr w14:paraId="080563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02C1AE1">
            <w:pPr>
              <w:spacing w:line="360" w:lineRule="auto"/>
              <w:rPr>
                <w:rFonts w:ascii="宋体" w:hAnsi="宋体" w:eastAsia="宋体" w:cs="Times New Roman"/>
                <w:sz w:val="24"/>
                <w:szCs w:val="24"/>
              </w:rPr>
            </w:pPr>
          </w:p>
        </w:tc>
        <w:tc>
          <w:tcPr>
            <w:tcW w:w="4927" w:type="dxa"/>
            <w:vAlign w:val="center"/>
          </w:tcPr>
          <w:p w14:paraId="4E18FDF1">
            <w:pPr>
              <w:spacing w:line="360" w:lineRule="auto"/>
              <w:outlineLvl w:val="0"/>
              <w:rPr>
                <w:rFonts w:ascii="宋体" w:hAnsi="宋体" w:eastAsia="宋体" w:cs="Times New Roman"/>
                <w:sz w:val="24"/>
                <w:szCs w:val="24"/>
              </w:rPr>
            </w:pPr>
          </w:p>
        </w:tc>
      </w:tr>
      <w:tr w14:paraId="2BF76C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7494C163">
            <w:pPr>
              <w:spacing w:line="360" w:lineRule="auto"/>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3CF431C0">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r>
      <w:tr w14:paraId="4E5DE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5A72A5F0">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丙方：</w:t>
            </w:r>
          </w:p>
          <w:p w14:paraId="1A8FC1BE">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法定代表人（授权代表）：</w:t>
            </w:r>
          </w:p>
        </w:tc>
        <w:tc>
          <w:tcPr>
            <w:tcW w:w="4927" w:type="dxa"/>
            <w:vAlign w:val="center"/>
          </w:tcPr>
          <w:p w14:paraId="7949EE73">
            <w:pPr>
              <w:spacing w:line="360" w:lineRule="auto"/>
              <w:outlineLvl w:val="0"/>
              <w:rPr>
                <w:rFonts w:ascii="宋体" w:hAnsi="宋体" w:eastAsia="宋体" w:cs="Times New Roman"/>
                <w:sz w:val="24"/>
                <w:szCs w:val="24"/>
              </w:rPr>
            </w:pPr>
          </w:p>
        </w:tc>
      </w:tr>
      <w:tr w14:paraId="7B4B1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60A236FC">
            <w:pPr>
              <w:spacing w:line="360" w:lineRule="auto"/>
              <w:outlineLvl w:val="0"/>
              <w:rPr>
                <w:rFonts w:ascii="宋体" w:hAnsi="宋体" w:eastAsia="宋体" w:cs="Times New Roman"/>
                <w:sz w:val="24"/>
                <w:szCs w:val="24"/>
              </w:rPr>
            </w:pPr>
          </w:p>
        </w:tc>
        <w:tc>
          <w:tcPr>
            <w:tcW w:w="4927" w:type="dxa"/>
            <w:vAlign w:val="center"/>
          </w:tcPr>
          <w:p w14:paraId="5AC0CCBE">
            <w:pPr>
              <w:spacing w:line="360" w:lineRule="auto"/>
              <w:outlineLvl w:val="0"/>
              <w:rPr>
                <w:rFonts w:ascii="宋体" w:hAnsi="宋体" w:eastAsia="宋体" w:cs="Times New Roman"/>
                <w:sz w:val="24"/>
                <w:szCs w:val="24"/>
              </w:rPr>
            </w:pPr>
          </w:p>
        </w:tc>
      </w:tr>
      <w:tr w14:paraId="69C1074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21A8D558">
            <w:pPr>
              <w:spacing w:line="360" w:lineRule="auto"/>
              <w:outlineLvl w:val="0"/>
              <w:rPr>
                <w:rFonts w:ascii="宋体" w:hAnsi="宋体" w:eastAsia="宋体" w:cs="Times New Roman"/>
                <w:sz w:val="24"/>
                <w:szCs w:val="24"/>
              </w:rPr>
            </w:pPr>
          </w:p>
        </w:tc>
        <w:tc>
          <w:tcPr>
            <w:tcW w:w="4927" w:type="dxa"/>
            <w:vAlign w:val="center"/>
          </w:tcPr>
          <w:p w14:paraId="3B34C46F">
            <w:pPr>
              <w:spacing w:line="360" w:lineRule="auto"/>
              <w:outlineLvl w:val="0"/>
              <w:rPr>
                <w:rFonts w:ascii="宋体" w:hAnsi="宋体" w:eastAsia="宋体" w:cs="Times New Roman"/>
                <w:sz w:val="24"/>
                <w:szCs w:val="24"/>
              </w:rPr>
            </w:pPr>
          </w:p>
        </w:tc>
      </w:tr>
      <w:tr w14:paraId="542B63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c>
          <w:tcPr>
            <w:tcW w:w="4927" w:type="dxa"/>
            <w:vAlign w:val="center"/>
          </w:tcPr>
          <w:p w14:paraId="4B99D382">
            <w:pPr>
              <w:spacing w:line="360" w:lineRule="auto"/>
              <w:outlineLvl w:val="0"/>
              <w:rPr>
                <w:rFonts w:ascii="宋体" w:hAnsi="宋体" w:eastAsia="宋体" w:cs="Times New Roman"/>
                <w:sz w:val="24"/>
                <w:szCs w:val="24"/>
              </w:rPr>
            </w:pPr>
            <w:r>
              <w:rPr>
                <w:rFonts w:hint="eastAsia" w:ascii="宋体" w:hAnsi="宋体" w:eastAsia="宋体" w:cs="Times New Roman"/>
                <w:sz w:val="24"/>
                <w:szCs w:val="24"/>
              </w:rPr>
              <w:t>签约日期：     年   月   日</w:t>
            </w:r>
          </w:p>
        </w:tc>
        <w:tc>
          <w:tcPr>
            <w:tcW w:w="4927" w:type="dxa"/>
            <w:vAlign w:val="center"/>
          </w:tcPr>
          <w:p w14:paraId="2932B524">
            <w:pPr>
              <w:spacing w:line="360" w:lineRule="auto"/>
              <w:outlineLvl w:val="0"/>
              <w:rPr>
                <w:rFonts w:ascii="宋体" w:hAnsi="宋体" w:eastAsia="宋体" w:cs="Times New Roman"/>
                <w:sz w:val="24"/>
                <w:szCs w:val="24"/>
              </w:rPr>
            </w:pPr>
          </w:p>
        </w:tc>
      </w:tr>
    </w:tbl>
    <w:p w14:paraId="5E0CCF98">
      <w:pPr>
        <w:spacing w:line="460" w:lineRule="exact"/>
        <w:outlineLvl w:val="0"/>
        <w:rPr>
          <w:rFonts w:ascii="STZhongsong" w:hAnsi="STZhongsong" w:eastAsia="STZhongsong" w:cs="Times New Roman"/>
          <w:sz w:val="24"/>
          <w:szCs w:val="24"/>
        </w:rPr>
      </w:pPr>
      <w:r>
        <w:rPr>
          <w:rFonts w:hint="eastAsia" w:ascii="STZhongsong" w:hAnsi="STZhongsong" w:eastAsia="STZhongsong" w:cs="Times New Roman"/>
          <w:sz w:val="24"/>
          <w:szCs w:val="24"/>
        </w:rPr>
        <w:t>附件：开发期的安排</w:t>
      </w:r>
    </w:p>
    <w:p w14:paraId="059B22F4">
      <w:pPr>
        <w:rPr>
          <w:rFonts w:ascii="Times New Roman" w:hAnsi="Times New Roman" w:eastAsia="宋体" w:cs="Times New Roman"/>
          <w:szCs w:val="20"/>
        </w:rPr>
      </w:pPr>
    </w:p>
    <w:p w14:paraId="0DB7B7C6">
      <w:pPr>
        <w:rPr>
          <w:rFonts w:ascii="Times New Roman" w:hAnsi="Times New Roman" w:cs="Times New Roman"/>
          <w:b/>
          <w:bCs/>
          <w:sz w:val="44"/>
          <w:szCs w:val="52"/>
        </w:rPr>
      </w:pPr>
    </w:p>
    <w:p w14:paraId="3650DF39">
      <w:pPr>
        <w:rPr>
          <w:rFonts w:ascii="Times New Roman" w:hAnsi="Times New Roman" w:cs="Times New Roman"/>
          <w:b/>
          <w:bCs/>
          <w:sz w:val="44"/>
          <w:szCs w:val="52"/>
        </w:rPr>
      </w:pPr>
      <w:r>
        <w:rPr>
          <w:rFonts w:ascii="Times New Roman" w:hAnsi="Times New Roman" w:cs="Times New Roman"/>
          <w:b/>
          <w:bCs/>
          <w:sz w:val="44"/>
          <w:szCs w:val="52"/>
        </w:rPr>
        <w:br w:type="page"/>
      </w:r>
    </w:p>
    <w:p w14:paraId="57906FDD">
      <w:pPr>
        <w:jc w:val="center"/>
        <w:rPr>
          <w:rFonts w:ascii="Times New Roman" w:hAnsi="Times New Roman" w:cs="Times New Roman"/>
          <w:b/>
          <w:bCs/>
          <w:sz w:val="44"/>
          <w:szCs w:val="52"/>
        </w:rPr>
      </w:pPr>
      <w:r>
        <w:rPr>
          <w:rFonts w:ascii="Times New Roman" w:hAnsi="Times New Roman" w:cs="Times New Roman"/>
          <w:b/>
          <w:bCs/>
          <w:sz w:val="44"/>
          <w:szCs w:val="52"/>
        </w:rPr>
        <w:t>廉洁购销协议</w:t>
      </w:r>
    </w:p>
    <w:p w14:paraId="5B20492D">
      <w:pPr>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w:t>
      </w:r>
    </w:p>
    <w:p w14:paraId="00A41FAA">
      <w:pPr>
        <w:rPr>
          <w:rFonts w:ascii="Times New Roman" w:hAnsi="Times New Roman" w:eastAsia="仿宋" w:cs="Times New Roman"/>
          <w:sz w:val="28"/>
          <w:szCs w:val="28"/>
        </w:rPr>
      </w:pPr>
      <w:r>
        <w:rPr>
          <w:rFonts w:ascii="Times New Roman" w:hAnsi="Times New Roman" w:eastAsia="仿宋" w:cs="Times New Roman"/>
          <w:sz w:val="28"/>
          <w:szCs w:val="28"/>
        </w:rPr>
        <w:t>乙方：</w:t>
      </w:r>
    </w:p>
    <w:p w14:paraId="335F67D8">
      <w:pPr>
        <w:ind w:firstLine="560" w:firstLineChars="200"/>
        <w:rPr>
          <w:rFonts w:ascii="Times New Roman" w:hAnsi="Times New Roman" w:eastAsia="仿宋" w:cs="Times New Roman"/>
          <w:sz w:val="28"/>
          <w:szCs w:val="28"/>
        </w:rPr>
      </w:pPr>
    </w:p>
    <w:p w14:paraId="6E1F8DF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为进一步加强廉政建设,预防医药购销领域不正之风,我院与供应商签订如下协议,共同遵守:</w:t>
      </w:r>
    </w:p>
    <w:p w14:paraId="4B95AFBB">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一、甲方工作人员不得利用职务和招投标等工作之便,暗示、索要和收受供应商任何形式的财物、提成、回扣等一切不正当利益。</w:t>
      </w:r>
    </w:p>
    <w:p w14:paraId="4883722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二、甲方工作人员严格执行国家及我院的采购管理制度，如有违反,一经查实,按有关规定严肃处理并追究相关人员责任。</w:t>
      </w:r>
    </w:p>
    <w:p w14:paraId="75BFE8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三、乙方及其代理人承诺严格按照国家相关法律法规和行业规范向甲方提供学术推广、技术咨询活动，上述活动不与甲方的采购行为挂钩。乙方不得在甲方医疗服务区域内从事任何形式的商业促销、宣传推广活动。</w:t>
      </w:r>
    </w:p>
    <w:p w14:paraId="5E4C8935">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四、乙方及其代理人不得以宣传费、赞助费、科研费、劳务费、咨询费、佣金、学术活动、外出考察等名义，或者以报销各种费用等变相给付财物的形式，获得业务或保持业务。</w:t>
      </w:r>
    </w:p>
    <w:p w14:paraId="3938A7EC">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五、乙方承诺以自身名义与甲方开展合同约定范围的业务合作并依法独立承担法律责任。乙方不得擅自转委托其他服务商或者采取出租出借经营许可证、允许挂靠经营等方式变相转委托其他服务商履行合同中权利、义务。</w:t>
      </w:r>
    </w:p>
    <w:p w14:paraId="4D8ED144">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六、乙方必须承诺向我院供货的同规格型号同质量等级医用物资为全省最低价，办公用品、装修材料、营养科食材、工会福利等为同时期成都市集团采购最低价。</w:t>
      </w:r>
    </w:p>
    <w:p w14:paraId="7AFEF0F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七、乙方违反上述承诺者，甲方单方面终止合作协议，并依法追究乙方的违约责任。</w:t>
      </w:r>
    </w:p>
    <w:p w14:paraId="216E6C8D">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八、本协议一式三份,归口管理部门、供应商、招标采购中心各执一份。</w:t>
      </w:r>
    </w:p>
    <w:p w14:paraId="244721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举报受理部门：审计部</w:t>
      </w:r>
    </w:p>
    <w:p w14:paraId="57E21778">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举报电话：87393203</w:t>
      </w:r>
    </w:p>
    <w:p w14:paraId="17AB4BB6">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举报邮箱：scsyjsc@163.com</w:t>
      </w:r>
    </w:p>
    <w:p w14:paraId="218434EC">
      <w:pPr>
        <w:ind w:firstLine="560" w:firstLineChars="200"/>
        <w:rPr>
          <w:rFonts w:ascii="Times New Roman" w:hAnsi="Times New Roman" w:eastAsia="仿宋" w:cs="Times New Roman"/>
          <w:sz w:val="28"/>
          <w:szCs w:val="28"/>
        </w:rPr>
      </w:pPr>
    </w:p>
    <w:p w14:paraId="67EF173A">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甲方：四川省人民医院(盖章)        乙方：   供应单位(盖章)</w:t>
      </w:r>
    </w:p>
    <w:p w14:paraId="5A5AEF93">
      <w:pPr>
        <w:ind w:firstLine="560" w:firstLineChars="200"/>
        <w:rPr>
          <w:rFonts w:ascii="Times New Roman" w:hAnsi="Times New Roman" w:eastAsia="仿宋" w:cs="Times New Roman"/>
          <w:sz w:val="28"/>
          <w:szCs w:val="28"/>
        </w:rPr>
      </w:pPr>
    </w:p>
    <w:p w14:paraId="6DA5BCA2">
      <w:pPr>
        <w:ind w:firstLine="560" w:firstLineChars="200"/>
        <w:rPr>
          <w:rFonts w:ascii="Times New Roman" w:hAnsi="Times New Roman" w:eastAsia="仿宋" w:cs="Times New Roman"/>
          <w:sz w:val="28"/>
          <w:szCs w:val="28"/>
        </w:rPr>
      </w:pPr>
      <w:r>
        <w:rPr>
          <w:rFonts w:ascii="Times New Roman" w:hAnsi="Times New Roman" w:eastAsia="仿宋" w:cs="Times New Roman"/>
          <w:sz w:val="28"/>
          <w:szCs w:val="28"/>
        </w:rPr>
        <w:t>甲方代表签字：                            乙方代表签字:</w:t>
      </w:r>
    </w:p>
    <w:p w14:paraId="0A4271B7">
      <w:pPr>
        <w:ind w:firstLine="4200" w:firstLineChars="1500"/>
        <w:rPr>
          <w:rFonts w:ascii="Times New Roman" w:hAnsi="Times New Roman" w:eastAsia="仿宋" w:cs="Times New Roman"/>
          <w:sz w:val="28"/>
          <w:szCs w:val="28"/>
        </w:rPr>
      </w:pPr>
    </w:p>
    <w:p w14:paraId="32112B4F">
      <w:pPr>
        <w:jc w:val="right"/>
        <w:rPr>
          <w:rStyle w:val="34"/>
          <w:rFonts w:ascii="Times New Roman" w:hAnsi="Times New Roman" w:eastAsia="宋体" w:cs="Times New Roman"/>
          <w:b/>
          <w:bCs/>
          <w:sz w:val="32"/>
          <w:szCs w:val="32"/>
        </w:rPr>
      </w:pPr>
      <w:r>
        <w:rPr>
          <w:rFonts w:ascii="Times New Roman" w:hAnsi="Times New Roman" w:cs="Times New Roman"/>
        </w:rPr>
        <w:t>年   月   日</w:t>
      </w:r>
    </w:p>
    <w:p w14:paraId="57B74785">
      <w:pPr>
        <w:pStyle w:val="27"/>
        <w:rPr>
          <w:rFonts w:ascii="Times New Roman" w:hAnsi="Times New Roman"/>
        </w:rPr>
      </w:pPr>
    </w:p>
    <w:sectPr>
      <w:headerReference r:id="rId6" w:type="default"/>
      <w:footerReference r:id="rId7" w:type="default"/>
      <w:pgSz w:w="11905" w:h="16838"/>
      <w:pgMar w:top="1134" w:right="1134" w:bottom="1134" w:left="1134" w:header="851" w:footer="992" w:gutter="0"/>
      <w:pgNumType w:fmt="decimal"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67C8D7E-3B24-4066-96EB-4CDE14DF75EA}"/>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2CF1707F-7A2F-4FCA-A1C7-363F7EE4EA2D}"/>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ED9FC207-4497-4EA9-8E09-8C37B299C124}"/>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003F01FF" w:csb1="00000000"/>
  </w:font>
  <w:font w:name="Helvetica Neue">
    <w:altName w:val="Times New Roman"/>
    <w:panose1 w:val="02000503000000020004"/>
    <w:charset w:val="00"/>
    <w:family w:val="auto"/>
    <w:pitch w:val="default"/>
    <w:sig w:usb0="00000000" w:usb1="00000000" w:usb2="00000010" w:usb3="00000000" w:csb0="00000001" w:csb1="00000000"/>
  </w:font>
  <w:font w:name="Tahoma">
    <w:panose1 w:val="020B0604030504040204"/>
    <w:charset w:val="00"/>
    <w:family w:val="swiss"/>
    <w:pitch w:val="default"/>
    <w:sig w:usb0="E1002EFF" w:usb1="C000605B" w:usb2="00000029" w:usb3="00000000" w:csb0="200101FF" w:csb1="20280000"/>
    <w:embedRegular r:id="rId4" w:fontKey="{CCF5FAC5-598D-4AAE-9447-905FD2DF59C3}"/>
  </w:font>
  <w:font w:name="STZhongsong">
    <w:altName w:val="宋体"/>
    <w:panose1 w:val="02010600040101010101"/>
    <w:charset w:val="86"/>
    <w:family w:val="auto"/>
    <w:pitch w:val="default"/>
    <w:sig w:usb0="00000000" w:usb1="00000000" w:usb2="00000010" w:usb3="00000000" w:csb0="0004009F" w:csb1="00000000"/>
    <w:embedRegular r:id="rId5" w:fontKey="{CCF6D85B-5163-4E4A-AEFF-250E9297BB5E}"/>
  </w:font>
  <w:font w:name="Arial">
    <w:panose1 w:val="020B0604020202020204"/>
    <w:charset w:val="00"/>
    <w:family w:val="auto"/>
    <w:pitch w:val="default"/>
    <w:sig w:usb0="E0002EFF" w:usb1="C000785B" w:usb2="00000009" w:usb3="00000000" w:csb0="400001FF" w:csb1="FFFF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C18856">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7DC18856">
                    <w:pPr>
                      <w:pStyle w:val="12"/>
                    </w:pPr>
                    <w:r>
                      <w:t xml:space="preserve">第 </w:t>
                    </w:r>
                    <w:r>
                      <w:fldChar w:fldCharType="begin"/>
                    </w:r>
                    <w:r>
                      <w:instrText xml:space="preserve"> PAGE  \* MERGEFORMAT </w:instrText>
                    </w:r>
                    <w:r>
                      <w:fldChar w:fldCharType="separate"/>
                    </w:r>
                    <w:r>
                      <w:t>1</w:t>
                    </w:r>
                    <w:r>
                      <w:fldChar w:fldCharType="end"/>
                    </w:r>
                    <w:r>
                      <w:t xml:space="preserve"> 页 共 </w:t>
                    </w:r>
                    <w:r>
                      <w:rPr>
                        <w:rFonts w:hint="eastAsia"/>
                        <w:lang w:val="en-US" w:eastAsia="zh-CN"/>
                      </w:rPr>
                      <w:t>42</w:t>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3"/>
      <w:pBdr>
        <w:bottom w:val="single" w:color="auto" w:sz="4" w:space="1"/>
      </w:pBdr>
      <w:jc w:val="right"/>
      <w:rPr>
        <w:rFonts w:ascii="Times New Roman" w:hAnsi="Times New Roman" w:cs="Times New Roma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3AD0F08C">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AAF3FB">
    <w:pPr>
      <w:pStyle w:val="13"/>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lang w:val="en-US" w:eastAsia="zh-CN"/>
      </w:rPr>
      <w:t>601</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w:t>
    </w:r>
  </w:p>
  <w:p w14:paraId="2C59B872">
    <w:pPr>
      <w:pStyle w:val="1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1">
    <w:nsid w:val="A4411B4E"/>
    <w:multiLevelType w:val="singleLevel"/>
    <w:tmpl w:val="A4411B4E"/>
    <w:lvl w:ilvl="0" w:tentative="0">
      <w:start w:val="1"/>
      <w:numFmt w:val="decimal"/>
      <w:suff w:val="nothing"/>
      <w:lvlText w:val="（%1）"/>
      <w:lvlJc w:val="left"/>
    </w:lvl>
  </w:abstractNum>
  <w:abstractNum w:abstractNumId="2">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3">
    <w:nsid w:val="F48B33EC"/>
    <w:multiLevelType w:val="singleLevel"/>
    <w:tmpl w:val="F48B33EC"/>
    <w:lvl w:ilvl="0" w:tentative="0">
      <w:start w:val="1"/>
      <w:numFmt w:val="decimal"/>
      <w:suff w:val="nothing"/>
      <w:lvlText w:val="（%1）"/>
      <w:lvlJc w:val="left"/>
    </w:lvl>
  </w:abstractNum>
  <w:abstractNum w:abstractNumId="4">
    <w:nsid w:val="FCA5E3A8"/>
    <w:multiLevelType w:val="singleLevel"/>
    <w:tmpl w:val="FCA5E3A8"/>
    <w:lvl w:ilvl="0" w:tentative="0">
      <w:start w:val="1"/>
      <w:numFmt w:val="decimal"/>
      <w:suff w:val="nothing"/>
      <w:lvlText w:val="（%1）"/>
      <w:lvlJc w:val="left"/>
      <w:pPr>
        <w:ind w:left="-210"/>
      </w:pPr>
    </w:lvl>
  </w:abstractNum>
  <w:abstractNum w:abstractNumId="5">
    <w:nsid w:val="119A73A2"/>
    <w:multiLevelType w:val="multilevel"/>
    <w:tmpl w:val="119A73A2"/>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6">
    <w:nsid w:val="1F712D09"/>
    <w:multiLevelType w:val="singleLevel"/>
    <w:tmpl w:val="1F712D09"/>
    <w:lvl w:ilvl="0" w:tentative="0">
      <w:start w:val="1"/>
      <w:numFmt w:val="decimal"/>
      <w:lvlText w:val="(%1)"/>
      <w:lvlJc w:val="left"/>
      <w:pPr>
        <w:ind w:left="218" w:hanging="425"/>
      </w:pPr>
      <w:rPr>
        <w:rFonts w:hint="default"/>
      </w:rPr>
    </w:lvl>
  </w:abstractNum>
  <w:abstractNum w:abstractNumId="7">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8">
    <w:nsid w:val="3A69C7D9"/>
    <w:multiLevelType w:val="singleLevel"/>
    <w:tmpl w:val="3A69C7D9"/>
    <w:lvl w:ilvl="0" w:tentative="0">
      <w:start w:val="1"/>
      <w:numFmt w:val="decimal"/>
      <w:lvlText w:val="(%1)"/>
      <w:lvlJc w:val="left"/>
      <w:pPr>
        <w:ind w:left="425" w:hanging="425"/>
      </w:pPr>
      <w:rPr>
        <w:rFonts w:hint="default"/>
      </w:rPr>
    </w:lvl>
  </w:abstractNum>
  <w:abstractNum w:abstractNumId="9">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5"/>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0">
    <w:nsid w:val="40188F49"/>
    <w:multiLevelType w:val="singleLevel"/>
    <w:tmpl w:val="40188F49"/>
    <w:lvl w:ilvl="0" w:tentative="0">
      <w:start w:val="1"/>
      <w:numFmt w:val="decimal"/>
      <w:suff w:val="nothing"/>
      <w:lvlText w:val="%1．"/>
      <w:lvlJc w:val="left"/>
      <w:pPr>
        <w:ind w:left="0" w:firstLine="400"/>
      </w:pPr>
      <w:rPr>
        <w:rFonts w:hint="default"/>
      </w:rPr>
    </w:lvl>
  </w:abstractNum>
  <w:abstractNum w:abstractNumId="11">
    <w:nsid w:val="5B407AE3"/>
    <w:multiLevelType w:val="multilevel"/>
    <w:tmpl w:val="5B407AE3"/>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2">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3">
    <w:nsid w:val="605C01F1"/>
    <w:multiLevelType w:val="multilevel"/>
    <w:tmpl w:val="605C01F1"/>
    <w:lvl w:ilvl="0" w:tentative="0">
      <w:start w:val="1"/>
      <w:numFmt w:val="decimal"/>
      <w:lvlText w:val="%1."/>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4">
    <w:nsid w:val="64C10C17"/>
    <w:multiLevelType w:val="multilevel"/>
    <w:tmpl w:val="64C10C17"/>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5">
    <w:nsid w:val="79578A8E"/>
    <w:multiLevelType w:val="singleLevel"/>
    <w:tmpl w:val="79578A8E"/>
    <w:lvl w:ilvl="0" w:tentative="0">
      <w:start w:val="1"/>
      <w:numFmt w:val="decimal"/>
      <w:lvlText w:val="%1"/>
      <w:lvlJc w:val="left"/>
      <w:pPr>
        <w:tabs>
          <w:tab w:val="left" w:pos="0"/>
        </w:tabs>
        <w:ind w:left="210" w:firstLine="0"/>
      </w:pPr>
      <w:rPr>
        <w:rFonts w:hint="default"/>
      </w:rPr>
    </w:lvl>
  </w:abstractNum>
  <w:abstractNum w:abstractNumId="16">
    <w:nsid w:val="7B7F1CB9"/>
    <w:multiLevelType w:val="multilevel"/>
    <w:tmpl w:val="7B7F1CB9"/>
    <w:lvl w:ilvl="0" w:tentative="0">
      <w:start w:val="1"/>
      <w:numFmt w:val="decimal"/>
      <w:lvlText w:val="%1."/>
      <w:lvlJc w:val="left"/>
      <w:pPr>
        <w:ind w:left="480" w:hanging="48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7"/>
  </w:num>
  <w:num w:numId="2">
    <w:abstractNumId w:val="2"/>
  </w:num>
  <w:num w:numId="3">
    <w:abstractNumId w:val="9"/>
  </w:num>
  <w:num w:numId="4">
    <w:abstractNumId w:val="15"/>
  </w:num>
  <w:num w:numId="5">
    <w:abstractNumId w:val="6"/>
  </w:num>
  <w:num w:numId="6">
    <w:abstractNumId w:val="12"/>
  </w:num>
  <w:num w:numId="7">
    <w:abstractNumId w:val="8"/>
  </w:num>
  <w:num w:numId="8">
    <w:abstractNumId w:val="3"/>
  </w:num>
  <w:num w:numId="9">
    <w:abstractNumId w:val="1"/>
  </w:num>
  <w:num w:numId="10">
    <w:abstractNumId w:val="0"/>
  </w:num>
  <w:num w:numId="11">
    <w:abstractNumId w:val="4"/>
  </w:num>
  <w:num w:numId="12">
    <w:abstractNumId w:val="10"/>
  </w:num>
  <w:num w:numId="13">
    <w:abstractNumId w:val="11"/>
  </w:num>
  <w:num w:numId="14">
    <w:abstractNumId w:val="5"/>
  </w:num>
  <w:num w:numId="15">
    <w:abstractNumId w:val="13"/>
  </w:num>
  <w:num w:numId="16">
    <w:abstractNumId w:val="16"/>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cumentProtection w:edit="readOnly"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lN2FmMTIyNzgzOWM5MWMzOTdhNTBhZDY1ZGYxYTcifQ=="/>
  </w:docVars>
  <w:rsids>
    <w:rsidRoot w:val="7D040AB6"/>
    <w:rsid w:val="0000488D"/>
    <w:rsid w:val="000278AB"/>
    <w:rsid w:val="00077AA7"/>
    <w:rsid w:val="000A1F80"/>
    <w:rsid w:val="000C337E"/>
    <w:rsid w:val="000F3ADD"/>
    <w:rsid w:val="00114DBC"/>
    <w:rsid w:val="00160E82"/>
    <w:rsid w:val="001C6721"/>
    <w:rsid w:val="00216FC8"/>
    <w:rsid w:val="0022301C"/>
    <w:rsid w:val="002440A6"/>
    <w:rsid w:val="002B5793"/>
    <w:rsid w:val="002B6CC6"/>
    <w:rsid w:val="003228AC"/>
    <w:rsid w:val="003460DC"/>
    <w:rsid w:val="00377351"/>
    <w:rsid w:val="003831C0"/>
    <w:rsid w:val="003C1118"/>
    <w:rsid w:val="003C1BC0"/>
    <w:rsid w:val="003C4927"/>
    <w:rsid w:val="003E4BF1"/>
    <w:rsid w:val="00426031"/>
    <w:rsid w:val="00427BF2"/>
    <w:rsid w:val="00461368"/>
    <w:rsid w:val="004F4DC4"/>
    <w:rsid w:val="00500885"/>
    <w:rsid w:val="00540FCE"/>
    <w:rsid w:val="005A705A"/>
    <w:rsid w:val="005D169E"/>
    <w:rsid w:val="00607092"/>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D28C0"/>
    <w:rsid w:val="008E7EFA"/>
    <w:rsid w:val="008F14FA"/>
    <w:rsid w:val="008F26A3"/>
    <w:rsid w:val="00901047"/>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E95036"/>
    <w:rsid w:val="00F072BE"/>
    <w:rsid w:val="00F26A71"/>
    <w:rsid w:val="00F3202A"/>
    <w:rsid w:val="00F523A1"/>
    <w:rsid w:val="00F676AD"/>
    <w:rsid w:val="00F90C3B"/>
    <w:rsid w:val="00FF60E3"/>
    <w:rsid w:val="03E868D9"/>
    <w:rsid w:val="04174CC4"/>
    <w:rsid w:val="055E1177"/>
    <w:rsid w:val="056106F1"/>
    <w:rsid w:val="05832D5D"/>
    <w:rsid w:val="058B6C9C"/>
    <w:rsid w:val="058C78B0"/>
    <w:rsid w:val="05E13064"/>
    <w:rsid w:val="078A573C"/>
    <w:rsid w:val="093A3733"/>
    <w:rsid w:val="094E5430"/>
    <w:rsid w:val="09D83DD8"/>
    <w:rsid w:val="0B4508AE"/>
    <w:rsid w:val="0C363C5D"/>
    <w:rsid w:val="0C8B7F7D"/>
    <w:rsid w:val="0CF161C9"/>
    <w:rsid w:val="0E0B7FF0"/>
    <w:rsid w:val="0E65470A"/>
    <w:rsid w:val="0F8B4CE8"/>
    <w:rsid w:val="101F18D4"/>
    <w:rsid w:val="117A5014"/>
    <w:rsid w:val="11A71B81"/>
    <w:rsid w:val="11FF551A"/>
    <w:rsid w:val="127F05A0"/>
    <w:rsid w:val="136D78F8"/>
    <w:rsid w:val="15CC4977"/>
    <w:rsid w:val="162A4F7D"/>
    <w:rsid w:val="16A82A66"/>
    <w:rsid w:val="17CF7756"/>
    <w:rsid w:val="192F5006"/>
    <w:rsid w:val="1994787E"/>
    <w:rsid w:val="1AF35E37"/>
    <w:rsid w:val="1C4F709D"/>
    <w:rsid w:val="1DD000AF"/>
    <w:rsid w:val="1DD45AAC"/>
    <w:rsid w:val="1E09745A"/>
    <w:rsid w:val="1E12625F"/>
    <w:rsid w:val="201B291E"/>
    <w:rsid w:val="21521B0A"/>
    <w:rsid w:val="21D267A7"/>
    <w:rsid w:val="238B1303"/>
    <w:rsid w:val="23D4489F"/>
    <w:rsid w:val="262001B9"/>
    <w:rsid w:val="26525B89"/>
    <w:rsid w:val="272A6FE5"/>
    <w:rsid w:val="27930786"/>
    <w:rsid w:val="27B87AF9"/>
    <w:rsid w:val="27E80EA9"/>
    <w:rsid w:val="280414A1"/>
    <w:rsid w:val="28570368"/>
    <w:rsid w:val="29C5318E"/>
    <w:rsid w:val="2B502F98"/>
    <w:rsid w:val="2C9A0A9E"/>
    <w:rsid w:val="2DA70D65"/>
    <w:rsid w:val="2EBF2F4F"/>
    <w:rsid w:val="2EFD0262"/>
    <w:rsid w:val="3427766B"/>
    <w:rsid w:val="343706EB"/>
    <w:rsid w:val="351A08D0"/>
    <w:rsid w:val="36334CE5"/>
    <w:rsid w:val="374E46CA"/>
    <w:rsid w:val="39B3630B"/>
    <w:rsid w:val="3A551407"/>
    <w:rsid w:val="3A89770A"/>
    <w:rsid w:val="3B033C36"/>
    <w:rsid w:val="3C6961B5"/>
    <w:rsid w:val="3E5D4E8E"/>
    <w:rsid w:val="3F226C0E"/>
    <w:rsid w:val="3FE25336"/>
    <w:rsid w:val="42075FF8"/>
    <w:rsid w:val="42842020"/>
    <w:rsid w:val="439A5D2A"/>
    <w:rsid w:val="468567BB"/>
    <w:rsid w:val="4782487D"/>
    <w:rsid w:val="48B325DE"/>
    <w:rsid w:val="498779AB"/>
    <w:rsid w:val="4AEF78B9"/>
    <w:rsid w:val="4B31068E"/>
    <w:rsid w:val="4BA55220"/>
    <w:rsid w:val="4BAD0151"/>
    <w:rsid w:val="4C8F75A2"/>
    <w:rsid w:val="4D066C0A"/>
    <w:rsid w:val="4DAD4403"/>
    <w:rsid w:val="4DB85903"/>
    <w:rsid w:val="4E5E7A74"/>
    <w:rsid w:val="4E8C008E"/>
    <w:rsid w:val="4F0771E0"/>
    <w:rsid w:val="4F695058"/>
    <w:rsid w:val="4FEF758C"/>
    <w:rsid w:val="507629FF"/>
    <w:rsid w:val="50771A9C"/>
    <w:rsid w:val="51C47F6D"/>
    <w:rsid w:val="53191BD8"/>
    <w:rsid w:val="53574AE5"/>
    <w:rsid w:val="5455382C"/>
    <w:rsid w:val="58DB1253"/>
    <w:rsid w:val="59C208D3"/>
    <w:rsid w:val="59D5643C"/>
    <w:rsid w:val="59F369E4"/>
    <w:rsid w:val="5A113973"/>
    <w:rsid w:val="5BE523F7"/>
    <w:rsid w:val="5C063EDE"/>
    <w:rsid w:val="5D0A3490"/>
    <w:rsid w:val="5D7E0D39"/>
    <w:rsid w:val="5E695F0B"/>
    <w:rsid w:val="5E9D3F29"/>
    <w:rsid w:val="5EDC2437"/>
    <w:rsid w:val="60384CD1"/>
    <w:rsid w:val="60655808"/>
    <w:rsid w:val="60C457EE"/>
    <w:rsid w:val="63155479"/>
    <w:rsid w:val="63A9427A"/>
    <w:rsid w:val="63C03819"/>
    <w:rsid w:val="63D462B1"/>
    <w:rsid w:val="641A3596"/>
    <w:rsid w:val="643B5D39"/>
    <w:rsid w:val="64D96647"/>
    <w:rsid w:val="655B51E5"/>
    <w:rsid w:val="65AE7F5E"/>
    <w:rsid w:val="65E40ADA"/>
    <w:rsid w:val="65EE0CA2"/>
    <w:rsid w:val="66330B86"/>
    <w:rsid w:val="66E22203"/>
    <w:rsid w:val="68B812C9"/>
    <w:rsid w:val="69D50CF4"/>
    <w:rsid w:val="6A4A3798"/>
    <w:rsid w:val="6AF02DC7"/>
    <w:rsid w:val="6C487AFD"/>
    <w:rsid w:val="6CB24363"/>
    <w:rsid w:val="6EA93466"/>
    <w:rsid w:val="6EB02F99"/>
    <w:rsid w:val="6EC76ECB"/>
    <w:rsid w:val="6F456602"/>
    <w:rsid w:val="6FCF0795"/>
    <w:rsid w:val="71381023"/>
    <w:rsid w:val="73714961"/>
    <w:rsid w:val="739D19BD"/>
    <w:rsid w:val="74E53276"/>
    <w:rsid w:val="754D1D92"/>
    <w:rsid w:val="758350A9"/>
    <w:rsid w:val="769F5FB4"/>
    <w:rsid w:val="77071BC4"/>
    <w:rsid w:val="77541AA4"/>
    <w:rsid w:val="77BF424C"/>
    <w:rsid w:val="7B560FD7"/>
    <w:rsid w:val="7B5F74F8"/>
    <w:rsid w:val="7B690630"/>
    <w:rsid w:val="7C5123F4"/>
    <w:rsid w:val="7D040AB6"/>
    <w:rsid w:val="7D4119E6"/>
    <w:rsid w:val="7DAF162B"/>
    <w:rsid w:val="7DC42B41"/>
    <w:rsid w:val="7E0A5351"/>
    <w:rsid w:val="7F265D6A"/>
    <w:rsid w:val="7F8B0200"/>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basedOn w:val="1"/>
    <w:next w:val="1"/>
    <w:link w:val="41"/>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8"/>
    <w:qFormat/>
    <w:uiPriority w:val="0"/>
    <w:pPr>
      <w:jc w:val="left"/>
    </w:pPr>
  </w:style>
  <w:style w:type="paragraph" w:styleId="7">
    <w:name w:val="Body Text"/>
    <w:basedOn w:val="1"/>
    <w:next w:val="8"/>
    <w:qFormat/>
    <w:uiPriority w:val="0"/>
    <w:pPr>
      <w:spacing w:after="120"/>
    </w:pPr>
  </w:style>
  <w:style w:type="paragraph" w:styleId="8">
    <w:name w:val="Body Text First Indent"/>
    <w:basedOn w:val="7"/>
    <w:link w:val="34"/>
    <w:qFormat/>
    <w:uiPriority w:val="0"/>
    <w:pPr>
      <w:snapToGrid w:val="0"/>
      <w:spacing w:before="40" w:after="40" w:line="288" w:lineRule="auto"/>
      <w:ind w:firstLine="482"/>
    </w:pPr>
    <w:rPr>
      <w:rFonts w:ascii="FangSong_GB2312" w:hAnsi="FangSong_GB2312" w:eastAsia="FangSong_GB2312"/>
      <w:szCs w:val="20"/>
    </w:rPr>
  </w:style>
  <w:style w:type="paragraph" w:styleId="9">
    <w:name w:val="Body Text Indent"/>
    <w:basedOn w:val="1"/>
    <w:unhideWhenUsed/>
    <w:qFormat/>
    <w:uiPriority w:val="99"/>
    <w:pPr>
      <w:ind w:firstLine="630"/>
    </w:pPr>
    <w:rPr>
      <w:rFonts w:ascii="Calibri"/>
      <w:sz w:val="32"/>
      <w:szCs w:val="20"/>
    </w:rPr>
  </w:style>
  <w:style w:type="paragraph" w:styleId="10">
    <w:name w:val="Body Text Indent 2"/>
    <w:basedOn w:val="1"/>
    <w:link w:val="33"/>
    <w:qFormat/>
    <w:uiPriority w:val="0"/>
    <w:pPr>
      <w:spacing w:after="120" w:line="480" w:lineRule="auto"/>
      <w:ind w:left="420" w:leftChars="200"/>
    </w:pPr>
    <w:rPr>
      <w:szCs w:val="20"/>
    </w:rPr>
  </w:style>
  <w:style w:type="paragraph" w:styleId="11">
    <w:name w:val="Balloon Text"/>
    <w:basedOn w:val="1"/>
    <w:link w:val="40"/>
    <w:qFormat/>
    <w:uiPriority w:val="0"/>
    <w:rPr>
      <w:sz w:val="18"/>
      <w:szCs w:val="18"/>
    </w:rPr>
  </w:style>
  <w:style w:type="paragraph" w:styleId="12">
    <w:name w:val="footer"/>
    <w:basedOn w:val="1"/>
    <w:unhideWhenUsed/>
    <w:qFormat/>
    <w:uiPriority w:val="99"/>
    <w:pPr>
      <w:tabs>
        <w:tab w:val="center" w:pos="4153"/>
        <w:tab w:val="right" w:pos="8306"/>
      </w:tabs>
      <w:snapToGrid w:val="0"/>
      <w:jc w:val="left"/>
    </w:pPr>
    <w:rPr>
      <w:sz w:val="18"/>
      <w:szCs w:val="18"/>
    </w:rPr>
  </w:style>
  <w:style w:type="paragraph" w:styleId="13">
    <w:name w:val="header"/>
    <w:basedOn w:val="1"/>
    <w:unhideWhenUsed/>
    <w:qFormat/>
    <w:uiPriority w:val="99"/>
    <w:pPr>
      <w:pBdr>
        <w:bottom w:val="single" w:color="auto" w:sz="6" w:space="1"/>
      </w:pBdr>
      <w:tabs>
        <w:tab w:val="center" w:pos="4153"/>
        <w:tab w:val="right" w:pos="8306"/>
      </w:tabs>
      <w:snapToGrid w:val="0"/>
      <w:jc w:val="center"/>
    </w:pPr>
    <w:rPr>
      <w:sz w:val="18"/>
      <w:szCs w:val="18"/>
    </w:rPr>
  </w:style>
  <w:style w:type="paragraph" w:styleId="14">
    <w:name w:val="toc 1"/>
    <w:basedOn w:val="1"/>
    <w:next w:val="1"/>
    <w:qFormat/>
    <w:uiPriority w:val="39"/>
  </w:style>
  <w:style w:type="paragraph" w:styleId="15">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6">
    <w:name w:val="annotation subject"/>
    <w:basedOn w:val="6"/>
    <w:next w:val="6"/>
    <w:link w:val="39"/>
    <w:qFormat/>
    <w:uiPriority w:val="0"/>
    <w:rPr>
      <w:b/>
      <w:bCs/>
    </w:rPr>
  </w:style>
  <w:style w:type="paragraph" w:styleId="17">
    <w:name w:val="Body Text First Indent 2"/>
    <w:basedOn w:val="9"/>
    <w:next w:val="1"/>
    <w:link w:val="37"/>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Strong"/>
    <w:basedOn w:val="20"/>
    <w:qFormat/>
    <w:uiPriority w:val="0"/>
    <w:rPr>
      <w:b/>
    </w:rPr>
  </w:style>
  <w:style w:type="character" w:styleId="22">
    <w:name w:val="page number"/>
    <w:basedOn w:val="20"/>
    <w:semiHidden/>
    <w:qFormat/>
    <w:uiPriority w:val="0"/>
  </w:style>
  <w:style w:type="character" w:styleId="23">
    <w:name w:val="Hyperlink"/>
    <w:basedOn w:val="20"/>
    <w:unhideWhenUsed/>
    <w:qFormat/>
    <w:uiPriority w:val="99"/>
    <w:rPr>
      <w:color w:val="0563C1" w:themeColor="hyperlink"/>
      <w:u w:val="single"/>
      <w14:textFill>
        <w14:solidFill>
          <w14:schemeClr w14:val="hlink"/>
        </w14:solidFill>
      </w14:textFill>
    </w:rPr>
  </w:style>
  <w:style w:type="character" w:styleId="24">
    <w:name w:val="annotation reference"/>
    <w:basedOn w:val="20"/>
    <w:qFormat/>
    <w:uiPriority w:val="0"/>
    <w:rPr>
      <w:sz w:val="21"/>
      <w:szCs w:val="21"/>
    </w:rPr>
  </w:style>
  <w:style w:type="paragraph" w:customStyle="1" w:styleId="25">
    <w:name w:val="标题 5（有编号）（绿盟科技）"/>
    <w:basedOn w:val="26"/>
    <w:next w:val="27"/>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6">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7">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8">
    <w:name w:val="13、表格内居中正文"/>
    <w:basedOn w:val="1"/>
    <w:qFormat/>
    <w:uiPriority w:val="0"/>
    <w:pPr>
      <w:wordWrap w:val="0"/>
      <w:topLinePunct/>
      <w:spacing w:line="360" w:lineRule="exact"/>
      <w:jc w:val="center"/>
    </w:pPr>
    <w:rPr>
      <w:rFonts w:ascii="宋体" w:hAnsi="宋体" w:eastAsia="宋体"/>
    </w:rPr>
  </w:style>
  <w:style w:type="paragraph" w:customStyle="1" w:styleId="29">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30">
    <w:name w:val="List Paragraph"/>
    <w:basedOn w:val="1"/>
    <w:qFormat/>
    <w:uiPriority w:val="0"/>
    <w:pPr>
      <w:spacing w:line="500" w:lineRule="exact"/>
      <w:ind w:firstLine="420" w:firstLineChars="200"/>
    </w:pPr>
    <w:rPr>
      <w:szCs w:val="24"/>
    </w:rPr>
  </w:style>
  <w:style w:type="paragraph" w:customStyle="1" w:styleId="31">
    <w:name w:val="正文首行缩进两字符"/>
    <w:basedOn w:val="1"/>
    <w:qFormat/>
    <w:uiPriority w:val="0"/>
    <w:pPr>
      <w:spacing w:line="360" w:lineRule="auto"/>
      <w:ind w:firstLine="200" w:firstLineChars="200"/>
    </w:pPr>
  </w:style>
  <w:style w:type="paragraph" w:customStyle="1" w:styleId="3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3">
    <w:name w:val="Body Text Indent 2 Char"/>
    <w:link w:val="10"/>
    <w:qFormat/>
    <w:uiPriority w:val="0"/>
    <w:rPr>
      <w:szCs w:val="20"/>
    </w:rPr>
  </w:style>
  <w:style w:type="character" w:customStyle="1" w:styleId="34">
    <w:name w:val="Body Text First Indent Char"/>
    <w:link w:val="8"/>
    <w:qFormat/>
    <w:uiPriority w:val="0"/>
    <w:rPr>
      <w:rFonts w:ascii="FangSong_GB2312" w:hAnsi="FangSong_GB2312" w:eastAsia="FangSong_GB2312"/>
      <w:szCs w:val="20"/>
    </w:rPr>
  </w:style>
  <w:style w:type="paragraph" w:customStyle="1" w:styleId="35">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6">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7">
    <w:name w:val="Body Text First Indent 2 Char"/>
    <w:link w:val="17"/>
    <w:qFormat/>
    <w:uiPriority w:val="99"/>
    <w:rPr>
      <w:rFonts w:ascii="宋体" w:hAnsi="Times New Roman"/>
      <w:kern w:val="0"/>
      <w:sz w:val="21"/>
      <w:szCs w:val="24"/>
    </w:rPr>
  </w:style>
  <w:style w:type="character" w:customStyle="1" w:styleId="38">
    <w:name w:val="Comment Text Char"/>
    <w:basedOn w:val="20"/>
    <w:link w:val="6"/>
    <w:qFormat/>
    <w:uiPriority w:val="0"/>
    <w:rPr>
      <w:kern w:val="2"/>
      <w:sz w:val="21"/>
      <w:szCs w:val="22"/>
    </w:rPr>
  </w:style>
  <w:style w:type="character" w:customStyle="1" w:styleId="39">
    <w:name w:val="Comment Subject Char"/>
    <w:basedOn w:val="38"/>
    <w:link w:val="16"/>
    <w:qFormat/>
    <w:uiPriority w:val="0"/>
    <w:rPr>
      <w:b/>
      <w:bCs/>
      <w:kern w:val="2"/>
      <w:sz w:val="21"/>
      <w:szCs w:val="22"/>
    </w:rPr>
  </w:style>
  <w:style w:type="character" w:customStyle="1" w:styleId="40">
    <w:name w:val="Balloon Text Char"/>
    <w:basedOn w:val="20"/>
    <w:link w:val="11"/>
    <w:qFormat/>
    <w:uiPriority w:val="0"/>
    <w:rPr>
      <w:kern w:val="2"/>
      <w:sz w:val="18"/>
      <w:szCs w:val="18"/>
    </w:rPr>
  </w:style>
  <w:style w:type="character" w:customStyle="1" w:styleId="41">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header" Target="header3.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44</Pages>
  <Words>1077</Words>
  <Characters>1159</Characters>
  <Lines>68</Lines>
  <Paragraphs>19</Paragraphs>
  <TotalTime>3</TotalTime>
  <ScaleCrop>false</ScaleCrop>
  <LinksUpToDate>false</LinksUpToDate>
  <CharactersWithSpaces>1223</CharactersWithSpaces>
  <Application>WPS Office_12.1.0.28022_F1E327BC-269C-435d-A152-05C5408002CA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CAI</cp:lastModifiedBy>
  <dcterms:modified xsi:type="dcterms:W3CDTF">2026-10-19T01:34:46Z</dcterms:modified>
  <cp:revision>31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2052-12.1.0.28022</vt:lpwstr>
  </property>
  <property fmtid="{D5CDD505-2E9C-101B-9397-08002B2CF9AE}" pid="3" name="ICV">
    <vt:lpwstr>934EF6A1E4AC4AC2BFFF9401D1C51CED_13</vt:lpwstr>
  </property>
  <property fmtid="{D5CDD505-2E9C-101B-9397-08002B2CF9AE}" pid="4" name="KSOTemplateDocerSaveRecord">
    <vt:lpwstr>eyJoZGlkIjoiNDc0MTk5M2JkMmE1NDI4NDczMTFjZTZjODJmMzdhNjkiLCJ1c2VySWQiOiIyMTIzMTcyNzYifQ==</vt:lpwstr>
  </property>
</Properties>
</file>