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keepNext w:val="0"/>
        <w:keepLines w:val="0"/>
        <w:pageBreakBefore w:val="0"/>
        <w:widowControl w:val="0"/>
        <w:kinsoku/>
        <w:wordWrap/>
        <w:overflowPunct/>
        <w:topLinePunct w:val="0"/>
        <w:autoSpaceDE/>
        <w:autoSpaceDN/>
        <w:bidi w:val="0"/>
        <w:adjustRightInd/>
        <w:snapToGrid/>
        <w:spacing w:before="1269" w:beforeLines="400" w:line="240" w:lineRule="auto"/>
        <w:jc w:val="center"/>
        <w:textAlignment w:val="auto"/>
        <w:rPr>
          <w:rFonts w:hint="default" w:ascii="Times New Roman" w:hAnsi="Times New Roman" w:eastAsia="黑体" w:cs="Times New Roman"/>
          <w:b/>
          <w:spacing w:val="24"/>
          <w:sz w:val="56"/>
          <w:szCs w:val="56"/>
          <w:lang w:val="en-US"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变频器及控制柜维保服务</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471310326"/>
      <w:bookmarkStart w:id="2" w:name="_Toc3240"/>
      <w:bookmarkStart w:id="3" w:name="_Toc1907"/>
      <w:bookmarkStart w:id="4" w:name="_Toc21919"/>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变频器及控制柜维保服务</w:t>
            </w:r>
            <w:r>
              <w:rPr>
                <w:rFonts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CGZX-HQB20261108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70000.00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u w:color="000000"/>
                <w:lang w:val="en-US" w:eastAsia="zh-CN"/>
              </w:rPr>
              <w:t>2026年8月26日</w:t>
            </w:r>
            <w:r>
              <w:rPr>
                <w:rFonts w:hint="default" w:ascii="Times New Roman" w:hAnsi="Times New Roman" w:eastAsia="仿宋" w:cs="Times New Roman"/>
                <w:sz w:val="22"/>
                <w:u w:color="000000"/>
                <w:lang w:val="en-US" w:eastAsia="zh-CN"/>
              </w:rPr>
              <w:t>上午9：00-9：30</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default"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2026年8月26日</w:t>
            </w:r>
            <w:r>
              <w:rPr>
                <w:rFonts w:hint="eastAsia" w:ascii="Times New Roman" w:hAnsi="Times New Roman" w:eastAsia="仿宋" w:cs="Times New Roman"/>
                <w:sz w:val="22"/>
                <w:u w:color="000000"/>
              </w:rPr>
              <w:t>10：00</w:t>
            </w:r>
            <w:bookmarkStart w:id="103" w:name="_GoBack"/>
            <w:bookmarkEnd w:id="103"/>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踏勘地点：四川省人民医院（四川省成都市青羊区一环路西二段32号）</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rPr>
              <w:t>宋老师</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rPr>
              <w:t>15328022395</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合同总价的5%</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bidi="ar-SA"/>
              </w:rPr>
              <w:t>（</w:t>
            </w:r>
            <w:r>
              <w:rPr>
                <w:rFonts w:hint="eastAsia" w:ascii="Times New Roman" w:hAnsi="Times New Roman" w:eastAsia="仿宋" w:cs="Times New Roman"/>
                <w:sz w:val="22"/>
                <w:szCs w:val="22"/>
                <w:lang w:val="en-US" w:eastAsia="zh-CN" w:bidi="ar-SA"/>
              </w:rPr>
              <w:t>1）</w:t>
            </w: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bidi="ar-SA"/>
              </w:rPr>
              <w:t>（2）</w:t>
            </w: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FA00B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6037A026">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1.具有国家建设行政主管部门颁发的建筑机电安装工程专业承包二级及以上资质证书；</w:t>
            </w:r>
          </w:p>
          <w:p w14:paraId="4A38C8CE">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2.具有行业主管部门颁发的安全生产许可证。</w:t>
            </w:r>
          </w:p>
        </w:tc>
        <w:tc>
          <w:tcPr>
            <w:tcW w:w="2846" w:type="pct"/>
            <w:vAlign w:val="center"/>
          </w:tcPr>
          <w:p w14:paraId="3E523C75">
            <w:pPr>
              <w:jc w:val="left"/>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sz w:val="22"/>
                <w:lang w:val="en-US" w:eastAsia="zh-CN"/>
              </w:rPr>
              <w:t>提供：</w:t>
            </w:r>
          </w:p>
          <w:p w14:paraId="2F15D217">
            <w:pPr>
              <w:numPr>
                <w:ilvl w:val="0"/>
                <w:numId w:val="0"/>
              </w:numPr>
              <w:jc w:val="left"/>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kern w:val="2"/>
                <w:sz w:val="22"/>
                <w:szCs w:val="22"/>
                <w:lang w:val="en-US" w:eastAsia="zh-CN" w:bidi="ar-SA"/>
              </w:rPr>
              <w:t>1.</w:t>
            </w:r>
            <w:r>
              <w:rPr>
                <w:rFonts w:hint="eastAsia" w:ascii="Times New Roman" w:hAnsi="Times New Roman" w:eastAsia="仿宋" w:cs="Times New Roman"/>
                <w:color w:val="auto"/>
                <w:sz w:val="22"/>
                <w:lang w:val="en-US" w:eastAsia="zh-CN"/>
              </w:rPr>
              <w:t>提供有效的资质证书扫描件并加盖供应商公章；</w:t>
            </w:r>
          </w:p>
          <w:p w14:paraId="7D3D2FEC">
            <w:pPr>
              <w:numPr>
                <w:ilvl w:val="0"/>
                <w:numId w:val="0"/>
              </w:numPr>
              <w:jc w:val="left"/>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color w:val="auto"/>
                <w:sz w:val="22"/>
                <w:lang w:val="en-US" w:eastAsia="zh-CN"/>
              </w:rPr>
              <w:t>2.提供有效的安全生产许可证扫描件并加盖供应商公章。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093FA9E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p>
    <w:p w14:paraId="730A161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因采购人实际工作需要，本项目拟采购一家供应商为四川省人民医院提供变频器及控制柜维保服务。</w:t>
      </w:r>
    </w:p>
    <w:p w14:paraId="3024BE9A">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b/>
          <w:bCs/>
          <w:sz w:val="24"/>
          <w:szCs w:val="24"/>
        </w:rPr>
        <w:t>★</w:t>
      </w:r>
      <w:r>
        <w:rPr>
          <w:rFonts w:ascii="Times New Roman" w:hAnsi="Times New Roman" w:eastAsia="仿宋" w:cs="Times New Roman"/>
          <w:b/>
          <w:bCs/>
          <w:sz w:val="24"/>
          <w:szCs w:val="24"/>
        </w:rPr>
        <w:t>二、</w:t>
      </w:r>
      <w:r>
        <w:rPr>
          <w:rFonts w:hint="eastAsia" w:ascii="Times New Roman" w:hAnsi="Times New Roman" w:eastAsia="仿宋" w:cs="Times New Roman"/>
          <w:b/>
          <w:bCs/>
          <w:sz w:val="24"/>
          <w:szCs w:val="24"/>
        </w:rPr>
        <w:t>维保服务设备清单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42"/>
        <w:gridCol w:w="3224"/>
        <w:gridCol w:w="1243"/>
        <w:gridCol w:w="1243"/>
        <w:gridCol w:w="2895"/>
      </w:tblGrid>
      <w:tr w14:paraId="7997A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F01F9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序号</w:t>
            </w:r>
          </w:p>
        </w:tc>
        <w:tc>
          <w:tcPr>
            <w:tcW w:w="3260"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12ED0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变频柜主要参数</w:t>
            </w:r>
          </w:p>
        </w:tc>
        <w:tc>
          <w:tcPr>
            <w:tcW w:w="125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3E653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单位</w:t>
            </w:r>
          </w:p>
        </w:tc>
        <w:tc>
          <w:tcPr>
            <w:tcW w:w="1257"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5C8D56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数量</w:t>
            </w:r>
          </w:p>
        </w:tc>
        <w:tc>
          <w:tcPr>
            <w:tcW w:w="2926"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7A259C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bCs w:val="0"/>
                <w:sz w:val="24"/>
                <w:szCs w:val="24"/>
              </w:rPr>
            </w:pPr>
            <w:r>
              <w:rPr>
                <w:rStyle w:val="21"/>
                <w:rFonts w:hint="eastAsia" w:ascii="仿宋" w:hAnsi="仿宋" w:eastAsia="仿宋" w:cs="仿宋"/>
                <w:b/>
                <w:bCs w:val="0"/>
                <w:sz w:val="24"/>
                <w:szCs w:val="24"/>
              </w:rPr>
              <w:t>位置</w:t>
            </w:r>
          </w:p>
        </w:tc>
      </w:tr>
      <w:tr w14:paraId="595B8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0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3D34C5">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3E0A14D">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778F6F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8FCD0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19</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76A515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第三住院大楼手术室</w:t>
            </w:r>
          </w:p>
        </w:tc>
      </w:tr>
      <w:tr w14:paraId="435E6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65E0E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B83A8B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4E2CE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044AD8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47DC4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4A81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AAF8C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0CDF75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EE1EEC2">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61F15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AF0440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5664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19BB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544F96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7CA32B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75213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60C52A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第三住院大楼</w:t>
            </w:r>
          </w:p>
        </w:tc>
      </w:tr>
      <w:tr w14:paraId="60B53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D916A0B">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AB9A08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341452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C79FF3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151D2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第三住院大楼</w:t>
            </w:r>
          </w:p>
        </w:tc>
      </w:tr>
      <w:tr w14:paraId="232F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28F79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6</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843DB6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3</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-15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83BC9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EBCED2C">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5BDAA0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第三住院室外其他（</w:t>
            </w:r>
            <w:r>
              <w:rPr>
                <w:rStyle w:val="21"/>
                <w:rFonts w:hint="eastAsia" w:ascii="仿宋" w:hAnsi="仿宋" w:eastAsia="仿宋" w:cs="仿宋"/>
                <w:b w:val="0"/>
                <w:bCs/>
                <w:color w:val="auto"/>
                <w:sz w:val="24"/>
                <w:szCs w:val="24"/>
                <w:lang w:val="en-US" w:eastAsia="zh-CN"/>
              </w:rPr>
              <w:t>供应室、遗传中心、日间手术室</w:t>
            </w:r>
            <w:r>
              <w:rPr>
                <w:rStyle w:val="21"/>
                <w:rFonts w:hint="eastAsia" w:ascii="仿宋" w:hAnsi="仿宋" w:eastAsia="仿宋" w:cs="仿宋"/>
                <w:b w:val="0"/>
                <w:bCs/>
                <w:color w:val="auto"/>
                <w:sz w:val="24"/>
                <w:szCs w:val="24"/>
              </w:rPr>
              <w:t>）</w:t>
            </w:r>
          </w:p>
        </w:tc>
      </w:tr>
      <w:tr w14:paraId="438A7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44AC63">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69FD1BF">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75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18248E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E80BD5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8</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6F7A836">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第二住院大楼空调机房</w:t>
            </w:r>
          </w:p>
        </w:tc>
      </w:tr>
      <w:tr w14:paraId="16EA6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15"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BCF14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8</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759E88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5.5</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的变频柜，涵盖柜体、柜内4个水泵相应的接触器等电气元件、变频器等全包维护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4F4B8AD9">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BBF454D">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21AD6E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第二住院大楼给水PLC变频柜（变频器+4个电机启动组件+PLC控制系统）</w:t>
            </w:r>
          </w:p>
        </w:tc>
      </w:tr>
      <w:tr w14:paraId="08076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09D25A">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9</w:t>
            </w:r>
          </w:p>
        </w:tc>
        <w:tc>
          <w:tcPr>
            <w:tcW w:w="3260"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9EE6B8">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2*6.87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的PLC变频柜，涵盖柜体、柜内2个直流电机相应的接触器等电气元件、PLC变频控制系统等全包维护</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C94D5B1">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套</w:t>
            </w:r>
          </w:p>
        </w:tc>
        <w:tc>
          <w:tcPr>
            <w:tcW w:w="1257"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FF17AE5">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1</w:t>
            </w:r>
          </w:p>
        </w:tc>
        <w:tc>
          <w:tcPr>
            <w:tcW w:w="2926" w:type="dxa"/>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8210AB0">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第二住院大楼配电房PLC变频控制柜 （2个*6.87</w:t>
            </w:r>
            <w:r>
              <w:rPr>
                <w:rStyle w:val="21"/>
                <w:rFonts w:hint="eastAsia" w:ascii="仿宋" w:hAnsi="仿宋" w:eastAsia="仿宋" w:cs="仿宋"/>
                <w:b w:val="0"/>
                <w:bCs/>
                <w:sz w:val="24"/>
                <w:szCs w:val="24"/>
                <w:lang w:eastAsia="zh-CN"/>
              </w:rPr>
              <w:t>kW</w:t>
            </w:r>
            <w:r>
              <w:rPr>
                <w:rStyle w:val="21"/>
                <w:rFonts w:hint="eastAsia" w:ascii="仿宋" w:hAnsi="仿宋" w:eastAsia="仿宋" w:cs="仿宋"/>
                <w:b w:val="0"/>
                <w:bCs/>
                <w:sz w:val="24"/>
                <w:szCs w:val="24"/>
              </w:rPr>
              <w:t xml:space="preserve"> 直流电机+PLC变频控制柜）</w:t>
            </w:r>
          </w:p>
        </w:tc>
      </w:tr>
      <w:tr w14:paraId="221D7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80" w:hRule="atLeast"/>
        </w:trPr>
        <w:tc>
          <w:tcPr>
            <w:tcW w:w="125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8548A4">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lang w:eastAsia="zh-CN"/>
              </w:rPr>
            </w:pPr>
            <w:r>
              <w:rPr>
                <w:rStyle w:val="21"/>
                <w:rFonts w:hint="eastAsia" w:ascii="仿宋" w:hAnsi="仿宋" w:eastAsia="仿宋" w:cs="仿宋"/>
                <w:b w:val="0"/>
                <w:bCs/>
                <w:sz w:val="24"/>
                <w:szCs w:val="24"/>
                <w:lang w:val="en-US" w:eastAsia="zh-CN"/>
              </w:rPr>
              <w:t>合计</w:t>
            </w:r>
          </w:p>
        </w:tc>
        <w:tc>
          <w:tcPr>
            <w:tcW w:w="8700" w:type="dxa"/>
            <w:gridSpan w:val="4"/>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969897">
            <w:pPr>
              <w:pStyle w:val="14"/>
              <w:keepNext w:val="0"/>
              <w:keepLines w:val="0"/>
              <w:pageBreakBefore w:val="0"/>
              <w:widowControl/>
              <w:suppressLineNumbers w:val="0"/>
              <w:kinsoku/>
              <w:wordWrap/>
              <w:overflowPunct/>
              <w:topLinePunct w:val="0"/>
              <w:autoSpaceDN/>
              <w:bidi w:val="0"/>
              <w:spacing w:line="400" w:lineRule="exact"/>
              <w:jc w:val="center"/>
              <w:rPr>
                <w:rFonts w:hint="eastAsia" w:ascii="仿宋" w:hAnsi="仿宋" w:eastAsia="仿宋" w:cs="仿宋"/>
                <w:b w:val="0"/>
                <w:bCs/>
                <w:sz w:val="24"/>
                <w:szCs w:val="24"/>
              </w:rPr>
            </w:pPr>
            <w:r>
              <w:rPr>
                <w:rStyle w:val="21"/>
                <w:rFonts w:hint="eastAsia" w:ascii="仿宋" w:hAnsi="仿宋" w:eastAsia="仿宋" w:cs="仿宋"/>
                <w:b w:val="0"/>
                <w:bCs/>
                <w:sz w:val="24"/>
                <w:szCs w:val="24"/>
              </w:rPr>
              <w:t>47</w:t>
            </w:r>
          </w:p>
        </w:tc>
      </w:tr>
    </w:tbl>
    <w:p w14:paraId="711A53A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★三、服务内容及服务要求</w:t>
      </w:r>
    </w:p>
    <w:p w14:paraId="48E5294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一）维护保养内容</w:t>
      </w:r>
    </w:p>
    <w:p w14:paraId="064848A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检查‌变频器界面‌各参数是否正常，记录异常；。</w:t>
      </w:r>
    </w:p>
    <w:p w14:paraId="12A80D3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观察‌柜内有无异常振动、异响、过热变色、异味；</w:t>
      </w:r>
    </w:p>
    <w:p w14:paraId="142FBB3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检查‌冷却系统‌（风扇、风道）是否运行正常，出风口风速是否达标‌；</w:t>
      </w:r>
    </w:p>
    <w:p w14:paraId="54824A7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4</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测量并记录‌三相输出电压、电流平衡度；</w:t>
      </w:r>
    </w:p>
    <w:p w14:paraId="315BF03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检查‌接线端子、端子排‌是否紧固、无破损或歪斜；</w:t>
      </w:r>
    </w:p>
    <w:p w14:paraId="38169813">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6</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‌清洁外部灰尘，检查散热风扇运转‌；</w:t>
      </w:r>
    </w:p>
    <w:p w14:paraId="54FB149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7</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彻底清灰（使用带塑料吸嘴的吸尘器）；</w:t>
      </w:r>
    </w:p>
    <w:p w14:paraId="2F711C37">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8</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检查‌滤波电容器‌是否漏液、膨胀，静电容量是否≥额定值的‌85%‌；</w:t>
      </w:r>
    </w:p>
    <w:p w14:paraId="313493F9">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9</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检查‌IGBT模块、二极管、电抗器‌等有无异常；</w:t>
      </w:r>
    </w:p>
    <w:p w14:paraId="2EB55F00">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10</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‌如需要，更换‌冷却风扇‌（寿命约10,000–35,000小时）；</w:t>
      </w:r>
    </w:p>
    <w:p w14:paraId="3A8C167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11</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‌如需要，考虑更换‌电解电容‌（考虑到寿命受温度影响显著）</w:t>
      </w:r>
    </w:p>
    <w:p w14:paraId="73177161">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12</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停机后，使用‌2500V兆欧表‌测量主回路绝缘电阻，合格后方可重启‌；</w:t>
      </w:r>
    </w:p>
    <w:p w14:paraId="0B3B0DA2">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13</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检查所有‌接地是否可靠‌，接地点无锈蚀‌；</w:t>
      </w:r>
    </w:p>
    <w:p w14:paraId="5B4906AA">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14</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检查接触器、继电器动作符合规范要求；</w:t>
      </w:r>
    </w:p>
    <w:p w14:paraId="6CAF2828">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15</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对PLC控制系统进行相关输入输出测试，确保PLC控制器和控制屏正常；</w:t>
      </w:r>
    </w:p>
    <w:p w14:paraId="0063BE6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16</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紧固‌内部电缆连接螺母‌；</w:t>
      </w:r>
    </w:p>
    <w:p w14:paraId="4ED42685">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17</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清理柜内外灰尘，确认无遗留螺丝、导线等异物‌；</w:t>
      </w:r>
    </w:p>
    <w:p w14:paraId="437F433D">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18</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建立‌维护档案‌，记录每次检查、保养内容及发现的问题，便于追踪设备状态</w:t>
      </w:r>
      <w:r>
        <w:rPr>
          <w:rFonts w:hint="eastAsia" w:ascii="Times New Roman" w:hAnsi="Times New Roman" w:eastAsia="仿宋" w:cs="Times New Roman"/>
          <w:sz w:val="24"/>
          <w:szCs w:val="24"/>
          <w:lang w:eastAsia="zh-CN"/>
        </w:rPr>
        <w:t>。</w:t>
      </w:r>
    </w:p>
    <w:p w14:paraId="556704BF">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二）维保响应要求</w:t>
      </w:r>
    </w:p>
    <w:p w14:paraId="6181A1EE">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对第二及第三住院大楼变频柜进行维护，包括</w:t>
      </w:r>
      <w:r>
        <w:rPr>
          <w:rFonts w:hint="eastAsia" w:ascii="Times New Roman" w:hAnsi="Times New Roman" w:eastAsia="仿宋" w:cs="Times New Roman"/>
          <w:sz w:val="24"/>
          <w:szCs w:val="24"/>
          <w:lang w:val="en-US" w:eastAsia="zh-CN"/>
        </w:rPr>
        <w:t>以下设备及相关备件：</w:t>
      </w:r>
      <w:r>
        <w:rPr>
          <w:rFonts w:hint="eastAsia" w:ascii="Times New Roman" w:hAnsi="Times New Roman" w:eastAsia="仿宋" w:cs="Times New Roman"/>
          <w:sz w:val="24"/>
          <w:szCs w:val="24"/>
        </w:rPr>
        <w:t>柜体、柜内元器件、接头、ABB/施耐德等品牌的变频器、PLC控制屏、断路器、开关、继电器、线路等，所有技术服务以及备件材料费</w:t>
      </w:r>
      <w:r>
        <w:rPr>
          <w:rFonts w:hint="eastAsia" w:ascii="Times New Roman" w:hAnsi="Times New Roman" w:eastAsia="仿宋" w:cs="Times New Roman"/>
          <w:sz w:val="24"/>
          <w:szCs w:val="24"/>
          <w:lang w:val="en-US" w:eastAsia="zh-CN"/>
        </w:rPr>
        <w:t>用已包含在本项目报价中，采购人不再支付任何额外的费用。</w:t>
      </w:r>
    </w:p>
    <w:p w14:paraId="284463FC">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提供每年4次季度维保维护，以及任何情况下的变频柜故障恢复及备件更换</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相关费用已包含在本项目报价中，采购人不再支付任何额外的费用。</w:t>
      </w:r>
    </w:p>
    <w:p w14:paraId="7828492B">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3.接到采购人报修电话后，供应商2小时内必须赶赴现场，小故障当场解决，大故障必须8小时内完全恢复。</w:t>
      </w:r>
    </w:p>
    <w:p w14:paraId="1786D326">
      <w:pPr>
        <w:pStyle w:val="16"/>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2" w:firstLineChars="200"/>
        <w:textAlignment w:val="auto"/>
        <w:rPr>
          <w:rFonts w:hint="eastAsia" w:ascii="Times New Roman" w:hAnsi="Times New Roman" w:eastAsia="仿宋" w:cs="Times New Roman"/>
          <w:b/>
          <w:bCs/>
          <w:sz w:val="24"/>
          <w:szCs w:val="24"/>
          <w:highlight w:val="none"/>
          <w:lang w:val="en-US" w:eastAsia="zh-CN"/>
        </w:rPr>
      </w:pPr>
      <w:r>
        <w:rPr>
          <w:rFonts w:hint="eastAsia" w:ascii="Times New Roman" w:hAnsi="Times New Roman" w:eastAsia="仿宋" w:cs="Times New Roman"/>
          <w:b/>
          <w:bCs/>
          <w:sz w:val="24"/>
          <w:szCs w:val="24"/>
          <w:highlight w:val="none"/>
          <w:lang w:eastAsia="zh-CN"/>
        </w:rPr>
        <w:t>（</w:t>
      </w:r>
      <w:r>
        <w:rPr>
          <w:rFonts w:hint="eastAsia" w:ascii="Times New Roman" w:hAnsi="Times New Roman" w:eastAsia="仿宋" w:cs="Times New Roman"/>
          <w:b/>
          <w:bCs/>
          <w:sz w:val="24"/>
          <w:szCs w:val="24"/>
          <w:highlight w:val="none"/>
          <w:lang w:val="en-US" w:eastAsia="zh-CN"/>
        </w:rPr>
        <w:t>三）其他服务要求</w:t>
      </w:r>
    </w:p>
    <w:p w14:paraId="42268C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kern w:val="2"/>
          <w:sz w:val="24"/>
          <w:szCs w:val="24"/>
          <w:lang w:val="en-US" w:eastAsia="zh-CN" w:bidi="ar-SA"/>
        </w:rPr>
        <w:t>供应商须为本项目配备不低于3人的维保团队，所有维保团队人员须具有维护保养本项目相关设备的技术能力，维保团队中须包含具备“低压电工证书、高压电工作业证、高处作业操作证”（允许同一人员同时具备多个证书）的人员。响应文件中应提供有效证书复印件和上述人员在职证明，并加盖供应商公章。</w:t>
      </w:r>
    </w:p>
    <w:p w14:paraId="77264D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2.安全生产要求：服务期间，维保团队人员安全、作业安全和其他与本项目有关的安全均由供应商自行负责。</w:t>
      </w:r>
    </w:p>
    <w:p w14:paraId="5772FB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0" w:firstLineChars="200"/>
        <w:jc w:val="left"/>
        <w:textAlignment w:val="auto"/>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3.供应商需要储备变频器及接触器等重要维修备件以备需要。</w:t>
      </w:r>
    </w:p>
    <w:p w14:paraId="08B2C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b/>
          <w:bCs/>
          <w:color w:val="auto"/>
          <w:sz w:val="24"/>
          <w:szCs w:val="24"/>
          <w:highlight w:val="none"/>
          <w:lang w:val="en-US" w:eastAsia="zh-CN"/>
        </w:rPr>
        <w:t>★</w:t>
      </w:r>
      <w:r>
        <w:rPr>
          <w:rFonts w:ascii="Times New Roman" w:hAnsi="Times New Roman" w:eastAsia="仿宋" w:cs="Times New Roman"/>
          <w:b/>
          <w:bCs/>
          <w:sz w:val="24"/>
          <w:szCs w:val="24"/>
        </w:rPr>
        <w:t>四、商务要求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firstLine="482"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一）服务期限</w:t>
      </w:r>
      <w:r>
        <w:rPr>
          <w:rFonts w:hint="eastAsia" w:ascii="仿宋" w:hAnsi="仿宋" w:eastAsia="仿宋" w:cs="仿宋"/>
          <w:b w:val="0"/>
          <w:bCs w:val="0"/>
          <w:color w:val="auto"/>
          <w:sz w:val="24"/>
          <w:szCs w:val="24"/>
          <w:highlight w:val="none"/>
          <w:lang w:val="en-US" w:eastAsia="zh-CN"/>
        </w:rPr>
        <w:t>：自合同签订之日起3年，合同一年一签，经考核合格后续签下一年度合同。</w:t>
      </w:r>
    </w:p>
    <w:p w14:paraId="48BE8F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服务地点</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四川省人民医院。</w:t>
      </w:r>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付款方式</w:t>
      </w:r>
    </w:p>
    <w:p w14:paraId="7E6C32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0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服务期内，每三个月</w:t>
      </w:r>
      <w:r>
        <w:rPr>
          <w:rFonts w:hint="eastAsia" w:ascii="仿宋" w:hAnsi="仿宋" w:eastAsia="仿宋" w:cs="仿宋"/>
          <w:b w:val="0"/>
          <w:bCs/>
          <w:color w:val="auto"/>
          <w:kern w:val="2"/>
          <w:sz w:val="24"/>
          <w:szCs w:val="24"/>
          <w:highlight w:val="none"/>
          <w:lang w:val="en-US" w:eastAsia="zh-CN" w:bidi="ar-SA"/>
        </w:rPr>
        <w:t>支付一次费用，</w:t>
      </w:r>
      <w:r>
        <w:rPr>
          <w:rFonts w:hint="eastAsia" w:ascii="仿宋" w:hAnsi="仿宋" w:eastAsia="仿宋" w:cs="仿宋"/>
          <w:color w:val="auto"/>
          <w:sz w:val="24"/>
          <w:szCs w:val="24"/>
          <w:highlight w:val="none"/>
          <w:lang w:val="en-US" w:eastAsia="zh-CN"/>
        </w:rPr>
        <w:t>每次费用金额为：本项目成交价/4（按四舍五入保留两位小数）。</w:t>
      </w:r>
      <w:r>
        <w:rPr>
          <w:rFonts w:hint="eastAsia" w:ascii="仿宋" w:hAnsi="仿宋" w:eastAsia="仿宋" w:cs="仿宋"/>
          <w:b w:val="0"/>
          <w:bCs/>
          <w:color w:val="auto"/>
          <w:kern w:val="2"/>
          <w:sz w:val="24"/>
          <w:szCs w:val="24"/>
          <w:highlight w:val="none"/>
          <w:lang w:val="en-US" w:eastAsia="zh-CN" w:bidi="ar-SA"/>
        </w:rPr>
        <w:t>供应商每完成三个月服务且经采购人考核合格后，供应商5日内向采购人提供合法有效票据及其他相关请款资料，采购人自收到上述票据及资料后55日内，向供应商支付支付相应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按照基于本项目采购需求编制的采购文件要求及供应商响应文件情况，由供应商向采购人提供的每三个月全部服务的履约情况。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b w:val="0"/>
                <w:bCs/>
                <w:color w:val="auto"/>
                <w:sz w:val="24"/>
                <w:szCs w:val="24"/>
                <w:highlight w:val="none"/>
                <w:lang w:val="en-US" w:eastAsia="zh-CN"/>
              </w:rPr>
              <w:t>供应商每完成三个月服务后，于5日内通知采购人验收，采购人接供应商通知后10日内组织验收。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1.国家相关法律法规、行业标准、技术规范。</w:t>
            </w:r>
          </w:p>
          <w:p w14:paraId="6A2D1F7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2.基于本项目采购需求编制的采购文件相关技术、服务要求、供应商响应文件相关响应内容。</w:t>
            </w:r>
          </w:p>
          <w:p w14:paraId="6B189413">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3.产品生产厂家出具的产品说明书、技术白皮书、医疗器械注册证或备案凭证等官方技术资料（如涉及）。</w:t>
            </w:r>
          </w:p>
          <w:p w14:paraId="070C427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4.如验收时，采购人与供应商认为本项目验收标准中的技术指标、质量要求等内容存在相互抵触或对其理解存在异议，应按照其中更严格的要求、标准等进行验收。</w:t>
            </w:r>
          </w:p>
          <w:p w14:paraId="336759A6">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5.参照《财政部关于进一步加强政府采购需求和履约验收管理的指导意见》（财库〔2016〕205号）的要求进行验收。</w:t>
            </w:r>
          </w:p>
          <w:p w14:paraId="5ABD2F71">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150D15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（五）考核表</w:t>
      </w:r>
    </w:p>
    <w:p w14:paraId="2F14AA6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kern w:val="2"/>
          <w:sz w:val="24"/>
          <w:szCs w:val="24"/>
        </w:rPr>
        <w:t>服务项目考核评价表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42"/>
        <w:gridCol w:w="1419"/>
        <w:gridCol w:w="2162"/>
        <w:gridCol w:w="1848"/>
        <w:gridCol w:w="1327"/>
        <w:gridCol w:w="879"/>
        <w:gridCol w:w="779"/>
      </w:tblGrid>
      <w:tr w14:paraId="4EB85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05" w:hRule="atLeast"/>
        </w:trPr>
        <w:tc>
          <w:tcPr>
            <w:tcW w:w="154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C11753">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供应商名称</w:t>
            </w:r>
          </w:p>
        </w:tc>
        <w:tc>
          <w:tcPr>
            <w:tcW w:w="3581" w:type="dxa"/>
            <w:gridSpan w:val="2"/>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A84FC1">
            <w:pPr>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p>
        </w:tc>
        <w:tc>
          <w:tcPr>
            <w:tcW w:w="1848"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FCC591">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联系人</w:t>
            </w:r>
          </w:p>
        </w:tc>
        <w:tc>
          <w:tcPr>
            <w:tcW w:w="2985" w:type="dxa"/>
            <w:gridSpan w:val="3"/>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5DB3EF2">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56B65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1542"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BA61A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ind w:left="0" w:leftChars="0" w:right="0" w:rightChars="0"/>
              <w:jc w:val="center"/>
              <w:textAlignment w:val="auto"/>
              <w:rPr>
                <w:rStyle w:val="21"/>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z w:val="24"/>
                <w:szCs w:val="24"/>
              </w:rPr>
              <w:t>评价人</w:t>
            </w:r>
          </w:p>
        </w:tc>
        <w:tc>
          <w:tcPr>
            <w:tcW w:w="3581" w:type="dxa"/>
            <w:gridSpan w:val="2"/>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9FFDE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b/>
                <w:bCs/>
                <w:color w:val="auto"/>
              </w:rPr>
            </w:pPr>
          </w:p>
        </w:tc>
        <w:tc>
          <w:tcPr>
            <w:tcW w:w="1848"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38566B">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ind w:left="0" w:leftChars="0" w:right="0" w:rightChars="0"/>
              <w:jc w:val="center"/>
              <w:textAlignment w:val="auto"/>
              <w:rPr>
                <w:rStyle w:val="21"/>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z w:val="24"/>
                <w:szCs w:val="24"/>
              </w:rPr>
              <w:t>日期</w:t>
            </w:r>
          </w:p>
        </w:tc>
        <w:tc>
          <w:tcPr>
            <w:tcW w:w="2985" w:type="dxa"/>
            <w:gridSpan w:val="3"/>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25600AD">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38CEB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CBDC6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考核项目</w:t>
            </w:r>
          </w:p>
        </w:tc>
        <w:tc>
          <w:tcPr>
            <w:tcW w:w="141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6E28DB">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考核内容</w:t>
            </w:r>
          </w:p>
        </w:tc>
        <w:tc>
          <w:tcPr>
            <w:tcW w:w="5337" w:type="dxa"/>
            <w:gridSpan w:val="3"/>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A6DDF1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考核方法</w:t>
            </w:r>
          </w:p>
        </w:tc>
        <w:tc>
          <w:tcPr>
            <w:tcW w:w="87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9A5909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医院考评</w:t>
            </w:r>
          </w:p>
        </w:tc>
        <w:tc>
          <w:tcPr>
            <w:tcW w:w="779" w:type="dxa"/>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50804A2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Style w:val="21"/>
                <w:rFonts w:hint="eastAsia" w:ascii="方正仿宋_GB2312" w:hAnsi="方正仿宋_GB2312" w:eastAsia="方正仿宋_GB2312" w:cs="方正仿宋_GB2312"/>
                <w:color w:val="auto"/>
                <w:sz w:val="24"/>
                <w:szCs w:val="24"/>
              </w:rPr>
              <w:t>得分</w:t>
            </w:r>
          </w:p>
        </w:tc>
      </w:tr>
      <w:tr w14:paraId="5CDA8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30"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6D905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技术及管理考核（10分）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9FC0DD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人员技术要求（5分）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B88C3B4">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供应商的工作人员需经过专业培训证明或持有相关技能证件，服务人员具备专业服务水平的准确性、规范性，因工作人员技术能力不足无法完成维修的每发现一项扣1分，扣完为止。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E611ED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623C0B7">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9659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507936">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8E9DD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规范性（5分）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A0D98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供应商工作人员进入医院及科室（尤其是临床科室）应严格遵守医院相关规定，出现违反医院管理规章制度的每次扣1分，扣完为止，缺少必要文件（如质检报告、发票）：扣3分/次。</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63BF96B">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4A524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404BE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35"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6C0C9C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服务效率（</w:t>
            </w:r>
            <w:r>
              <w:rPr>
                <w:rFonts w:hint="eastAsia" w:ascii="方正仿宋_GB2312" w:hAnsi="方正仿宋_GB2312" w:eastAsia="方正仿宋_GB2312" w:cs="方正仿宋_GB2312"/>
                <w:color w:val="auto"/>
                <w:sz w:val="24"/>
                <w:szCs w:val="24"/>
                <w:lang w:val="en-US" w:eastAsia="zh-CN"/>
              </w:rPr>
              <w:t>4</w:t>
            </w:r>
            <w:r>
              <w:rPr>
                <w:rFonts w:hint="eastAsia" w:ascii="方正仿宋_GB2312" w:hAnsi="方正仿宋_GB2312" w:eastAsia="方正仿宋_GB2312" w:cs="方正仿宋_GB2312"/>
                <w:color w:val="auto"/>
                <w:sz w:val="24"/>
                <w:szCs w:val="24"/>
              </w:rPr>
              <w:t>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32CFE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服务响应及时率（20分）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30A4D0D">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供应商按照合同要求在响应时间内及时响应，每月工单平均响应时间超合同要求一次扣10分，扣完为止。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B02B7A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5AB5F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C33B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5"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7F941C">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61C986">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服务完成及时率（20分）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8C4096C">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供应商按照合同要求在约定时间内完成服务并反馈，工时超合同要求一次扣10分，扣完为止。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9E4433A">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43DA05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A4C7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BD6B72">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服务质量（40分）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5EAD84">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维修质量（10分）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299D31B">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维修后问题未解决：扣5分/次</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9215BB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98CFA52">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7B7AC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1"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20A64A">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06B83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重复故障（10分）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E160AD">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同类质量问题连续/重复出现：扣5分/次</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4DCCBFD">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5FBC8CA">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20826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53F3E0">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9A1AB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质量缺陷（20分）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F07991">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jc w:val="both"/>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材料不达标、功能缺失：扣10分/项</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9F5FA1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CCBE72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47B2A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9C290D">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服务满意度及投诉（10分）</w:t>
            </w:r>
          </w:p>
        </w:tc>
        <w:tc>
          <w:tcPr>
            <w:tcW w:w="141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A9CBD0">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处理投诉（10分）</w:t>
            </w:r>
          </w:p>
        </w:tc>
        <w:tc>
          <w:tcPr>
            <w:tcW w:w="5337" w:type="dxa"/>
            <w:gridSpan w:val="3"/>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1DB7D4">
            <w:pPr>
              <w:pStyle w:val="14"/>
              <w:keepNext w:val="0"/>
              <w:keepLines w:val="0"/>
              <w:pageBreakBefore w:val="0"/>
              <w:widowControl/>
              <w:suppressLineNumbers w:val="0"/>
              <w:kinsoku/>
              <w:wordWrap/>
              <w:overflowPunct/>
              <w:topLinePunct w:val="0"/>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供应商专业人员应保持良好的服务态度，文明用语、规范着装，能够耐心解答使用部门疑问。经部门反馈满意度差的每次扣2分，扣完为止。接到使用科室有效投诉或反馈后应积极处理，消极推诿不处理的，每发生一次，扣5分，扣完为止。</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E12652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607708">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8199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9" w:hRule="atLeast"/>
        </w:trPr>
        <w:tc>
          <w:tcPr>
            <w:tcW w:w="1542"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216CFF">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一票否决项</w:t>
            </w: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6C3C6D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履约质量中因重大缺陷导致安全事故或法律纠纷</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E57521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B697900">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2EF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0" w:hRule="atLeast"/>
        </w:trPr>
        <w:tc>
          <w:tcPr>
            <w:tcW w:w="1542"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7C62D8">
            <w:pPr>
              <w:keepNext w:val="0"/>
              <w:keepLines w:val="0"/>
              <w:pageBreakBefore w:val="0"/>
              <w:kinsoku/>
              <w:wordWrap/>
              <w:overflowPunct/>
              <w:topLinePunct w:val="0"/>
              <w:autoSpaceDN/>
              <w:bidi w:val="0"/>
              <w:snapToGrid/>
              <w:spacing w:beforeAutospacing="0" w:afterAutospacing="0" w:line="400" w:lineRule="exact"/>
              <w:jc w:val="center"/>
              <w:textAlignment w:val="auto"/>
              <w:rPr>
                <w:rFonts w:hint="eastAsia" w:ascii="宋体"/>
                <w:color w:val="auto"/>
                <w:sz w:val="24"/>
                <w:szCs w:val="24"/>
              </w:rPr>
            </w:pP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5CEA4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rFonts w:hint="eastAsia" w:eastAsia="方正仿宋_GB2312"/>
                <w:color w:val="auto"/>
                <w:lang w:eastAsia="zh-CN"/>
              </w:rPr>
            </w:pPr>
            <w:r>
              <w:rPr>
                <w:rFonts w:hint="eastAsia" w:ascii="方正仿宋_GB2312" w:hAnsi="方正仿宋_GB2312" w:eastAsia="方正仿宋_GB2312" w:cs="方正仿宋_GB2312"/>
                <w:color w:val="auto"/>
                <w:sz w:val="24"/>
                <w:szCs w:val="24"/>
              </w:rPr>
              <w:t>服务中因</w:t>
            </w: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推诿责任导致项目严重损失</w:t>
            </w:r>
            <w:r>
              <w:rPr>
                <w:rFonts w:hint="eastAsia" w:ascii="方正仿宋_GB2312" w:hAnsi="方正仿宋_GB2312" w:eastAsia="方正仿宋_GB2312" w:cs="方正仿宋_GB2312"/>
                <w:color w:val="auto"/>
                <w:sz w:val="24"/>
                <w:szCs w:val="24"/>
                <w:lang w:eastAsia="zh-CN"/>
              </w:rPr>
              <w:t>。</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E24A874">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0D74136">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05552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25"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EF0F3E">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加分项（10分）</w:t>
            </w:r>
          </w:p>
        </w:tc>
        <w:tc>
          <w:tcPr>
            <w:tcW w:w="6756"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823F81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诚信守法经营，严格管理，在合同期内无不良记录。在此基础上，积极配合</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的管理要求，在服务过程中提出合理化建议，提供增值服务，经使用部门及归口管理部门认可，可适当予以加分，每项合理化建议措施加2分，最高可加分10分。</w:t>
            </w:r>
          </w:p>
        </w:tc>
        <w:tc>
          <w:tcPr>
            <w:tcW w:w="8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D026EEF">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F6F0A75">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2217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E123735">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总分</w:t>
            </w:r>
          </w:p>
        </w:tc>
        <w:tc>
          <w:tcPr>
            <w:tcW w:w="7635" w:type="dxa"/>
            <w:gridSpan w:val="5"/>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B497DE">
            <w:pPr>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满分100分</w:t>
            </w:r>
          </w:p>
        </w:tc>
        <w:tc>
          <w:tcPr>
            <w:tcW w:w="779"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A3A75C">
            <w:pPr>
              <w:keepNext w:val="0"/>
              <w:keepLines w:val="0"/>
              <w:pageBreakBefore w:val="0"/>
              <w:widowControl/>
              <w:suppressLineNumbers w:val="0"/>
              <w:kinsoku/>
              <w:wordWrap/>
              <w:overflowPunct/>
              <w:topLinePunct w:val="0"/>
              <w:autoSpaceDN/>
              <w:bidi w:val="0"/>
              <w:snapToGrid/>
              <w:spacing w:beforeAutospacing="0" w:afterAutospacing="0" w:line="400" w:lineRule="exact"/>
              <w:jc w:val="left"/>
              <w:textAlignment w:val="auto"/>
              <w:rPr>
                <w:color w:val="auto"/>
              </w:rPr>
            </w:pPr>
          </w:p>
        </w:tc>
      </w:tr>
      <w:tr w14:paraId="11693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154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CA10C3">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rFonts w:hint="eastAsia" w:eastAsia="方正仿宋_GB2312"/>
                <w:color w:val="auto"/>
                <w:lang w:val="en-US" w:eastAsia="zh-CN"/>
              </w:rPr>
            </w:pPr>
            <w:r>
              <w:rPr>
                <w:rFonts w:hint="eastAsia" w:ascii="方正仿宋_GB2312" w:hAnsi="方正仿宋_GB2312" w:eastAsia="方正仿宋_GB2312" w:cs="方正仿宋_GB2312"/>
                <w:color w:val="auto"/>
                <w:sz w:val="24"/>
                <w:szCs w:val="24"/>
              </w:rPr>
              <w:t>评价结果</w:t>
            </w:r>
            <w:r>
              <w:rPr>
                <w:rFonts w:hint="eastAsia" w:ascii="方正仿宋_GB2312" w:hAnsi="方正仿宋_GB2312" w:eastAsia="方正仿宋_GB2312" w:cs="方正仿宋_GB2312"/>
                <w:color w:val="auto"/>
                <w:sz w:val="24"/>
                <w:szCs w:val="24"/>
                <w:lang w:val="en-US" w:eastAsia="zh-CN"/>
              </w:rPr>
              <w:t>运用</w:t>
            </w:r>
          </w:p>
        </w:tc>
        <w:tc>
          <w:tcPr>
            <w:tcW w:w="8414" w:type="dxa"/>
            <w:gridSpan w:val="6"/>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955059">
            <w:pPr>
              <w:pStyle w:val="14"/>
              <w:keepNext w:val="0"/>
              <w:keepLines w:val="0"/>
              <w:pageBreakBefore w:val="0"/>
              <w:widowControl/>
              <w:suppressLineNumbers w:val="0"/>
              <w:kinsoku/>
              <w:wordWrap/>
              <w:overflowPunct/>
              <w:topLinePunct w:val="0"/>
              <w:autoSpaceDN/>
              <w:bidi w:val="0"/>
              <w:snapToGrid/>
              <w:spacing w:beforeAutospacing="0" w:afterAutospacing="0" w:line="400" w:lineRule="exact"/>
              <w:jc w:val="center"/>
              <w:textAlignment w:val="auto"/>
              <w:rPr>
                <w:color w:val="auto"/>
              </w:rPr>
            </w:pPr>
            <w:r>
              <w:rPr>
                <w:rFonts w:hint="eastAsia" w:ascii="方正仿宋_GB2312" w:hAnsi="方正仿宋_GB2312" w:eastAsia="方正仿宋_GB2312" w:cs="方正仿宋_GB2312"/>
                <w:color w:val="auto"/>
                <w:sz w:val="24"/>
                <w:szCs w:val="24"/>
              </w:rPr>
              <w:t xml:space="preserve">合格□ </w:t>
            </w:r>
            <w:r>
              <w:rPr>
                <w:rFonts w:hint="eastAsia" w:ascii="方正仿宋_GB2312" w:hAnsi="方正仿宋_GB2312" w:eastAsia="方正仿宋_GB2312" w:cs="方正仿宋_GB2312"/>
                <w:color w:val="auto"/>
                <w:sz w:val="24"/>
                <w:szCs w:val="24"/>
                <w:lang w:val="en-US" w:eastAsia="zh-CN"/>
              </w:rPr>
              <w:t xml:space="preserve">    </w:t>
            </w:r>
            <w:r>
              <w:rPr>
                <w:rFonts w:hint="eastAsia" w:ascii="方正仿宋_GB2312" w:hAnsi="方正仿宋_GB2312" w:eastAsia="方正仿宋_GB2312" w:cs="方正仿宋_GB2312"/>
                <w:color w:val="auto"/>
                <w:sz w:val="24"/>
                <w:szCs w:val="24"/>
              </w:rPr>
              <w:t>不合格□</w:t>
            </w:r>
          </w:p>
          <w:p w14:paraId="64D4935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1.根据</w:t>
            </w:r>
            <w:r>
              <w:rPr>
                <w:rFonts w:hint="eastAsia" w:ascii="方正仿宋_GB2312" w:hAnsi="方正仿宋_GB2312" w:eastAsia="方正仿宋_GB2312" w:cs="方正仿宋_GB2312"/>
                <w:color w:val="auto"/>
                <w:sz w:val="24"/>
                <w:szCs w:val="24"/>
                <w:lang w:val="en-US" w:eastAsia="zh-CN"/>
              </w:rPr>
              <w:t>供应商</w:t>
            </w:r>
            <w:r>
              <w:rPr>
                <w:rFonts w:hint="eastAsia" w:ascii="方正仿宋_GB2312" w:hAnsi="方正仿宋_GB2312" w:eastAsia="方正仿宋_GB2312" w:cs="方正仿宋_GB2312"/>
                <w:color w:val="auto"/>
                <w:sz w:val="24"/>
                <w:szCs w:val="24"/>
              </w:rPr>
              <w:t>服务情况进行考核评分</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rPr>
              <w:t>80分及以上为合格，80分以下为不合格。考核不合格，</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将不予支付</w:t>
            </w:r>
            <w:r>
              <w:rPr>
                <w:rFonts w:hint="eastAsia" w:ascii="方正仿宋_GB2312" w:hAnsi="方正仿宋_GB2312" w:eastAsia="方正仿宋_GB2312" w:cs="方正仿宋_GB2312"/>
                <w:color w:val="auto"/>
                <w:sz w:val="24"/>
                <w:szCs w:val="24"/>
                <w:lang w:val="en-US" w:eastAsia="zh-CN"/>
              </w:rPr>
              <w:t>当期</w:t>
            </w:r>
            <w:r>
              <w:rPr>
                <w:rFonts w:hint="eastAsia" w:ascii="方正仿宋_GB2312" w:hAnsi="方正仿宋_GB2312" w:eastAsia="方正仿宋_GB2312" w:cs="方正仿宋_GB2312"/>
                <w:color w:val="auto"/>
                <w:sz w:val="24"/>
                <w:szCs w:val="24"/>
              </w:rPr>
              <w:t>服务费。若年度内2次评为不合格，</w:t>
            </w:r>
            <w:r>
              <w:rPr>
                <w:rFonts w:hint="eastAsia" w:ascii="方正仿宋_GB2312" w:hAnsi="方正仿宋_GB2312" w:eastAsia="方正仿宋_GB2312" w:cs="方正仿宋_GB2312"/>
                <w:color w:val="auto"/>
                <w:sz w:val="24"/>
                <w:szCs w:val="24"/>
                <w:lang w:val="en-US" w:eastAsia="zh-CN"/>
              </w:rPr>
              <w:t>采购人</w:t>
            </w:r>
            <w:r>
              <w:rPr>
                <w:rFonts w:hint="eastAsia" w:ascii="方正仿宋_GB2312" w:hAnsi="方正仿宋_GB2312" w:eastAsia="方正仿宋_GB2312" w:cs="方正仿宋_GB2312"/>
                <w:color w:val="auto"/>
                <w:sz w:val="24"/>
                <w:szCs w:val="24"/>
              </w:rPr>
              <w:t>有权取消</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rPr>
              <w:t>终止</w:t>
            </w:r>
            <w:r>
              <w:rPr>
                <w:rFonts w:hint="eastAsia" w:ascii="方正仿宋_GB2312" w:hAnsi="方正仿宋_GB2312" w:eastAsia="方正仿宋_GB2312" w:cs="方正仿宋_GB2312"/>
                <w:color w:val="auto"/>
                <w:sz w:val="24"/>
                <w:szCs w:val="24"/>
                <w:lang w:eastAsia="zh-CN"/>
              </w:rPr>
              <w:t>）</w:t>
            </w:r>
            <w:r>
              <w:rPr>
                <w:rFonts w:hint="eastAsia" w:ascii="方正仿宋_GB2312" w:hAnsi="方正仿宋_GB2312" w:eastAsia="方正仿宋_GB2312" w:cs="方正仿宋_GB2312"/>
                <w:color w:val="auto"/>
                <w:sz w:val="24"/>
                <w:szCs w:val="24"/>
                <w:lang w:val="en-US" w:eastAsia="zh-CN"/>
              </w:rPr>
              <w:t>本项目</w:t>
            </w:r>
            <w:r>
              <w:rPr>
                <w:rFonts w:hint="eastAsia" w:ascii="方正仿宋_GB2312" w:hAnsi="方正仿宋_GB2312" w:eastAsia="方正仿宋_GB2312" w:cs="方正仿宋_GB2312"/>
                <w:color w:val="auto"/>
                <w:sz w:val="24"/>
                <w:szCs w:val="24"/>
              </w:rPr>
              <w:t>服务合同。</w:t>
            </w:r>
          </w:p>
          <w:p w14:paraId="0A9A552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textAlignment w:val="auto"/>
              <w:rPr>
                <w:color w:val="auto"/>
              </w:rPr>
            </w:pPr>
            <w:r>
              <w:rPr>
                <w:rFonts w:hint="eastAsia" w:ascii="方正仿宋_GB2312" w:hAnsi="方正仿宋_GB2312" w:eastAsia="方正仿宋_GB2312" w:cs="方正仿宋_GB2312"/>
                <w:color w:val="auto"/>
                <w:sz w:val="24"/>
                <w:szCs w:val="24"/>
              </w:rPr>
              <w:t>2.年度考核合格是指供应商前三个季度考核均合格，年度考核合格</w:t>
            </w:r>
            <w:r>
              <w:rPr>
                <w:rFonts w:hint="eastAsia" w:ascii="方正仿宋_GB2312" w:hAnsi="方正仿宋_GB2312" w:eastAsia="方正仿宋_GB2312" w:cs="方正仿宋_GB2312"/>
                <w:color w:val="auto"/>
                <w:sz w:val="24"/>
                <w:szCs w:val="24"/>
                <w:lang w:val="en-US" w:eastAsia="zh-CN"/>
              </w:rPr>
              <w:t>后</w:t>
            </w:r>
            <w:r>
              <w:rPr>
                <w:rFonts w:hint="eastAsia" w:ascii="方正仿宋_GB2312" w:hAnsi="方正仿宋_GB2312" w:eastAsia="方正仿宋_GB2312" w:cs="方正仿宋_GB2312"/>
                <w:color w:val="auto"/>
                <w:sz w:val="24"/>
                <w:szCs w:val="24"/>
              </w:rPr>
              <w:t>可续签下一年度合同。</w:t>
            </w:r>
          </w:p>
          <w:p w14:paraId="66CE73BA">
            <w:pPr>
              <w:keepNext w:val="0"/>
              <w:keepLines w:val="0"/>
              <w:pageBreakBefore w:val="0"/>
              <w:widowControl/>
              <w:suppressLineNumbers w:val="0"/>
              <w:kinsoku/>
              <w:wordWrap/>
              <w:overflowPunct/>
              <w:topLinePunct w:val="0"/>
              <w:autoSpaceDE/>
              <w:autoSpaceDN/>
              <w:bidi w:val="0"/>
              <w:adjustRightInd/>
              <w:snapToGrid/>
              <w:spacing w:beforeAutospacing="0" w:afterAutospacing="0" w:line="400" w:lineRule="exact"/>
              <w:ind w:firstLine="480" w:firstLineChars="200"/>
              <w:jc w:val="left"/>
              <w:textAlignment w:val="auto"/>
              <w:rPr>
                <w:color w:val="auto"/>
              </w:rPr>
            </w:pPr>
            <w:r>
              <w:rPr>
                <w:rFonts w:hint="eastAsia" w:ascii="方正仿宋_GB2312" w:hAnsi="方正仿宋_GB2312" w:eastAsia="方正仿宋_GB2312" w:cs="方正仿宋_GB2312"/>
                <w:color w:val="auto"/>
                <w:sz w:val="24"/>
                <w:szCs w:val="24"/>
              </w:rPr>
              <w:t>3.考核时间为</w:t>
            </w:r>
            <w:r>
              <w:rPr>
                <w:rFonts w:hint="eastAsia" w:ascii="方正仿宋_GB2312" w:hAnsi="方正仿宋_GB2312" w:eastAsia="方正仿宋_GB2312" w:cs="方正仿宋_GB2312"/>
                <w:color w:val="auto"/>
                <w:sz w:val="24"/>
                <w:szCs w:val="24"/>
                <w:lang w:eastAsia="zh-CN"/>
              </w:rPr>
              <w:t>：每</w:t>
            </w:r>
            <w:r>
              <w:rPr>
                <w:rFonts w:hint="eastAsia" w:ascii="方正仿宋_GB2312" w:hAnsi="方正仿宋_GB2312" w:eastAsia="方正仿宋_GB2312" w:cs="方正仿宋_GB2312"/>
                <w:color w:val="auto"/>
                <w:sz w:val="24"/>
                <w:szCs w:val="24"/>
                <w:lang w:val="en-US" w:eastAsia="zh-CN"/>
              </w:rPr>
              <w:t>三个月</w:t>
            </w:r>
            <w:r>
              <w:rPr>
                <w:rFonts w:hint="eastAsia" w:ascii="方正仿宋_GB2312" w:hAnsi="方正仿宋_GB2312" w:eastAsia="方正仿宋_GB2312" w:cs="方正仿宋_GB2312"/>
                <w:color w:val="auto"/>
                <w:sz w:val="24"/>
                <w:szCs w:val="24"/>
                <w:lang w:eastAsia="zh-CN"/>
              </w:rPr>
              <w:t>服务内容完成后第二个月进行考核</w:t>
            </w:r>
            <w:r>
              <w:rPr>
                <w:rFonts w:hint="eastAsia" w:ascii="方正仿宋_GB2312" w:hAnsi="方正仿宋_GB2312" w:eastAsia="方正仿宋_GB2312" w:cs="方正仿宋_GB2312"/>
                <w:color w:val="auto"/>
                <w:sz w:val="24"/>
                <w:szCs w:val="24"/>
              </w:rPr>
              <w:t>。</w:t>
            </w:r>
          </w:p>
        </w:tc>
      </w:tr>
    </w:tbl>
    <w:p w14:paraId="24F33F49">
      <w:pPr>
        <w:pStyle w:val="16"/>
        <w:keepNext w:val="0"/>
        <w:keepLines w:val="0"/>
        <w:pageBreakBefore w:val="0"/>
        <w:widowControl w:val="0"/>
        <w:kinsoku/>
        <w:wordWrap/>
        <w:overflowPunct/>
        <w:topLinePunct w:val="0"/>
        <w:autoSpaceDE/>
        <w:autoSpaceDN/>
        <w:bidi w:val="0"/>
        <w:adjustRightInd/>
        <w:snapToGrid w:val="0"/>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五、其他要求</w:t>
      </w:r>
    </w:p>
    <w:p w14:paraId="308B1F17">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1.供应商提供自2023年1月1日（含）至响应文件递交截止之日类似项目业绩（类似项目是指包含变频器或变频柜维保服务项目），提供合同复印件并加盖供应商公章。</w:t>
      </w:r>
    </w:p>
    <w:p w14:paraId="04A673D7">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color w:val="auto"/>
          <w:sz w:val="24"/>
          <w:szCs w:val="24"/>
          <w:highlight w:val="none"/>
          <w:lang w:val="en-US" w:eastAsia="zh-CN"/>
        </w:rPr>
        <w:t>供应商为本项目拟配备的维保团队人员</w:t>
      </w:r>
      <w:r>
        <w:rPr>
          <w:rFonts w:hint="eastAsia" w:ascii="仿宋" w:hAnsi="仿宋" w:eastAsia="仿宋" w:cs="仿宋"/>
          <w:b w:val="0"/>
          <w:bCs/>
          <w:color w:val="auto"/>
          <w:kern w:val="2"/>
          <w:sz w:val="24"/>
          <w:szCs w:val="24"/>
          <w:highlight w:val="none"/>
          <w:lang w:val="en-US" w:eastAsia="zh-CN"/>
        </w:rPr>
        <w:t>：</w:t>
      </w:r>
      <w:r>
        <w:rPr>
          <w:rFonts w:hint="eastAsia" w:ascii="仿宋" w:hAnsi="仿宋" w:eastAsia="仿宋" w:cs="仿宋"/>
          <w:color w:val="auto"/>
          <w:sz w:val="24"/>
          <w:szCs w:val="24"/>
          <w:highlight w:val="none"/>
          <w:lang w:val="en-US" w:eastAsia="zh-CN"/>
        </w:rPr>
        <w:t>具有</w:t>
      </w:r>
      <w:r>
        <w:rPr>
          <w:rFonts w:hint="eastAsia" w:ascii="仿宋" w:hAnsi="仿宋" w:eastAsia="仿宋" w:cs="仿宋"/>
          <w:sz w:val="24"/>
          <w:szCs w:val="24"/>
          <w:lang w:val="en-US" w:eastAsia="zh-CN"/>
        </w:rPr>
        <w:t>暖通、自控、电气</w:t>
      </w:r>
      <w:r>
        <w:rPr>
          <w:rFonts w:hint="eastAsia" w:ascii="仿宋" w:hAnsi="仿宋" w:eastAsia="仿宋" w:cs="仿宋"/>
          <w:color w:val="auto"/>
          <w:sz w:val="24"/>
          <w:szCs w:val="24"/>
          <w:highlight w:val="none"/>
          <w:lang w:val="en-US" w:eastAsia="zh-CN"/>
        </w:rPr>
        <w:t>工程相关专业之一的中级或高级工程师职称</w:t>
      </w:r>
      <w:r>
        <w:rPr>
          <w:rFonts w:hint="eastAsia" w:ascii="仿宋" w:hAnsi="仿宋" w:eastAsia="仿宋" w:cs="仿宋"/>
          <w:sz w:val="24"/>
          <w:szCs w:val="24"/>
          <w:lang w:val="en-US" w:eastAsia="zh-CN"/>
        </w:rPr>
        <w:t>。</w:t>
      </w:r>
    </w:p>
    <w:p w14:paraId="3AD2B13C">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3.供应商针对本项目提供维保服务方案，包括：①设备维护保养计划；②维护保养巡检措施；③设备的维护保养流程、工序；④备品备件更换及质量保障方案。</w:t>
      </w:r>
    </w:p>
    <w:p w14:paraId="50C8F37D">
      <w:pPr>
        <w:pStyle w:val="16"/>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4.供应商针对本项目提供安全、应急保障方案，包括：①作业安全与人员保障方案；②应急事件响应方案；③设备故障响应与抢修方案。</w:t>
      </w:r>
    </w:p>
    <w:p w14:paraId="63F23714">
      <w:pPr>
        <w:pStyle w:val="16"/>
        <w:ind w:firstLine="0"/>
        <w:rPr>
          <w:rFonts w:ascii="Times New Roman" w:hAnsi="Times New Roman" w:eastAsia="仿宋" w:cs="Times New Roman"/>
          <w:sz w:val="24"/>
          <w:szCs w:val="24"/>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79"/>
        <w:gridCol w:w="1057"/>
        <w:gridCol w:w="4525"/>
        <w:gridCol w:w="2150"/>
      </w:tblGrid>
      <w:tr w14:paraId="57E2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2FF88295">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79" w:type="dxa"/>
            <w:tcBorders>
              <w:top w:val="single" w:color="auto" w:sz="4" w:space="0"/>
              <w:left w:val="single" w:color="auto" w:sz="4" w:space="0"/>
              <w:bottom w:val="single" w:color="auto" w:sz="4" w:space="0"/>
              <w:right w:val="single" w:color="auto" w:sz="4" w:space="0"/>
            </w:tcBorders>
            <w:vAlign w:val="center"/>
          </w:tcPr>
          <w:p w14:paraId="4990EAF3">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057" w:type="dxa"/>
            <w:tcBorders>
              <w:top w:val="single" w:color="auto" w:sz="4" w:space="0"/>
              <w:left w:val="single" w:color="auto" w:sz="4" w:space="0"/>
              <w:bottom w:val="single" w:color="auto" w:sz="4" w:space="0"/>
              <w:right w:val="single" w:color="auto" w:sz="4" w:space="0"/>
            </w:tcBorders>
            <w:vAlign w:val="center"/>
          </w:tcPr>
          <w:p w14:paraId="0D3635EC">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525" w:type="dxa"/>
            <w:tcBorders>
              <w:top w:val="single" w:color="auto" w:sz="4" w:space="0"/>
              <w:left w:val="single" w:color="auto" w:sz="4" w:space="0"/>
              <w:bottom w:val="single" w:color="auto" w:sz="4" w:space="0"/>
              <w:right w:val="single" w:color="auto" w:sz="4" w:space="0"/>
            </w:tcBorders>
            <w:vAlign w:val="center"/>
          </w:tcPr>
          <w:p w14:paraId="09AF4CBC">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150" w:type="dxa"/>
            <w:tcBorders>
              <w:top w:val="single" w:color="auto" w:sz="4" w:space="0"/>
              <w:left w:val="single" w:color="auto" w:sz="4" w:space="0"/>
              <w:bottom w:val="single" w:color="auto" w:sz="4" w:space="0"/>
              <w:right w:val="single" w:color="auto" w:sz="4" w:space="0"/>
            </w:tcBorders>
            <w:vAlign w:val="center"/>
          </w:tcPr>
          <w:p w14:paraId="2BBE1C3E">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5DA1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1CDEBD2E">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1</w:t>
            </w:r>
          </w:p>
        </w:tc>
        <w:tc>
          <w:tcPr>
            <w:tcW w:w="1279" w:type="dxa"/>
            <w:tcBorders>
              <w:top w:val="single" w:color="auto" w:sz="4" w:space="0"/>
              <w:left w:val="single" w:color="auto" w:sz="4" w:space="0"/>
              <w:bottom w:val="single" w:color="auto" w:sz="4" w:space="0"/>
              <w:right w:val="single" w:color="auto" w:sz="4" w:space="0"/>
            </w:tcBorders>
            <w:vAlign w:val="center"/>
          </w:tcPr>
          <w:p w14:paraId="5407BCBC">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报价</w:t>
            </w:r>
          </w:p>
        </w:tc>
        <w:tc>
          <w:tcPr>
            <w:tcW w:w="1057" w:type="dxa"/>
            <w:tcBorders>
              <w:top w:val="single" w:color="auto" w:sz="4" w:space="0"/>
              <w:left w:val="single" w:color="auto" w:sz="4" w:space="0"/>
              <w:bottom w:val="single" w:color="auto" w:sz="4" w:space="0"/>
              <w:right w:val="single" w:color="auto" w:sz="4" w:space="0"/>
            </w:tcBorders>
            <w:vAlign w:val="center"/>
          </w:tcPr>
          <w:p w14:paraId="15AE3926">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3FBBF8A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2150" w:type="dxa"/>
            <w:tcBorders>
              <w:top w:val="single" w:color="auto" w:sz="4" w:space="0"/>
              <w:left w:val="single" w:color="auto" w:sz="4" w:space="0"/>
              <w:bottom w:val="single" w:color="auto" w:sz="4" w:space="0"/>
              <w:right w:val="single" w:color="auto" w:sz="4" w:space="0"/>
            </w:tcBorders>
            <w:vAlign w:val="center"/>
          </w:tcPr>
          <w:p w14:paraId="2A75029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仿宋" w:cs="Times New Roman"/>
                <w:sz w:val="24"/>
                <w:szCs w:val="24"/>
              </w:rPr>
            </w:pPr>
          </w:p>
        </w:tc>
      </w:tr>
      <w:tr w14:paraId="6408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right w:val="single" w:color="auto" w:sz="4" w:space="0"/>
            </w:tcBorders>
            <w:vAlign w:val="center"/>
          </w:tcPr>
          <w:p w14:paraId="1828FBB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2</w:t>
            </w:r>
          </w:p>
        </w:tc>
        <w:tc>
          <w:tcPr>
            <w:tcW w:w="1279" w:type="dxa"/>
            <w:tcBorders>
              <w:top w:val="single" w:color="auto" w:sz="4" w:space="0"/>
              <w:left w:val="single" w:color="auto" w:sz="4" w:space="0"/>
              <w:right w:val="single" w:color="auto" w:sz="4" w:space="0"/>
            </w:tcBorders>
            <w:vAlign w:val="center"/>
          </w:tcPr>
          <w:p w14:paraId="6150803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057" w:type="dxa"/>
            <w:tcBorders>
              <w:top w:val="single" w:color="auto" w:sz="4" w:space="0"/>
              <w:left w:val="single" w:color="auto" w:sz="4" w:space="0"/>
              <w:bottom w:val="single" w:color="auto" w:sz="4" w:space="0"/>
              <w:right w:val="single" w:color="auto" w:sz="4" w:space="0"/>
            </w:tcBorders>
            <w:vAlign w:val="center"/>
          </w:tcPr>
          <w:p w14:paraId="5E07149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仿宋" w:hAnsi="仿宋" w:eastAsia="仿宋" w:cs="仿宋"/>
                <w:sz w:val="24"/>
                <w:szCs w:val="24"/>
                <w:highlight w:val="none"/>
                <w:lang w:val="en-US" w:eastAsia="zh-CN"/>
              </w:rPr>
              <w:t>42分</w:t>
            </w:r>
          </w:p>
        </w:tc>
        <w:tc>
          <w:tcPr>
            <w:tcW w:w="4525" w:type="dxa"/>
            <w:tcBorders>
              <w:top w:val="single" w:color="auto" w:sz="4" w:space="0"/>
              <w:left w:val="single" w:color="auto" w:sz="4" w:space="0"/>
              <w:bottom w:val="single" w:color="auto" w:sz="4" w:space="0"/>
              <w:right w:val="single" w:color="auto" w:sz="4" w:space="0"/>
            </w:tcBorders>
            <w:vAlign w:val="center"/>
          </w:tcPr>
          <w:p w14:paraId="4C398D5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供应商自2023年1月1日（含）至响应文件递交截止之日，每具有1个类似项目业绩（类似项目是指包含变频器或变频柜维保服务项目）得7分。本项最高得42分。</w:t>
            </w:r>
          </w:p>
        </w:tc>
        <w:tc>
          <w:tcPr>
            <w:tcW w:w="2150" w:type="dxa"/>
            <w:tcBorders>
              <w:top w:val="single" w:color="auto" w:sz="4" w:space="0"/>
              <w:left w:val="single" w:color="auto" w:sz="4" w:space="0"/>
              <w:bottom w:val="single" w:color="auto" w:sz="4" w:space="0"/>
              <w:right w:val="single" w:color="auto" w:sz="4" w:space="0"/>
            </w:tcBorders>
            <w:vAlign w:val="center"/>
          </w:tcPr>
          <w:p w14:paraId="7DE7C7D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14BE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D7278B9">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79" w:type="dxa"/>
            <w:tcBorders>
              <w:left w:val="single" w:color="auto" w:sz="4" w:space="0"/>
              <w:bottom w:val="single" w:color="auto" w:sz="4" w:space="0"/>
              <w:right w:val="single" w:color="auto" w:sz="4" w:space="0"/>
            </w:tcBorders>
            <w:vAlign w:val="center"/>
          </w:tcPr>
          <w:p w14:paraId="0ABCE86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维保团队人员</w:t>
            </w:r>
          </w:p>
        </w:tc>
        <w:tc>
          <w:tcPr>
            <w:tcW w:w="1057" w:type="dxa"/>
            <w:tcBorders>
              <w:top w:val="single" w:color="auto" w:sz="4" w:space="0"/>
              <w:left w:val="single" w:color="auto" w:sz="4" w:space="0"/>
              <w:bottom w:val="single" w:color="auto" w:sz="4" w:space="0"/>
              <w:right w:val="single" w:color="auto" w:sz="4" w:space="0"/>
            </w:tcBorders>
            <w:vAlign w:val="center"/>
          </w:tcPr>
          <w:p w14:paraId="48826324">
            <w:pPr>
              <w:ind w:firstLine="28" w:firstLineChars="0"/>
              <w:jc w:val="center"/>
              <w:rPr>
                <w:rFonts w:ascii="Times New Roman" w:hAnsi="Times New Roman" w:eastAsia="仿宋" w:cs="Times New Roman"/>
                <w:bCs/>
                <w:sz w:val="24"/>
                <w:szCs w:val="24"/>
                <w:highlight w:val="none"/>
              </w:rPr>
            </w:pPr>
            <w:r>
              <w:rPr>
                <w:rFonts w:hint="eastAsia" w:ascii="Times New Roman" w:hAnsi="Times New Roman" w:eastAsia="仿宋" w:cs="Times New Roman"/>
                <w:bCs/>
                <w:sz w:val="24"/>
                <w:szCs w:val="24"/>
                <w:highlight w:val="none"/>
                <w:lang w:val="en-US" w:eastAsia="zh-CN"/>
              </w:rPr>
              <w:t>14</w:t>
            </w:r>
            <w:r>
              <w:rPr>
                <w:rFonts w:ascii="Times New Roman" w:hAnsi="Times New Roman" w:eastAsia="仿宋" w:cs="Times New Roman"/>
                <w:bCs/>
                <w:sz w:val="24"/>
                <w:szCs w:val="24"/>
                <w:highlight w:val="none"/>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4B81D5B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根据供应商为本项目拟配备的维保团队人员进行评审：</w:t>
            </w:r>
          </w:p>
          <w:p w14:paraId="022FCC4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拟配备的维保团队人员，具有暖通、自控、电气工程相关专业之一的中级工程师职称的得5分，具有暖通、自控、电气工程相关专业之一的高级工程师职称的得7分，本项最多得14分，未提供不得分。</w:t>
            </w:r>
          </w:p>
        </w:tc>
        <w:tc>
          <w:tcPr>
            <w:tcW w:w="2150" w:type="dxa"/>
            <w:tcBorders>
              <w:top w:val="single" w:color="auto" w:sz="4" w:space="0"/>
              <w:left w:val="single" w:color="auto" w:sz="4" w:space="0"/>
              <w:bottom w:val="single" w:color="auto" w:sz="4" w:space="0"/>
              <w:right w:val="single" w:color="auto" w:sz="4" w:space="0"/>
            </w:tcBorders>
            <w:vAlign w:val="center"/>
          </w:tcPr>
          <w:p w14:paraId="5BC5D70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imes New Roman" w:hAnsi="Times New Roman" w:eastAsia="仿宋" w:cs="Times New Roman"/>
                <w:sz w:val="24"/>
                <w:szCs w:val="24"/>
              </w:rPr>
            </w:pPr>
            <w:r>
              <w:rPr>
                <w:rFonts w:hint="default" w:ascii="Times New Roman" w:hAnsi="Times New Roman" w:eastAsia="仿宋" w:cs="Times New Roman"/>
                <w:sz w:val="24"/>
                <w:szCs w:val="24"/>
                <w:lang w:val="en-US" w:eastAsia="zh-CN"/>
              </w:rPr>
              <w:t>同一人员同时持有多项证书的，按最高一项分值计分，不重复累计。</w:t>
            </w:r>
          </w:p>
          <w:p w14:paraId="28BC0C2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Times New Roman" w:hAnsi="Times New Roman" w:eastAsia="仿宋" w:cs="Times New Roman"/>
                <w:sz w:val="24"/>
                <w:szCs w:val="24"/>
              </w:rPr>
              <w:t>提供相关证书复印件</w:t>
            </w:r>
            <w:r>
              <w:rPr>
                <w:rFonts w:hint="eastAsia" w:ascii="Times New Roman" w:hAnsi="Times New Roman" w:eastAsia="仿宋" w:cs="Times New Roman"/>
                <w:sz w:val="24"/>
                <w:szCs w:val="24"/>
                <w:lang w:val="en-US" w:eastAsia="zh-CN"/>
              </w:rPr>
              <w:t>并加盖供应商公章。</w:t>
            </w:r>
          </w:p>
          <w:p w14:paraId="3493577C">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highlight w:val="yellow"/>
              </w:rPr>
            </w:pPr>
            <w:r>
              <w:rPr>
                <w:rFonts w:hint="eastAsia" w:ascii="Times New Roman" w:hAnsi="Times New Roman" w:eastAsia="仿宋" w:cs="Times New Roman"/>
                <w:sz w:val="24"/>
                <w:szCs w:val="24"/>
                <w:highlight w:val="none"/>
                <w:lang w:val="en-US" w:eastAsia="zh-CN"/>
              </w:rPr>
              <w:t>拟派本项目维保团队人员必须是供应商的正式员工（提供在职证明并加盖供应商公章）。</w:t>
            </w:r>
          </w:p>
        </w:tc>
      </w:tr>
      <w:tr w14:paraId="57F5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10073C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79" w:type="dxa"/>
            <w:tcBorders>
              <w:left w:val="single" w:color="auto" w:sz="4" w:space="0"/>
              <w:bottom w:val="single" w:color="auto" w:sz="4" w:space="0"/>
              <w:right w:val="single" w:color="auto" w:sz="4" w:space="0"/>
            </w:tcBorders>
            <w:vAlign w:val="center"/>
          </w:tcPr>
          <w:p w14:paraId="7E9A028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维保服务方案</w:t>
            </w:r>
          </w:p>
        </w:tc>
        <w:tc>
          <w:tcPr>
            <w:tcW w:w="1057" w:type="dxa"/>
            <w:tcBorders>
              <w:top w:val="single" w:color="auto" w:sz="4" w:space="0"/>
              <w:left w:val="single" w:color="auto" w:sz="4" w:space="0"/>
              <w:bottom w:val="single" w:color="auto" w:sz="4" w:space="0"/>
              <w:right w:val="single" w:color="auto" w:sz="4" w:space="0"/>
            </w:tcBorders>
            <w:vAlign w:val="center"/>
          </w:tcPr>
          <w:p w14:paraId="6D5282FD">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kern w:val="2"/>
                <w:sz w:val="24"/>
                <w:szCs w:val="24"/>
                <w:highlight w:val="none"/>
                <w:lang w:val="en-US" w:eastAsia="zh-CN" w:bidi="ar-SA"/>
              </w:rPr>
              <w:t>8分</w:t>
            </w:r>
          </w:p>
        </w:tc>
        <w:tc>
          <w:tcPr>
            <w:tcW w:w="4525" w:type="dxa"/>
            <w:tcBorders>
              <w:top w:val="single" w:color="auto" w:sz="4" w:space="0"/>
              <w:left w:val="single" w:color="auto" w:sz="4" w:space="0"/>
              <w:bottom w:val="single" w:color="auto" w:sz="4" w:space="0"/>
              <w:right w:val="single" w:color="auto" w:sz="4" w:space="0"/>
            </w:tcBorders>
            <w:vAlign w:val="center"/>
          </w:tcPr>
          <w:p w14:paraId="633BBD6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备品备件更换及质量保障方案。涵盖以上内容且不存在缺陷得8分，在此基础上，每缺少一项内容扣2分，每有一处内容存在缺陷扣1分，扣完为止。</w:t>
            </w:r>
          </w:p>
          <w:p w14:paraId="56018C0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34C98843">
            <w:pPr>
              <w:jc w:val="center"/>
              <w:rPr>
                <w:rFonts w:ascii="Times New Roman" w:hAnsi="Times New Roman" w:eastAsia="仿宋" w:cs="Times New Roman"/>
                <w:sz w:val="24"/>
                <w:szCs w:val="24"/>
              </w:rPr>
            </w:pPr>
          </w:p>
        </w:tc>
      </w:tr>
      <w:tr w14:paraId="2D6D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3BE4AF17">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279" w:type="dxa"/>
            <w:tcBorders>
              <w:top w:val="single" w:color="auto" w:sz="4" w:space="0"/>
              <w:left w:val="single" w:color="auto" w:sz="4" w:space="0"/>
              <w:bottom w:val="single" w:color="auto" w:sz="4" w:space="0"/>
              <w:right w:val="single" w:color="auto" w:sz="4" w:space="0"/>
            </w:tcBorders>
            <w:vAlign w:val="center"/>
          </w:tcPr>
          <w:p w14:paraId="4A25E378">
            <w:pPr>
              <w:ind w:firstLine="28"/>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安全、应急保障方案</w:t>
            </w:r>
          </w:p>
        </w:tc>
        <w:tc>
          <w:tcPr>
            <w:tcW w:w="1057" w:type="dxa"/>
            <w:tcBorders>
              <w:top w:val="single" w:color="auto" w:sz="4" w:space="0"/>
              <w:left w:val="single" w:color="auto" w:sz="4" w:space="0"/>
              <w:bottom w:val="single" w:color="auto" w:sz="4" w:space="0"/>
              <w:right w:val="single" w:color="auto" w:sz="4" w:space="0"/>
            </w:tcBorders>
            <w:vAlign w:val="center"/>
          </w:tcPr>
          <w:p w14:paraId="646E8FF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6分</w:t>
            </w:r>
          </w:p>
        </w:tc>
        <w:tc>
          <w:tcPr>
            <w:tcW w:w="4525" w:type="dxa"/>
            <w:tcBorders>
              <w:top w:val="single" w:color="auto" w:sz="4" w:space="0"/>
              <w:left w:val="single" w:color="auto" w:sz="4" w:space="0"/>
              <w:bottom w:val="single" w:color="auto" w:sz="4" w:space="0"/>
              <w:right w:val="single" w:color="auto" w:sz="4" w:space="0"/>
            </w:tcBorders>
            <w:vAlign w:val="center"/>
          </w:tcPr>
          <w:p w14:paraId="78AAB5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保障方案；②应急事件响应方案；③设备故障响应与抢修方案。涵盖以上内容且不存在缺陷得6分，在此基础上，每缺少一项内容扣2分，每有一处内容存在缺陷扣1分，扣完为止。</w:t>
            </w:r>
          </w:p>
          <w:p w14:paraId="67C36FB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7D1DF76A">
            <w:pPr>
              <w:jc w:val="center"/>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17905"/>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6482"/>
      <w:bookmarkStart w:id="50" w:name="_Toc3023"/>
      <w:bookmarkStart w:id="51" w:name="_Toc14829"/>
      <w:bookmarkStart w:id="52" w:name="_Toc11352"/>
      <w:bookmarkStart w:id="53"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4305"/>
      <w:bookmarkStart w:id="56" w:name="_Toc22676"/>
      <w:bookmarkStart w:id="57" w:name="_Toc17857"/>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27661"/>
      <w:bookmarkStart w:id="69" w:name="_Toc25638"/>
      <w:bookmarkStart w:id="70" w:name="_Toc15526"/>
      <w:bookmarkStart w:id="71" w:name="_Toc20589"/>
      <w:bookmarkStart w:id="72" w:name="_Toc1135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041"/>
      <w:bookmarkStart w:id="74" w:name="_Toc26969"/>
      <w:bookmarkStart w:id="75" w:name="_Toc12967"/>
      <w:bookmarkStart w:id="76" w:name="_Toc16435"/>
      <w:bookmarkStart w:id="77" w:name="_Toc23967"/>
      <w:bookmarkStart w:id="78" w:name="_Toc1074"/>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8634"/>
      <w:bookmarkStart w:id="81" w:name="_Toc26839"/>
      <w:bookmarkStart w:id="82" w:name="_Toc31686"/>
      <w:bookmarkStart w:id="83" w:name="_Toc21082"/>
      <w:bookmarkStart w:id="84" w:name="_Toc2480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2636"/>
        <w:gridCol w:w="3881"/>
        <w:gridCol w:w="2404"/>
      </w:tblGrid>
      <w:tr w14:paraId="4D90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726" w:type="dxa"/>
            <w:vAlign w:val="center"/>
          </w:tcPr>
          <w:p w14:paraId="2E858C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ascii="Times New Roman" w:hAnsi="Times New Roman" w:eastAsia="仿宋" w:cs="Times New Roman"/>
                <w:b/>
                <w:bCs/>
                <w:kern w:val="0"/>
                <w:sz w:val="22"/>
                <w:szCs w:val="22"/>
                <w:lang w:val="zh-TW" w:eastAsia="zh-TW"/>
              </w:rPr>
              <w:t>序号</w:t>
            </w:r>
          </w:p>
        </w:tc>
        <w:tc>
          <w:tcPr>
            <w:tcW w:w="2636" w:type="dxa"/>
            <w:vAlign w:val="center"/>
          </w:tcPr>
          <w:p w14:paraId="01AB65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ascii="Times New Roman" w:hAnsi="Times New Roman" w:eastAsia="仿宋" w:cs="Times New Roman"/>
                <w:b/>
                <w:bCs/>
                <w:kern w:val="0"/>
                <w:sz w:val="22"/>
                <w:szCs w:val="22"/>
                <w:lang w:val="zh-TW" w:eastAsia="zh-TW"/>
              </w:rPr>
              <w:t>采购标的名称</w:t>
            </w:r>
          </w:p>
        </w:tc>
        <w:tc>
          <w:tcPr>
            <w:tcW w:w="3881" w:type="dxa"/>
            <w:vAlign w:val="center"/>
          </w:tcPr>
          <w:p w14:paraId="027E30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b/>
                <w:bCs/>
                <w:kern w:val="0"/>
                <w:sz w:val="22"/>
                <w:szCs w:val="22"/>
                <w:lang w:val="zh-TW" w:eastAsia="zh-TW"/>
              </w:rPr>
            </w:pPr>
            <w:r>
              <w:rPr>
                <w:rFonts w:hint="eastAsia" w:ascii="Times New Roman" w:hAnsi="Times New Roman" w:eastAsia="仿宋" w:cs="Times New Roman"/>
                <w:b/>
                <w:bCs/>
                <w:kern w:val="0"/>
                <w:sz w:val="22"/>
                <w:szCs w:val="22"/>
                <w:lang w:val="en-US" w:eastAsia="zh-CN"/>
              </w:rPr>
              <w:t>报价</w:t>
            </w:r>
            <w:r>
              <w:rPr>
                <w:rFonts w:ascii="Times New Roman" w:hAnsi="Times New Roman" w:eastAsia="仿宋" w:cs="Times New Roman"/>
                <w:b/>
                <w:bCs/>
                <w:kern w:val="0"/>
                <w:sz w:val="22"/>
                <w:szCs w:val="22"/>
                <w:lang w:val="zh-TW" w:eastAsia="zh-TW"/>
              </w:rPr>
              <w:t>（元）</w:t>
            </w:r>
          </w:p>
        </w:tc>
        <w:tc>
          <w:tcPr>
            <w:tcW w:w="2404" w:type="dxa"/>
            <w:vAlign w:val="center"/>
          </w:tcPr>
          <w:p w14:paraId="631786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仿宋" w:cs="Times New Roman"/>
                <w:b/>
                <w:bCs/>
                <w:kern w:val="0"/>
                <w:sz w:val="22"/>
                <w:szCs w:val="22"/>
                <w:lang w:val="zh-TW" w:eastAsia="zh-CN"/>
              </w:rPr>
            </w:pPr>
            <w:r>
              <w:rPr>
                <w:rFonts w:hint="eastAsia" w:ascii="Times New Roman" w:hAnsi="Times New Roman" w:eastAsia="仿宋" w:cs="Times New Roman"/>
                <w:b/>
                <w:bCs/>
                <w:kern w:val="0"/>
                <w:sz w:val="22"/>
                <w:szCs w:val="22"/>
                <w:lang w:val="en-US" w:eastAsia="zh-CN"/>
              </w:rPr>
              <w:t>备注</w:t>
            </w:r>
          </w:p>
        </w:tc>
      </w:tr>
      <w:tr w14:paraId="35F3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726" w:type="dxa"/>
            <w:vAlign w:val="center"/>
          </w:tcPr>
          <w:p w14:paraId="546DD23E">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r>
              <w:rPr>
                <w:rFonts w:ascii="Times New Roman" w:hAnsi="Times New Roman" w:eastAsia="仿宋" w:cs="Times New Roman"/>
                <w:sz w:val="22"/>
                <w:szCs w:val="22"/>
              </w:rPr>
              <w:t>1</w:t>
            </w:r>
          </w:p>
        </w:tc>
        <w:tc>
          <w:tcPr>
            <w:tcW w:w="2636" w:type="dxa"/>
            <w:vAlign w:val="center"/>
          </w:tcPr>
          <w:p w14:paraId="12653FA9">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变频器及控制柜维保服务</w:t>
            </w:r>
          </w:p>
        </w:tc>
        <w:tc>
          <w:tcPr>
            <w:tcW w:w="3881" w:type="dxa"/>
            <w:vAlign w:val="center"/>
          </w:tcPr>
          <w:p w14:paraId="42A6F169">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p>
        </w:tc>
        <w:tc>
          <w:tcPr>
            <w:tcW w:w="2404" w:type="dxa"/>
            <w:vAlign w:val="center"/>
          </w:tcPr>
          <w:p w14:paraId="259F32B6">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ascii="Times New Roman" w:hAnsi="Times New Roman" w:eastAsia="仿宋" w:cs="Times New Roman"/>
                <w:sz w:val="22"/>
                <w:szCs w:val="22"/>
              </w:rPr>
            </w:pPr>
          </w:p>
        </w:tc>
      </w:tr>
      <w:tr w14:paraId="0311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jc w:val="center"/>
        </w:trPr>
        <w:tc>
          <w:tcPr>
            <w:tcW w:w="3362" w:type="dxa"/>
            <w:gridSpan w:val="2"/>
            <w:vAlign w:val="center"/>
          </w:tcPr>
          <w:p w14:paraId="53F34F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仿宋" w:cs="Times New Roman"/>
                <w:kern w:val="0"/>
                <w:sz w:val="22"/>
                <w:szCs w:val="22"/>
                <w:lang w:val="zh-TW" w:eastAsia="zh-TW"/>
              </w:rPr>
            </w:pPr>
            <w:r>
              <w:rPr>
                <w:rFonts w:ascii="Times New Roman" w:hAnsi="Times New Roman" w:eastAsia="仿宋" w:cs="Times New Roman"/>
                <w:kern w:val="0"/>
                <w:sz w:val="22"/>
                <w:szCs w:val="22"/>
                <w:lang w:val="zh-TW" w:eastAsia="zh-TW"/>
              </w:rPr>
              <w:t>报价合计</w:t>
            </w:r>
          </w:p>
        </w:tc>
        <w:tc>
          <w:tcPr>
            <w:tcW w:w="6285" w:type="dxa"/>
            <w:gridSpan w:val="2"/>
            <w:vAlign w:val="center"/>
          </w:tcPr>
          <w:p w14:paraId="5B3B063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Times New Roman" w:hAnsi="Times New Roman" w:eastAsia="仿宋" w:cs="Times New Roman"/>
                <w:kern w:val="0"/>
                <w:sz w:val="22"/>
                <w:szCs w:val="22"/>
                <w:lang w:val="zh-TW" w:eastAsia="zh-TW"/>
              </w:rPr>
            </w:pPr>
            <w:r>
              <w:rPr>
                <w:rFonts w:ascii="Times New Roman" w:hAnsi="Times New Roman" w:eastAsia="仿宋" w:cs="Times New Roman"/>
                <w:kern w:val="0"/>
                <w:sz w:val="22"/>
                <w:szCs w:val="22"/>
                <w:lang w:val="zh-TW" w:eastAsia="zh-TW"/>
              </w:rPr>
              <w:t xml:space="preserve">大写：       </w:t>
            </w:r>
            <w:r>
              <w:rPr>
                <w:rFonts w:hint="eastAsia" w:ascii="Times New Roman" w:hAnsi="Times New Roman" w:eastAsia="仿宋" w:cs="Times New Roman"/>
                <w:kern w:val="0"/>
                <w:sz w:val="22"/>
                <w:szCs w:val="22"/>
                <w:lang w:val="zh-TW"/>
              </w:rPr>
              <w:t xml:space="preserve">    </w:t>
            </w:r>
            <w:r>
              <w:rPr>
                <w:rFonts w:ascii="Times New Roman" w:hAnsi="Times New Roman" w:eastAsia="仿宋" w:cs="Times New Roman"/>
                <w:kern w:val="0"/>
                <w:sz w:val="22"/>
                <w:szCs w:val="22"/>
                <w:lang w:val="zh-TW" w:eastAsia="zh-TW"/>
              </w:rPr>
              <w:t>小写：</w:t>
            </w:r>
          </w:p>
        </w:tc>
      </w:tr>
    </w:tbl>
    <w:p w14:paraId="227AE5F8">
      <w:pPr>
        <w:pStyle w:val="7"/>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rPr>
      </w:pPr>
      <w:r>
        <w:rPr>
          <w:rFonts w:hint="eastAsia"/>
          <w:sz w:val="48"/>
          <w:szCs w:val="48"/>
        </w:rPr>
        <w:t>*</w:t>
      </w:r>
      <w:r>
        <w:rPr>
          <w:sz w:val="48"/>
          <w:szCs w:val="48"/>
        </w:rPr>
        <w:t>**</w:t>
      </w:r>
      <w:r>
        <w:rPr>
          <w:rFonts w:hint="eastAsia"/>
          <w:sz w:val="48"/>
          <w:szCs w:val="48"/>
        </w:rPr>
        <w:t>服务项目</w:t>
      </w:r>
    </w:p>
    <w:p w14:paraId="622B975B">
      <w:pPr>
        <w:pStyle w:val="41"/>
        <w:rPr>
          <w:sz w:val="48"/>
          <w:szCs w:val="48"/>
        </w:rPr>
      </w:pPr>
      <w:r>
        <w:rPr>
          <w:rFonts w:hint="eastAsia"/>
          <w:sz w:val="48"/>
          <w:szCs w:val="48"/>
        </w:rPr>
        <w:t>采购</w:t>
      </w:r>
      <w:r>
        <w:rPr>
          <w:sz w:val="48"/>
          <w:szCs w:val="48"/>
        </w:rPr>
        <w:t>合同</w:t>
      </w: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keepNext w:val="0"/>
        <w:keepLines w:val="0"/>
        <w:pageBreakBefore w:val="0"/>
        <w:widowControl w:val="0"/>
        <w:kinsoku/>
        <w:wordWrap/>
        <w:overflowPunct/>
        <w:topLinePunct w:val="0"/>
        <w:autoSpaceDE/>
        <w:autoSpaceDN/>
        <w:bidi w:val="0"/>
        <w:adjustRightInd w:val="0"/>
        <w:spacing w:line="360" w:lineRule="exact"/>
        <w:ind w:firstLine="420" w:firstLineChars="20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color w:val="000000"/>
          <w:szCs w:val="21"/>
        </w:rPr>
        <w:t>根据《中华人民共和国民法典》及甲方发布的***项目（项目编号</w:t>
      </w:r>
      <w:permStart w:id="0" w:edGrp="everyone"/>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w:t>
      </w:r>
      <w:permEnd w:id="0"/>
      <w:r>
        <w:rPr>
          <w:rFonts w:hint="eastAsia" w:asciiTheme="minorEastAsia" w:hAnsiTheme="minorEastAsia" w:eastAsiaTheme="minorEastAsia" w:cstheme="minorEastAsia"/>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widowControl w:val="0"/>
        <w:kinsoku/>
        <w:wordWrap/>
        <w:overflowPunct/>
        <w:topLinePunct w:val="0"/>
        <w:autoSpaceDE/>
        <w:autoSpaceDN/>
        <w:bidi w:val="0"/>
        <w:spacing w:line="360" w:lineRule="exact"/>
        <w:contextualSpacing/>
        <w:jc w:val="left"/>
        <w:textAlignment w:val="auto"/>
        <w:rPr>
          <w:rFonts w:hint="eastAsia" w:asciiTheme="minorEastAsia" w:hAnsiTheme="minorEastAsia" w:eastAsiaTheme="minorEastAsia" w:cstheme="minorEastAsia"/>
          <w:b/>
          <w:szCs w:val="21"/>
        </w:rPr>
      </w:pPr>
    </w:p>
    <w:p w14:paraId="4F98A680">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合同标的</w:t>
      </w:r>
    </w:p>
    <w:p w14:paraId="2E385537">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标的名称：</w:t>
      </w:r>
      <w:permStart w:id="1" w:edGrp="everyone"/>
      <w:r>
        <w:rPr>
          <w:rFonts w:hint="eastAsia" w:asciiTheme="minorEastAsia" w:hAnsiTheme="minorEastAsia" w:eastAsiaTheme="minorEastAsia" w:cstheme="minorEastAsia"/>
          <w:szCs w:val="21"/>
        </w:rPr>
        <w:t>***</w:t>
      </w:r>
      <w:permEnd w:id="1"/>
      <w:r>
        <w:rPr>
          <w:rFonts w:hint="eastAsia" w:asciiTheme="minorEastAsia" w:hAnsiTheme="minorEastAsia" w:eastAsiaTheme="minorEastAsia" w:cstheme="minorEastAsia"/>
          <w:szCs w:val="21"/>
        </w:rPr>
        <w:t>。</w:t>
      </w:r>
    </w:p>
    <w:p w14:paraId="4229FB38">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乙方向甲方提供服务的主要内容：***。</w:t>
      </w:r>
    </w:p>
    <w:p w14:paraId="5F975DD2">
      <w:pPr>
        <w:pStyle w:val="9"/>
        <w:keepNext w:val="0"/>
        <w:keepLines w:val="0"/>
        <w:pageBreakBefore w:val="0"/>
        <w:widowControl w:val="0"/>
        <w:numPr>
          <w:ilvl w:val="0"/>
          <w:numId w:val="12"/>
        </w:numPr>
        <w:kinsoku/>
        <w:wordWrap/>
        <w:overflowPunct/>
        <w:topLinePunct w:val="0"/>
        <w:autoSpaceDE/>
        <w:autoSpaceDN/>
        <w:bidi w:val="0"/>
        <w:spacing w:after="0" w:line="360" w:lineRule="exact"/>
        <w:ind w:left="210" w:leftChars="0" w:hanging="210" w:hangingChars="1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服务分项明细：</w:t>
      </w:r>
      <w:r>
        <w:rPr>
          <w:rFonts w:hint="eastAsia" w:asciiTheme="minorEastAsia" w:hAnsiTheme="minorEastAsia" w:eastAsiaTheme="minorEastAsia" w:cstheme="minor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序号</w:t>
            </w:r>
          </w:p>
        </w:tc>
        <w:tc>
          <w:tcPr>
            <w:tcW w:w="2977" w:type="dxa"/>
            <w:vAlign w:val="center"/>
          </w:tcPr>
          <w:p w14:paraId="42032E31">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分项服务名称</w:t>
            </w:r>
          </w:p>
        </w:tc>
        <w:tc>
          <w:tcPr>
            <w:tcW w:w="3686" w:type="dxa"/>
            <w:vAlign w:val="center"/>
          </w:tcPr>
          <w:p w14:paraId="0F0FDBF4">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具体内容</w:t>
            </w:r>
          </w:p>
        </w:tc>
        <w:tc>
          <w:tcPr>
            <w:tcW w:w="963" w:type="dxa"/>
            <w:vAlign w:val="center"/>
          </w:tcPr>
          <w:p w14:paraId="6E75E46C">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分项价格（万元）</w:t>
            </w:r>
          </w:p>
        </w:tc>
        <w:tc>
          <w:tcPr>
            <w:tcW w:w="2016" w:type="dxa"/>
          </w:tcPr>
          <w:p w14:paraId="3BC8F9B2">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p>
        </w:tc>
        <w:tc>
          <w:tcPr>
            <w:tcW w:w="2977" w:type="dxa"/>
            <w:vAlign w:val="center"/>
          </w:tcPr>
          <w:p w14:paraId="629F7C51">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1B711F72">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5DD02118">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149276E7">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w:t>
            </w:r>
          </w:p>
        </w:tc>
        <w:tc>
          <w:tcPr>
            <w:tcW w:w="2977" w:type="dxa"/>
            <w:vAlign w:val="center"/>
          </w:tcPr>
          <w:p w14:paraId="0E44D544">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01B65D9C">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4C31DD39">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3000AC5A">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w:t>
            </w:r>
          </w:p>
        </w:tc>
        <w:tc>
          <w:tcPr>
            <w:tcW w:w="2977" w:type="dxa"/>
            <w:vAlign w:val="center"/>
          </w:tcPr>
          <w:p w14:paraId="71D5F885">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38AC0A57">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3B15876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43F7F4B9">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w:t>
            </w:r>
          </w:p>
        </w:tc>
        <w:tc>
          <w:tcPr>
            <w:tcW w:w="2977" w:type="dxa"/>
            <w:vAlign w:val="center"/>
          </w:tcPr>
          <w:p w14:paraId="492CFE5D">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3686" w:type="dxa"/>
            <w:vAlign w:val="center"/>
          </w:tcPr>
          <w:p w14:paraId="5E27032F">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c>
          <w:tcPr>
            <w:tcW w:w="963" w:type="dxa"/>
            <w:vAlign w:val="center"/>
          </w:tcPr>
          <w:p w14:paraId="19B21445">
            <w:pPr>
              <w:pStyle w:val="29"/>
              <w:keepNext w:val="0"/>
              <w:keepLines w:val="0"/>
              <w:pageBreakBefore w:val="0"/>
              <w:widowControl w:val="0"/>
              <w:kinsoku/>
              <w:wordWrap/>
              <w:overflowPunct/>
              <w:topLinePunct w:val="0"/>
              <w:autoSpaceDE/>
              <w:autoSpaceDN/>
              <w:bidi w:val="0"/>
              <w:spacing w:line="360" w:lineRule="exact"/>
              <w:ind w:firstLine="0" w:firstLineChars="0"/>
              <w:jc w:val="center"/>
              <w:textAlignment w:val="auto"/>
              <w:rPr>
                <w:rFonts w:hint="eastAsia" w:asciiTheme="minorEastAsia" w:hAnsiTheme="minorEastAsia" w:eastAsiaTheme="minorEastAsia" w:cstheme="minorEastAsia"/>
                <w:color w:val="000000"/>
                <w:szCs w:val="21"/>
              </w:rPr>
            </w:pPr>
          </w:p>
        </w:tc>
        <w:tc>
          <w:tcPr>
            <w:tcW w:w="2016" w:type="dxa"/>
          </w:tcPr>
          <w:p w14:paraId="5FC047A6">
            <w:pPr>
              <w:pStyle w:val="29"/>
              <w:keepNext w:val="0"/>
              <w:keepLines w:val="0"/>
              <w:pageBreakBefore w:val="0"/>
              <w:widowControl w:val="0"/>
              <w:kinsoku/>
              <w:wordWrap/>
              <w:overflowPunct/>
              <w:topLinePunct w:val="0"/>
              <w:autoSpaceDE/>
              <w:autoSpaceDN/>
              <w:bidi w:val="0"/>
              <w:spacing w:line="360" w:lineRule="exact"/>
              <w:ind w:firstLine="0" w:firstLineChars="0"/>
              <w:textAlignment w:val="auto"/>
              <w:rPr>
                <w:rFonts w:hint="eastAsia" w:asciiTheme="minorEastAsia" w:hAnsiTheme="minorEastAsia" w:eastAsiaTheme="minorEastAsia" w:cstheme="minorEastAsia"/>
                <w:color w:val="000000"/>
                <w:szCs w:val="21"/>
              </w:rPr>
            </w:pPr>
          </w:p>
        </w:tc>
      </w:tr>
    </w:tbl>
    <w:p w14:paraId="2D35C912">
      <w:pPr>
        <w:pStyle w:val="29"/>
        <w:keepNext w:val="0"/>
        <w:keepLines w:val="0"/>
        <w:pageBreakBefore w:val="0"/>
        <w:widowControl w:val="0"/>
        <w:numPr>
          <w:ilvl w:val="0"/>
          <w:numId w:val="11"/>
        </w:numPr>
        <w:kinsoku/>
        <w:wordWrap/>
        <w:overflowPunct/>
        <w:topLinePunct w:val="0"/>
        <w:autoSpaceDE/>
        <w:autoSpaceDN/>
        <w:bidi w:val="0"/>
        <w:spacing w:line="360" w:lineRule="exact"/>
        <w:ind w:firstLineChars="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合同价款</w:t>
      </w:r>
    </w:p>
    <w:p w14:paraId="036F89BD">
      <w:pPr>
        <w:keepNext w:val="0"/>
        <w:keepLines w:val="0"/>
        <w:pageBreakBefore w:val="0"/>
        <w:widowControl w:val="0"/>
        <w:kinsoku/>
        <w:wordWrap/>
        <w:overflowPunct/>
        <w:topLinePunct w:val="0"/>
        <w:autoSpaceDE/>
        <w:autoSpaceDN/>
        <w:bidi w:val="0"/>
        <w:spacing w:line="360" w:lineRule="exact"/>
        <w:ind w:firstLine="480"/>
        <w:contextualSpacing/>
        <w:jc w:val="left"/>
        <w:textAlignment w:val="auto"/>
        <w:rPr>
          <w:rFonts w:hint="eastAsia" w:asciiTheme="minorEastAsia" w:hAnsiTheme="minorEastAsia" w:eastAsiaTheme="minorEastAsia" w:cstheme="minorEastAsia"/>
          <w:szCs w:val="21"/>
        </w:rPr>
      </w:pPr>
      <w:bookmarkStart w:id="95" w:name="OLE_LINK1"/>
      <w:bookmarkStart w:id="96" w:name="OLE_LINK2"/>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szCs w:val="21"/>
        </w:rPr>
        <w:t>全包服务</w:t>
      </w:r>
    </w:p>
    <w:p w14:paraId="6903D519">
      <w:pPr>
        <w:keepNext w:val="0"/>
        <w:keepLines w:val="0"/>
        <w:pageBreakBefore w:val="0"/>
        <w:widowControl w:val="0"/>
        <w:kinsoku/>
        <w:wordWrap/>
        <w:overflowPunct/>
        <w:topLinePunct w:val="0"/>
        <w:autoSpaceDE/>
        <w:autoSpaceDN/>
        <w:bidi w:val="0"/>
        <w:spacing w:line="360" w:lineRule="exact"/>
        <w:ind w:left="420" w:leftChars="200" w:firstLine="420" w:firstLineChars="2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bookmarkEnd w:id="95"/>
    <w:bookmarkEnd w:id="96"/>
    <w:p w14:paraId="61352334">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服务期限</w:t>
      </w:r>
      <w:r>
        <w:rPr>
          <w:rFonts w:hint="eastAsia" w:asciiTheme="minorEastAsia" w:hAnsiTheme="minorEastAsia" w:eastAsiaTheme="minorEastAsia" w:cstheme="minorEastAsia"/>
          <w:i/>
          <w:iCs/>
          <w:szCs w:val="21"/>
          <w:highlight w:val="yellow"/>
        </w:rPr>
        <w:t>&lt;根据项目实际情况选择&gt;</w:t>
      </w:r>
    </w:p>
    <w:p w14:paraId="27DB179C">
      <w:pPr>
        <w:pStyle w:val="29"/>
        <w:keepNext w:val="0"/>
        <w:keepLines w:val="0"/>
        <w:pageBreakBefore w:val="0"/>
        <w:widowControl w:val="0"/>
        <w:kinsoku/>
        <w:wordWrap/>
        <w:overflowPunct/>
        <w:topLinePunct w:val="0"/>
        <w:autoSpaceDE/>
        <w:autoSpaceDN/>
        <w:bidi w:val="0"/>
        <w:spacing w:line="360" w:lineRule="exact"/>
        <w:ind w:left="105" w:leftChars="50" w:firstLine="315" w:firstLineChars="150"/>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bCs/>
          <w:szCs w:val="21"/>
        </w:rPr>
        <w:t>本项目服务期为</w:t>
      </w:r>
      <w:r>
        <w:rPr>
          <w:rFonts w:hint="eastAsia" w:asciiTheme="minorEastAsia" w:hAnsiTheme="minorEastAsia" w:eastAsiaTheme="minorEastAsia" w:cstheme="minorEastAsia"/>
          <w:bCs/>
          <w:szCs w:val="21"/>
          <w:u w:val="single"/>
        </w:rPr>
        <w:t>叁</w:t>
      </w:r>
      <w:r>
        <w:rPr>
          <w:rFonts w:hint="eastAsia" w:asciiTheme="minorEastAsia" w:hAnsiTheme="minorEastAsia" w:eastAsiaTheme="minorEastAsia" w:cstheme="minorEastAsia"/>
          <w:bCs/>
          <w:szCs w:val="21"/>
        </w:rPr>
        <w:t>年（自202*年**月**日到202*年**月**日），合同一年一签，每年服务费为人民币 *** 元（大写：*** 圆整）。本合同为第***期，服务期为自202*年***月***日至202*年**月**日</w:t>
      </w:r>
      <w:r>
        <w:rPr>
          <w:rFonts w:hint="eastAsia" w:asciiTheme="minorEastAsia" w:hAnsiTheme="minorEastAsia" w:eastAsiaTheme="minorEastAsia" w:cstheme="minorEastAsia"/>
          <w:bCs/>
          <w:szCs w:val="21"/>
          <w:u w:val="single"/>
        </w:rPr>
        <w:t>，经甲方考核合格后续签下一年合同</w:t>
      </w:r>
      <w:bookmarkStart w:id="97" w:name="OLE_LINK29"/>
      <w:r>
        <w:rPr>
          <w:rFonts w:hint="eastAsia" w:asciiTheme="minorEastAsia" w:hAnsiTheme="minorEastAsia" w:eastAsiaTheme="minorEastAsia" w:cstheme="minorEastAsia"/>
          <w:bCs/>
          <w:szCs w:val="21"/>
        </w:rPr>
        <w:t>，考核标准详见附件</w:t>
      </w:r>
      <w:r>
        <w:rPr>
          <w:rFonts w:hint="eastAsia" w:asciiTheme="minorEastAsia" w:hAnsiTheme="minorEastAsia" w:eastAsiaTheme="minorEastAsia" w:cstheme="minorEastAsia"/>
          <w:bCs/>
          <w:szCs w:val="21"/>
          <w:u w:val="single"/>
        </w:rPr>
        <w:t>2</w:t>
      </w:r>
      <w:r>
        <w:rPr>
          <w:rFonts w:hint="eastAsia" w:asciiTheme="minorEastAsia" w:hAnsiTheme="minorEastAsia" w:eastAsiaTheme="minorEastAsia" w:cstheme="minorEastAsia"/>
          <w:bCs/>
          <w:szCs w:val="21"/>
        </w:rPr>
        <w:t>《考核标准》</w:t>
      </w:r>
      <w:bookmarkEnd w:id="97"/>
      <w:r>
        <w:rPr>
          <w:rFonts w:hint="eastAsia" w:asciiTheme="minorEastAsia" w:hAnsiTheme="minorEastAsia" w:eastAsiaTheme="minorEastAsia" w:cstheme="minorEastAsia"/>
          <w:bCs/>
          <w:szCs w:val="21"/>
        </w:rPr>
        <w:t>。</w:t>
      </w:r>
    </w:p>
    <w:p w14:paraId="1B257405">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服务方案</w:t>
      </w:r>
    </w:p>
    <w:p w14:paraId="06E0AE13">
      <w:pPr>
        <w:keepNext w:val="0"/>
        <w:keepLines w:val="0"/>
        <w:pageBreakBefore w:val="0"/>
        <w:widowControl w:val="0"/>
        <w:kinsoku/>
        <w:wordWrap/>
        <w:overflowPunct/>
        <w:topLinePunct w:val="0"/>
        <w:autoSpaceDE/>
        <w:autoSpaceDN/>
        <w:bidi w:val="0"/>
        <w:spacing w:line="360" w:lineRule="exact"/>
        <w:ind w:firstLine="420" w:firstLineChars="20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乙方应严格按照本合同服务方案和甲方要求提供服务，服务方案详见附件3《服务方案》。</w:t>
      </w:r>
    </w:p>
    <w:p w14:paraId="7482C29A">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验收</w:t>
      </w:r>
    </w:p>
    <w:p w14:paraId="57707485">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甲、乙双方确定，按照本合同约定的验收方案对乙方按本合同约定所提供的服务进行验收。</w:t>
      </w:r>
    </w:p>
    <w:p w14:paraId="103305C9">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验收方案：</w:t>
      </w:r>
    </w:p>
    <w:p w14:paraId="10719FF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验收主体：甲方</w:t>
      </w:r>
    </w:p>
    <w:p w14:paraId="7212F6E2">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验收组织方式：自行验收</w:t>
      </w:r>
    </w:p>
    <w:p w14:paraId="5C963DB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验收程序：</w:t>
      </w:r>
      <w:r>
        <w:rPr>
          <w:rFonts w:hint="eastAsia" w:asciiTheme="minorEastAsia" w:hAnsiTheme="minorEastAsia" w:eastAsiaTheme="minorEastAsia" w:cstheme="minorEastAsia"/>
        </w:rPr>
        <w:sym w:font="Wingdings 2" w:char="F052"/>
      </w:r>
      <w:r>
        <w:rPr>
          <w:rFonts w:hint="eastAsia" w:asciiTheme="minorEastAsia" w:hAnsiTheme="minorEastAsia" w:eastAsiaTheme="minorEastAsia" w:cstheme="minorEastAsia"/>
          <w:color w:val="000000"/>
          <w:szCs w:val="21"/>
        </w:rPr>
        <w:t xml:space="preserve">一次性验收   </w:t>
      </w:r>
      <w:r>
        <w:rPr>
          <w:rFonts w:hint="eastAsia" w:asciiTheme="minorEastAsia" w:hAnsiTheme="minorEastAsia" w:eastAsiaTheme="minorEastAsia" w:cstheme="minorEastAsia"/>
        </w:rPr>
        <w:sym w:font="Wingdings" w:char="F0A8"/>
      </w:r>
      <w:r>
        <w:rPr>
          <w:rFonts w:hint="eastAsia" w:asciiTheme="minorEastAsia" w:hAnsiTheme="minorEastAsia" w:eastAsiaTheme="minorEastAsia" w:cstheme="minorEastAsia"/>
          <w:color w:val="000000"/>
          <w:szCs w:val="21"/>
        </w:rPr>
        <w:t>分段/分期验收</w:t>
      </w:r>
    </w:p>
    <w:p w14:paraId="0ACAEB8E">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验收方式：</w:t>
      </w:r>
      <w:r>
        <w:rPr>
          <w:rFonts w:hint="eastAsia" w:asciiTheme="minorEastAsia" w:hAnsiTheme="minorEastAsia" w:eastAsiaTheme="minorEastAsia" w:cstheme="minorEastAsia"/>
          <w:color w:val="000000"/>
        </w:rPr>
        <w:sym w:font="Wingdings 2" w:char="F052"/>
      </w:r>
      <w:r>
        <w:rPr>
          <w:rFonts w:hint="eastAsia" w:asciiTheme="minorEastAsia" w:hAnsiTheme="minorEastAsia" w:eastAsiaTheme="minorEastAsia" w:cstheme="minorEastAsia"/>
          <w:color w:val="000000"/>
        </w:rPr>
        <w:t>现场整体验收</w:t>
      </w:r>
      <w:r>
        <w:rPr>
          <w:rFonts w:hint="eastAsia" w:asciiTheme="minorEastAsia" w:hAnsiTheme="minorEastAsia" w:eastAsiaTheme="minorEastAsia" w:cstheme="minorEastAsia"/>
          <w:color w:val="000000"/>
          <w:kern w:val="0"/>
          <w:szCs w:val="21"/>
          <w:shd w:val="clear" w:color="auto" w:fill="FFFFFF"/>
        </w:rPr>
        <w:t xml:space="preserve">   </w:t>
      </w:r>
      <w:r>
        <w:rPr>
          <w:rFonts w:hint="eastAsia" w:asciiTheme="minorEastAsia" w:hAnsiTheme="minorEastAsia" w:eastAsiaTheme="minorEastAsia" w:cstheme="minorEastAsia"/>
          <w:color w:val="000000"/>
          <w:shd w:val="clear" w:color="auto" w:fill="FFFFFF"/>
        </w:rPr>
        <w:sym w:font="Wingdings" w:char="F0A8"/>
      </w:r>
      <w:r>
        <w:rPr>
          <w:rFonts w:hint="eastAsia" w:asciiTheme="minorEastAsia" w:hAnsiTheme="minorEastAsia" w:eastAsiaTheme="minorEastAsia" w:cstheme="minorEastAsia"/>
          <w:color w:val="000000"/>
          <w:shd w:val="clear" w:color="auto" w:fill="FFFFFF"/>
        </w:rPr>
        <w:t>考核验收</w:t>
      </w:r>
      <w:r>
        <w:rPr>
          <w:rFonts w:hint="eastAsia" w:asciiTheme="minorEastAsia" w:hAnsiTheme="minorEastAsia" w:eastAsiaTheme="minorEastAsia" w:cstheme="minorEastAsia"/>
          <w:color w:val="000000"/>
          <w:kern w:val="0"/>
          <w:szCs w:val="21"/>
          <w:shd w:val="clear" w:color="auto" w:fill="FFFFFF"/>
        </w:rPr>
        <w:t xml:space="preserve">   </w:t>
      </w:r>
      <w:r>
        <w:rPr>
          <w:rFonts w:hint="eastAsia" w:asciiTheme="minorEastAsia" w:hAnsiTheme="minorEastAsia" w:eastAsiaTheme="minorEastAsia" w:cstheme="minorEastAsia"/>
          <w:color w:val="000000"/>
          <w:shd w:val="clear" w:color="auto" w:fill="FFFFFF"/>
        </w:rPr>
        <w:sym w:font="Wingdings" w:char="F0A8"/>
      </w:r>
      <w:r>
        <w:rPr>
          <w:rFonts w:hint="eastAsia" w:asciiTheme="minorEastAsia" w:hAnsiTheme="minorEastAsia" w:eastAsiaTheme="minorEastAsia" w:cstheme="minorEastAsia"/>
          <w:color w:val="000000"/>
          <w:shd w:val="clear" w:color="auto" w:fill="FFFFFF"/>
        </w:rPr>
        <w:t>其它验收方式：</w:t>
      </w:r>
      <w:r>
        <w:rPr>
          <w:rFonts w:hint="eastAsia" w:asciiTheme="minorEastAsia" w:hAnsiTheme="minorEastAsia" w:eastAsiaTheme="minorEastAsia" w:cstheme="minorEastAsia"/>
          <w:color w:val="000000"/>
          <w:u w:val="single"/>
          <w:shd w:val="clear" w:color="auto" w:fill="FFFFFF"/>
        </w:rPr>
        <w:t>***</w:t>
      </w:r>
    </w:p>
    <w:p w14:paraId="25BB580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履约验收内容：按照甲方的采购文件要求及乙方响应文件响应情况，由乙方向甲方提供的</w:t>
      </w:r>
      <w:r>
        <w:rPr>
          <w:rFonts w:hint="eastAsia" w:asciiTheme="minorEastAsia" w:hAnsiTheme="minorEastAsia" w:eastAsiaTheme="minorEastAsia" w:cstheme="minorEastAsia"/>
          <w:szCs w:val="21"/>
          <w:u w:val="single"/>
        </w:rPr>
        <w:t>全部服务</w:t>
      </w:r>
      <w:r>
        <w:rPr>
          <w:rFonts w:hint="eastAsia" w:asciiTheme="minorEastAsia" w:hAnsiTheme="minorEastAsia" w:eastAsiaTheme="minorEastAsia" w:cstheme="minorEastAsia"/>
          <w:szCs w:val="21"/>
        </w:rPr>
        <w:t>的履约情况。</w:t>
      </w:r>
    </w:p>
    <w:p w14:paraId="1F2D4CFA">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履约验收时间：</w:t>
      </w:r>
    </w:p>
    <w:p w14:paraId="27EEE864">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服务期满且乙方完成所有服务内容后X日内通知甲方验收，甲方接乙方通知后X日内组织验收</w:t>
      </w:r>
    </w:p>
    <w:p w14:paraId="13560871">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乙方完成每一阶段或轮次服务内容后X日内通知甲方验收，甲方接乙方通知后X日内组织验收</w:t>
      </w:r>
    </w:p>
    <w:p w14:paraId="668E8ECC">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甲方完成考核后X日内组织验收</w:t>
      </w:r>
    </w:p>
    <w:p w14:paraId="06090759">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shd w:val="clear" w:color="auto" w:fill="FFFFFF"/>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 xml:space="preserve">其它验收时间：            </w:t>
      </w:r>
    </w:p>
    <w:p w14:paraId="0A943DA8">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是否邀请本项目的其他供应商：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740E083B">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是否邀请专家：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595EB419">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是否邀请服务对象：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212FF5E1">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是否邀请第三方检测机构：</w:t>
      </w:r>
      <w:r>
        <w:rPr>
          <w:rFonts w:hint="eastAsia" w:asciiTheme="minorEastAsia" w:hAnsiTheme="minorEastAsia" w:eastAsiaTheme="minorEastAsia" w:cstheme="minorEastAsia"/>
          <w:kern w:val="0"/>
          <w:shd w:val="clear" w:color="auto" w:fill="FFFFFF"/>
        </w:rPr>
        <w:t xml:space="preserve"> </w:t>
      </w:r>
      <w:r>
        <w:rPr>
          <w:rFonts w:hint="eastAsia" w:asciiTheme="minorEastAsia" w:hAnsiTheme="minorEastAsia" w:eastAsiaTheme="minorEastAsia" w:cstheme="minorEastAsia"/>
          <w:kern w:val="0"/>
          <w:shd w:val="clear" w:color="auto" w:fill="FFFFFF"/>
        </w:rPr>
        <w:sym w:font="Wingdings" w:char="F0A8"/>
      </w:r>
      <w:r>
        <w:rPr>
          <w:rFonts w:hint="eastAsia" w:asciiTheme="minorEastAsia" w:hAnsiTheme="minorEastAsia" w:eastAsiaTheme="minorEastAsia" w:cstheme="minorEastAsia"/>
          <w:szCs w:val="21"/>
          <w:shd w:val="clear" w:color="auto" w:fill="FFFFFF"/>
        </w:rPr>
        <w:t xml:space="preserve">是   </w:t>
      </w:r>
      <w:r>
        <w:rPr>
          <w:rFonts w:hint="eastAsia" w:asciiTheme="minorEastAsia" w:hAnsiTheme="minorEastAsia" w:eastAsiaTheme="minorEastAsia" w:cstheme="minorEastAsia"/>
          <w:kern w:val="0"/>
        </w:rPr>
        <w:sym w:font="Wingdings 2" w:char="F052"/>
      </w:r>
      <w:r>
        <w:rPr>
          <w:rFonts w:hint="eastAsia" w:asciiTheme="minorEastAsia" w:hAnsiTheme="minorEastAsia" w:eastAsiaTheme="minorEastAsia" w:cstheme="minorEastAsia"/>
          <w:szCs w:val="21"/>
          <w:shd w:val="clear" w:color="auto" w:fill="FFFFFF"/>
        </w:rPr>
        <w:t>否</w:t>
      </w:r>
    </w:p>
    <w:p w14:paraId="47F88790">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验收标准：</w:t>
      </w:r>
    </w:p>
    <w:p w14:paraId="24757C73">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bookmarkStart w:id="98" w:name="OLE_LINK4"/>
      <w:r>
        <w:rPr>
          <w:rFonts w:hint="eastAsia" w:asciiTheme="minorEastAsia" w:hAnsiTheme="minorEastAsia" w:eastAsiaTheme="minorEastAsia" w:cstheme="minorEastAsia"/>
          <w:szCs w:val="21"/>
          <w:shd w:val="clear" w:color="auto" w:fill="FFFFFF"/>
        </w:rPr>
        <w:t>国家相关法律法规、行业标准、技术规范。</w:t>
      </w:r>
    </w:p>
    <w:p w14:paraId="4A341926">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甲方采购文件相关技术、服务要求、乙方响应文件相关响应内容。</w:t>
      </w:r>
    </w:p>
    <w:p w14:paraId="4BB5AAAF">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如本项目验收方式为考核验收，则考核结果须为合格。</w:t>
      </w:r>
    </w:p>
    <w:bookmarkEnd w:id="98"/>
    <w:p w14:paraId="2BFFECC6">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参照《财政部关于进一步加强政府采购需求和履约验收管理的指导意见》（财库〔2016〕205号）的要求进行验收。</w:t>
      </w:r>
    </w:p>
    <w:p w14:paraId="5A8F93D9">
      <w:pPr>
        <w:pStyle w:val="16"/>
        <w:keepNext w:val="0"/>
        <w:keepLines w:val="0"/>
        <w:pageBreakBefore w:val="0"/>
        <w:widowControl w:val="0"/>
        <w:numPr>
          <w:ilvl w:val="0"/>
          <w:numId w:val="15"/>
        </w:numPr>
        <w:kinsoku/>
        <w:wordWrap/>
        <w:overflowPunct/>
        <w:topLinePunct w:val="0"/>
        <w:autoSpaceDE/>
        <w:autoSpaceDN/>
        <w:bidi w:val="0"/>
        <w:spacing w:after="0"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其它标准：</w:t>
      </w:r>
      <w:r>
        <w:rPr>
          <w:rFonts w:hint="eastAsia" w:asciiTheme="minorEastAsia" w:hAnsiTheme="minorEastAsia" w:eastAsiaTheme="minorEastAsia" w:cstheme="minorEastAsia"/>
          <w:szCs w:val="21"/>
          <w:u w:val="single"/>
        </w:rPr>
        <w:t>无。</w:t>
      </w:r>
    </w:p>
    <w:p w14:paraId="5FCD4D1B">
      <w:pPr>
        <w:pStyle w:val="29"/>
        <w:keepNext w:val="0"/>
        <w:keepLines w:val="0"/>
        <w:pageBreakBefore w:val="0"/>
        <w:widowControl w:val="0"/>
        <w:numPr>
          <w:ilvl w:val="0"/>
          <w:numId w:val="14"/>
        </w:numPr>
        <w:kinsoku/>
        <w:wordWrap/>
        <w:overflowPunct/>
        <w:topLinePunct w:val="0"/>
        <w:autoSpaceDE/>
        <w:autoSpaceDN/>
        <w:bidi w:val="0"/>
        <w:spacing w:line="360" w:lineRule="exact"/>
        <w:ind w:firstLineChars="0"/>
        <w:contextualSpacing/>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其它验收要求：</w:t>
      </w:r>
      <w:r>
        <w:rPr>
          <w:rFonts w:hint="eastAsia" w:asciiTheme="minorEastAsia" w:hAnsiTheme="minorEastAsia" w:eastAsiaTheme="minorEastAsia" w:cstheme="minorEastAsia"/>
          <w:color w:val="000000"/>
          <w:kern w:val="0"/>
          <w:szCs w:val="21"/>
          <w:u w:val="single"/>
        </w:rPr>
        <w:t>无</w:t>
      </w:r>
      <w:r>
        <w:rPr>
          <w:rFonts w:hint="eastAsia" w:asciiTheme="minorEastAsia" w:hAnsiTheme="minorEastAsia" w:eastAsiaTheme="minorEastAsia" w:cstheme="minorEastAsia"/>
          <w:i/>
          <w:iCs/>
          <w:color w:val="000000"/>
          <w:kern w:val="0"/>
          <w:szCs w:val="21"/>
          <w:highlight w:val="yellow"/>
        </w:rPr>
        <w:t>&lt;如有请填写</w:t>
      </w:r>
      <w:r>
        <w:rPr>
          <w:rFonts w:hint="eastAsia" w:asciiTheme="minorEastAsia" w:hAnsiTheme="minorEastAsia" w:eastAsiaTheme="minorEastAsia" w:cstheme="minorEastAsia"/>
          <w:i/>
          <w:iCs/>
          <w:color w:val="000000"/>
          <w:kern w:val="0"/>
          <w:szCs w:val="21"/>
        </w:rPr>
        <w:t>&gt;</w:t>
      </w:r>
    </w:p>
    <w:p w14:paraId="6213DBF3">
      <w:pPr>
        <w:pStyle w:val="29"/>
        <w:keepNext w:val="0"/>
        <w:keepLines w:val="0"/>
        <w:pageBreakBefore w:val="0"/>
        <w:widowControl w:val="0"/>
        <w:numPr>
          <w:ilvl w:val="0"/>
          <w:numId w:val="1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付款方式</w:t>
      </w:r>
    </w:p>
    <w:p w14:paraId="5CC20725">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履约保证金：</w:t>
      </w:r>
    </w:p>
    <w:p w14:paraId="1A98FD8C">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乙方在合同签订生效之日起的</w:t>
      </w:r>
      <w:r>
        <w:rPr>
          <w:rFonts w:hint="eastAsia" w:asciiTheme="minorEastAsia" w:hAnsiTheme="minorEastAsia" w:eastAsiaTheme="minorEastAsia" w:cstheme="minorEastAsia"/>
          <w:color w:val="000000"/>
          <w:szCs w:val="21"/>
          <w:u w:val="single"/>
        </w:rPr>
        <w:t>***</w:t>
      </w:r>
      <w:r>
        <w:rPr>
          <w:rFonts w:hint="eastAsia" w:asciiTheme="minorEastAsia" w:hAnsiTheme="minorEastAsia" w:eastAsiaTheme="minorEastAsia" w:cstheme="minorEastAsia"/>
          <w:color w:val="000000"/>
          <w:szCs w:val="21"/>
        </w:rPr>
        <w:t>个工作日内，按合同总价</w:t>
      </w:r>
      <w:r>
        <w:rPr>
          <w:rFonts w:hint="eastAsia" w:asciiTheme="minorEastAsia" w:hAnsiTheme="minorEastAsia" w:eastAsiaTheme="minorEastAsia" w:cstheme="minorEastAsia"/>
          <w:color w:val="000000"/>
          <w:szCs w:val="21"/>
          <w:u w:val="single"/>
        </w:rPr>
        <w:t>***</w:t>
      </w:r>
      <w:r>
        <w:rPr>
          <w:rFonts w:hint="eastAsia" w:asciiTheme="minorEastAsia" w:hAnsiTheme="minorEastAsia" w:eastAsiaTheme="minorEastAsia" w:cstheme="minorEastAsia"/>
          <w:color w:val="000000"/>
          <w:szCs w:val="21"/>
        </w:rPr>
        <w:t>%支付履约保证金；本合同服务期满且验收合格后，甲方接到乙方付款申请后</w:t>
      </w:r>
      <w:r>
        <w:rPr>
          <w:rFonts w:hint="eastAsia" w:asciiTheme="minorEastAsia" w:hAnsiTheme="minorEastAsia" w:eastAsiaTheme="minorEastAsia" w:cstheme="minorEastAsia"/>
          <w:color w:val="000000"/>
          <w:szCs w:val="21"/>
          <w:u w:val="single"/>
        </w:rPr>
        <w:t>30</w:t>
      </w:r>
      <w:r>
        <w:rPr>
          <w:rFonts w:hint="eastAsia" w:asciiTheme="minorEastAsia" w:hAnsiTheme="minorEastAsia" w:eastAsiaTheme="minorEastAsia" w:cstheme="minorEastAsia"/>
          <w:color w:val="000000"/>
          <w:szCs w:val="21"/>
        </w:rPr>
        <w:t>个工作日内，甲方一次性无息退还乙方的履约保证金；经验收后乙方履约不合格的，履约保证金不予退还。</w:t>
      </w:r>
    </w:p>
    <w:p w14:paraId="0DB5940E">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本合同价款采用以下方式支付，以人民币结算：</w:t>
      </w:r>
    </w:p>
    <w:p w14:paraId="09FDA0E6">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2" w:char="F052"/>
      </w:r>
      <w:r>
        <w:rPr>
          <w:rFonts w:hint="eastAsia" w:asciiTheme="minorEastAsia" w:hAnsiTheme="minorEastAsia" w:eastAsiaTheme="minorEastAsia" w:cstheme="minorEastAsia"/>
          <w:color w:val="000000"/>
          <w:szCs w:val="21"/>
        </w:rPr>
        <w:t>一次性支付：</w:t>
      </w:r>
    </w:p>
    <w:p w14:paraId="621259CA">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本合同服务期满且经甲方验收合格后</w:t>
      </w:r>
      <w:r>
        <w:rPr>
          <w:rFonts w:hint="eastAsia" w:asciiTheme="minorEastAsia" w:hAnsiTheme="minorEastAsia" w:eastAsiaTheme="minorEastAsia" w:cstheme="minorEastAsia"/>
          <w:szCs w:val="21"/>
          <w:u w:val="single"/>
        </w:rPr>
        <w:t>5</w:t>
      </w:r>
      <w:r>
        <w:rPr>
          <w:rFonts w:hint="eastAsia" w:asciiTheme="minorEastAsia" w:hAnsiTheme="minorEastAsia" w:eastAsiaTheme="minorEastAsia" w:cstheme="minorEastAsia"/>
          <w:szCs w:val="21"/>
        </w:rPr>
        <w:t>日内</w:t>
      </w:r>
      <w:r>
        <w:rPr>
          <w:rFonts w:hint="eastAsia" w:asciiTheme="minorEastAsia" w:hAnsiTheme="minorEastAsia" w:eastAsiaTheme="minorEastAsia" w:cstheme="minorEastAsia"/>
          <w:color w:val="000000"/>
          <w:szCs w:val="21"/>
        </w:rPr>
        <w:t>，乙方须向甲方提供合法有效票据及其他相关请款资料，甲方自收到乙方请款资料后</w:t>
      </w:r>
      <w:r>
        <w:rPr>
          <w:rFonts w:hint="eastAsia" w:asciiTheme="minorEastAsia" w:hAnsiTheme="minorEastAsia" w:eastAsiaTheme="minorEastAsia" w:cstheme="minorEastAsia"/>
          <w:color w:val="000000"/>
          <w:szCs w:val="21"/>
          <w:u w:val="single"/>
        </w:rPr>
        <w:t>55</w:t>
      </w:r>
      <w:r>
        <w:rPr>
          <w:rFonts w:hint="eastAsia" w:asciiTheme="minorEastAsia" w:hAnsiTheme="minorEastAsia" w:eastAsiaTheme="minorEastAsia" w:cstheme="minorEastAsia"/>
          <w:color w:val="000000"/>
          <w:szCs w:val="21"/>
        </w:rPr>
        <w:t>日内支付合同总价100%的金额给乙方。</w:t>
      </w:r>
    </w:p>
    <w:p w14:paraId="750B8A19">
      <w:pPr>
        <w:pStyle w:val="16"/>
        <w:keepNext w:val="0"/>
        <w:keepLines w:val="0"/>
        <w:pageBreakBefore w:val="0"/>
        <w:widowControl w:val="0"/>
        <w:kinsoku/>
        <w:wordWrap/>
        <w:overflowPunct/>
        <w:topLinePunct w:val="0"/>
        <w:autoSpaceDE/>
        <w:autoSpaceDN/>
        <w:bidi w:val="0"/>
        <w:spacing w:after="0" w:line="360" w:lineRule="exact"/>
        <w:ind w:left="420" w:leftChars="200" w:firstLine="0" w:firstLineChars="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sym w:font="Wingdings" w:char="F0A8"/>
      </w:r>
      <w:r>
        <w:rPr>
          <w:rFonts w:hint="eastAsia" w:asciiTheme="minorEastAsia" w:hAnsiTheme="minorEastAsia" w:eastAsiaTheme="minorEastAsia" w:cstheme="minorEastAsia"/>
          <w:color w:val="000000"/>
          <w:szCs w:val="21"/>
        </w:rPr>
        <w:t>分阶段支付，支付期限、方式及额度如下：</w:t>
      </w:r>
    </w:p>
    <w:p w14:paraId="56BDDA9D">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w:t>
      </w:r>
      <w:bookmarkStart w:id="99" w:name="OLE_LINK30"/>
      <w:r>
        <w:rPr>
          <w:rFonts w:hint="eastAsia" w:asciiTheme="minorEastAsia" w:hAnsiTheme="minorEastAsia" w:eastAsiaTheme="minorEastAsia" w:cstheme="minorEastAsia"/>
          <w:szCs w:val="21"/>
        </w:rPr>
        <w:t>固定部分价款</w:t>
      </w:r>
      <w:bookmarkEnd w:id="99"/>
      <w:r>
        <w:rPr>
          <w:rFonts w:hint="eastAsia" w:asciiTheme="minorEastAsia" w:hAnsiTheme="minorEastAsia" w:eastAsiaTheme="minorEastAsia" w:cstheme="minorEastAsia"/>
          <w:color w:val="000000"/>
          <w:szCs w:val="21"/>
        </w:rPr>
        <w:t>：</w:t>
      </w:r>
      <w:r>
        <w:rPr>
          <w:rFonts w:hint="eastAsia" w:asciiTheme="minorEastAsia" w:hAnsiTheme="minorEastAsia" w:eastAsiaTheme="minorEastAsia" w:cstheme="minorEastAsia"/>
          <w:szCs w:val="21"/>
        </w:rPr>
        <w:t>本合同服务期满且经甲方验收合格后5日内</w:t>
      </w:r>
      <w:r>
        <w:rPr>
          <w:rFonts w:hint="eastAsia" w:asciiTheme="minorEastAsia" w:hAnsiTheme="minorEastAsia" w:eastAsiaTheme="minorEastAsia" w:cstheme="minorEastAsia"/>
          <w:color w:val="000000"/>
          <w:szCs w:val="21"/>
        </w:rPr>
        <w:t>，乙方须向甲方提供合法有效票据及其他相关请款资料，甲方自收到乙方请款资料后55日内向乙方支付本合同</w:t>
      </w:r>
      <w:r>
        <w:rPr>
          <w:rFonts w:hint="eastAsia" w:asciiTheme="minorEastAsia" w:hAnsiTheme="minorEastAsia" w:eastAsiaTheme="minorEastAsia" w:cstheme="minorEastAsia"/>
          <w:color w:val="000000"/>
          <w:szCs w:val="21"/>
          <w:u w:val="single"/>
        </w:rPr>
        <w:t>第二条</w:t>
      </w:r>
      <w:r>
        <w:rPr>
          <w:rFonts w:hint="eastAsia" w:asciiTheme="minorEastAsia" w:hAnsiTheme="minorEastAsia" w:eastAsiaTheme="minorEastAsia" w:cstheme="minorEastAsia"/>
          <w:color w:val="000000"/>
          <w:szCs w:val="21"/>
        </w:rPr>
        <w:t>写明的全部</w:t>
      </w:r>
      <w:r>
        <w:rPr>
          <w:rFonts w:hint="eastAsia" w:asciiTheme="minorEastAsia" w:hAnsiTheme="minorEastAsia" w:eastAsiaTheme="minorEastAsia" w:cstheme="minorEastAsia"/>
          <w:szCs w:val="21"/>
        </w:rPr>
        <w:t>固定部分价款</w:t>
      </w:r>
      <w:r>
        <w:rPr>
          <w:rFonts w:hint="eastAsia" w:asciiTheme="minorEastAsia" w:hAnsiTheme="minorEastAsia" w:eastAsiaTheme="minorEastAsia" w:cstheme="minorEastAsia"/>
          <w:color w:val="000000"/>
          <w:szCs w:val="21"/>
        </w:rPr>
        <w:t>。</w:t>
      </w:r>
    </w:p>
    <w:p w14:paraId="4C3983EC">
      <w:pPr>
        <w:pStyle w:val="16"/>
        <w:keepNext w:val="0"/>
        <w:keepLines w:val="0"/>
        <w:pageBreakBefore w:val="0"/>
        <w:widowControl w:val="0"/>
        <w:kinsoku/>
        <w:wordWrap/>
        <w:overflowPunct/>
        <w:topLinePunct w:val="0"/>
        <w:autoSpaceDE/>
        <w:autoSpaceDN/>
        <w:bidi w:val="0"/>
        <w:spacing w:after="0" w:line="360" w:lineRule="exact"/>
        <w:ind w:left="840" w:leftChars="400" w:firstLineChars="200"/>
        <w:contextualSpacing/>
        <w:textAlignment w:val="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（2）按实结算部分：每</w:t>
      </w:r>
      <w:r>
        <w:rPr>
          <w:rFonts w:hint="eastAsia" w:asciiTheme="minorEastAsia" w:hAnsiTheme="minorEastAsia" w:eastAsiaTheme="minorEastAsia" w:cstheme="minorEastAsia"/>
          <w:color w:val="000000"/>
          <w:szCs w:val="21"/>
          <w:u w:val="single"/>
        </w:rPr>
        <w:t>XX</w:t>
      </w:r>
      <w:r>
        <w:rPr>
          <w:rFonts w:hint="eastAsia" w:asciiTheme="minorEastAsia" w:hAnsiTheme="minorEastAsia" w:eastAsiaTheme="minorEastAsia" w:cstheme="minorEastAsia"/>
          <w:i/>
          <w:iCs/>
          <w:szCs w:val="21"/>
          <w:highlight w:val="yellow"/>
        </w:rPr>
        <w:t>&lt;约定按固定周期支付的（如每季度），可根据项目具体情况编制本条款&gt;</w:t>
      </w:r>
      <w:r>
        <w:rPr>
          <w:rFonts w:hint="eastAsia" w:asciiTheme="minorEastAsia" w:hAnsiTheme="minorEastAsia" w:eastAsiaTheme="minorEastAsia" w:cstheme="minorEastAsia"/>
          <w:color w:val="000000"/>
          <w:szCs w:val="21"/>
        </w:rPr>
        <w:t>结算一次费用，结算单价以</w:t>
      </w:r>
      <w:r>
        <w:rPr>
          <w:rFonts w:hint="eastAsia" w:asciiTheme="minorEastAsia" w:hAnsiTheme="minorEastAsia" w:eastAsiaTheme="minorEastAsia" w:cstheme="minorEastAsia"/>
          <w:szCs w:val="21"/>
        </w:rPr>
        <w:t>《结算单价清单》</w:t>
      </w:r>
      <w:r>
        <w:rPr>
          <w:rFonts w:hint="eastAsia" w:asciiTheme="minorEastAsia" w:hAnsiTheme="minorEastAsia" w:eastAsiaTheme="minorEastAsia" w:cstheme="minorEastAsia"/>
          <w:color w:val="000000"/>
          <w:szCs w:val="21"/>
        </w:rPr>
        <w:t>为准。</w:t>
      </w:r>
      <w:r>
        <w:rPr>
          <w:rFonts w:hint="eastAsia" w:asciiTheme="minorEastAsia" w:hAnsiTheme="minorEastAsia" w:eastAsiaTheme="minorEastAsia" w:cstheme="minorEastAsia"/>
          <w:lang w:bidi="ar"/>
        </w:rPr>
        <w:t>结算前，乙方须向甲方提供结算费用清单进行确认，并在确认后 5 日内按清单金额向甲方提供合法有效票据及其他相关请款资料，甲方接到乙方请款资料后的</w:t>
      </w:r>
      <w:r>
        <w:rPr>
          <w:rFonts w:hint="eastAsia" w:asciiTheme="minorEastAsia" w:hAnsiTheme="minorEastAsia" w:eastAsiaTheme="minorEastAsia" w:cstheme="minorEastAsia"/>
          <w:u w:val="single"/>
          <w:lang w:bidi="ar"/>
        </w:rPr>
        <w:t>55</w:t>
      </w:r>
      <w:r>
        <w:rPr>
          <w:rFonts w:hint="eastAsia" w:asciiTheme="minorEastAsia" w:hAnsiTheme="minorEastAsia" w:eastAsiaTheme="minorEastAsia" w:cstheme="minorEastAsia"/>
          <w:lang w:bidi="ar"/>
        </w:rPr>
        <w:t>日内，向乙方全额支付上述结算费用。</w:t>
      </w:r>
    </w:p>
    <w:p w14:paraId="5586C7FB">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甲方付款前，乙方需</w:t>
      </w:r>
      <w:r>
        <w:rPr>
          <w:rFonts w:hint="eastAsia" w:asciiTheme="minorEastAsia" w:hAnsiTheme="minorEastAsia" w:eastAsiaTheme="minorEastAsia" w:cstheme="minorEastAsia"/>
          <w:lang w:bidi="ar"/>
        </w:rPr>
        <w:t>提供合法有效票据及其他相关请款资料</w:t>
      </w:r>
      <w:r>
        <w:rPr>
          <w:rFonts w:hint="eastAsia" w:asciiTheme="minorEastAsia" w:hAnsiTheme="minorEastAsia" w:eastAsiaTheme="minorEastAsia" w:cstheme="minorEastAsia"/>
          <w:szCs w:val="21"/>
        </w:rPr>
        <w:t>，否则甲方有权拒绝支付且不承担任何违约责任，且乙方不得因此停止服务。</w:t>
      </w:r>
    </w:p>
    <w:p w14:paraId="2EB2BA75">
      <w:pPr>
        <w:pStyle w:val="9"/>
        <w:keepNext w:val="0"/>
        <w:keepLines w:val="0"/>
        <w:pageBreakBefore w:val="0"/>
        <w:widowControl w:val="0"/>
        <w:numPr>
          <w:ilvl w:val="0"/>
          <w:numId w:val="16"/>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乙方开票信息应与合同预留账户信息一致。如有变更，乙方应当在变更后3日内通知甲方。否则，由此造成的损失由乙方自行承担。</w:t>
      </w:r>
    </w:p>
    <w:p w14:paraId="19A7DEEB">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双方权利与义务</w:t>
      </w:r>
    </w:p>
    <w:p w14:paraId="581F8AA0">
      <w:pPr>
        <w:pStyle w:val="9"/>
        <w:keepNext w:val="0"/>
        <w:keepLines w:val="0"/>
        <w:pageBreakBefore w:val="0"/>
        <w:widowControl w:val="0"/>
        <w:numPr>
          <w:ilvl w:val="0"/>
          <w:numId w:val="17"/>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甲方权利与义务</w:t>
      </w:r>
    </w:p>
    <w:p w14:paraId="4D16113D">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按合同约定向乙方支付费用。</w:t>
      </w:r>
    </w:p>
    <w:p w14:paraId="62A02753">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保证乙方实施服务所必须的外部条件如电源、水源的正常供应及开启、关闭等。</w:t>
      </w:r>
    </w:p>
    <w:p w14:paraId="35119703">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对于乙方在提供服务期间所提供的信息，甲方应予保密，未经乙方书面同意，甲方不得擅自使用或透露给第三方。</w:t>
      </w:r>
    </w:p>
    <w:p w14:paraId="7EDB0B3A">
      <w:pPr>
        <w:pStyle w:val="29"/>
        <w:keepNext w:val="0"/>
        <w:keepLines w:val="0"/>
        <w:pageBreakBefore w:val="0"/>
        <w:widowControl w:val="0"/>
        <w:numPr>
          <w:ilvl w:val="0"/>
          <w:numId w:val="18"/>
        </w:numPr>
        <w:kinsoku/>
        <w:wordWrap/>
        <w:overflowPunct/>
        <w:topLinePunct w:val="0"/>
        <w:autoSpaceDE/>
        <w:autoSpaceDN/>
        <w:bidi w:val="0"/>
        <w:adjustRightInd w:val="0"/>
        <w:spacing w:line="360" w:lineRule="exact"/>
        <w:ind w:left="525"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甲方对服务人员不满意的，有权要求乙方在7日内更换相关服务人员。</w:t>
      </w:r>
    </w:p>
    <w:p w14:paraId="344AB8AA">
      <w:pPr>
        <w:pStyle w:val="9"/>
        <w:keepNext w:val="0"/>
        <w:keepLines w:val="0"/>
        <w:pageBreakBefore w:val="0"/>
        <w:widowControl w:val="0"/>
        <w:numPr>
          <w:ilvl w:val="0"/>
          <w:numId w:val="17"/>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乙方权利与义务</w:t>
      </w:r>
    </w:p>
    <w:p w14:paraId="319B30B1">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按本合同约定向甲方提供服务。</w:t>
      </w:r>
    </w:p>
    <w:p w14:paraId="29A7D576">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乙方应保证提供的服务人员具备相应的服务能力和服务资质（如涉及）。</w:t>
      </w:r>
    </w:p>
    <w:p w14:paraId="26B4DD92">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如服务涉及计算机软件产品的，乙方须承诺在服务中设备安装的软件已获得软件厂商的正规授权。</w:t>
      </w:r>
    </w:p>
    <w:p w14:paraId="68E6AAB3">
      <w:pPr>
        <w:pStyle w:val="9"/>
        <w:keepNext w:val="0"/>
        <w:keepLines w:val="0"/>
        <w:pageBreakBefore w:val="0"/>
        <w:widowControl w:val="0"/>
        <w:numPr>
          <w:ilvl w:val="0"/>
          <w:numId w:val="19"/>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乙方对在按本合同约定向甲方提供服务过程中所获得的所有数据、商业秘密或其它技术及经营信息负有保密的义务，不得向任何第三方透露或泄露。</w:t>
      </w:r>
    </w:p>
    <w:p w14:paraId="742F734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违约责任</w:t>
      </w:r>
      <w:r>
        <w:rPr>
          <w:rFonts w:hint="eastAsia" w:asciiTheme="minorEastAsia" w:hAnsiTheme="minorEastAsia" w:eastAsiaTheme="minorEastAsia" w:cstheme="minorEastAsia"/>
          <w:bCs/>
          <w:i/>
          <w:iCs/>
          <w:szCs w:val="21"/>
          <w:highlight w:val="yellow"/>
        </w:rPr>
        <w:t>&lt;本条款中违约金比例可根据项目实际情况确定，如合同无固定总金额的，请按实际需求调整表述&gt;</w:t>
      </w:r>
    </w:p>
    <w:p w14:paraId="5B66A4B0">
      <w:pPr>
        <w:pStyle w:val="9"/>
        <w:keepNext w:val="0"/>
        <w:keepLines w:val="0"/>
        <w:pageBreakBefore w:val="0"/>
        <w:widowControl w:val="0"/>
        <w:numPr>
          <w:ilvl w:val="0"/>
          <w:numId w:val="20"/>
        </w:numPr>
        <w:kinsoku/>
        <w:wordWrap/>
        <w:overflowPunct/>
        <w:topLinePunct w:val="0"/>
        <w:autoSpaceDE/>
        <w:autoSpaceDN/>
        <w:bidi w:val="0"/>
        <w:spacing w:after="0" w:line="360" w:lineRule="exact"/>
        <w:ind w:left="227" w:leftChars="0" w:hanging="227"/>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甲方违约责任：甲方无正当理由拒绝乙方按本合同约定提供服务的，甲方应偿付合同总金额的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作为违约金。</w:t>
      </w:r>
    </w:p>
    <w:p w14:paraId="0BC8E6CE">
      <w:pPr>
        <w:pStyle w:val="29"/>
        <w:keepNext w:val="0"/>
        <w:keepLines w:val="0"/>
        <w:pageBreakBefore w:val="0"/>
        <w:widowControl w:val="0"/>
        <w:numPr>
          <w:ilvl w:val="0"/>
          <w:numId w:val="20"/>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乙方违约责任：</w:t>
      </w:r>
    </w:p>
    <w:p w14:paraId="354B31C5">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bookmarkStart w:id="100" w:name="OLE_LINK17"/>
      <w:bookmarkStart w:id="101" w:name="OLE_LINK18"/>
      <w:r>
        <w:rPr>
          <w:rFonts w:hint="eastAsia" w:asciiTheme="minorEastAsia" w:hAnsiTheme="minorEastAsia" w:eastAsiaTheme="minorEastAsia" w:cstheme="minorEastAsia"/>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因乙方在服务中更换的备品备件或原材料在质保期内并在正常使用情况下出现质量原因导致甲方或第三方财产或人身损害的，由乙方承担赔偿责任。</w:t>
      </w:r>
    </w:p>
    <w:p w14:paraId="2E725C36">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在本合同的履行中，如乙方提供的服务存在设计、工艺或材料缺陷（包括潜在缺陷），乙方应当对由于上述缺陷造成的损失负责。</w:t>
      </w:r>
    </w:p>
    <w:p w14:paraId="74485C68">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在本合同履行中，如乙方未按本合同约定及时向甲方提供服务，每发生一次，乙方应按</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cstheme="minorEastAsia"/>
          <w:szCs w:val="21"/>
          <w:u w:val="single"/>
          <w:lang w:val="en-US" w:eastAsia="zh-CN"/>
        </w:rPr>
        <w:t>3</w:t>
      </w:r>
      <w:r>
        <w:rPr>
          <w:rFonts w:hint="eastAsia" w:asciiTheme="minorEastAsia" w:hAnsiTheme="minorEastAsia" w:eastAsiaTheme="minorEastAsia" w:cstheme="minorEastAsia"/>
          <w:szCs w:val="21"/>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乙方在提供服务过程中侵犯他人知识产权，甲方有权单方解除合同，并要求乙方赔偿所造成的损失，同时甲方有权要求对方按照</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%支付违约金。</w:t>
      </w:r>
    </w:p>
    <w:p w14:paraId="0B168445">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乙方违反保密义务，甲方有权单方解除合同，乙方应按甲方实际损失向甲方进行赔偿并向甲方支付</w:t>
      </w:r>
      <w:r>
        <w:rPr>
          <w:rFonts w:hint="eastAsia" w:asciiTheme="minorEastAsia" w:hAnsiTheme="minorEastAsia" w:eastAsiaTheme="minorEastAsia" w:cstheme="minorEastAsia"/>
          <w:szCs w:val="21"/>
          <w:u w:val="single"/>
        </w:rPr>
        <w:t>合同总金额</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u w:val="single"/>
        </w:rPr>
        <w:t>10</w:t>
      </w:r>
      <w:r>
        <w:rPr>
          <w:rFonts w:hint="eastAsia" w:asciiTheme="minorEastAsia" w:hAnsiTheme="minorEastAsia" w:eastAsiaTheme="minorEastAsia" w:cstheme="minorEastAsia"/>
          <w:szCs w:val="21"/>
        </w:rPr>
        <w:t>%作为违约金。</w:t>
      </w:r>
    </w:p>
    <w:bookmarkEnd w:id="100"/>
    <w:bookmarkEnd w:id="101"/>
    <w:p w14:paraId="79DD140B">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乙方偿付的违约金不足以弥补甲方损失的，还应按甲方损失尚未弥补的部分，支付赔偿金给甲方。</w:t>
      </w:r>
    </w:p>
    <w:p w14:paraId="3156E70D">
      <w:pPr>
        <w:pStyle w:val="9"/>
        <w:keepNext w:val="0"/>
        <w:keepLines w:val="0"/>
        <w:pageBreakBefore w:val="0"/>
        <w:widowControl w:val="0"/>
        <w:numPr>
          <w:ilvl w:val="0"/>
          <w:numId w:val="21"/>
        </w:numPr>
        <w:kinsoku/>
        <w:wordWrap/>
        <w:overflowPunct/>
        <w:topLinePunct w:val="0"/>
        <w:autoSpaceDE/>
        <w:autoSpaceDN/>
        <w:bidi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widowControl w:val="0"/>
        <w:numPr>
          <w:ilvl w:val="0"/>
          <w:numId w:val="21"/>
        </w:numPr>
        <w:kinsoku/>
        <w:wordWrap/>
        <w:overflowPunct/>
        <w:topLinePunct w:val="0"/>
        <w:autoSpaceDE/>
        <w:autoSpaceDN/>
        <w:bidi w:val="0"/>
        <w:snapToGrid w:val="0"/>
        <w:spacing w:after="0" w:line="360" w:lineRule="exact"/>
        <w:ind w:left="525" w:leftChars="0" w:hanging="525" w:hangingChars="25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widowControl w:val="0"/>
        <w:kinsoku/>
        <w:wordWrap/>
        <w:overflowPunct/>
        <w:topLinePunct w:val="0"/>
        <w:autoSpaceDE/>
        <w:autoSpaceDN/>
        <w:bidi w:val="0"/>
        <w:spacing w:after="0" w:line="360" w:lineRule="exact"/>
        <w:ind w:left="0" w:leftChars="0"/>
        <w:contextualSpacing/>
        <w:jc w:val="lef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3.本合同履行中如有任何一方违约，那么守约方为保障自己合法权益而产生的律师费、诉讼费、差旅费、公告费等，均由违约方承担。</w:t>
      </w:r>
    </w:p>
    <w:p w14:paraId="754D020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不可抗力</w:t>
      </w:r>
    </w:p>
    <w:p w14:paraId="26541785">
      <w:pPr>
        <w:pStyle w:val="29"/>
        <w:keepNext w:val="0"/>
        <w:keepLines w:val="0"/>
        <w:pageBreakBefore w:val="0"/>
        <w:widowControl w:val="0"/>
        <w:kinsoku/>
        <w:wordWrap/>
        <w:overflowPunct/>
        <w:topLinePunct w:val="0"/>
        <w:autoSpaceDE/>
        <w:autoSpaceDN/>
        <w:bidi w:val="0"/>
        <w:snapToGrid w:val="0"/>
        <w:spacing w:line="360" w:lineRule="exact"/>
        <w:textAlignment w:val="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如果遇到自然灾害和灾难及其他不可抗力事件而影响合同履行时，乙方应在三个工作日内以书面形式通知甲方。若不可抗力原因影响本合同执行时间超过</w:t>
      </w:r>
      <w:r>
        <w:rPr>
          <w:rFonts w:hint="eastAsia" w:asciiTheme="minorEastAsia" w:hAnsiTheme="minorEastAsia" w:cstheme="minorEastAsia"/>
          <w:bCs/>
          <w:szCs w:val="21"/>
          <w:lang w:val="en-US" w:eastAsia="zh-CN"/>
        </w:rPr>
        <w:t>30</w:t>
      </w:r>
      <w:r>
        <w:rPr>
          <w:rFonts w:hint="eastAsia" w:asciiTheme="minorEastAsia" w:hAnsiTheme="minorEastAsia" w:eastAsiaTheme="minorEastAsia" w:cstheme="minorEastAsia"/>
          <w:bCs/>
          <w:szCs w:val="21"/>
        </w:rPr>
        <w:t>日，甲方有权解除合同，双方互不承担违约责任。</w:t>
      </w:r>
    </w:p>
    <w:p w14:paraId="031713B9">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合同终止及解除</w:t>
      </w:r>
    </w:p>
    <w:p w14:paraId="275C61D9">
      <w:pPr>
        <w:pStyle w:val="29"/>
        <w:keepNext w:val="0"/>
        <w:keepLines w:val="0"/>
        <w:pageBreakBefore w:val="0"/>
        <w:widowControl w:val="0"/>
        <w:numPr>
          <w:ilvl w:val="0"/>
          <w:numId w:val="22"/>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keepNext w:val="0"/>
        <w:keepLines w:val="0"/>
        <w:pageBreakBefore w:val="0"/>
        <w:widowControl w:val="0"/>
        <w:numPr>
          <w:ilvl w:val="0"/>
          <w:numId w:val="22"/>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在甲、乙任何一方有严重违约行为时，另一方有权单方解除合同。</w:t>
      </w:r>
    </w:p>
    <w:p w14:paraId="2BA7B89E">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争议解决办法</w:t>
      </w:r>
    </w:p>
    <w:p w14:paraId="5C6244A3">
      <w:pPr>
        <w:pStyle w:val="29"/>
        <w:keepNext w:val="0"/>
        <w:keepLines w:val="0"/>
        <w:pageBreakBefore w:val="0"/>
        <w:widowControl w:val="0"/>
        <w:numPr>
          <w:ilvl w:val="0"/>
          <w:numId w:val="2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因服务质量问题发生争议，由质量技术监督部门或其指定的质量鉴定机构进行质量鉴定，结果符合标准的，鉴定费由甲方承担；不符合标准的，鉴定费由乙方承担。</w:t>
      </w:r>
    </w:p>
    <w:p w14:paraId="40F006BE">
      <w:pPr>
        <w:pStyle w:val="29"/>
        <w:keepNext w:val="0"/>
        <w:keepLines w:val="0"/>
        <w:pageBreakBefore w:val="0"/>
        <w:widowControl w:val="0"/>
        <w:numPr>
          <w:ilvl w:val="0"/>
          <w:numId w:val="23"/>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合同履行期间,若双方发生争议，可协商或由有关部门调解解决，协商或调解不成的，任何一方均有权向甲方所在地具有管辖权的人民法院起诉。</w:t>
      </w:r>
    </w:p>
    <w:p w14:paraId="533F8595">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送达（送达地址是司法机关、执法机关和仲裁机关将法律文书送达给当事人的收件地址）</w:t>
      </w:r>
    </w:p>
    <w:p w14:paraId="46F487CF">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甲方送达地址：四川省成都市青羊区一环路西二段32号。</w:t>
      </w:r>
    </w:p>
    <w:p w14:paraId="2E0AF282">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乙方送达地址：***</w:t>
      </w:r>
    </w:p>
    <w:p w14:paraId="750624B0">
      <w:pPr>
        <w:pStyle w:val="34"/>
        <w:keepNext w:val="0"/>
        <w:keepLines w:val="0"/>
        <w:pageBreakBefore w:val="0"/>
        <w:widowControl w:val="0"/>
        <w:numPr>
          <w:ilvl w:val="0"/>
          <w:numId w:val="24"/>
        </w:numPr>
        <w:kinsoku/>
        <w:wordWrap/>
        <w:overflowPunct/>
        <w:topLinePunct w:val="0"/>
        <w:autoSpaceDE/>
        <w:autoSpaceDN/>
        <w:bidi w:val="0"/>
        <w:spacing w:line="360" w:lineRule="exact"/>
        <w:ind w:left="0" w:firstLine="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其他</w:t>
      </w:r>
    </w:p>
    <w:p w14:paraId="162904B6">
      <w:pPr>
        <w:pStyle w:val="29"/>
        <w:keepNext w:val="0"/>
        <w:keepLines w:val="0"/>
        <w:pageBreakBefore w:val="0"/>
        <w:widowControl w:val="0"/>
        <w:numPr>
          <w:ilvl w:val="0"/>
          <w:numId w:val="25"/>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如有未尽事宜，由双方依法订立补充合同。补充合同及本合同附件均为本合同的组成部分，与本合同具有同等法律效力。</w:t>
      </w:r>
    </w:p>
    <w:p w14:paraId="3EA6778F">
      <w:pPr>
        <w:pStyle w:val="29"/>
        <w:keepNext w:val="0"/>
        <w:keepLines w:val="0"/>
        <w:pageBreakBefore w:val="0"/>
        <w:widowControl w:val="0"/>
        <w:numPr>
          <w:ilvl w:val="0"/>
          <w:numId w:val="25"/>
        </w:numPr>
        <w:kinsoku/>
        <w:wordWrap/>
        <w:overflowPunct/>
        <w:topLinePunct w:val="0"/>
        <w:autoSpaceDE/>
        <w:autoSpaceDN/>
        <w:bidi w:val="0"/>
        <w:spacing w:line="360" w:lineRule="exact"/>
        <w:ind w:left="0" w:firstLine="0" w:firstLineChars="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本合同一式</w:t>
      </w:r>
      <w:r>
        <w:rPr>
          <w:rFonts w:hint="eastAsia" w:asciiTheme="minorEastAsia" w:hAnsiTheme="minorEastAsia" w:cstheme="minorEastAsia"/>
          <w:szCs w:val="21"/>
          <w:lang w:val="en-US" w:eastAsia="zh-CN"/>
        </w:rPr>
        <w:t>五</w:t>
      </w:r>
      <w:r>
        <w:rPr>
          <w:rFonts w:hint="eastAsia" w:asciiTheme="minorEastAsia" w:hAnsiTheme="minorEastAsia" w:eastAsiaTheme="minorEastAsia" w:cstheme="minorEastAsia"/>
          <w:szCs w:val="21"/>
        </w:rPr>
        <w:t>份，自双方签字且盖章之日起生效。甲方</w:t>
      </w:r>
      <w:r>
        <w:rPr>
          <w:rFonts w:hint="eastAsia" w:asciiTheme="minorEastAsia" w:hAnsiTheme="minorEastAsia" w:cstheme="minorEastAsia"/>
          <w:szCs w:val="21"/>
          <w:lang w:val="en-US" w:eastAsia="zh-CN"/>
        </w:rPr>
        <w:t>四</w:t>
      </w:r>
      <w:r>
        <w:rPr>
          <w:rFonts w:hint="eastAsia" w:asciiTheme="minorEastAsia" w:hAnsiTheme="minorEastAsia" w:eastAsiaTheme="minorEastAsia" w:cstheme="minorEastAsia"/>
          <w:szCs w:val="21"/>
        </w:rPr>
        <w:t>份，乙方一份。</w:t>
      </w:r>
    </w:p>
    <w:p w14:paraId="134580B1">
      <w:pPr>
        <w:pStyle w:val="29"/>
        <w:keepNext w:val="0"/>
        <w:keepLines w:val="0"/>
        <w:pageBreakBefore w:val="0"/>
        <w:widowControl w:val="0"/>
        <w:numPr>
          <w:ilvl w:val="0"/>
          <w:numId w:val="11"/>
        </w:numPr>
        <w:kinsoku/>
        <w:wordWrap/>
        <w:overflowPunct/>
        <w:topLinePunct w:val="0"/>
        <w:autoSpaceDE/>
        <w:autoSpaceDN/>
        <w:bidi w:val="0"/>
        <w:spacing w:line="360" w:lineRule="exact"/>
        <w:ind w:left="0" w:firstLine="0" w:firstLineChars="0"/>
        <w:contextualSpacing/>
        <w:jc w:val="left"/>
        <w:textAlignment w:val="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合同附件</w:t>
      </w:r>
    </w:p>
    <w:p w14:paraId="6C66D4AC">
      <w:pPr>
        <w:keepNext w:val="0"/>
        <w:keepLines w:val="0"/>
        <w:pageBreakBefore w:val="0"/>
        <w:widowControl w:val="0"/>
        <w:kinsoku/>
        <w:wordWrap/>
        <w:overflowPunct/>
        <w:topLinePunct w:val="0"/>
        <w:autoSpaceDE/>
        <w:autoSpaceDN/>
        <w:bidi w:val="0"/>
        <w:spacing w:line="360" w:lineRule="exact"/>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本合同为</w:t>
      </w:r>
      <w:r>
        <w:rPr>
          <w:rFonts w:hint="eastAsia" w:asciiTheme="minorEastAsia" w:hAnsiTheme="minorEastAsia" w:eastAsiaTheme="minorEastAsia" w:cstheme="minorEastAsia"/>
          <w:szCs w:val="21"/>
          <w:u w:val="single"/>
        </w:rPr>
        <w:t>有</w:t>
      </w:r>
      <w:r>
        <w:rPr>
          <w:rFonts w:hint="eastAsia" w:asciiTheme="minorEastAsia" w:hAnsiTheme="minorEastAsia" w:eastAsiaTheme="minorEastAsia" w:cstheme="minorEastAsia"/>
          <w:szCs w:val="21"/>
        </w:rPr>
        <w:t>附件合同，附件如下：</w:t>
      </w:r>
      <w:r>
        <w:rPr>
          <w:rFonts w:hint="eastAsia" w:asciiTheme="minorEastAsia" w:hAnsiTheme="minorEastAsia" w:eastAsiaTheme="minorEastAsia" w:cstheme="minorEastAsia"/>
          <w:i/>
          <w:iCs/>
          <w:szCs w:val="21"/>
          <w:highlight w:val="yellow"/>
        </w:rPr>
        <w:t>&lt;根据项目实际情况编制&gt;</w:t>
      </w:r>
    </w:p>
    <w:p w14:paraId="3FF9CA8A">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w:t>
      </w:r>
      <w:bookmarkStart w:id="102" w:name="OLE_LINK32"/>
      <w:r>
        <w:rPr>
          <w:rFonts w:hint="eastAsia" w:asciiTheme="minorEastAsia" w:hAnsiTheme="minorEastAsia" w:eastAsiaTheme="minorEastAsia" w:cstheme="minorEastAsia"/>
          <w:szCs w:val="21"/>
        </w:rPr>
        <w:t>结算单价清单</w:t>
      </w:r>
      <w:bookmarkEnd w:id="102"/>
      <w:r>
        <w:rPr>
          <w:rFonts w:hint="eastAsia" w:asciiTheme="minorEastAsia" w:hAnsiTheme="minorEastAsia" w:eastAsiaTheme="minorEastAsia" w:cstheme="minorEastAsia"/>
          <w:szCs w:val="21"/>
        </w:rPr>
        <w:t>》</w:t>
      </w:r>
    </w:p>
    <w:p w14:paraId="6CDBD3F1">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附件2《考核标准》</w:t>
      </w:r>
    </w:p>
    <w:p w14:paraId="485EAD27">
      <w:pPr>
        <w:keepNext w:val="0"/>
        <w:keepLines w:val="0"/>
        <w:pageBreakBefore w:val="0"/>
        <w:widowControl w:val="0"/>
        <w:kinsoku/>
        <w:wordWrap/>
        <w:overflowPunct/>
        <w:topLinePunct w:val="0"/>
        <w:autoSpaceDE/>
        <w:autoSpaceDN/>
        <w:bidi w:val="0"/>
        <w:spacing w:line="360" w:lineRule="exact"/>
        <w:jc w:val="left"/>
        <w:textAlignment w:val="auto"/>
        <w:outlineLvl w:val="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附件3《服务方案》</w:t>
      </w:r>
    </w:p>
    <w:p w14:paraId="73257A85">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 w:val="18"/>
          <w:szCs w:val="18"/>
        </w:rPr>
        <w:t>以下无正文</w:t>
      </w:r>
      <w:r>
        <w:rPr>
          <w:rFonts w:hint="eastAsia" w:asciiTheme="minorEastAsia" w:hAnsiTheme="minorEastAsia" w:eastAsiaTheme="minorEastAsia" w:cstheme="minorEastAsia"/>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签订时间：</w:t>
            </w:r>
            <w:r>
              <w:rPr>
                <w:rFonts w:hint="eastAsia" w:asciiTheme="minorEastAsia" w:hAnsiTheme="minorEastAsia" w:eastAsiaTheme="minorEastAsia" w:cstheme="minorEastAsia"/>
              </w:rPr>
              <w:t>202*</w:t>
            </w:r>
            <w:r>
              <w:rPr>
                <w:rFonts w:hint="eastAsia" w:asciiTheme="minorEastAsia" w:hAnsiTheme="minorEastAsia" w:eastAsiaTheme="minorEastAsia" w:cstheme="minorEastAsia"/>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甲方：四川省人民医院（盖章）</w:t>
            </w:r>
          </w:p>
          <w:p w14:paraId="1BF2641A">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法定代表人（授权代表签字）：</w:t>
            </w:r>
          </w:p>
          <w:p w14:paraId="3CF6E833">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    址：四川省成都市一环路西二段32号</w:t>
            </w:r>
          </w:p>
          <w:p w14:paraId="6736D38D">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开户银行：建设银行成都青羊支行</w:t>
            </w:r>
          </w:p>
          <w:p w14:paraId="3D5EBF0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账号：5100 1446 4360 5037 4282</w:t>
            </w:r>
          </w:p>
        </w:tc>
        <w:tc>
          <w:tcPr>
            <w:tcW w:w="5247" w:type="dxa"/>
          </w:tcPr>
          <w:p w14:paraId="76D47F6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乙方：</w:t>
            </w:r>
            <w:permStart w:id="2" w:edGrp="everyone"/>
            <w:r>
              <w:rPr>
                <w:rFonts w:hint="eastAsia" w:asciiTheme="minorEastAsia" w:hAnsiTheme="minorEastAsia" w:eastAsiaTheme="minorEastAsia" w:cstheme="minorEastAsia"/>
                <w:szCs w:val="21"/>
              </w:rPr>
              <w:t>***</w:t>
            </w:r>
            <w:permEnd w:id="2"/>
            <w:r>
              <w:rPr>
                <w:rFonts w:hint="eastAsia" w:asciiTheme="minorEastAsia" w:hAnsiTheme="minorEastAsia" w:eastAsiaTheme="minorEastAsia" w:cstheme="minorEastAsia"/>
                <w:szCs w:val="21"/>
              </w:rPr>
              <w:t>（盖章）</w:t>
            </w:r>
          </w:p>
          <w:p w14:paraId="5129AF1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法定代表人（授权代表签字）：</w:t>
            </w:r>
          </w:p>
          <w:p w14:paraId="47302462">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地址：</w:t>
            </w:r>
            <w:permStart w:id="3" w:edGrp="everyone"/>
            <w:r>
              <w:rPr>
                <w:rFonts w:hint="eastAsia" w:asciiTheme="minorEastAsia" w:hAnsiTheme="minorEastAsia" w:eastAsiaTheme="minorEastAsia" w:cstheme="minorEastAsia"/>
                <w:szCs w:val="21"/>
              </w:rPr>
              <w:t>***</w:t>
            </w:r>
            <w:permEnd w:id="3"/>
          </w:p>
          <w:p w14:paraId="1CF0A190">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w:t>
            </w:r>
            <w:permStart w:id="4" w:edGrp="everyone"/>
            <w:r>
              <w:rPr>
                <w:rFonts w:hint="eastAsia" w:asciiTheme="minorEastAsia" w:hAnsiTheme="minorEastAsia" w:eastAsiaTheme="minorEastAsia" w:cstheme="minorEastAsia"/>
                <w:szCs w:val="21"/>
              </w:rPr>
              <w:t>***</w:t>
            </w:r>
          </w:p>
          <w:permEnd w:id="4"/>
          <w:p w14:paraId="5672E29C">
            <w:pPr>
              <w:widowControl/>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账号：</w:t>
            </w:r>
            <w:permStart w:id="5" w:edGrp="everyone"/>
            <w:r>
              <w:rPr>
                <w:rFonts w:hint="eastAsia" w:asciiTheme="minorEastAsia" w:hAnsiTheme="minorEastAsia" w:eastAsiaTheme="minorEastAsia" w:cstheme="minorEastAsia"/>
                <w:szCs w:val="21"/>
              </w:rPr>
              <w:t>***</w:t>
            </w:r>
            <w:permEnd w:id="5"/>
          </w:p>
        </w:tc>
      </w:tr>
    </w:tbl>
    <w:p w14:paraId="75EB2EEB">
      <w:pP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br w:type="page"/>
      </w:r>
    </w:p>
    <w:p w14:paraId="7B4B943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CellMar>
            <w:top w:w="0" w:type="dxa"/>
            <w:left w:w="0" w:type="dxa"/>
            <w:bottom w:w="0" w:type="dxa"/>
            <w:right w:w="0" w:type="dxa"/>
          </w:tblCellMar>
        </w:tblPrEx>
        <w:tc>
          <w:tcPr>
            <w:tcW w:w="562" w:type="dxa"/>
            <w:vAlign w:val="center"/>
          </w:tcPr>
          <w:p w14:paraId="486880DA">
            <w:pPr>
              <w:widowControl/>
              <w:jc w:val="center"/>
              <w:rPr>
                <w:b/>
                <w:bCs/>
                <w:szCs w:val="21"/>
              </w:rPr>
            </w:pPr>
            <w:r>
              <w:rPr>
                <w:rFonts w:hint="eastAsia"/>
                <w:b/>
                <w:bCs/>
                <w:szCs w:val="21"/>
              </w:rPr>
              <w:t>序号</w:t>
            </w:r>
          </w:p>
        </w:tc>
        <w:tc>
          <w:tcPr>
            <w:tcW w:w="3686" w:type="dxa"/>
            <w:vAlign w:val="center"/>
          </w:tcPr>
          <w:p w14:paraId="6C23FD50">
            <w:pPr>
              <w:widowControl/>
              <w:jc w:val="center"/>
              <w:rPr>
                <w:b/>
                <w:bCs/>
                <w:szCs w:val="21"/>
              </w:rPr>
            </w:pPr>
            <w:r>
              <w:rPr>
                <w:rFonts w:hint="eastAsia"/>
                <w:b/>
                <w:bCs/>
                <w:szCs w:val="21"/>
              </w:rPr>
              <w:t>结算项目名称</w:t>
            </w:r>
          </w:p>
        </w:tc>
        <w:tc>
          <w:tcPr>
            <w:tcW w:w="3402" w:type="dxa"/>
            <w:vAlign w:val="center"/>
          </w:tcPr>
          <w:p w14:paraId="3BB9E94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jc w:val="center"/>
              <w:rPr>
                <w:b/>
                <w:bCs/>
                <w:szCs w:val="21"/>
              </w:rPr>
            </w:pPr>
            <w:r>
              <w:rPr>
                <w:rFonts w:hint="eastAsia"/>
                <w:b/>
                <w:bCs/>
                <w:szCs w:val="21"/>
              </w:rPr>
              <w:t>结算单价</w:t>
            </w:r>
          </w:p>
        </w:tc>
      </w:tr>
      <w:tr w14:paraId="273CFCB2">
        <w:tblPrEx>
          <w:tblCellMar>
            <w:top w:w="0" w:type="dxa"/>
            <w:left w:w="0" w:type="dxa"/>
            <w:bottom w:w="0" w:type="dxa"/>
            <w:right w:w="0" w:type="dxa"/>
          </w:tblCellMar>
        </w:tblPrEx>
        <w:tc>
          <w:tcPr>
            <w:tcW w:w="562" w:type="dxa"/>
            <w:vAlign w:val="center"/>
          </w:tcPr>
          <w:p w14:paraId="05AC9F2E">
            <w:pPr>
              <w:widowControl/>
              <w:jc w:val="center"/>
              <w:rPr>
                <w:szCs w:val="21"/>
              </w:rPr>
            </w:pPr>
            <w:r>
              <w:rPr>
                <w:rFonts w:hint="eastAsia"/>
                <w:szCs w:val="21"/>
              </w:rPr>
              <w:t>1</w:t>
            </w:r>
          </w:p>
        </w:tc>
        <w:tc>
          <w:tcPr>
            <w:tcW w:w="3686" w:type="dxa"/>
            <w:vAlign w:val="center"/>
          </w:tcPr>
          <w:p w14:paraId="4A635D96">
            <w:pPr>
              <w:widowControl/>
              <w:jc w:val="left"/>
              <w:rPr>
                <w:szCs w:val="21"/>
              </w:rPr>
            </w:pPr>
          </w:p>
        </w:tc>
        <w:tc>
          <w:tcPr>
            <w:tcW w:w="3402" w:type="dxa"/>
            <w:vAlign w:val="center"/>
          </w:tcPr>
          <w:p w14:paraId="610A0DF8">
            <w:pPr>
              <w:widowControl/>
              <w:jc w:val="left"/>
              <w:rPr>
                <w:szCs w:val="21"/>
              </w:rPr>
            </w:pPr>
          </w:p>
        </w:tc>
        <w:tc>
          <w:tcPr>
            <w:tcW w:w="992" w:type="dxa"/>
            <w:vAlign w:val="center"/>
          </w:tcPr>
          <w:p w14:paraId="59C6D210">
            <w:pPr>
              <w:widowControl/>
              <w:jc w:val="center"/>
              <w:rPr>
                <w:szCs w:val="21"/>
              </w:rPr>
            </w:pPr>
          </w:p>
        </w:tc>
        <w:tc>
          <w:tcPr>
            <w:tcW w:w="986" w:type="dxa"/>
            <w:vAlign w:val="center"/>
          </w:tcPr>
          <w:p w14:paraId="3B758A07">
            <w:pPr>
              <w:widowControl/>
              <w:jc w:val="center"/>
              <w:rPr>
                <w:szCs w:val="21"/>
              </w:rPr>
            </w:pPr>
          </w:p>
        </w:tc>
      </w:tr>
      <w:tr w14:paraId="09DD61B9">
        <w:tblPrEx>
          <w:tblCellMar>
            <w:top w:w="0" w:type="dxa"/>
            <w:left w:w="0" w:type="dxa"/>
            <w:bottom w:w="0" w:type="dxa"/>
            <w:right w:w="0" w:type="dxa"/>
          </w:tblCellMar>
        </w:tblPrEx>
        <w:tc>
          <w:tcPr>
            <w:tcW w:w="562" w:type="dxa"/>
            <w:vAlign w:val="center"/>
          </w:tcPr>
          <w:p w14:paraId="69B6FD72">
            <w:pPr>
              <w:widowControl/>
              <w:jc w:val="center"/>
              <w:rPr>
                <w:szCs w:val="21"/>
              </w:rPr>
            </w:pPr>
            <w:r>
              <w:rPr>
                <w:rFonts w:hint="eastAsia"/>
                <w:szCs w:val="21"/>
              </w:rPr>
              <w:t>2</w:t>
            </w:r>
          </w:p>
        </w:tc>
        <w:tc>
          <w:tcPr>
            <w:tcW w:w="3686" w:type="dxa"/>
            <w:vAlign w:val="center"/>
          </w:tcPr>
          <w:p w14:paraId="2C25F4E1">
            <w:pPr>
              <w:widowControl/>
              <w:jc w:val="left"/>
              <w:rPr>
                <w:szCs w:val="21"/>
              </w:rPr>
            </w:pPr>
          </w:p>
        </w:tc>
        <w:tc>
          <w:tcPr>
            <w:tcW w:w="3402" w:type="dxa"/>
            <w:vAlign w:val="center"/>
          </w:tcPr>
          <w:p w14:paraId="473015E2">
            <w:pPr>
              <w:widowControl/>
              <w:jc w:val="left"/>
              <w:rPr>
                <w:szCs w:val="21"/>
              </w:rPr>
            </w:pPr>
          </w:p>
        </w:tc>
        <w:tc>
          <w:tcPr>
            <w:tcW w:w="992" w:type="dxa"/>
            <w:vAlign w:val="center"/>
          </w:tcPr>
          <w:p w14:paraId="1AC45725">
            <w:pPr>
              <w:widowControl/>
              <w:jc w:val="center"/>
              <w:rPr>
                <w:szCs w:val="21"/>
              </w:rPr>
            </w:pPr>
          </w:p>
        </w:tc>
        <w:tc>
          <w:tcPr>
            <w:tcW w:w="986" w:type="dxa"/>
            <w:vAlign w:val="center"/>
          </w:tcPr>
          <w:p w14:paraId="794FEA53">
            <w:pPr>
              <w:widowControl/>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rPr>
            </w:pPr>
            <w:r>
              <w:rPr>
                <w:szCs w:val="21"/>
              </w:rPr>
              <w:t>…</w:t>
            </w:r>
          </w:p>
        </w:tc>
        <w:tc>
          <w:tcPr>
            <w:tcW w:w="3686" w:type="dxa"/>
            <w:vAlign w:val="center"/>
          </w:tcPr>
          <w:p w14:paraId="09F89178">
            <w:pPr>
              <w:widowControl/>
              <w:jc w:val="left"/>
              <w:rPr>
                <w:szCs w:val="21"/>
              </w:rPr>
            </w:pPr>
          </w:p>
        </w:tc>
        <w:tc>
          <w:tcPr>
            <w:tcW w:w="3402" w:type="dxa"/>
            <w:vAlign w:val="center"/>
          </w:tcPr>
          <w:p w14:paraId="1FF16C42">
            <w:pPr>
              <w:widowControl/>
              <w:jc w:val="left"/>
              <w:rPr>
                <w:szCs w:val="21"/>
              </w:rPr>
            </w:pPr>
          </w:p>
        </w:tc>
        <w:tc>
          <w:tcPr>
            <w:tcW w:w="992" w:type="dxa"/>
            <w:vAlign w:val="center"/>
          </w:tcPr>
          <w:p w14:paraId="0BD2D448">
            <w:pPr>
              <w:widowControl/>
              <w:jc w:val="center"/>
              <w:rPr>
                <w:szCs w:val="21"/>
              </w:rPr>
            </w:pPr>
          </w:p>
        </w:tc>
        <w:tc>
          <w:tcPr>
            <w:tcW w:w="986" w:type="dxa"/>
            <w:vAlign w:val="center"/>
          </w:tcPr>
          <w:p w14:paraId="32267964">
            <w:pPr>
              <w:widowControl/>
              <w:jc w:val="center"/>
              <w:rPr>
                <w:szCs w:val="21"/>
              </w:rPr>
            </w:pPr>
          </w:p>
        </w:tc>
      </w:tr>
    </w:tbl>
    <w:p w14:paraId="44110F5C">
      <w:pPr>
        <w:rPr>
          <w:rFonts w:hint="eastAsia" w:ascii="宋体" w:hAnsi="宋体"/>
          <w:b/>
          <w:bCs/>
          <w:szCs w:val="21"/>
        </w:rPr>
      </w:pPr>
      <w:r>
        <w:rPr>
          <w:rFonts w:hint="eastAsia" w:ascii="宋体" w:hAnsi="宋体"/>
          <w:b/>
          <w:bCs/>
          <w:szCs w:val="21"/>
        </w:rPr>
        <w:br w:type="page"/>
      </w:r>
    </w:p>
    <w:p w14:paraId="6BEFDD75">
      <w:pPr>
        <w:widowControl/>
        <w:jc w:val="left"/>
        <w:rPr>
          <w:rFonts w:ascii="宋体" w:hAnsi="宋体"/>
          <w:b/>
          <w:bCs/>
          <w:szCs w:val="21"/>
        </w:rPr>
      </w:pPr>
      <w:r>
        <w:rPr>
          <w:rFonts w:hint="eastAsia" w:ascii="宋体" w:hAnsi="宋体"/>
          <w:b/>
          <w:bCs/>
          <w:szCs w:val="21"/>
        </w:rPr>
        <w:t>附件2：考核标准</w:t>
      </w:r>
    </w:p>
    <w:p w14:paraId="6C0FC75D"/>
    <w:p w14:paraId="26102D6F">
      <w:r>
        <w:rPr>
          <w:rFonts w:hint="eastAsia"/>
        </w:rPr>
        <w:t>*</w:t>
      </w:r>
      <w:r>
        <w:t>**</w:t>
      </w:r>
    </w:p>
    <w:p w14:paraId="492B3245">
      <w:r>
        <w:br w:type="page"/>
      </w:r>
    </w:p>
    <w:p w14:paraId="692BA005">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34119E8-7184-4F0E-B975-BAB34662D6D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4F12697-2FCA-47C8-8CD2-4C80C82DC4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2640690-D706-4B70-8349-77F356A9E09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84A1A98-5EA2-43DF-A4A8-E2CBB0E8BB8B}"/>
  </w:font>
  <w:font w:name="Segoe UI Symbol">
    <w:panose1 w:val="020B0502040204020203"/>
    <w:charset w:val="00"/>
    <w:family w:val="swiss"/>
    <w:pitch w:val="default"/>
    <w:sig w:usb0="800001E3" w:usb1="1200FFEF" w:usb2="00040000" w:usb3="04000000" w:csb0="00000001" w:csb1="40000000"/>
    <w:embedRegular r:id="rId5" w:fontKey="{931375E2-1C6F-4994-990D-26C45D0A9EE4}"/>
  </w:font>
  <w:font w:name="方正仿宋_GB2312">
    <w:panose1 w:val="02000000000000000000"/>
    <w:charset w:val="86"/>
    <w:family w:val="auto"/>
    <w:pitch w:val="default"/>
    <w:sig w:usb0="A00002BF" w:usb1="184F6CFA" w:usb2="00000012" w:usb3="00000000" w:csb0="00040001" w:csb1="00000000"/>
    <w:embedRegular r:id="rId6" w:fontKey="{8D35705C-A70F-4825-9AF0-63F0398E3334}"/>
  </w:font>
  <w:font w:name="Wingdings 2">
    <w:altName w:val="Wingdings"/>
    <w:panose1 w:val="05020102010507070707"/>
    <w:charset w:val="4D"/>
    <w:family w:val="decorative"/>
    <w:pitch w:val="default"/>
    <w:sig w:usb0="00000000" w:usb1="00000000" w:usb2="00000000" w:usb3="00000000" w:csb0="80000000" w:csb1="00000000"/>
    <w:embedRegular r:id="rId7" w:fontKey="{0E787FB8-3EDB-440D-B22D-4AA845C19211}"/>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F2B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8F2BD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6">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5"/>
  </w:num>
  <w:num w:numId="4">
    <w:abstractNumId w:val="24"/>
  </w:num>
  <w:num w:numId="5">
    <w:abstractNumId w:val="11"/>
  </w:num>
  <w:num w:numId="6">
    <w:abstractNumId w:val="19"/>
  </w:num>
  <w:num w:numId="7">
    <w:abstractNumId w:val="14"/>
  </w:num>
  <w:num w:numId="8">
    <w:abstractNumId w:val="1"/>
  </w:num>
  <w:num w:numId="9">
    <w:abstractNumId w:val="0"/>
  </w:num>
  <w:num w:numId="10">
    <w:abstractNumId w:val="3"/>
  </w:num>
  <w:num w:numId="11">
    <w:abstractNumId w:val="10"/>
  </w:num>
  <w:num w:numId="12">
    <w:abstractNumId w:val="20"/>
  </w:num>
  <w:num w:numId="13">
    <w:abstractNumId w:val="23"/>
  </w:num>
  <w:num w:numId="14">
    <w:abstractNumId w:val="17"/>
  </w:num>
  <w:num w:numId="15">
    <w:abstractNumId w:val="7"/>
  </w:num>
  <w:num w:numId="16">
    <w:abstractNumId w:val="5"/>
  </w:num>
  <w:num w:numId="17">
    <w:abstractNumId w:val="21"/>
  </w:num>
  <w:num w:numId="18">
    <w:abstractNumId w:val="16"/>
  </w:num>
  <w:num w:numId="19">
    <w:abstractNumId w:val="6"/>
  </w:num>
  <w:num w:numId="20">
    <w:abstractNumId w:val="9"/>
  </w:num>
  <w:num w:numId="21">
    <w:abstractNumId w:val="22"/>
  </w:num>
  <w:num w:numId="22">
    <w:abstractNumId w:val="4"/>
  </w:num>
  <w:num w:numId="23">
    <w:abstractNumId w:val="18"/>
  </w:num>
  <w:num w:numId="24">
    <w:abstractNumId w:val="8"/>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D21103"/>
    <w:rsid w:val="02E44199"/>
    <w:rsid w:val="040F1027"/>
    <w:rsid w:val="04A233E0"/>
    <w:rsid w:val="058C78B0"/>
    <w:rsid w:val="05E13064"/>
    <w:rsid w:val="06A96ADB"/>
    <w:rsid w:val="07725732"/>
    <w:rsid w:val="078A573C"/>
    <w:rsid w:val="093A3733"/>
    <w:rsid w:val="0B4508AE"/>
    <w:rsid w:val="0CF161C9"/>
    <w:rsid w:val="0CFA155A"/>
    <w:rsid w:val="0E0B7FF0"/>
    <w:rsid w:val="0F904004"/>
    <w:rsid w:val="0F9148FF"/>
    <w:rsid w:val="10846692"/>
    <w:rsid w:val="117A5014"/>
    <w:rsid w:val="127F05A0"/>
    <w:rsid w:val="12F74478"/>
    <w:rsid w:val="136D78F8"/>
    <w:rsid w:val="13BE15D6"/>
    <w:rsid w:val="15CC4977"/>
    <w:rsid w:val="162A4F7D"/>
    <w:rsid w:val="16A82A66"/>
    <w:rsid w:val="17DA17F2"/>
    <w:rsid w:val="1994787E"/>
    <w:rsid w:val="1BCC54CD"/>
    <w:rsid w:val="1D5F24F5"/>
    <w:rsid w:val="1DD000AF"/>
    <w:rsid w:val="1E09745A"/>
    <w:rsid w:val="1E176351"/>
    <w:rsid w:val="1E446AD4"/>
    <w:rsid w:val="21D369EC"/>
    <w:rsid w:val="22935D1D"/>
    <w:rsid w:val="23D4489F"/>
    <w:rsid w:val="262001B9"/>
    <w:rsid w:val="27B87AF9"/>
    <w:rsid w:val="27E80EA9"/>
    <w:rsid w:val="280414A1"/>
    <w:rsid w:val="28570368"/>
    <w:rsid w:val="29C5318E"/>
    <w:rsid w:val="2B502F98"/>
    <w:rsid w:val="2C9A0A9E"/>
    <w:rsid w:val="2DA70D65"/>
    <w:rsid w:val="2F314F6B"/>
    <w:rsid w:val="3427766B"/>
    <w:rsid w:val="343706EB"/>
    <w:rsid w:val="351A08D0"/>
    <w:rsid w:val="36334CE5"/>
    <w:rsid w:val="37691503"/>
    <w:rsid w:val="37E43DA2"/>
    <w:rsid w:val="39076AE5"/>
    <w:rsid w:val="39DC77FF"/>
    <w:rsid w:val="3A1F5A62"/>
    <w:rsid w:val="3A551407"/>
    <w:rsid w:val="3B033C36"/>
    <w:rsid w:val="3B6C15C2"/>
    <w:rsid w:val="3BBF6223"/>
    <w:rsid w:val="3C656F41"/>
    <w:rsid w:val="3E5D4E8E"/>
    <w:rsid w:val="3FE25336"/>
    <w:rsid w:val="41076015"/>
    <w:rsid w:val="42075FF8"/>
    <w:rsid w:val="42842020"/>
    <w:rsid w:val="468567BB"/>
    <w:rsid w:val="47280A93"/>
    <w:rsid w:val="4782487D"/>
    <w:rsid w:val="4AAB5650"/>
    <w:rsid w:val="4B31068E"/>
    <w:rsid w:val="4BA55220"/>
    <w:rsid w:val="4BAD0151"/>
    <w:rsid w:val="4C184E09"/>
    <w:rsid w:val="4C862570"/>
    <w:rsid w:val="4C8F75A2"/>
    <w:rsid w:val="4DAD4403"/>
    <w:rsid w:val="4E3221F7"/>
    <w:rsid w:val="4E8C008E"/>
    <w:rsid w:val="4FEF758C"/>
    <w:rsid w:val="50771A9C"/>
    <w:rsid w:val="51C47F6D"/>
    <w:rsid w:val="529529A5"/>
    <w:rsid w:val="541A3621"/>
    <w:rsid w:val="54505185"/>
    <w:rsid w:val="5455382C"/>
    <w:rsid w:val="570D546C"/>
    <w:rsid w:val="5D0A3490"/>
    <w:rsid w:val="5D7E0D39"/>
    <w:rsid w:val="5E9D3F29"/>
    <w:rsid w:val="60384CD1"/>
    <w:rsid w:val="60655808"/>
    <w:rsid w:val="60F86CEE"/>
    <w:rsid w:val="63A9427A"/>
    <w:rsid w:val="63D462B1"/>
    <w:rsid w:val="641A3596"/>
    <w:rsid w:val="64D96647"/>
    <w:rsid w:val="655B51E5"/>
    <w:rsid w:val="65E40ADA"/>
    <w:rsid w:val="66330B86"/>
    <w:rsid w:val="66E22203"/>
    <w:rsid w:val="67FD181E"/>
    <w:rsid w:val="68AA6162"/>
    <w:rsid w:val="68B812C9"/>
    <w:rsid w:val="69D50CF4"/>
    <w:rsid w:val="6C487AFD"/>
    <w:rsid w:val="6CB24363"/>
    <w:rsid w:val="6EA93466"/>
    <w:rsid w:val="6FB16FC8"/>
    <w:rsid w:val="6FCF0795"/>
    <w:rsid w:val="71381023"/>
    <w:rsid w:val="71696852"/>
    <w:rsid w:val="73714961"/>
    <w:rsid w:val="754D1D92"/>
    <w:rsid w:val="758350A9"/>
    <w:rsid w:val="79687E1D"/>
    <w:rsid w:val="7A4F464A"/>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1330</Words>
  <Characters>1442</Characters>
  <Lines>72</Lines>
  <Paragraphs>20</Paragraphs>
  <TotalTime>3</TotalTime>
  <ScaleCrop>false</ScaleCrop>
  <LinksUpToDate>false</LinksUpToDate>
  <CharactersWithSpaces>1514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2026-08-21T01:46:23Z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7BD7FDD1FF91459C9D31EA3B35163A34_13</vt:lpwstr>
  </property>
  <property fmtid="{D5CDD505-2E9C-101B-9397-08002B2CF9AE}" pid="4" name="KSOTemplateDocerSaveRecord">
    <vt:lpwstr>eyJoZGlkIjoiMTg3OTBlMTJhZTliYjA3NDQ0MDEzN2E5YmUzNWUyYzYiLCJ1c2VySWQiOiI2NDE5ODgzNDAifQ==</vt:lpwstr>
  </property>
</Properties>
</file>