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四川省人民医院智慧医院建设-电子发票管理定制化开发采购项目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1E4CC0CF">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4"/>
        <w:tabs>
          <w:tab w:val="left" w:pos="6160"/>
        </w:tabs>
        <w:rPr>
          <w:rFonts w:ascii="Times New Roman" w:hAnsi="Times New Roman" w:eastAsia="仿宋" w:cs="Times New Roman"/>
          <w:sz w:val="28"/>
          <w:szCs w:val="32"/>
        </w:rPr>
      </w:pPr>
    </w:p>
    <w:p w14:paraId="267EBE78">
      <w:pPr>
        <w:pStyle w:val="14"/>
        <w:tabs>
          <w:tab w:val="right" w:leader="dot" w:pos="9627"/>
        </w:tabs>
        <w:rPr>
          <w:rFonts w:ascii="Times New Roman" w:hAnsi="Times New Roman" w:eastAsia="仿宋" w:cs="Times New Roman"/>
          <w:sz w:val="28"/>
          <w:szCs w:val="28"/>
          <w:lang w:val="zh-CN"/>
          <w14:ligatures w14:val="standardContextual"/>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"_Toc192583766" </w:instrText>
      </w:r>
      <w:r>
        <w:fldChar w:fldCharType="separate"/>
      </w:r>
      <w:r>
        <w:rPr>
          <w:rStyle w:val="22"/>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_Toc192583766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75DC840">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"_Toc192583767" </w:instrText>
      </w:r>
      <w:r>
        <w:fldChar w:fldCharType="separate"/>
      </w:r>
      <w:r>
        <w:rPr>
          <w:rStyle w:val="22"/>
          <w:rFonts w:ascii="Times New Roman" w:hAnsi="Times New Roman" w:eastAsia="仿宋" w:cs="Times New Roman"/>
          <w:sz w:val="28"/>
          <w:szCs w:val="28"/>
        </w:rPr>
        <w:t>第二章 供应商须知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_Toc192583767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3D8241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"_Toc192583768" </w:instrText>
      </w:r>
      <w:r>
        <w:fldChar w:fldCharType="separate"/>
      </w:r>
      <w:r>
        <w:rPr>
          <w:rStyle w:val="22"/>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_Toc192583768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EDE604">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"_Toc192583769" </w:instrText>
      </w:r>
      <w:r>
        <w:fldChar w:fldCharType="separate"/>
      </w:r>
      <w:r>
        <w:rPr>
          <w:rStyle w:val="22"/>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9E08D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"_Toc192583770" </w:instrText>
      </w:r>
      <w:r>
        <w:fldChar w:fldCharType="separate"/>
      </w:r>
      <w:r>
        <w:rPr>
          <w:rStyle w:val="22"/>
          <w:rFonts w:ascii="Times New Roman" w:hAnsi="Times New Roman" w:eastAsia="仿宋" w:cs="Times New Roman"/>
          <w:sz w:val="28"/>
          <w:szCs w:val="28"/>
        </w:rPr>
        <w:t>第五章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_Toc192583770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3C6BED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"_Toc192583771" </w:instrText>
      </w:r>
      <w:r>
        <w:fldChar w:fldCharType="separate"/>
      </w:r>
      <w:r>
        <w:rPr>
          <w:rStyle w:val="22"/>
          <w:rFonts w:ascii="Times New Roman" w:hAnsi="Times New Roman" w:eastAsia="仿宋" w:cs="Times New Roman"/>
          <w:sz w:val="28"/>
          <w:szCs w:val="28"/>
        </w:rPr>
        <w:t>第六章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2583766"/>
      <w:bookmarkStart w:id="1" w:name="_Toc20358"/>
      <w:bookmarkStart w:id="2" w:name="_Toc62832406"/>
      <w:bookmarkStart w:id="3" w:name="_Toc471310326"/>
      <w:bookmarkStart w:id="4" w:name="_Toc1907"/>
      <w:bookmarkStart w:id="5" w:name="_Toc3240"/>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zh-CN" w:eastAsia="zh-CN"/>
              </w:rPr>
              <w:t>中国农业银行股份有限公司成都光华支行</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23C921FB">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四川省人民医院智慧医院建设-电子发票管理定制化开发采购项目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CGZX-YXX20261189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526F90A0">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人民币</w:t>
            </w:r>
            <w:r>
              <w:rPr>
                <w:rFonts w:hint="eastAsia" w:ascii="Times New Roman" w:hAnsi="Times New Roman" w:eastAsia="仿宋" w:cs="Times New Roman"/>
                <w:sz w:val="22"/>
                <w:u w:val="none"/>
                <w:lang w:val="en-US" w:eastAsia="zh-CN"/>
              </w:rPr>
              <w:t>9.5万</w:t>
            </w:r>
            <w:r>
              <w:rPr>
                <w:rFonts w:ascii="Times New Roman" w:hAnsi="Times New Roman" w:eastAsia="仿宋" w:cs="Times New Roman"/>
                <w:sz w:val="22"/>
                <w:u w:val="none"/>
              </w:rPr>
              <w:t>元</w:t>
            </w:r>
            <w:r>
              <w:rPr>
                <w:rFonts w:hint="eastAsia" w:ascii="Times New Roman" w:hAnsi="Times New Roman" w:eastAsia="仿宋" w:cs="Times New Roman"/>
                <w:sz w:val="22"/>
                <w:u w:val="none"/>
                <w:lang w:eastAsia="zh-CN"/>
              </w:rPr>
              <w:t>，</w:t>
            </w:r>
            <w:r>
              <w:rPr>
                <w:rFonts w:hint="eastAsia" w:ascii="Times New Roman" w:hAnsi="Times New Roman" w:eastAsia="仿宋" w:cs="Times New Roman"/>
                <w:sz w:val="22"/>
                <w:u w:val="none"/>
                <w:lang w:val="en-US" w:eastAsia="zh-CN"/>
              </w:rPr>
              <w:t>限高单价详见第四章。</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0C1E08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四川省人民医院官方网站上以公告形式</w:t>
            </w:r>
            <w:r>
              <w:rPr>
                <w:rFonts w:hint="eastAsia" w:ascii="Times New Roman" w:hAnsi="Times New Roman" w:eastAsia="仿宋" w:cs="Times New Roman"/>
                <w:sz w:val="22"/>
              </w:rPr>
              <w:t>邀请唯一供应商参与本次谈判</w:t>
            </w:r>
          </w:p>
        </w:tc>
      </w:tr>
      <w:tr w14:paraId="7C5BAA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023F7F22">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FCE2B0">
            <w:pPr>
              <w:spacing w:line="360" w:lineRule="auto"/>
              <w:jc w:val="center"/>
              <w:rPr>
                <w:rFonts w:ascii="Times New Roman" w:hAnsi="Times New Roman" w:eastAsia="仿宋" w:cs="Times New Roman"/>
                <w:kern w:val="0"/>
                <w:sz w:val="22"/>
                <w:highlight w:val="none"/>
              </w:rPr>
            </w:pPr>
            <w:r>
              <w:rPr>
                <w:rFonts w:hint="eastAsia" w:ascii="Times New Roman" w:hAnsi="Times New Roman" w:eastAsia="仿宋" w:cs="Times New Roman"/>
                <w:kern w:val="0"/>
                <w:sz w:val="22"/>
                <w:highlight w:val="none"/>
              </w:rPr>
              <w:t>拟定供应商信息</w:t>
            </w:r>
          </w:p>
        </w:tc>
        <w:tc>
          <w:tcPr>
            <w:tcW w:w="7236" w:type="dxa"/>
            <w:vAlign w:val="center"/>
          </w:tcPr>
          <w:p w14:paraId="30A029FA">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供应商名称：</w:t>
            </w:r>
            <w:r>
              <w:rPr>
                <w:rFonts w:hint="eastAsia" w:ascii="Times New Roman" w:hAnsi="Times New Roman" w:eastAsia="仿宋" w:cs="Times New Roman"/>
                <w:sz w:val="22"/>
                <w:highlight w:val="none"/>
                <w:lang w:val="en-US" w:eastAsia="zh-CN"/>
              </w:rPr>
              <w:t>上海熙软科技有限公司</w:t>
            </w:r>
          </w:p>
          <w:p w14:paraId="789161A3">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shd w:val="clear"/>
              </w:rPr>
              <w:t>供应商地址：</w:t>
            </w:r>
            <w:r>
              <w:rPr>
                <w:rFonts w:hint="eastAsia" w:ascii="Times New Roman" w:hAnsi="Times New Roman" w:eastAsia="仿宋" w:cs="Times New Roman"/>
                <w:sz w:val="22"/>
                <w:highlight w:val="none"/>
                <w:shd w:val="clear"/>
                <w:lang w:val="en-US" w:eastAsia="zh-CN"/>
              </w:rPr>
              <w:t>上海市闵行区虹桥绿谷E幢502室</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2C331044">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3E03D0F4">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none"/>
                <w:u w:color="000000"/>
              </w:rPr>
              <w:t>（应有开始及截止时间的说明）</w:t>
            </w:r>
          </w:p>
          <w:p w14:paraId="3373E8B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0B3D103">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0D65FE5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1CDBF7F3">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3DC3F32A">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收取</w:t>
            </w:r>
          </w:p>
          <w:p w14:paraId="2F5A69A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合同总价10%（逾期未缴纳履约保证金，视为自动放弃</w:t>
            </w:r>
            <w:r>
              <w:rPr>
                <w:rFonts w:hint="eastAsia" w:ascii="Times New Roman" w:hAnsi="Times New Roman" w:eastAsia="仿宋" w:cs="Times New Roman"/>
                <w:sz w:val="22"/>
                <w:szCs w:val="22"/>
                <w:lang w:val="en-US" w:eastAsia="zh-CN"/>
              </w:rPr>
              <w:t>成交</w:t>
            </w:r>
            <w:r>
              <w:rPr>
                <w:rFonts w:hint="eastAsia" w:ascii="Times New Roman" w:hAnsi="Times New Roman" w:eastAsia="仿宋" w:cs="Times New Roman"/>
                <w:sz w:val="22"/>
                <w:szCs w:val="22"/>
                <w:lang w:val="zh-CN" w:eastAsia="zh-CN"/>
              </w:rPr>
              <w:t>资格。）</w:t>
            </w:r>
          </w:p>
          <w:p w14:paraId="3A95077C">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履约保证金可以以支票、汇票、本票或者金融机构出具的保函等非现金形式提交（包括网银转账，电汇等方式）</w:t>
            </w:r>
            <w:r>
              <w:rPr>
                <w:rFonts w:ascii="Times New Roman" w:hAnsi="Times New Roman" w:eastAsia="仿宋" w:cs="Times New Roman"/>
                <w:sz w:val="22"/>
                <w:szCs w:val="22"/>
                <w:lang w:val="zh-CN"/>
              </w:rPr>
              <w:t>；</w:t>
            </w:r>
          </w:p>
          <w:p w14:paraId="024D00A2">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w:t>
            </w:r>
          </w:p>
          <w:p w14:paraId="5F1DFF7F">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w:t>
            </w:r>
          </w:p>
          <w:p w14:paraId="1CDF9145">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p>
          <w:p w14:paraId="47D4BE49">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33D0822C">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项目验收合格且服务期结束后，供应商向采购人提供合法有效票据及其他相关请款资料，采购人在90工作日内将履约保证金扣减考核金额（如涉及考核）后一次性无息退还。</w:t>
            </w:r>
          </w:p>
          <w:p w14:paraId="6E42CB6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EBDCC85">
            <w:pPr>
              <w:pStyle w:val="28"/>
              <w:numPr>
                <w:ilvl w:val="0"/>
                <w:numId w:val="8"/>
              </w:numPr>
              <w:tabs>
                <w:tab w:val="left" w:pos="218"/>
              </w:tabs>
              <w:spacing w:line="360" w:lineRule="auto"/>
              <w:ind w:left="218" w:leftChars="104" w:firstLine="0" w:firstLineChars="0"/>
              <w:jc w:val="both"/>
              <w:rPr>
                <w:rFonts w:hint="eastAsia" w:ascii="Times New Roman" w:hAnsi="Times New Roman" w:eastAsia="仿宋" w:cs="Times New Roman"/>
                <w:sz w:val="22"/>
                <w:szCs w:val="22"/>
                <w:lang w:val="en-US" w:eastAsia="zh-CN"/>
              </w:rPr>
            </w:pPr>
            <w:r>
              <w:rPr>
                <w:rFonts w:hint="eastAsia" w:ascii="Times New Roman" w:hAnsi="Times New Roman" w:eastAsia="仿宋" w:cs="Times New Roman"/>
                <w:sz w:val="22"/>
                <w:szCs w:val="22"/>
                <w:lang w:val="en-US" w:eastAsia="zh-CN"/>
              </w:rPr>
              <w:t>供应商拒绝履行与采购人订立的合同；</w:t>
            </w:r>
          </w:p>
          <w:p w14:paraId="4F09EBE3">
            <w:pPr>
              <w:pStyle w:val="28"/>
              <w:numPr>
                <w:ilvl w:val="0"/>
                <w:numId w:val="0"/>
              </w:numPr>
              <w:tabs>
                <w:tab w:val="left" w:pos="218"/>
              </w:tabs>
              <w:spacing w:line="360" w:lineRule="auto"/>
              <w:ind w:leftChars="104"/>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（2）因供应商严重违约或其它违法违规行为等情形，导致双方无法继续履约。</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7D2F400">
            <w:pPr>
              <w:spacing w:line="360" w:lineRule="auto"/>
              <w:ind w:left="210" w:leftChars="100"/>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w:t>
            </w: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78277E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（1）采购部门：招标采购中心</w:t>
            </w:r>
          </w:p>
          <w:p w14:paraId="0618E8EC">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丁</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lang w:val="en-US" w:eastAsia="zh-CN"/>
              </w:rPr>
              <w:t>87393463</w:t>
            </w:r>
          </w:p>
          <w:p w14:paraId="64ABCF4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（2）归口部门：医学信息中心</w:t>
            </w:r>
          </w:p>
          <w:p w14:paraId="66AD8B09">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游</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lang w:val="en-US" w:eastAsia="zh-CN"/>
              </w:rPr>
              <w:t>87393250</w:t>
            </w:r>
          </w:p>
          <w:p w14:paraId="2699BB77">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（3）监督部门：审计部</w:t>
            </w:r>
          </w:p>
          <w:p w14:paraId="509376EE">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联系方式：028-87394709</w:t>
            </w:r>
          </w:p>
          <w:p w14:paraId="0E7FA11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192583767"/>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608060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供应商应保证采购文件中所写明的法定代表人或委托代理人的联系方式（手机或邮箱）的畅通，并确保其具备澄清、说明或者更正及在我单位使用的电子化招采平台上进行操作等条件（在接到通知后的在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lang w:val="en-US" w:eastAsia="zh-CN"/>
              </w:rPr>
              <w:t>谈判小组</w:t>
            </w:r>
            <w:r>
              <w:rPr>
                <w:rFonts w:ascii="Times New Roman" w:hAnsi="Times New Roman" w:eastAsia="仿宋" w:cs="Times New Roman"/>
                <w:sz w:val="22"/>
              </w:rPr>
              <w:t>规定时间内未回复做无效处理）。</w:t>
            </w:r>
          </w:p>
          <w:p w14:paraId="031BFB27">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（2）谈判过程中，供应商进行二轮报价或多轮报价且次轮报价不得高于上轮报价，以供应商的最终报价作为有效报价参与谈判。</w:t>
            </w:r>
          </w:p>
          <w:p w14:paraId="3E57DDD1">
            <w:pPr>
              <w:snapToGrid w:val="0"/>
              <w:spacing w:line="360" w:lineRule="auto"/>
              <w:ind w:left="210" w:leftChars="100"/>
              <w:contextualSpacing/>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评审小组</w:t>
            </w:r>
            <w:r>
              <w:rPr>
                <w:rFonts w:ascii="Times New Roman" w:hAnsi="Times New Roman" w:eastAsia="仿宋" w:cs="Times New Roman"/>
                <w:sz w:val="22"/>
              </w:rPr>
              <w:t>要求供应商的澄清、说明或者更正，不得超出采购文件的范围，不得影响供应商公平竞争。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6706" w:type="dxa"/>
            <w:vAlign w:val="center"/>
          </w:tcPr>
          <w:p w14:paraId="2B4778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ascii="Times New Roman" w:hAnsi="Times New Roman" w:eastAsia="仿宋" w:cs="Times New Roman"/>
                <w:sz w:val="22"/>
                <w:szCs w:val="22"/>
              </w:rPr>
              <w:t>。</w:t>
            </w:r>
          </w:p>
          <w:p w14:paraId="24695EB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192583768"/>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6058"/>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3"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8"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0330B538">
            <w:pPr>
              <w:widowControl/>
              <w:jc w:val="left"/>
              <w:rPr>
                <w:rFonts w:ascii="Times New Roman" w:hAnsi="Times New Roman" w:eastAsia="仿宋" w:cs="Times New Roman"/>
                <w:bCs/>
                <w:kern w:val="0"/>
                <w:sz w:val="22"/>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7862BA99">
            <w:pPr>
              <w:jc w:val="left"/>
              <w:rPr>
                <w:rFonts w:ascii="Times New Roman" w:hAnsi="Times New Roman" w:eastAsia="仿宋" w:cs="Times New Roman"/>
                <w:bCs/>
                <w:kern w:val="0"/>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DF8C372">
            <w:pPr>
              <w:jc w:val="center"/>
              <w:rPr>
                <w:rFonts w:ascii="Times New Roman" w:hAnsi="Times New Roman" w:eastAsia="仿宋" w:cs="Times New Roman"/>
                <w:bCs/>
                <w:kern w:val="0"/>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8"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8"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8"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8"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8"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r>
              <w:rPr>
                <w:rFonts w:hint="eastAsia" w:ascii="Times New Roman" w:hAnsi="Times New Roman" w:eastAsia="仿宋" w:cs="Times New Roman"/>
                <w:b/>
                <w:bCs/>
                <w:sz w:val="22"/>
                <w:u w:val="single"/>
                <w:lang w:val="en-US" w:eastAsia="zh-CN"/>
              </w:rPr>
              <w:t xml:space="preserve">无 </w:t>
            </w:r>
          </w:p>
        </w:tc>
        <w:tc>
          <w:tcPr>
            <w:tcW w:w="6058" w:type="dxa"/>
            <w:vAlign w:val="center"/>
          </w:tcPr>
          <w:p w14:paraId="7748C337">
            <w:pPr>
              <w:jc w:val="left"/>
              <w:rPr>
                <w:rFonts w:hint="eastAsia" w:ascii="Times New Roman" w:hAnsi="Times New Roman" w:eastAsia="仿宋" w:cs="Times New Roman"/>
                <w:bCs/>
                <w:kern w:val="0"/>
                <w:sz w:val="22"/>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3D77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0"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的条款（若涉及）</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92583769"/>
      <w:bookmarkStart w:id="14" w:name="_Toc3988"/>
      <w:r>
        <w:rPr>
          <w:rFonts w:ascii="Times New Roman" w:hAnsi="Times New Roman" w:cs="Times New Roman"/>
        </w:rPr>
        <w:t>采购需求</w:t>
      </w:r>
      <w:bookmarkEnd w:id="12"/>
      <w:bookmarkEnd w:id="13"/>
      <w:bookmarkEnd w:id="14"/>
    </w:p>
    <w:p w14:paraId="538AB14B">
      <w:pPr>
        <w:pStyle w:val="8"/>
        <w:numPr>
          <w:ilvl w:val="0"/>
          <w:numId w:val="0"/>
        </w:numPr>
        <w:ind w:firstLine="0" w:firstLineChars="0"/>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本项目拟确定一名供应商提供智慧医院建设-电子发票管理定制化开发服务。</w:t>
      </w:r>
      <w:r>
        <w:rPr>
          <w:rFonts w:hint="eastAsia" w:ascii="仿宋" w:hAnsi="仿宋" w:eastAsia="仿宋" w:cs="仿宋"/>
          <w:sz w:val="24"/>
          <w:szCs w:val="24"/>
        </w:rPr>
        <w:cr/>
      </w:r>
      <w:r>
        <w:rPr>
          <w:rFonts w:hint="eastAsia" w:ascii="仿宋" w:hAnsi="仿宋" w:eastAsia="仿宋" w:cs="仿宋"/>
          <w:b/>
          <w:bCs/>
          <w:sz w:val="24"/>
          <w:szCs w:val="24"/>
        </w:rPr>
        <w:t>二、采购内容</w:t>
      </w:r>
      <w:r>
        <w:rPr>
          <w:rFonts w:hint="eastAsia" w:ascii="仿宋" w:hAnsi="仿宋" w:eastAsia="仿宋" w:cs="仿宋"/>
          <w:sz w:val="24"/>
          <w:szCs w:val="24"/>
        </w:rPr>
        <w:cr/>
      </w:r>
      <w:r>
        <w:rPr>
          <w:rFonts w:hint="eastAsia" w:ascii="仿宋" w:hAnsi="仿宋" w:eastAsia="仿宋" w:cs="仿宋"/>
          <w:b/>
          <w:bCs/>
          <w:sz w:val="24"/>
          <w:szCs w:val="24"/>
          <w:lang w:val="en-US" w:eastAsia="zh-CN"/>
        </w:rPr>
        <w:t>1.采购清单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64"/>
        <w:gridCol w:w="2240"/>
        <w:gridCol w:w="3612"/>
        <w:gridCol w:w="782"/>
        <w:gridCol w:w="799"/>
        <w:gridCol w:w="1650"/>
      </w:tblGrid>
      <w:tr w14:paraId="00A09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center"/>
          </w:tcPr>
          <w:p w14:paraId="430A4CE2">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序号</w:t>
            </w:r>
          </w:p>
        </w:tc>
        <w:tc>
          <w:tcPr>
            <w:tcW w:w="1935" w:type="dxa"/>
            <w:shd w:val="clear" w:color="auto" w:fill="auto"/>
            <w:tcMar>
              <w:top w:w="0" w:type="dxa"/>
              <w:left w:w="105" w:type="dxa"/>
              <w:bottom w:w="0" w:type="dxa"/>
              <w:right w:w="105" w:type="dxa"/>
            </w:tcMar>
            <w:vAlign w:val="center"/>
          </w:tcPr>
          <w:p w14:paraId="1C4355CE">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品名</w:t>
            </w:r>
          </w:p>
        </w:tc>
        <w:tc>
          <w:tcPr>
            <w:tcW w:w="3120" w:type="dxa"/>
            <w:shd w:val="clear" w:color="auto" w:fill="auto"/>
            <w:tcMar>
              <w:top w:w="0" w:type="dxa"/>
              <w:left w:w="105" w:type="dxa"/>
              <w:bottom w:w="0" w:type="dxa"/>
              <w:right w:w="105" w:type="dxa"/>
            </w:tcMar>
            <w:vAlign w:val="center"/>
          </w:tcPr>
          <w:p w14:paraId="29FA2ED6">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详细描述</w:t>
            </w:r>
          </w:p>
        </w:tc>
        <w:tc>
          <w:tcPr>
            <w:tcW w:w="675" w:type="dxa"/>
            <w:shd w:val="clear" w:color="auto" w:fill="auto"/>
            <w:tcMar>
              <w:top w:w="0" w:type="dxa"/>
              <w:left w:w="105" w:type="dxa"/>
              <w:bottom w:w="0" w:type="dxa"/>
              <w:right w:w="105" w:type="dxa"/>
            </w:tcMar>
            <w:vAlign w:val="center"/>
          </w:tcPr>
          <w:p w14:paraId="477F99A6">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数量</w:t>
            </w:r>
          </w:p>
        </w:tc>
        <w:tc>
          <w:tcPr>
            <w:tcW w:w="690" w:type="dxa"/>
            <w:shd w:val="clear" w:color="auto" w:fill="auto"/>
            <w:tcMar>
              <w:top w:w="0" w:type="dxa"/>
              <w:left w:w="105" w:type="dxa"/>
              <w:bottom w:w="0" w:type="dxa"/>
              <w:right w:w="105" w:type="dxa"/>
            </w:tcMar>
            <w:vAlign w:val="center"/>
          </w:tcPr>
          <w:p w14:paraId="1D35C9FE">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单位</w:t>
            </w:r>
          </w:p>
        </w:tc>
        <w:tc>
          <w:tcPr>
            <w:tcW w:w="1425" w:type="dxa"/>
            <w:shd w:val="clear" w:color="auto" w:fill="auto"/>
            <w:tcMar>
              <w:top w:w="0" w:type="dxa"/>
              <w:left w:w="105" w:type="dxa"/>
              <w:bottom w:w="0" w:type="dxa"/>
              <w:right w:w="105" w:type="dxa"/>
            </w:tcMar>
            <w:vAlign w:val="center"/>
          </w:tcPr>
          <w:p w14:paraId="08B4354C">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限高单价（元）</w:t>
            </w:r>
          </w:p>
        </w:tc>
      </w:tr>
      <w:tr w14:paraId="5D816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center"/>
          </w:tcPr>
          <w:p w14:paraId="0B505244">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1935" w:type="dxa"/>
            <w:shd w:val="clear" w:color="auto" w:fill="auto"/>
            <w:tcMar>
              <w:top w:w="0" w:type="dxa"/>
              <w:left w:w="105" w:type="dxa"/>
              <w:bottom w:w="0" w:type="dxa"/>
              <w:right w:w="105" w:type="dxa"/>
            </w:tcMar>
            <w:vAlign w:val="center"/>
          </w:tcPr>
          <w:p w14:paraId="34BA2936">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发票池管理平台</w:t>
            </w:r>
          </w:p>
        </w:tc>
        <w:tc>
          <w:tcPr>
            <w:tcW w:w="3120" w:type="dxa"/>
            <w:shd w:val="clear" w:color="auto" w:fill="auto"/>
            <w:tcMar>
              <w:top w:w="0" w:type="dxa"/>
              <w:left w:w="105" w:type="dxa"/>
              <w:bottom w:w="0" w:type="dxa"/>
              <w:right w:w="105" w:type="dxa"/>
            </w:tcMar>
            <w:vAlign w:val="center"/>
          </w:tcPr>
          <w:p w14:paraId="6B70C5C6">
            <w:pPr>
              <w:keepNext w:val="0"/>
              <w:keepLines w:val="0"/>
              <w:widowControl/>
              <w:suppressLineNumbers w:val="0"/>
              <w:spacing w:before="0" w:beforeAutospacing="1" w:after="15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发票池管理平台是用于集中管理发票的数字化工具，通过与税务系统直连及智能化处理，完成发票的税务入账确认，实现发票的自动获取、分类存储、员工认领及报销流程优化，助力医院提升发票管理水平，防范内控风险。</w:t>
            </w:r>
          </w:p>
        </w:tc>
        <w:tc>
          <w:tcPr>
            <w:tcW w:w="675" w:type="dxa"/>
            <w:shd w:val="clear" w:color="auto" w:fill="auto"/>
            <w:tcMar>
              <w:top w:w="0" w:type="dxa"/>
              <w:left w:w="105" w:type="dxa"/>
              <w:bottom w:w="0" w:type="dxa"/>
              <w:right w:w="105" w:type="dxa"/>
            </w:tcMar>
            <w:vAlign w:val="center"/>
          </w:tcPr>
          <w:p w14:paraId="72391D8B">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690" w:type="dxa"/>
            <w:shd w:val="clear" w:color="auto" w:fill="auto"/>
            <w:tcMar>
              <w:top w:w="0" w:type="dxa"/>
              <w:left w:w="105" w:type="dxa"/>
              <w:bottom w:w="0" w:type="dxa"/>
              <w:right w:w="105" w:type="dxa"/>
            </w:tcMar>
            <w:vAlign w:val="center"/>
          </w:tcPr>
          <w:p w14:paraId="4789B72F">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套</w:t>
            </w:r>
          </w:p>
        </w:tc>
        <w:tc>
          <w:tcPr>
            <w:tcW w:w="1425" w:type="dxa"/>
            <w:shd w:val="clear" w:color="auto" w:fill="auto"/>
            <w:tcMar>
              <w:top w:w="0" w:type="dxa"/>
              <w:left w:w="105" w:type="dxa"/>
              <w:bottom w:w="0" w:type="dxa"/>
              <w:right w:w="105" w:type="dxa"/>
            </w:tcMar>
            <w:vAlign w:val="center"/>
          </w:tcPr>
          <w:p w14:paraId="39CB0707">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75000</w:t>
            </w:r>
          </w:p>
        </w:tc>
      </w:tr>
      <w:tr w14:paraId="5CCAC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60" w:type="dxa"/>
            <w:shd w:val="clear" w:color="auto" w:fill="auto"/>
            <w:tcMar>
              <w:top w:w="0" w:type="dxa"/>
              <w:left w:w="105" w:type="dxa"/>
              <w:bottom w:w="0" w:type="dxa"/>
              <w:right w:w="105" w:type="dxa"/>
            </w:tcMar>
            <w:vAlign w:val="center"/>
          </w:tcPr>
          <w:p w14:paraId="4745ED8E">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w:t>
            </w:r>
          </w:p>
        </w:tc>
        <w:tc>
          <w:tcPr>
            <w:tcW w:w="1935" w:type="dxa"/>
            <w:shd w:val="clear" w:color="auto" w:fill="auto"/>
            <w:tcMar>
              <w:top w:w="0" w:type="dxa"/>
              <w:left w:w="105" w:type="dxa"/>
              <w:bottom w:w="0" w:type="dxa"/>
              <w:right w:w="105" w:type="dxa"/>
            </w:tcMar>
            <w:vAlign w:val="center"/>
          </w:tcPr>
          <w:p w14:paraId="611DEBAE">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发票核验及接口年费</w:t>
            </w:r>
          </w:p>
        </w:tc>
        <w:tc>
          <w:tcPr>
            <w:tcW w:w="3120" w:type="dxa"/>
            <w:shd w:val="clear" w:color="auto" w:fill="auto"/>
            <w:tcMar>
              <w:top w:w="0" w:type="dxa"/>
              <w:left w:w="105" w:type="dxa"/>
              <w:bottom w:w="0" w:type="dxa"/>
              <w:right w:w="105" w:type="dxa"/>
            </w:tcMar>
            <w:vAlign w:val="center"/>
          </w:tcPr>
          <w:p w14:paraId="61E33053">
            <w:pPr>
              <w:keepNext w:val="0"/>
              <w:keepLines w:val="0"/>
              <w:widowControl/>
              <w:suppressLineNumbers w:val="0"/>
              <w:spacing w:before="0" w:beforeAutospacing="1" w:after="150" w:afterAutospacing="0"/>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18个月的全链路接口、发票验真查重、发票税务入账费用。</w:t>
            </w:r>
          </w:p>
        </w:tc>
        <w:tc>
          <w:tcPr>
            <w:tcW w:w="675" w:type="dxa"/>
            <w:shd w:val="clear" w:color="auto" w:fill="auto"/>
            <w:tcMar>
              <w:top w:w="0" w:type="dxa"/>
              <w:left w:w="105" w:type="dxa"/>
              <w:bottom w:w="0" w:type="dxa"/>
              <w:right w:w="105" w:type="dxa"/>
            </w:tcMar>
            <w:vAlign w:val="center"/>
          </w:tcPr>
          <w:p w14:paraId="06A9056C">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690" w:type="dxa"/>
            <w:shd w:val="clear" w:color="auto" w:fill="auto"/>
            <w:tcMar>
              <w:top w:w="0" w:type="dxa"/>
              <w:left w:w="105" w:type="dxa"/>
              <w:bottom w:w="0" w:type="dxa"/>
              <w:right w:w="105" w:type="dxa"/>
            </w:tcMar>
            <w:vAlign w:val="center"/>
          </w:tcPr>
          <w:p w14:paraId="080555EA">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项</w:t>
            </w:r>
          </w:p>
        </w:tc>
        <w:tc>
          <w:tcPr>
            <w:tcW w:w="1425" w:type="dxa"/>
            <w:shd w:val="clear" w:color="auto" w:fill="auto"/>
            <w:tcMar>
              <w:top w:w="0" w:type="dxa"/>
              <w:left w:w="105" w:type="dxa"/>
              <w:bottom w:w="0" w:type="dxa"/>
              <w:right w:w="105" w:type="dxa"/>
            </w:tcMar>
            <w:vAlign w:val="center"/>
          </w:tcPr>
          <w:p w14:paraId="22F1D144">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20000</w:t>
            </w:r>
          </w:p>
        </w:tc>
      </w:tr>
    </w:tbl>
    <w:p w14:paraId="6232B5B2">
      <w:pPr>
        <w:pStyle w:val="8"/>
        <w:keepNext w:val="0"/>
        <w:keepLines w:val="0"/>
        <w:pageBreakBefore w:val="0"/>
        <w:numPr>
          <w:ilvl w:val="0"/>
          <w:numId w:val="0"/>
        </w:numPr>
        <w:kinsoku/>
        <w:wordWrap/>
        <w:overflowPunct/>
        <w:topLinePunct w:val="0"/>
        <w:autoSpaceDN/>
        <w:bidi w:val="0"/>
        <w:adjustRightInd w:val="0"/>
        <w:snapToGrid w:val="0"/>
        <w:spacing w:before="0" w:beforeAutospacing="0" w:after="0" w:afterAutospacing="0" w:line="360" w:lineRule="auto"/>
        <w:ind w:firstLine="0" w:firstLine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w:t>
      </w:r>
      <w:r>
        <w:rPr>
          <w:rStyle w:val="21"/>
          <w:rFonts w:hint="eastAsia" w:ascii="仿宋" w:hAnsi="仿宋" w:eastAsia="仿宋" w:cs="仿宋"/>
          <w:b/>
          <w:bCs/>
          <w:kern w:val="2"/>
          <w:sz w:val="24"/>
          <w:szCs w:val="24"/>
        </w:rPr>
        <w:t>接口清单</w:t>
      </w:r>
    </w:p>
    <w:p w14:paraId="13D8E1DD">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360" w:lineRule="auto"/>
        <w:ind w:left="0" w:right="0" w:firstLine="42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本项目实施期间，凡涉及与东软集团股份有限公司（以下简称“东软”）既有系统对接，所产生的费用由采购人承担</w:t>
      </w:r>
      <w:r>
        <w:rPr>
          <w:rFonts w:hint="eastAsia" w:ascii="仿宋" w:hAnsi="仿宋" w:eastAsia="仿宋" w:cs="仿宋"/>
          <w:kern w:val="2"/>
          <w:sz w:val="24"/>
          <w:szCs w:val="24"/>
          <w:u w:val="none"/>
          <w:lang w:val="en-US" w:eastAsia="zh-CN" w:bidi="ar"/>
        </w:rPr>
        <w:t>；其余非东软系统对接产生的费用，则由成交供应商承担，涵盖设备、包装、运输、安装、调试、税费及可能衍生的各项支出，均包含在本次采购费用中，采购人不再支付成交金额以外的任何款项。对接过程中，成交供应商应与采购人除“东软集团股份有限公司”外现有软件供应商友好协商，并于协商前向采购人提交接口方案清单，对接所产生费用的限高价为本项目合同总价的10%。</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47"/>
        <w:gridCol w:w="1932"/>
        <w:gridCol w:w="3338"/>
        <w:gridCol w:w="3730"/>
      </w:tblGrid>
      <w:tr w14:paraId="01D1E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7" w:type="dxa"/>
            <w:shd w:val="clear" w:color="auto" w:fill="auto"/>
            <w:tcMar>
              <w:top w:w="0" w:type="dxa"/>
              <w:left w:w="105" w:type="dxa"/>
              <w:bottom w:w="0" w:type="dxa"/>
              <w:right w:w="105" w:type="dxa"/>
            </w:tcMar>
            <w:vAlign w:val="top"/>
          </w:tcPr>
          <w:p w14:paraId="7B92CD04">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序号</w:t>
            </w:r>
          </w:p>
        </w:tc>
        <w:tc>
          <w:tcPr>
            <w:tcW w:w="1932" w:type="dxa"/>
            <w:shd w:val="clear" w:color="auto" w:fill="auto"/>
            <w:tcMar>
              <w:top w:w="0" w:type="dxa"/>
              <w:left w:w="105" w:type="dxa"/>
              <w:bottom w:w="0" w:type="dxa"/>
              <w:right w:w="105" w:type="dxa"/>
            </w:tcMar>
            <w:vAlign w:val="top"/>
          </w:tcPr>
          <w:p w14:paraId="1AFBD1C4">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软硬件</w:t>
            </w:r>
          </w:p>
        </w:tc>
        <w:tc>
          <w:tcPr>
            <w:tcW w:w="3338" w:type="dxa"/>
            <w:shd w:val="clear" w:color="auto" w:fill="auto"/>
            <w:tcMar>
              <w:top w:w="0" w:type="dxa"/>
              <w:left w:w="105" w:type="dxa"/>
              <w:bottom w:w="0" w:type="dxa"/>
              <w:right w:w="105" w:type="dxa"/>
            </w:tcMar>
            <w:vAlign w:val="top"/>
          </w:tcPr>
          <w:p w14:paraId="3509D6AE">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生产厂商（全称）</w:t>
            </w:r>
          </w:p>
        </w:tc>
        <w:tc>
          <w:tcPr>
            <w:tcW w:w="3730" w:type="dxa"/>
            <w:shd w:val="clear" w:color="auto" w:fill="auto"/>
            <w:tcMar>
              <w:top w:w="0" w:type="dxa"/>
              <w:left w:w="105" w:type="dxa"/>
              <w:bottom w:w="0" w:type="dxa"/>
              <w:right w:w="105" w:type="dxa"/>
            </w:tcMar>
            <w:vAlign w:val="top"/>
          </w:tcPr>
          <w:p w14:paraId="03C50864">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对接描述</w:t>
            </w:r>
          </w:p>
        </w:tc>
      </w:tr>
      <w:tr w14:paraId="75D5B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7" w:type="dxa"/>
            <w:shd w:val="clear" w:color="auto" w:fill="auto"/>
            <w:tcMar>
              <w:top w:w="0" w:type="dxa"/>
              <w:left w:w="105" w:type="dxa"/>
              <w:bottom w:w="0" w:type="dxa"/>
              <w:right w:w="105" w:type="dxa"/>
            </w:tcMar>
            <w:vAlign w:val="center"/>
          </w:tcPr>
          <w:p w14:paraId="68DE8D45">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1932" w:type="dxa"/>
            <w:shd w:val="clear" w:color="auto" w:fill="auto"/>
            <w:tcMar>
              <w:top w:w="0" w:type="dxa"/>
              <w:left w:w="105" w:type="dxa"/>
              <w:bottom w:w="0" w:type="dxa"/>
              <w:right w:w="105" w:type="dxa"/>
            </w:tcMar>
            <w:vAlign w:val="center"/>
          </w:tcPr>
          <w:p w14:paraId="5CA6AAAB">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试剂管理系统</w:t>
            </w:r>
          </w:p>
        </w:tc>
        <w:tc>
          <w:tcPr>
            <w:tcW w:w="3338" w:type="dxa"/>
            <w:shd w:val="clear" w:color="auto" w:fill="auto"/>
            <w:tcMar>
              <w:top w:w="0" w:type="dxa"/>
              <w:left w:w="105" w:type="dxa"/>
              <w:bottom w:w="0" w:type="dxa"/>
              <w:right w:w="105" w:type="dxa"/>
            </w:tcMar>
            <w:vAlign w:val="center"/>
          </w:tcPr>
          <w:p w14:paraId="4CD1F909">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四川品亿科技有限公司</w:t>
            </w:r>
          </w:p>
        </w:tc>
        <w:tc>
          <w:tcPr>
            <w:tcW w:w="3730" w:type="dxa"/>
            <w:shd w:val="clear" w:color="auto" w:fill="auto"/>
            <w:tcMar>
              <w:top w:w="0" w:type="dxa"/>
              <w:left w:w="105" w:type="dxa"/>
              <w:bottom w:w="0" w:type="dxa"/>
              <w:right w:w="105" w:type="dxa"/>
            </w:tcMar>
            <w:vAlign w:val="center"/>
          </w:tcPr>
          <w:p w14:paraId="4F3478D4">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试剂发票信息对接验真验重</w:t>
            </w:r>
          </w:p>
        </w:tc>
      </w:tr>
      <w:tr w14:paraId="49C1E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47" w:type="dxa"/>
            <w:shd w:val="clear" w:color="auto" w:fill="auto"/>
            <w:tcMar>
              <w:top w:w="0" w:type="dxa"/>
              <w:left w:w="105" w:type="dxa"/>
              <w:bottom w:w="0" w:type="dxa"/>
              <w:right w:w="105" w:type="dxa"/>
            </w:tcMar>
            <w:vAlign w:val="center"/>
          </w:tcPr>
          <w:p w14:paraId="56E8A5EE">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w:t>
            </w:r>
          </w:p>
        </w:tc>
        <w:tc>
          <w:tcPr>
            <w:tcW w:w="1932" w:type="dxa"/>
            <w:shd w:val="clear" w:color="auto" w:fill="auto"/>
            <w:tcMar>
              <w:top w:w="0" w:type="dxa"/>
              <w:left w:w="105" w:type="dxa"/>
              <w:bottom w:w="0" w:type="dxa"/>
              <w:right w:w="105" w:type="dxa"/>
            </w:tcMar>
            <w:vAlign w:val="center"/>
          </w:tcPr>
          <w:p w14:paraId="48F2B5B0">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物资管理系统</w:t>
            </w:r>
          </w:p>
        </w:tc>
        <w:tc>
          <w:tcPr>
            <w:tcW w:w="3338" w:type="dxa"/>
            <w:shd w:val="clear" w:color="auto" w:fill="auto"/>
            <w:tcMar>
              <w:top w:w="0" w:type="dxa"/>
              <w:left w:w="105" w:type="dxa"/>
              <w:bottom w:w="0" w:type="dxa"/>
              <w:right w:w="105" w:type="dxa"/>
            </w:tcMar>
            <w:vAlign w:val="center"/>
          </w:tcPr>
          <w:p w14:paraId="6825FE3F">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杭州图特信息科技有限公司</w:t>
            </w:r>
          </w:p>
        </w:tc>
        <w:tc>
          <w:tcPr>
            <w:tcW w:w="3730" w:type="dxa"/>
            <w:shd w:val="clear" w:color="auto" w:fill="auto"/>
            <w:tcMar>
              <w:top w:w="0" w:type="dxa"/>
              <w:left w:w="105" w:type="dxa"/>
              <w:bottom w:w="0" w:type="dxa"/>
              <w:right w:w="105" w:type="dxa"/>
            </w:tcMar>
            <w:vAlign w:val="center"/>
          </w:tcPr>
          <w:p w14:paraId="19AB0D43">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物资发票信息对接验真验重</w:t>
            </w:r>
          </w:p>
        </w:tc>
      </w:tr>
      <w:tr w14:paraId="44D73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47" w:type="dxa"/>
            <w:shd w:val="clear" w:color="auto" w:fill="auto"/>
            <w:tcMar>
              <w:top w:w="0" w:type="dxa"/>
              <w:left w:w="105" w:type="dxa"/>
              <w:bottom w:w="0" w:type="dxa"/>
              <w:right w:w="105" w:type="dxa"/>
            </w:tcMar>
            <w:vAlign w:val="center"/>
          </w:tcPr>
          <w:p w14:paraId="32DA7B33">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3</w:t>
            </w:r>
          </w:p>
        </w:tc>
        <w:tc>
          <w:tcPr>
            <w:tcW w:w="1932" w:type="dxa"/>
            <w:shd w:val="clear" w:color="auto" w:fill="auto"/>
            <w:tcMar>
              <w:top w:w="0" w:type="dxa"/>
              <w:left w:w="105" w:type="dxa"/>
              <w:bottom w:w="0" w:type="dxa"/>
              <w:right w:w="105" w:type="dxa"/>
            </w:tcMar>
            <w:vAlign w:val="center"/>
          </w:tcPr>
          <w:p w14:paraId="278AC3FF">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药品管理系统</w:t>
            </w:r>
          </w:p>
        </w:tc>
        <w:tc>
          <w:tcPr>
            <w:tcW w:w="3338" w:type="dxa"/>
            <w:shd w:val="clear" w:color="auto" w:fill="auto"/>
            <w:tcMar>
              <w:top w:w="0" w:type="dxa"/>
              <w:left w:w="105" w:type="dxa"/>
              <w:bottom w:w="0" w:type="dxa"/>
              <w:right w:w="105" w:type="dxa"/>
            </w:tcMar>
            <w:vAlign w:val="center"/>
          </w:tcPr>
          <w:p w14:paraId="7F82B36E">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东软集团股份有限公司</w:t>
            </w:r>
          </w:p>
        </w:tc>
        <w:tc>
          <w:tcPr>
            <w:tcW w:w="3730" w:type="dxa"/>
            <w:shd w:val="clear" w:color="auto" w:fill="auto"/>
            <w:tcMar>
              <w:top w:w="0" w:type="dxa"/>
              <w:left w:w="105" w:type="dxa"/>
              <w:bottom w:w="0" w:type="dxa"/>
              <w:right w:w="105" w:type="dxa"/>
            </w:tcMar>
            <w:vAlign w:val="center"/>
          </w:tcPr>
          <w:p w14:paraId="78AD791C">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药品发票信息对接验真验重</w:t>
            </w:r>
          </w:p>
        </w:tc>
      </w:tr>
      <w:tr w14:paraId="688F5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47" w:type="dxa"/>
            <w:shd w:val="clear" w:color="auto" w:fill="auto"/>
            <w:tcMar>
              <w:top w:w="0" w:type="dxa"/>
              <w:left w:w="105" w:type="dxa"/>
              <w:bottom w:w="0" w:type="dxa"/>
              <w:right w:w="105" w:type="dxa"/>
            </w:tcMar>
            <w:vAlign w:val="center"/>
          </w:tcPr>
          <w:p w14:paraId="14F34198">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4</w:t>
            </w:r>
          </w:p>
        </w:tc>
        <w:tc>
          <w:tcPr>
            <w:tcW w:w="1932" w:type="dxa"/>
            <w:shd w:val="clear" w:color="auto" w:fill="auto"/>
            <w:tcMar>
              <w:top w:w="0" w:type="dxa"/>
              <w:left w:w="105" w:type="dxa"/>
              <w:bottom w:w="0" w:type="dxa"/>
              <w:right w:w="105" w:type="dxa"/>
            </w:tcMar>
            <w:vAlign w:val="center"/>
          </w:tcPr>
          <w:p w14:paraId="6DE56C21">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国税系统</w:t>
            </w:r>
          </w:p>
        </w:tc>
        <w:tc>
          <w:tcPr>
            <w:tcW w:w="3338" w:type="dxa"/>
            <w:shd w:val="clear" w:color="auto" w:fill="auto"/>
            <w:tcMar>
              <w:top w:w="0" w:type="dxa"/>
              <w:left w:w="105" w:type="dxa"/>
              <w:bottom w:w="0" w:type="dxa"/>
              <w:right w:w="105" w:type="dxa"/>
            </w:tcMar>
            <w:vAlign w:val="center"/>
          </w:tcPr>
          <w:p w14:paraId="746F6949">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国家税务总局</w:t>
            </w:r>
          </w:p>
        </w:tc>
        <w:tc>
          <w:tcPr>
            <w:tcW w:w="3730" w:type="dxa"/>
            <w:shd w:val="clear" w:color="auto" w:fill="auto"/>
            <w:tcMar>
              <w:top w:w="0" w:type="dxa"/>
              <w:left w:w="105" w:type="dxa"/>
              <w:bottom w:w="0" w:type="dxa"/>
              <w:right w:w="105" w:type="dxa"/>
            </w:tcMar>
            <w:vAlign w:val="center"/>
          </w:tcPr>
          <w:p w14:paraId="7AC6B5BD">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税务发票验真；税务发票核销入账</w:t>
            </w:r>
          </w:p>
        </w:tc>
      </w:tr>
    </w:tbl>
    <w:p w14:paraId="47BAA638">
      <w:pPr>
        <w:pStyle w:val="8"/>
        <w:numPr>
          <w:ilvl w:val="0"/>
          <w:numId w:val="0"/>
        </w:numPr>
        <w:ind w:firstLine="0" w:firstLineChars="0"/>
        <w:rPr>
          <w:rFonts w:hint="default" w:ascii="仿宋" w:hAnsi="仿宋" w:eastAsia="仿宋" w:cs="仿宋"/>
          <w:b/>
          <w:bCs/>
          <w:sz w:val="24"/>
          <w:szCs w:val="24"/>
          <w:lang w:val="en-US" w:eastAsia="zh-CN"/>
        </w:rPr>
      </w:pPr>
      <w:r>
        <w:rPr>
          <w:rFonts w:hint="eastAsia" w:ascii="仿宋" w:hAnsi="仿宋" w:eastAsia="仿宋" w:cs="仿宋"/>
          <w:b/>
          <w:bCs/>
          <w:sz w:val="24"/>
          <w:szCs w:val="24"/>
        </w:rPr>
        <w:t>三、技术、服务要求</w:t>
      </w:r>
      <w:r>
        <w:rPr>
          <w:rFonts w:hint="eastAsia" w:ascii="仿宋" w:hAnsi="仿宋" w:eastAsia="仿宋" w:cs="仿宋"/>
          <w:b/>
          <w:bCs/>
          <w:sz w:val="24"/>
          <w:szCs w:val="24"/>
        </w:rPr>
        <w:cr/>
      </w:r>
      <w:r>
        <w:rPr>
          <w:rFonts w:hint="eastAsia" w:ascii="仿宋" w:hAnsi="仿宋" w:eastAsia="仿宋" w:cs="仿宋"/>
          <w:b/>
          <w:bCs/>
          <w:sz w:val="24"/>
          <w:szCs w:val="24"/>
          <w:lang w:val="en-US" w:eastAsia="zh-CN"/>
        </w:rPr>
        <w:t>1.技术要求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9"/>
        <w:gridCol w:w="1789"/>
        <w:gridCol w:w="1424"/>
        <w:gridCol w:w="5905"/>
      </w:tblGrid>
      <w:tr w14:paraId="730BB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630" w:type="dxa"/>
            <w:shd w:val="clear" w:color="auto" w:fill="auto"/>
            <w:tcMar>
              <w:top w:w="0" w:type="dxa"/>
              <w:left w:w="105" w:type="dxa"/>
              <w:bottom w:w="0" w:type="dxa"/>
              <w:right w:w="105" w:type="dxa"/>
            </w:tcMar>
            <w:vAlign w:val="top"/>
          </w:tcPr>
          <w:p w14:paraId="4908878B">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序号</w:t>
            </w:r>
          </w:p>
        </w:tc>
        <w:tc>
          <w:tcPr>
            <w:tcW w:w="1545" w:type="dxa"/>
            <w:shd w:val="clear" w:color="auto" w:fill="auto"/>
            <w:tcMar>
              <w:top w:w="0" w:type="dxa"/>
              <w:left w:w="105" w:type="dxa"/>
              <w:bottom w:w="0" w:type="dxa"/>
              <w:right w:w="105" w:type="dxa"/>
            </w:tcMar>
            <w:vAlign w:val="top"/>
          </w:tcPr>
          <w:p w14:paraId="4236798D">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系统</w:t>
            </w:r>
          </w:p>
        </w:tc>
        <w:tc>
          <w:tcPr>
            <w:tcW w:w="1230" w:type="dxa"/>
            <w:shd w:val="clear" w:color="auto" w:fill="auto"/>
            <w:tcMar>
              <w:top w:w="0" w:type="dxa"/>
              <w:left w:w="105" w:type="dxa"/>
              <w:bottom w:w="0" w:type="dxa"/>
              <w:right w:w="105" w:type="dxa"/>
            </w:tcMar>
            <w:vAlign w:val="top"/>
          </w:tcPr>
          <w:p w14:paraId="5C90F7E0">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模块</w:t>
            </w:r>
          </w:p>
        </w:tc>
        <w:tc>
          <w:tcPr>
            <w:tcW w:w="5100" w:type="dxa"/>
            <w:shd w:val="clear" w:color="auto" w:fill="auto"/>
            <w:tcMar>
              <w:top w:w="0" w:type="dxa"/>
              <w:left w:w="105" w:type="dxa"/>
              <w:bottom w:w="0" w:type="dxa"/>
              <w:right w:w="105" w:type="dxa"/>
            </w:tcMar>
            <w:vAlign w:val="top"/>
          </w:tcPr>
          <w:p w14:paraId="1D827409">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参数</w:t>
            </w:r>
          </w:p>
        </w:tc>
      </w:tr>
      <w:tr w14:paraId="3EC85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2BF762AE">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1545" w:type="dxa"/>
            <w:shd w:val="clear" w:color="auto" w:fill="auto"/>
            <w:tcMar>
              <w:top w:w="0" w:type="dxa"/>
              <w:left w:w="105" w:type="dxa"/>
              <w:bottom w:w="0" w:type="dxa"/>
              <w:right w:w="105" w:type="dxa"/>
            </w:tcMar>
            <w:vAlign w:val="center"/>
          </w:tcPr>
          <w:p w14:paraId="039A0E00">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电子发票管理（发票池管理平台）</w:t>
            </w:r>
          </w:p>
        </w:tc>
        <w:tc>
          <w:tcPr>
            <w:tcW w:w="1230" w:type="dxa"/>
            <w:shd w:val="clear" w:color="auto" w:fill="auto"/>
            <w:tcMar>
              <w:top w:w="0" w:type="dxa"/>
              <w:left w:w="105" w:type="dxa"/>
              <w:bottom w:w="0" w:type="dxa"/>
              <w:right w:w="105" w:type="dxa"/>
            </w:tcMar>
            <w:vAlign w:val="center"/>
          </w:tcPr>
          <w:p w14:paraId="6A2BE9F0">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发票池管理系统</w:t>
            </w:r>
          </w:p>
        </w:tc>
        <w:tc>
          <w:tcPr>
            <w:tcW w:w="5100" w:type="dxa"/>
            <w:shd w:val="clear" w:color="auto" w:fill="auto"/>
            <w:tcMar>
              <w:top w:w="0" w:type="dxa"/>
              <w:left w:w="105" w:type="dxa"/>
              <w:bottom w:w="0" w:type="dxa"/>
              <w:right w:w="105" w:type="dxa"/>
            </w:tcMar>
            <w:vAlign w:val="top"/>
          </w:tcPr>
          <w:p w14:paraId="404E31B0">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1.发票入账管理</w:t>
            </w:r>
          </w:p>
          <w:p w14:paraId="4C7AF6ED">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1.1通过接口实时获取发票池数据，展示在【企业发票池】功能中，用户可上传图片及PDF，通过识别到的发票号从企业发票池获取票面数据及当日发票状态，可用于对公支付（如采购款项）及对私报销（如差旅、办公费用）场景。</w:t>
            </w:r>
          </w:p>
          <w:p w14:paraId="7027A9B6">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1.2依托于接口实时交互能力，在发票完成发票验伪、查重后，可将发票用于对公、对私报账，在该发票使用后，发票的状态变更为【报账中】的同时，实时将发票的状态回写税务电票平台，电票平台中发票变为【已入账】状态，防止发票报账后再被作废、红冲的风险。</w:t>
            </w:r>
          </w:p>
          <w:p w14:paraId="66FAD85E">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1.3系统除HPR 回传的税务电子发票平台入账标记外，针对接口拉取的全量发票数据，会自动同步发票当日最新状态，完整覆盖各类状态：正常、已作废、红冲，让发票在报账中可控，红冲作废的发票无法进行后续报账业务。</w:t>
            </w:r>
          </w:p>
          <w:p w14:paraId="0CA6E49D">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2.自动获取发票</w:t>
            </w:r>
          </w:p>
          <w:p w14:paraId="52456AAD">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2.1在发票自动化获取层面，依托标准化接口与税务数字账户等官方数据源实现深度对接，通过单位抬头识别规则（含统一社会信用代码、单位全称等唯一性标识），可自动拉取医院对公账户及相关业务场景下开具的全部电子发票数据，无需人工手动上传导入，避免遗漏或重复录入。</w:t>
            </w:r>
          </w:p>
          <w:p w14:paraId="0E148398">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2.2 发票池补齐税务信息：针对拍照、图片上传等发票上传方式易出现关键字段缺失、数据残缺的问题，发票池统一归集全维度发票结构化税务数据，涵盖购销双方完整主体信息，包括购方与销方名称、纳税人识别号、地址电话、开户行及账号；同步留存发票代码、纸质发票号码、数电票号码、开具日期、发票类型、红票/正常票标识、作废状态等票据核心标识，完整采集不含税金额、含税总金额、税率、税额、价税合计，以及商品税收分类编码、商品名称规格、数量、单价等明细计税信息；针对机票、火车票等交通类票据，额外采集座舱等级、出发及到达地点、出行日期等专属关键字段。系统将全套标准化税务结构化数据与发票原始文件绑定归档，构建“原件文件+完整税务电子台账”一体化档案，满足会计电子档案归档管理规范前置要求。</w:t>
            </w:r>
          </w:p>
          <w:p w14:paraId="025F9599">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2.3版式文件管理: 在发票数字化采集环节，系统通过集成接口与版式文件下载通道，实现多源发票数据的批量核验与版式文件批量获取，将每一张发票都能下载到原始的版式文件，格式包含PDF、OFD、XML，存储在医院的服务器中，该文件的格式是符合国家电子档案存储的要求，也为医院的无纸化、电子凭证入账标准化打好基础。</w:t>
            </w:r>
          </w:p>
          <w:p w14:paraId="7E3F2F59">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3.发票存储管理</w:t>
            </w:r>
          </w:p>
          <w:p w14:paraId="29375863">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3.1支持对全量电子发票进行结构化存储，可自动提取发票号码、发票代码、开票日期、开票金额、购销方信息等核心字段，建立统一的发票信息索引目录。</w:t>
            </w:r>
          </w:p>
          <w:p w14:paraId="2F7A3400">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3.2支持按开票日期、发票类型、开票金额等多维度条件进行快速检索查询，支持批量导出发票信息及电子原文件。</w:t>
            </w:r>
          </w:p>
          <w:p w14:paraId="0C0A1D76">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4.发票验真验重</w:t>
            </w:r>
          </w:p>
          <w:p w14:paraId="7A4565E9">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4.1对接国税系统实现发票自动验真，实时验证发票信息的真实性，对异常发票自动发起预警提醒。</w:t>
            </w:r>
          </w:p>
          <w:p w14:paraId="0811E7D8">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4.2支持全发票池范围内的重复报销校验，发现重复录入的发票自动标记预警，避免重复报账。</w:t>
            </w:r>
          </w:p>
          <w:p w14:paraId="68AC6C1D">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4.3系统除支持发票四要素（发票代码、发票号码、金额、校验码）核验外，还可校验购方名称、购方纳税人识别号、购方地址、购方开户行及账号，以及销方名称、销方纳税人识别号、销方地址、销方开户行及账号信息。</w:t>
            </w:r>
          </w:p>
          <w:p w14:paraId="2377A9D3">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5.发票认领与报销对接</w:t>
            </w:r>
          </w:p>
          <w:p w14:paraId="7D3EFDE4">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5.1支持对应业务科室员工认领对应业务发票，认领后可自动同步至医院现有报销流程，打通发票管理与报销审批的数据链路。</w:t>
            </w:r>
          </w:p>
          <w:p w14:paraId="32DFBF21">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5.2 发票共享：可解决多人出差一人报销的业务场景，发票自动归集到个人发票池后，员工可将票共享给同行报销人员，由同行人完成后续报销业务。</w:t>
            </w:r>
          </w:p>
          <w:p w14:paraId="4DE9FAEB">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5.3智能自动认领:通过身份证匹配，针对火车票、飞机票含个人身份证信息的交通票据，与HRP系统中的员工档案的身份证精准匹配，匹配成功后将票据自动归集至对应员工的个人票夹。</w:t>
            </w:r>
          </w:p>
          <w:p w14:paraId="3264BD74">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5.4 主动上传认领：对于无法自动归集的发票（如纸质发票、非直连开具的电子发票），员工获取PDF格式电子发票后，通过HRP系统的【上传识别】功能，手动上传发票文件，系统完成发票信息识别、验伪查重后，将票据归集至操作员工的个人票夹员工，并更新发票池状态，同时获取该发票的源版式文件。</w:t>
            </w:r>
          </w:p>
          <w:p w14:paraId="48E51E7D">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5.5 主动检索认领：员工可通过单位级发票管理平台的前端界面，输入发票代码、发票号码等核心识别要素，系统将基于输入信息在单位发票池中进行模糊匹配与精准筛选，同步展示匹配度高的候选发票列表（含发票类型、金额、开票方等信息），员工选中对应发票即可完成认领，完成状态自动同步更新至发票池。</w:t>
            </w:r>
          </w:p>
          <w:p w14:paraId="61AA5A51">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6.基础配置管理</w:t>
            </w:r>
          </w:p>
          <w:p w14:paraId="5CE5ABED">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支持自定义发票分类规则、预警阈值设置，可根据医院管理需求调整发票验重、异常预警的判定规则。</w:t>
            </w:r>
          </w:p>
          <w:p w14:paraId="5560B97F">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7.数据安全保障</w:t>
            </w:r>
          </w:p>
          <w:p w14:paraId="34C14926">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所有发票数据仅存储于采购人指定的院内服务器，不向第三方平台传输敏感财务数据，支持数据定期自动备份，保障数据存储安全。</w:t>
            </w:r>
          </w:p>
        </w:tc>
      </w:tr>
    </w:tbl>
    <w:p w14:paraId="2A5707EC">
      <w:pPr>
        <w:pStyle w:val="8"/>
        <w:numPr>
          <w:ilvl w:val="0"/>
          <w:numId w:val="0"/>
        </w:numPr>
        <w:ind w:firstLine="0" w:firstLineChars="0"/>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2.服务要求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41"/>
        <w:gridCol w:w="1561"/>
        <w:gridCol w:w="6109"/>
        <w:gridCol w:w="1436"/>
      </w:tblGrid>
      <w:tr w14:paraId="7D124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1" w:type="dxa"/>
            <w:shd w:val="clear" w:color="auto" w:fill="auto"/>
            <w:tcMar>
              <w:top w:w="0" w:type="dxa"/>
              <w:left w:w="105" w:type="dxa"/>
              <w:bottom w:w="0" w:type="dxa"/>
              <w:right w:w="105" w:type="dxa"/>
            </w:tcMar>
            <w:vAlign w:val="top"/>
          </w:tcPr>
          <w:p w14:paraId="464968BD">
            <w:pPr>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序号</w:t>
            </w:r>
          </w:p>
        </w:tc>
        <w:tc>
          <w:tcPr>
            <w:tcW w:w="1561" w:type="dxa"/>
            <w:shd w:val="clear" w:color="auto" w:fill="auto"/>
            <w:tcMar>
              <w:top w:w="0" w:type="dxa"/>
              <w:left w:w="105" w:type="dxa"/>
              <w:bottom w:w="0" w:type="dxa"/>
              <w:right w:w="105" w:type="dxa"/>
            </w:tcMar>
            <w:vAlign w:val="top"/>
          </w:tcPr>
          <w:p w14:paraId="5EFCA915">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服务类型</w:t>
            </w:r>
          </w:p>
        </w:tc>
        <w:tc>
          <w:tcPr>
            <w:tcW w:w="6109" w:type="dxa"/>
            <w:shd w:val="clear" w:color="auto" w:fill="auto"/>
            <w:tcMar>
              <w:top w:w="0" w:type="dxa"/>
              <w:left w:w="105" w:type="dxa"/>
              <w:bottom w:w="0" w:type="dxa"/>
              <w:right w:w="105" w:type="dxa"/>
            </w:tcMar>
            <w:vAlign w:val="top"/>
          </w:tcPr>
          <w:p w14:paraId="11072831">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服务内容</w:t>
            </w:r>
          </w:p>
        </w:tc>
        <w:tc>
          <w:tcPr>
            <w:tcW w:w="1436" w:type="dxa"/>
            <w:shd w:val="clear" w:color="auto" w:fill="auto"/>
            <w:tcMar>
              <w:top w:w="0" w:type="dxa"/>
              <w:left w:w="105" w:type="dxa"/>
              <w:bottom w:w="0" w:type="dxa"/>
              <w:right w:w="105" w:type="dxa"/>
            </w:tcMar>
            <w:vAlign w:val="top"/>
          </w:tcPr>
          <w:p w14:paraId="3879292C">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服务期</w:t>
            </w:r>
          </w:p>
        </w:tc>
      </w:tr>
      <w:tr w14:paraId="6F660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1" w:type="dxa"/>
            <w:shd w:val="clear" w:color="auto" w:fill="auto"/>
            <w:tcMar>
              <w:top w:w="0" w:type="dxa"/>
              <w:left w:w="105" w:type="dxa"/>
              <w:bottom w:w="0" w:type="dxa"/>
              <w:right w:w="105" w:type="dxa"/>
            </w:tcMar>
            <w:vAlign w:val="center"/>
          </w:tcPr>
          <w:p w14:paraId="385D4E93">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1561" w:type="dxa"/>
            <w:shd w:val="clear" w:color="auto" w:fill="auto"/>
            <w:tcMar>
              <w:top w:w="0" w:type="dxa"/>
              <w:left w:w="105" w:type="dxa"/>
              <w:bottom w:w="0" w:type="dxa"/>
              <w:right w:w="105" w:type="dxa"/>
            </w:tcMar>
            <w:vAlign w:val="center"/>
          </w:tcPr>
          <w:p w14:paraId="55034E73">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基本服务</w:t>
            </w:r>
          </w:p>
        </w:tc>
        <w:tc>
          <w:tcPr>
            <w:tcW w:w="6109" w:type="dxa"/>
            <w:shd w:val="clear" w:color="auto" w:fill="auto"/>
            <w:tcMar>
              <w:top w:w="0" w:type="dxa"/>
              <w:left w:w="105" w:type="dxa"/>
              <w:bottom w:w="0" w:type="dxa"/>
              <w:right w:w="105" w:type="dxa"/>
            </w:tcMar>
            <w:vAlign w:val="top"/>
          </w:tcPr>
          <w:p w14:paraId="0D6027F5">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基本服务至少满足以下内容：</w:t>
            </w:r>
          </w:p>
          <w:p w14:paraId="334AC7A2">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1、稳定性：</w:t>
            </w:r>
            <w:r>
              <w:rPr>
                <w:rFonts w:hint="eastAsia" w:ascii="仿宋" w:hAnsi="仿宋" w:eastAsia="仿宋" w:cs="仿宋"/>
                <w:kern w:val="0"/>
                <w:sz w:val="24"/>
                <w:szCs w:val="24"/>
                <w:lang w:val="en-US" w:eastAsia="zh-CN" w:bidi="ar"/>
              </w:rPr>
              <w:t>服务期内需保障系统稳定，不无故出现崩溃或宕机现象。</w:t>
            </w:r>
          </w:p>
          <w:p w14:paraId="751B0354">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2、安全性：</w:t>
            </w:r>
            <w:r>
              <w:rPr>
                <w:rFonts w:hint="eastAsia" w:ascii="仿宋" w:hAnsi="仿宋" w:eastAsia="仿宋" w:cs="仿宋"/>
                <w:kern w:val="0"/>
                <w:sz w:val="24"/>
                <w:szCs w:val="24"/>
                <w:lang w:val="en-US" w:eastAsia="zh-CN" w:bidi="ar"/>
              </w:rPr>
              <w:t>具备完善的安全防护机制，做好数据备份，具备应急处置方案；</w:t>
            </w:r>
          </w:p>
          <w:p w14:paraId="0C2B1FAE">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3、响应速度：</w:t>
            </w:r>
            <w:r>
              <w:rPr>
                <w:rFonts w:hint="eastAsia" w:ascii="仿宋" w:hAnsi="仿宋" w:eastAsia="仿宋" w:cs="仿宋"/>
                <w:kern w:val="0"/>
                <w:sz w:val="24"/>
                <w:szCs w:val="24"/>
                <w:lang w:val="en-US" w:eastAsia="zh-CN" w:bidi="ar"/>
              </w:rPr>
              <w:t>服务期内，采购人通过电话、微信、现场提出的支持需求，供应商须在需求提出的当日完成响应；</w:t>
            </w:r>
          </w:p>
          <w:p w14:paraId="7BD0B71E">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4、定期巡检：</w:t>
            </w:r>
            <w:r>
              <w:rPr>
                <w:rFonts w:hint="eastAsia" w:ascii="仿宋" w:hAnsi="仿宋" w:eastAsia="仿宋" w:cs="仿宋"/>
                <w:kern w:val="0"/>
                <w:sz w:val="24"/>
                <w:szCs w:val="24"/>
                <w:lang w:val="en-US" w:eastAsia="zh-CN" w:bidi="ar"/>
              </w:rPr>
              <w:t>服务期内每月提供至少1次软硬件服务期巡检报告；</w:t>
            </w:r>
          </w:p>
          <w:p w14:paraId="2C415177">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5、培训服务：</w:t>
            </w:r>
            <w:r>
              <w:rPr>
                <w:rFonts w:hint="eastAsia" w:ascii="仿宋" w:hAnsi="仿宋" w:eastAsia="仿宋" w:cs="仿宋"/>
                <w:kern w:val="0"/>
                <w:sz w:val="24"/>
                <w:szCs w:val="24"/>
                <w:lang w:val="en-US" w:eastAsia="zh-CN" w:bidi="ar"/>
              </w:rPr>
              <w:t>每年提供≥2次培训服务，并提交培训方案和签到表；</w:t>
            </w:r>
          </w:p>
          <w:p w14:paraId="76528CD5">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6、文档服务：</w:t>
            </w:r>
            <w:r>
              <w:rPr>
                <w:rFonts w:hint="eastAsia" w:ascii="仿宋" w:hAnsi="仿宋" w:eastAsia="仿宋" w:cs="仿宋"/>
                <w:kern w:val="0"/>
                <w:sz w:val="24"/>
                <w:szCs w:val="24"/>
                <w:lang w:val="en-US" w:eastAsia="zh-CN" w:bidi="ar"/>
              </w:rPr>
              <w:t>上线运行之日提交本次采购内容的操作手册、服务器信息、业务数据库表结构，若采购内容的相关文档发生变化，需在 30 日内提供最新文档。服务期满后需提交本次采购内容的运维记录签字扫描版本。</w:t>
            </w:r>
          </w:p>
          <w:p w14:paraId="2D6A0007">
            <w:pPr>
              <w:keepNext w:val="0"/>
              <w:keepLines w:val="0"/>
              <w:pageBreakBefore w:val="0"/>
              <w:widowControl/>
              <w:suppressLineNumbers w:val="0"/>
              <w:kinsoku/>
              <w:wordWrap/>
              <w:overflowPunct/>
              <w:topLinePunct w:val="0"/>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7、人员服务：</w:t>
            </w:r>
            <w:r>
              <w:rPr>
                <w:rFonts w:hint="eastAsia" w:ascii="仿宋" w:hAnsi="仿宋" w:eastAsia="仿宋" w:cs="仿宋"/>
                <w:kern w:val="0"/>
                <w:sz w:val="24"/>
                <w:szCs w:val="24"/>
                <w:lang w:val="en-US" w:eastAsia="zh-CN" w:bidi="ar"/>
              </w:rPr>
              <w:t>无</w:t>
            </w:r>
          </w:p>
        </w:tc>
        <w:tc>
          <w:tcPr>
            <w:tcW w:w="1436" w:type="dxa"/>
            <w:shd w:val="clear" w:color="auto" w:fill="auto"/>
            <w:tcMar>
              <w:top w:w="0" w:type="dxa"/>
              <w:left w:w="105" w:type="dxa"/>
              <w:bottom w:w="0" w:type="dxa"/>
              <w:right w:w="105" w:type="dxa"/>
            </w:tcMar>
            <w:vAlign w:val="center"/>
          </w:tcPr>
          <w:p w14:paraId="042349A3">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项目实施完成经验收合格之日起18个月。</w:t>
            </w:r>
          </w:p>
        </w:tc>
      </w:tr>
    </w:tbl>
    <w:p w14:paraId="61CEB7EA">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hanging="482" w:hangingChars="200"/>
        <w:textAlignment w:val="auto"/>
        <w:rPr>
          <w:rFonts w:hint="eastAsia" w:ascii="仿宋" w:hAnsi="仿宋" w:eastAsia="仿宋" w:cs="仿宋"/>
          <w:sz w:val="24"/>
          <w:szCs w:val="24"/>
        </w:rPr>
      </w:pPr>
      <w:r>
        <w:rPr>
          <w:rFonts w:hint="eastAsia" w:ascii="仿宋" w:hAnsi="仿宋" w:eastAsia="仿宋" w:cs="仿宋"/>
          <w:b/>
          <w:bCs/>
          <w:sz w:val="24"/>
          <w:szCs w:val="24"/>
        </w:rPr>
        <w:t>四、商务要求</w:t>
      </w:r>
    </w:p>
    <w:p w14:paraId="6E1528B6">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79" w:leftChars="228"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1.实施时间：本项目合同签订生效后，供应商应在5个工作日内开始实施。</w:t>
      </w:r>
    </w:p>
    <w:p w14:paraId="1C72D126">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实施周期：本项目开始实施之日起60日内，完成本项目包含的所有功能的上线运行；项目实施前须对原有系统完整备份，项目实施不得影响系统原有功能（含定制开发功能）正常使用；供应商须安排专人集中响应，快速处置因项目实施引发的各类问题，上述全部工作需在实施周期60日内完成。未在实施周期内完成，视为供应商违约并自动放弃该项目，采购人有权终止合同，合同所有款项将不予支付，已支付款项，供应商应于7个工作日内退还采购人。</w:t>
      </w:r>
    </w:p>
    <w:p w14:paraId="2B076415">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3.服务地点：本项目涉及的四川省人民医院所有院区。</w:t>
      </w:r>
    </w:p>
    <w:p w14:paraId="024B48D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付款</w:t>
      </w:r>
      <w:r>
        <w:rPr>
          <w:rFonts w:hint="eastAsia" w:ascii="仿宋" w:hAnsi="仿宋" w:eastAsia="仿宋" w:cs="仿宋"/>
          <w:sz w:val="24"/>
          <w:szCs w:val="24"/>
          <w:highlight w:val="none"/>
          <w:lang w:val="en-US" w:eastAsia="zh-CN"/>
        </w:rPr>
        <w:t>条件：总价包干，本合同分两次付款：（1）项目开发实施完毕且验收合格后5日内，供应商于5日内向采购人提供合法有效票据及其他相关请款资料，采购人于接到上述票据及资料后的90日内，支付合同总价款90%。（2）服务期满后，供应商于5日内向采购人提供合法有效票据及其他相关请款资料，采购人于接到上述票据及资料后的90日内，支付合同总价款10%。（如有因考核等原因产生的扣款，应在支付前予以扣除）</w:t>
      </w:r>
    </w:p>
    <w:p w14:paraId="4741AFEE">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bookmarkStart w:id="15" w:name="_Toc153964904"/>
      <w:bookmarkEnd w:id="15"/>
      <w:bookmarkStart w:id="16" w:name="_Toc18622"/>
      <w:bookmarkEnd w:id="16"/>
      <w:r>
        <w:rPr>
          <w:rFonts w:hint="eastAsia" w:ascii="仿宋" w:hAnsi="仿宋" w:eastAsia="仿宋" w:cs="仿宋"/>
          <w:sz w:val="24"/>
          <w:szCs w:val="24"/>
          <w:highlight w:val="none"/>
          <w:lang w:val="en-US" w:eastAsia="zh-CN"/>
        </w:rPr>
        <w:t>5.履约验收方案</w:t>
      </w:r>
    </w:p>
    <w:p w14:paraId="38B6A9C4">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（1）验收主体：采购人</w:t>
      </w:r>
    </w:p>
    <w:p w14:paraId="57A51DC0">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（2）验收组织方式：自行验收</w:t>
      </w:r>
    </w:p>
    <w:p w14:paraId="6F002EC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（3）验收程序：一次性验收</w:t>
      </w:r>
    </w:p>
    <w:p w14:paraId="241065C9">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（4）验收方式：现场整体验收</w:t>
      </w:r>
    </w:p>
    <w:p w14:paraId="277E01D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（5）履约验收内容：按照基于本项目采购需求编制的采购文件要求及供应商响应文件情况，由供应商向采购人提供的全部内容。</w:t>
      </w:r>
    </w:p>
    <w:p w14:paraId="5778B2C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（6）履约验收时间：系统上线供应商完成所有服务内容后5日内通知采购人验收，采购人接供应商通知后10日内组织验收。</w:t>
      </w:r>
    </w:p>
    <w:p w14:paraId="63BC65D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（7）是否邀请本项目的其他供应商:否</w:t>
      </w:r>
    </w:p>
    <w:p w14:paraId="7E9B9656">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（8）是否邀请专家：否</w:t>
      </w:r>
    </w:p>
    <w:p w14:paraId="73A3D58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（9）是否邀请服务对象：否</w:t>
      </w:r>
    </w:p>
    <w:p w14:paraId="4E709A74">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（10）是否邀请第三方检测机构：否</w:t>
      </w:r>
    </w:p>
    <w:p w14:paraId="3B98E2EA">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（11）验收标准：</w:t>
      </w:r>
    </w:p>
    <w:p w14:paraId="7FD60C85">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14:paraId="223244A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14:paraId="510B4B61">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3）产品生产厂家出具的产品说明书、技术白皮书等官方技术资料（如涉及）。</w:t>
      </w:r>
    </w:p>
    <w:p w14:paraId="3FBFD516">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5）按照《财政部关于进一步加强政府采购需求和履约验收管理的指导意见》（财库〔2016〕205号）的要求进行验收。（如本项目不涉及政府采购，将参照此条款）</w:t>
      </w:r>
    </w:p>
    <w:p w14:paraId="4F99EAAB">
      <w:pPr>
        <w:pStyle w:val="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6）如本项目验收方式为考核验收，则考核结果须为合格。</w:t>
      </w:r>
    </w:p>
    <w:p w14:paraId="53A596E0">
      <w:pPr>
        <w:pStyle w:val="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7）其它标准：无。</w:t>
      </w:r>
    </w:p>
    <w:p w14:paraId="05B2C7AA">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（12）履约验收其它事项：无。</w:t>
      </w:r>
    </w:p>
    <w:p w14:paraId="1A584365">
      <w:pPr>
        <w:pStyle w:val="8"/>
        <w:numPr>
          <w:ilvl w:val="0"/>
          <w:numId w:val="0"/>
        </w:numPr>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6.知识产权归属：由采购人、供应商双方共同开发的项目：采购人、供应商双方共同研发的该系统软件产品，知识产权归采购人、供应商双方共同拥有，软件所有数据归采购人所有。</w:t>
      </w:r>
    </w:p>
    <w:p w14:paraId="09075411">
      <w:pPr>
        <w:pStyle w:val="8"/>
        <w:numPr>
          <w:ilvl w:val="0"/>
          <w:numId w:val="0"/>
        </w:numPr>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highlight w:val="none"/>
          <w:lang w:val="en-US" w:eastAsia="zh-CN"/>
        </w:rPr>
        <w:t>7.服务期内，采购人每月按照四川省人民医院供应商考核指标对供应商行为进行评价考核，考核结果关联最终付款金额。考核标准详见附件《供应商考核》。</w:t>
      </w:r>
    </w:p>
    <w:p w14:paraId="108C78E3">
      <w:pPr>
        <w:rPr>
          <w:rFonts w:ascii="Times New Roman" w:hAnsi="Times New Roman" w:eastAsia="宋体" w:cs="Times New Roman"/>
          <w:sz w:val="24"/>
          <w:szCs w:val="24"/>
        </w:rPr>
      </w:pPr>
      <w:r>
        <w:rPr>
          <w:rFonts w:ascii="Times New Roman" w:hAnsi="Times New Roman" w:eastAsia="宋体" w:cs="Times New Roman"/>
          <w:sz w:val="24"/>
          <w:szCs w:val="24"/>
        </w:rPr>
        <w:br w:type="page"/>
      </w:r>
    </w:p>
    <w:p w14:paraId="44F987DC">
      <w:pPr>
        <w:pStyle w:val="2"/>
        <w:keepNext w:val="0"/>
        <w:keepLines w:val="0"/>
        <w:widowControl/>
        <w:numPr>
          <w:ilvl w:val="0"/>
          <w:numId w:val="0"/>
        </w:numPr>
        <w:suppressLineNumbers w:val="0"/>
        <w:spacing w:before="0" w:beforeAutospacing="0" w:after="0" w:afterAutospacing="0"/>
        <w:ind w:leftChars="0"/>
        <w:jc w:val="both"/>
        <w:rPr>
          <w:rFonts w:hint="eastAsia" w:ascii="仿宋" w:hAnsi="仿宋" w:eastAsia="仿宋" w:cs="仿宋"/>
          <w:sz w:val="24"/>
          <w:szCs w:val="24"/>
        </w:rPr>
      </w:pPr>
      <w:r>
        <w:rPr>
          <w:rStyle w:val="21"/>
          <w:rFonts w:hint="eastAsia" w:ascii="仿宋" w:hAnsi="仿宋" w:eastAsia="仿宋" w:cs="仿宋"/>
          <w:b/>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2"/>
        <w:gridCol w:w="1558"/>
        <w:gridCol w:w="1731"/>
        <w:gridCol w:w="1367"/>
        <w:gridCol w:w="3150"/>
        <w:gridCol w:w="779"/>
      </w:tblGrid>
      <w:tr w14:paraId="16B23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4B04937F">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32"/>
                <w:szCs w:val="32"/>
                <w:lang w:val="en-US" w:eastAsia="zh-CN" w:bidi="ar"/>
              </w:rPr>
              <w:t>四川省人民医院供应商考核</w:t>
            </w:r>
          </w:p>
        </w:tc>
      </w:tr>
      <w:tr w14:paraId="2497F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36EDB8D5">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供应商</w:t>
            </w:r>
          </w:p>
        </w:tc>
        <w:tc>
          <w:tcPr>
            <w:tcW w:w="2850" w:type="dxa"/>
            <w:gridSpan w:val="2"/>
            <w:shd w:val="clear" w:color="auto" w:fill="auto"/>
            <w:tcMar>
              <w:top w:w="0" w:type="dxa"/>
              <w:left w:w="105" w:type="dxa"/>
              <w:bottom w:w="0" w:type="dxa"/>
              <w:right w:w="105" w:type="dxa"/>
            </w:tcMar>
            <w:vAlign w:val="center"/>
          </w:tcPr>
          <w:p w14:paraId="027CD352">
            <w:pPr>
              <w:keepNext w:val="0"/>
              <w:keepLines w:val="0"/>
              <w:widowControl/>
              <w:suppressLineNumbers w:val="0"/>
              <w:jc w:val="left"/>
              <w:rPr>
                <w:rFonts w:hint="eastAsia" w:ascii="仿宋" w:hAnsi="仿宋" w:eastAsia="仿宋" w:cs="仿宋"/>
                <w:kern w:val="0"/>
                <w:sz w:val="24"/>
                <w:szCs w:val="24"/>
                <w:lang w:bidi="ar"/>
              </w:rPr>
            </w:pPr>
          </w:p>
        </w:tc>
        <w:tc>
          <w:tcPr>
            <w:tcW w:w="1185" w:type="dxa"/>
            <w:shd w:val="clear" w:color="auto" w:fill="auto"/>
            <w:tcMar>
              <w:top w:w="0" w:type="dxa"/>
              <w:left w:w="105" w:type="dxa"/>
              <w:bottom w:w="0" w:type="dxa"/>
              <w:right w:w="105" w:type="dxa"/>
            </w:tcMar>
            <w:vAlign w:val="center"/>
          </w:tcPr>
          <w:p w14:paraId="2650C1B0">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合同名</w:t>
            </w:r>
          </w:p>
        </w:tc>
        <w:tc>
          <w:tcPr>
            <w:tcW w:w="3390" w:type="dxa"/>
            <w:gridSpan w:val="2"/>
            <w:shd w:val="clear" w:color="auto" w:fill="auto"/>
            <w:tcMar>
              <w:top w:w="0" w:type="dxa"/>
              <w:left w:w="105" w:type="dxa"/>
              <w:bottom w:w="0" w:type="dxa"/>
              <w:right w:w="105" w:type="dxa"/>
            </w:tcMar>
            <w:vAlign w:val="top"/>
          </w:tcPr>
          <w:p w14:paraId="313DD168">
            <w:pPr>
              <w:keepNext w:val="0"/>
              <w:keepLines w:val="0"/>
              <w:widowControl/>
              <w:suppressLineNumbers w:val="0"/>
              <w:jc w:val="left"/>
              <w:rPr>
                <w:rFonts w:hint="eastAsia" w:ascii="仿宋" w:hAnsi="仿宋" w:eastAsia="仿宋" w:cs="仿宋"/>
                <w:kern w:val="0"/>
                <w:sz w:val="24"/>
                <w:szCs w:val="24"/>
                <w:lang w:bidi="ar"/>
              </w:rPr>
            </w:pPr>
          </w:p>
        </w:tc>
      </w:tr>
      <w:tr w14:paraId="5636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503DCC92">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指标类别</w:t>
            </w:r>
          </w:p>
        </w:tc>
        <w:tc>
          <w:tcPr>
            <w:tcW w:w="1350" w:type="dxa"/>
            <w:shd w:val="clear" w:color="auto" w:fill="auto"/>
            <w:tcMar>
              <w:top w:w="0" w:type="dxa"/>
              <w:left w:w="105" w:type="dxa"/>
              <w:bottom w:w="0" w:type="dxa"/>
              <w:right w:w="105" w:type="dxa"/>
            </w:tcMar>
            <w:vAlign w:val="center"/>
          </w:tcPr>
          <w:p w14:paraId="6200F8B2">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w:t>
            </w:r>
          </w:p>
        </w:tc>
        <w:tc>
          <w:tcPr>
            <w:tcW w:w="5415" w:type="dxa"/>
            <w:gridSpan w:val="3"/>
            <w:shd w:val="clear" w:color="auto" w:fill="auto"/>
            <w:tcMar>
              <w:top w:w="0" w:type="dxa"/>
              <w:left w:w="105" w:type="dxa"/>
              <w:bottom w:w="0" w:type="dxa"/>
              <w:right w:w="105" w:type="dxa"/>
            </w:tcMar>
            <w:vAlign w:val="center"/>
          </w:tcPr>
          <w:p w14:paraId="517170D1">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考核内容</w:t>
            </w:r>
          </w:p>
        </w:tc>
        <w:tc>
          <w:tcPr>
            <w:tcW w:w="675" w:type="dxa"/>
            <w:shd w:val="clear" w:color="auto" w:fill="auto"/>
            <w:tcMar>
              <w:top w:w="0" w:type="dxa"/>
              <w:left w:w="105" w:type="dxa"/>
              <w:bottom w:w="0" w:type="dxa"/>
              <w:right w:w="105" w:type="dxa"/>
            </w:tcMar>
            <w:vAlign w:val="center"/>
          </w:tcPr>
          <w:p w14:paraId="72A35581">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扣分</w:t>
            </w:r>
          </w:p>
        </w:tc>
      </w:tr>
      <w:tr w14:paraId="0EE1C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7A186290">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性能质</w:t>
            </w:r>
          </w:p>
          <w:p w14:paraId="34992D5A">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量评价</w:t>
            </w:r>
          </w:p>
          <w:p w14:paraId="3E6E652D">
            <w:pPr>
              <w:keepNext w:val="0"/>
              <w:keepLines w:val="0"/>
              <w:widowControl/>
              <w:suppressLineNumbers w:val="0"/>
              <w:spacing w:before="0" w:beforeAutospacing="1" w:after="195" w:afterAutospacing="0"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 </w:t>
            </w:r>
          </w:p>
        </w:tc>
        <w:tc>
          <w:tcPr>
            <w:tcW w:w="1350" w:type="dxa"/>
            <w:shd w:val="clear" w:color="auto" w:fill="auto"/>
            <w:tcMar>
              <w:top w:w="0" w:type="dxa"/>
              <w:left w:w="105" w:type="dxa"/>
              <w:bottom w:w="0" w:type="dxa"/>
              <w:right w:w="105" w:type="dxa"/>
            </w:tcMar>
            <w:vAlign w:val="center"/>
          </w:tcPr>
          <w:p w14:paraId="3CCE86FD">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稳定性</w:t>
            </w:r>
          </w:p>
        </w:tc>
        <w:tc>
          <w:tcPr>
            <w:tcW w:w="5415" w:type="dxa"/>
            <w:gridSpan w:val="3"/>
            <w:shd w:val="clear" w:color="auto" w:fill="auto"/>
            <w:tcMar>
              <w:top w:w="0" w:type="dxa"/>
              <w:left w:w="105" w:type="dxa"/>
              <w:bottom w:w="0" w:type="dxa"/>
              <w:right w:w="105" w:type="dxa"/>
            </w:tcMar>
            <w:vAlign w:val="center"/>
          </w:tcPr>
          <w:p w14:paraId="0AFEEAAB">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63FB41BA">
            <w:pPr>
              <w:keepNext w:val="0"/>
              <w:keepLines w:val="0"/>
              <w:widowControl/>
              <w:suppressLineNumbers w:val="0"/>
              <w:jc w:val="left"/>
              <w:rPr>
                <w:rFonts w:hint="eastAsia" w:ascii="仿宋" w:hAnsi="仿宋" w:eastAsia="仿宋" w:cs="仿宋"/>
                <w:kern w:val="0"/>
                <w:sz w:val="24"/>
                <w:szCs w:val="24"/>
                <w:lang w:bidi="ar"/>
              </w:rPr>
            </w:pPr>
          </w:p>
        </w:tc>
      </w:tr>
      <w:tr w14:paraId="0215B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7F9D7A40">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2AE8CED1">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安全性</w:t>
            </w:r>
          </w:p>
        </w:tc>
        <w:tc>
          <w:tcPr>
            <w:tcW w:w="5415" w:type="dxa"/>
            <w:gridSpan w:val="3"/>
            <w:shd w:val="clear" w:color="auto" w:fill="auto"/>
            <w:tcMar>
              <w:top w:w="0" w:type="dxa"/>
              <w:left w:w="105" w:type="dxa"/>
              <w:bottom w:w="0" w:type="dxa"/>
              <w:right w:w="105" w:type="dxa"/>
            </w:tcMar>
            <w:vAlign w:val="center"/>
          </w:tcPr>
          <w:p w14:paraId="5B237B18">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2E7D0331">
            <w:pPr>
              <w:keepNext w:val="0"/>
              <w:keepLines w:val="0"/>
              <w:widowControl/>
              <w:suppressLineNumbers w:val="0"/>
              <w:jc w:val="left"/>
              <w:rPr>
                <w:rFonts w:hint="eastAsia" w:ascii="仿宋" w:hAnsi="仿宋" w:eastAsia="仿宋" w:cs="仿宋"/>
                <w:kern w:val="0"/>
                <w:sz w:val="24"/>
                <w:szCs w:val="24"/>
                <w:lang w:bidi="ar"/>
              </w:rPr>
            </w:pPr>
          </w:p>
        </w:tc>
      </w:tr>
      <w:tr w14:paraId="65B63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C968260">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3EE72106">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用户满意度</w:t>
            </w:r>
          </w:p>
        </w:tc>
        <w:tc>
          <w:tcPr>
            <w:tcW w:w="5415" w:type="dxa"/>
            <w:gridSpan w:val="3"/>
            <w:shd w:val="clear" w:color="auto" w:fill="auto"/>
            <w:tcMar>
              <w:top w:w="0" w:type="dxa"/>
              <w:left w:w="105" w:type="dxa"/>
              <w:bottom w:w="0" w:type="dxa"/>
              <w:right w:w="105" w:type="dxa"/>
            </w:tcMar>
            <w:vAlign w:val="center"/>
          </w:tcPr>
          <w:p w14:paraId="20693438">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42A400BC">
            <w:pPr>
              <w:keepNext w:val="0"/>
              <w:keepLines w:val="0"/>
              <w:widowControl/>
              <w:suppressLineNumbers w:val="0"/>
              <w:jc w:val="left"/>
              <w:rPr>
                <w:rFonts w:hint="eastAsia" w:ascii="仿宋" w:hAnsi="仿宋" w:eastAsia="仿宋" w:cs="仿宋"/>
                <w:kern w:val="0"/>
                <w:sz w:val="24"/>
                <w:szCs w:val="24"/>
                <w:lang w:bidi="ar"/>
              </w:rPr>
            </w:pPr>
          </w:p>
        </w:tc>
      </w:tr>
      <w:tr w14:paraId="4C34D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355593AD">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使用支</w:t>
            </w:r>
          </w:p>
          <w:p w14:paraId="46218F49">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持评价</w:t>
            </w:r>
          </w:p>
        </w:tc>
        <w:tc>
          <w:tcPr>
            <w:tcW w:w="1350" w:type="dxa"/>
            <w:shd w:val="clear" w:color="auto" w:fill="auto"/>
            <w:tcMar>
              <w:top w:w="0" w:type="dxa"/>
              <w:left w:w="105" w:type="dxa"/>
              <w:bottom w:w="0" w:type="dxa"/>
              <w:right w:w="105" w:type="dxa"/>
            </w:tcMar>
            <w:vAlign w:val="center"/>
          </w:tcPr>
          <w:p w14:paraId="0DA2DF60">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考勤</w:t>
            </w:r>
          </w:p>
        </w:tc>
        <w:tc>
          <w:tcPr>
            <w:tcW w:w="5415" w:type="dxa"/>
            <w:gridSpan w:val="3"/>
            <w:shd w:val="clear" w:color="auto" w:fill="auto"/>
            <w:tcMar>
              <w:top w:w="0" w:type="dxa"/>
              <w:left w:w="105" w:type="dxa"/>
              <w:bottom w:w="0" w:type="dxa"/>
              <w:right w:w="105" w:type="dxa"/>
            </w:tcMar>
            <w:vAlign w:val="center"/>
          </w:tcPr>
          <w:p w14:paraId="3B9A2468">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67FAA7F1">
            <w:pPr>
              <w:keepNext w:val="0"/>
              <w:keepLines w:val="0"/>
              <w:widowControl/>
              <w:suppressLineNumbers w:val="0"/>
              <w:jc w:val="left"/>
              <w:rPr>
                <w:rFonts w:hint="eastAsia" w:ascii="仿宋" w:hAnsi="仿宋" w:eastAsia="仿宋" w:cs="仿宋"/>
                <w:kern w:val="0"/>
                <w:sz w:val="24"/>
                <w:szCs w:val="24"/>
                <w:lang w:bidi="ar"/>
              </w:rPr>
            </w:pPr>
          </w:p>
        </w:tc>
      </w:tr>
      <w:tr w14:paraId="27F72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75DB626D">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785D342C">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响应速度</w:t>
            </w:r>
          </w:p>
        </w:tc>
        <w:tc>
          <w:tcPr>
            <w:tcW w:w="5415" w:type="dxa"/>
            <w:gridSpan w:val="3"/>
            <w:shd w:val="clear" w:color="auto" w:fill="auto"/>
            <w:tcMar>
              <w:top w:w="0" w:type="dxa"/>
              <w:left w:w="105" w:type="dxa"/>
              <w:bottom w:w="0" w:type="dxa"/>
              <w:right w:w="105" w:type="dxa"/>
            </w:tcMar>
            <w:vAlign w:val="center"/>
          </w:tcPr>
          <w:p w14:paraId="06A42ADA">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43923421">
            <w:pPr>
              <w:keepNext w:val="0"/>
              <w:keepLines w:val="0"/>
              <w:widowControl/>
              <w:suppressLineNumbers w:val="0"/>
              <w:jc w:val="left"/>
              <w:rPr>
                <w:rFonts w:hint="eastAsia" w:ascii="仿宋" w:hAnsi="仿宋" w:eastAsia="仿宋" w:cs="仿宋"/>
                <w:kern w:val="0"/>
                <w:sz w:val="24"/>
                <w:szCs w:val="24"/>
                <w:lang w:bidi="ar"/>
              </w:rPr>
            </w:pPr>
          </w:p>
        </w:tc>
      </w:tr>
      <w:tr w14:paraId="6F706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78FBA737">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4A7790F9">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备件供应</w:t>
            </w:r>
          </w:p>
          <w:p w14:paraId="21AFD457">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(本项仅涉</w:t>
            </w:r>
          </w:p>
          <w:p w14:paraId="5E067189">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及提供硬件</w:t>
            </w:r>
          </w:p>
          <w:p w14:paraId="01AABCFF">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的供应商)</w:t>
            </w:r>
          </w:p>
        </w:tc>
        <w:tc>
          <w:tcPr>
            <w:tcW w:w="5415" w:type="dxa"/>
            <w:gridSpan w:val="3"/>
            <w:shd w:val="clear" w:color="auto" w:fill="auto"/>
            <w:tcMar>
              <w:top w:w="0" w:type="dxa"/>
              <w:left w:w="105" w:type="dxa"/>
              <w:bottom w:w="0" w:type="dxa"/>
              <w:right w:w="105" w:type="dxa"/>
            </w:tcMar>
            <w:vAlign w:val="center"/>
          </w:tcPr>
          <w:p w14:paraId="5548D538">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6D755E81">
            <w:pPr>
              <w:keepNext w:val="0"/>
              <w:keepLines w:val="0"/>
              <w:widowControl/>
              <w:suppressLineNumbers w:val="0"/>
              <w:jc w:val="left"/>
              <w:rPr>
                <w:rFonts w:hint="eastAsia" w:ascii="仿宋" w:hAnsi="仿宋" w:eastAsia="仿宋" w:cs="仿宋"/>
                <w:kern w:val="0"/>
                <w:sz w:val="24"/>
                <w:szCs w:val="24"/>
                <w:lang w:bidi="ar"/>
              </w:rPr>
            </w:pPr>
          </w:p>
        </w:tc>
      </w:tr>
      <w:tr w14:paraId="09D6A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300D25B">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5925FCBC">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定期巡检</w:t>
            </w:r>
          </w:p>
        </w:tc>
        <w:tc>
          <w:tcPr>
            <w:tcW w:w="5415" w:type="dxa"/>
            <w:gridSpan w:val="3"/>
            <w:shd w:val="clear" w:color="auto" w:fill="auto"/>
            <w:tcMar>
              <w:top w:w="0" w:type="dxa"/>
              <w:left w:w="105" w:type="dxa"/>
              <w:bottom w:w="0" w:type="dxa"/>
              <w:right w:w="105" w:type="dxa"/>
            </w:tcMar>
            <w:vAlign w:val="center"/>
          </w:tcPr>
          <w:p w14:paraId="17D79099">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25292570">
            <w:pPr>
              <w:keepNext w:val="0"/>
              <w:keepLines w:val="0"/>
              <w:widowControl/>
              <w:suppressLineNumbers w:val="0"/>
              <w:jc w:val="left"/>
              <w:rPr>
                <w:rFonts w:hint="eastAsia" w:ascii="仿宋" w:hAnsi="仿宋" w:eastAsia="仿宋" w:cs="仿宋"/>
                <w:kern w:val="0"/>
                <w:sz w:val="24"/>
                <w:szCs w:val="24"/>
                <w:lang w:bidi="ar"/>
              </w:rPr>
            </w:pPr>
          </w:p>
        </w:tc>
      </w:tr>
      <w:tr w14:paraId="20821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C6B9878">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0F252F77">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培训服务</w:t>
            </w:r>
          </w:p>
        </w:tc>
        <w:tc>
          <w:tcPr>
            <w:tcW w:w="5415" w:type="dxa"/>
            <w:gridSpan w:val="3"/>
            <w:shd w:val="clear" w:color="auto" w:fill="auto"/>
            <w:tcMar>
              <w:top w:w="0" w:type="dxa"/>
              <w:left w:w="105" w:type="dxa"/>
              <w:bottom w:w="0" w:type="dxa"/>
              <w:right w:w="105" w:type="dxa"/>
            </w:tcMar>
            <w:vAlign w:val="center"/>
          </w:tcPr>
          <w:p w14:paraId="7CD56CE2">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32271D69">
            <w:pPr>
              <w:keepNext w:val="0"/>
              <w:keepLines w:val="0"/>
              <w:widowControl/>
              <w:suppressLineNumbers w:val="0"/>
              <w:jc w:val="left"/>
              <w:rPr>
                <w:rFonts w:hint="eastAsia" w:ascii="仿宋" w:hAnsi="仿宋" w:eastAsia="仿宋" w:cs="仿宋"/>
                <w:kern w:val="0"/>
                <w:sz w:val="24"/>
                <w:szCs w:val="24"/>
                <w:lang w:bidi="ar"/>
              </w:rPr>
            </w:pPr>
          </w:p>
        </w:tc>
      </w:tr>
      <w:tr w14:paraId="04EE2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BA5F3EA">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2DCEC8DD">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技术文档</w:t>
            </w:r>
          </w:p>
        </w:tc>
        <w:tc>
          <w:tcPr>
            <w:tcW w:w="5415" w:type="dxa"/>
            <w:gridSpan w:val="3"/>
            <w:shd w:val="clear" w:color="auto" w:fill="auto"/>
            <w:tcMar>
              <w:top w:w="0" w:type="dxa"/>
              <w:left w:w="105" w:type="dxa"/>
              <w:bottom w:w="0" w:type="dxa"/>
              <w:right w:w="105" w:type="dxa"/>
            </w:tcMar>
            <w:vAlign w:val="center"/>
          </w:tcPr>
          <w:p w14:paraId="0331BD94">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53773C2C">
            <w:pPr>
              <w:keepNext w:val="0"/>
              <w:keepLines w:val="0"/>
              <w:widowControl/>
              <w:suppressLineNumbers w:val="0"/>
              <w:jc w:val="left"/>
              <w:rPr>
                <w:rFonts w:hint="eastAsia" w:ascii="仿宋" w:hAnsi="仿宋" w:eastAsia="仿宋" w:cs="仿宋"/>
                <w:kern w:val="0"/>
                <w:sz w:val="24"/>
                <w:szCs w:val="24"/>
                <w:lang w:bidi="ar"/>
              </w:rPr>
            </w:pPr>
          </w:p>
        </w:tc>
      </w:tr>
      <w:tr w14:paraId="45757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2CFFAAD2">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违规违</w:t>
            </w:r>
          </w:p>
          <w:p w14:paraId="6DC83877">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纪评价</w:t>
            </w:r>
          </w:p>
        </w:tc>
        <w:tc>
          <w:tcPr>
            <w:tcW w:w="1350" w:type="dxa"/>
            <w:shd w:val="clear" w:color="auto" w:fill="auto"/>
            <w:tcMar>
              <w:top w:w="0" w:type="dxa"/>
              <w:left w:w="105" w:type="dxa"/>
              <w:bottom w:w="0" w:type="dxa"/>
              <w:right w:w="105" w:type="dxa"/>
            </w:tcMar>
            <w:vAlign w:val="center"/>
          </w:tcPr>
          <w:p w14:paraId="17CAF060">
            <w:pPr>
              <w:keepNext w:val="0"/>
              <w:keepLines w:val="0"/>
              <w:widowControl/>
              <w:suppressLineNumbers w:val="0"/>
              <w:autoSpaceDE w:val="0"/>
              <w:autoSpaceDN/>
              <w:spacing w:before="0" w:beforeAutospacing="1" w:after="195" w:afterAutospacing="0"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廉洁从业</w:t>
            </w:r>
          </w:p>
        </w:tc>
        <w:tc>
          <w:tcPr>
            <w:tcW w:w="5415" w:type="dxa"/>
            <w:gridSpan w:val="3"/>
            <w:shd w:val="clear" w:color="auto" w:fill="auto"/>
            <w:tcMar>
              <w:top w:w="0" w:type="dxa"/>
              <w:left w:w="105" w:type="dxa"/>
              <w:bottom w:w="0" w:type="dxa"/>
              <w:right w:w="105" w:type="dxa"/>
            </w:tcMar>
            <w:vAlign w:val="center"/>
          </w:tcPr>
          <w:p w14:paraId="07DA4580">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0AE94810">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一票否决</w:t>
            </w:r>
          </w:p>
        </w:tc>
      </w:tr>
      <w:tr w14:paraId="1E96E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4E04FD3">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51596978">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安全规范</w:t>
            </w:r>
          </w:p>
        </w:tc>
        <w:tc>
          <w:tcPr>
            <w:tcW w:w="5415" w:type="dxa"/>
            <w:gridSpan w:val="3"/>
            <w:shd w:val="clear" w:color="auto" w:fill="auto"/>
            <w:tcMar>
              <w:top w:w="0" w:type="dxa"/>
              <w:left w:w="105" w:type="dxa"/>
              <w:bottom w:w="0" w:type="dxa"/>
              <w:right w:w="105" w:type="dxa"/>
            </w:tcMar>
            <w:vAlign w:val="center"/>
          </w:tcPr>
          <w:p w14:paraId="1AA00CEB">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不遵守安全生产规范，每次扣2分；</w:t>
            </w:r>
          </w:p>
        </w:tc>
        <w:tc>
          <w:tcPr>
            <w:tcW w:w="675" w:type="dxa"/>
            <w:shd w:val="clear" w:color="auto" w:fill="auto"/>
            <w:tcMar>
              <w:top w:w="0" w:type="dxa"/>
              <w:left w:w="105" w:type="dxa"/>
              <w:bottom w:w="0" w:type="dxa"/>
              <w:right w:w="105" w:type="dxa"/>
            </w:tcMar>
            <w:vAlign w:val="center"/>
          </w:tcPr>
          <w:p w14:paraId="0600CA52">
            <w:pPr>
              <w:keepNext w:val="0"/>
              <w:keepLines w:val="0"/>
              <w:widowControl/>
              <w:suppressLineNumbers w:val="0"/>
              <w:jc w:val="left"/>
              <w:rPr>
                <w:rFonts w:hint="eastAsia" w:ascii="仿宋" w:hAnsi="仿宋" w:eastAsia="仿宋" w:cs="仿宋"/>
                <w:kern w:val="0"/>
                <w:sz w:val="24"/>
                <w:szCs w:val="24"/>
                <w:lang w:bidi="ar"/>
              </w:rPr>
            </w:pPr>
          </w:p>
        </w:tc>
      </w:tr>
      <w:tr w14:paraId="1A0FC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7B3844CE">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5BA4EFA4">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其他违纪违规</w:t>
            </w:r>
          </w:p>
        </w:tc>
        <w:tc>
          <w:tcPr>
            <w:tcW w:w="5415" w:type="dxa"/>
            <w:gridSpan w:val="3"/>
            <w:shd w:val="clear" w:color="auto" w:fill="auto"/>
            <w:tcMar>
              <w:top w:w="0" w:type="dxa"/>
              <w:left w:w="105" w:type="dxa"/>
              <w:bottom w:w="0" w:type="dxa"/>
              <w:right w:w="105" w:type="dxa"/>
            </w:tcMar>
            <w:vAlign w:val="center"/>
          </w:tcPr>
          <w:p w14:paraId="5186B407">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335C7E2C">
            <w:pPr>
              <w:keepNext w:val="0"/>
              <w:keepLines w:val="0"/>
              <w:widowControl/>
              <w:suppressLineNumbers w:val="0"/>
              <w:jc w:val="left"/>
              <w:rPr>
                <w:rFonts w:hint="eastAsia" w:ascii="仿宋" w:hAnsi="仿宋" w:eastAsia="仿宋" w:cs="仿宋"/>
                <w:kern w:val="0"/>
                <w:sz w:val="24"/>
                <w:szCs w:val="24"/>
                <w:lang w:bidi="ar"/>
              </w:rPr>
            </w:pPr>
          </w:p>
        </w:tc>
      </w:tr>
      <w:tr w14:paraId="52EDF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2686BC01">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扣分合计</w:t>
            </w:r>
          </w:p>
        </w:tc>
        <w:tc>
          <w:tcPr>
            <w:tcW w:w="7425" w:type="dxa"/>
            <w:gridSpan w:val="5"/>
            <w:shd w:val="clear" w:color="auto" w:fill="auto"/>
            <w:tcMar>
              <w:top w:w="0" w:type="dxa"/>
              <w:left w:w="105" w:type="dxa"/>
              <w:bottom w:w="0" w:type="dxa"/>
              <w:right w:w="105" w:type="dxa"/>
            </w:tcMar>
            <w:vAlign w:val="center"/>
          </w:tcPr>
          <w:p w14:paraId="5BBE5142">
            <w:pPr>
              <w:keepNext w:val="0"/>
              <w:keepLines w:val="0"/>
              <w:widowControl/>
              <w:suppressLineNumbers w:val="0"/>
              <w:jc w:val="left"/>
              <w:rPr>
                <w:rFonts w:hint="eastAsia" w:ascii="仿宋" w:hAnsi="仿宋" w:eastAsia="仿宋" w:cs="仿宋"/>
                <w:kern w:val="0"/>
                <w:sz w:val="24"/>
                <w:szCs w:val="24"/>
                <w:lang w:bidi="ar"/>
              </w:rPr>
            </w:pPr>
          </w:p>
        </w:tc>
      </w:tr>
      <w:tr w14:paraId="24096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171460F8">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考核人</w:t>
            </w:r>
          </w:p>
        </w:tc>
        <w:tc>
          <w:tcPr>
            <w:tcW w:w="7425" w:type="dxa"/>
            <w:gridSpan w:val="5"/>
            <w:shd w:val="clear" w:color="auto" w:fill="auto"/>
            <w:tcMar>
              <w:top w:w="0" w:type="dxa"/>
              <w:left w:w="105" w:type="dxa"/>
              <w:bottom w:w="0" w:type="dxa"/>
              <w:right w:w="105" w:type="dxa"/>
            </w:tcMar>
            <w:vAlign w:val="center"/>
          </w:tcPr>
          <w:p w14:paraId="39E93280">
            <w:pPr>
              <w:keepNext w:val="0"/>
              <w:keepLines w:val="0"/>
              <w:widowControl/>
              <w:suppressLineNumbers w:val="0"/>
              <w:spacing w:before="0" w:beforeAutospacing="1" w:after="0" w:afterAutospacing="1" w:line="36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w:t>
            </w:r>
          </w:p>
          <w:p w14:paraId="2E28D691">
            <w:pPr>
              <w:keepNext w:val="0"/>
              <w:keepLines w:val="0"/>
              <w:widowControl/>
              <w:suppressLineNumbers w:val="0"/>
              <w:spacing w:before="0" w:beforeAutospacing="1" w:after="0" w:afterAutospacing="1" w:line="36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年    月    日</w:t>
            </w:r>
          </w:p>
        </w:tc>
      </w:tr>
    </w:tbl>
    <w:p w14:paraId="1EF8317F">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jc w:val="left"/>
        <w:textAlignment w:val="auto"/>
        <w:rPr>
          <w:rStyle w:val="21"/>
          <w:rFonts w:hint="eastAsia" w:ascii="仿宋" w:hAnsi="仿宋" w:eastAsia="仿宋" w:cs="仿宋"/>
          <w:color w:val="000000"/>
          <w:kern w:val="2"/>
          <w:sz w:val="24"/>
          <w:szCs w:val="24"/>
        </w:rPr>
      </w:pPr>
    </w:p>
    <w:p w14:paraId="49D7419B">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sz w:val="24"/>
          <w:szCs w:val="24"/>
        </w:rPr>
      </w:pPr>
      <w:r>
        <w:rPr>
          <w:rStyle w:val="21"/>
          <w:rFonts w:hint="eastAsia" w:ascii="仿宋" w:hAnsi="仿宋" w:eastAsia="仿宋" w:cs="仿宋"/>
          <w:color w:val="000000"/>
          <w:kern w:val="2"/>
          <w:sz w:val="24"/>
          <w:szCs w:val="24"/>
        </w:rPr>
        <w:t>备注：</w:t>
      </w:r>
    </w:p>
    <w:p w14:paraId="1A83C509">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b w:val="0"/>
          <w:bCs w:val="0"/>
          <w:color w:val="000000"/>
          <w:kern w:val="2"/>
          <w:sz w:val="24"/>
          <w:szCs w:val="24"/>
          <w:u w:val="none"/>
        </w:rPr>
        <w:t>1.</w:t>
      </w:r>
      <w:r>
        <w:rPr>
          <w:rFonts w:hint="eastAsia" w:ascii="仿宋" w:hAnsi="仿宋" w:eastAsia="仿宋" w:cs="仿宋"/>
          <w:color w:val="000000"/>
          <w:kern w:val="2"/>
          <w:sz w:val="24"/>
          <w:szCs w:val="24"/>
          <w:u w:val="none"/>
        </w:rPr>
        <w:t>服务期内，采购人可按照本项目采购需求内容对应的考核指标对供应商进行考核，具体指标以采购人要求为准；</w:t>
      </w:r>
    </w:p>
    <w:p w14:paraId="4A8E86FC">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b w:val="0"/>
          <w:bCs w:val="0"/>
          <w:color w:val="000000"/>
          <w:kern w:val="2"/>
          <w:sz w:val="24"/>
          <w:szCs w:val="24"/>
          <w:u w:val="none"/>
        </w:rPr>
        <w:t>2.</w:t>
      </w:r>
      <w:r>
        <w:rPr>
          <w:rFonts w:hint="eastAsia" w:ascii="仿宋" w:hAnsi="仿宋" w:eastAsia="仿宋" w:cs="仿宋"/>
          <w:color w:val="000000"/>
          <w:kern w:val="2"/>
          <w:sz w:val="24"/>
          <w:szCs w:val="24"/>
          <w:u w:val="none"/>
        </w:rPr>
        <w:t>考核关联最终付款金额，具体计算规则如下：</w:t>
      </w:r>
    </w:p>
    <w:p w14:paraId="196CCC08">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lang w:eastAsia="zh-CN"/>
        </w:rPr>
      </w:pPr>
      <w:r>
        <w:rPr>
          <w:rStyle w:val="21"/>
          <w:rFonts w:hint="eastAsia" w:ascii="仿宋" w:hAnsi="仿宋" w:eastAsia="仿宋" w:cs="仿宋"/>
          <w:b w:val="0"/>
          <w:bCs/>
          <w:color w:val="000000"/>
          <w:kern w:val="2"/>
          <w:sz w:val="24"/>
          <w:szCs w:val="24"/>
          <w:u w:val="none"/>
          <w:lang w:val="en-US" w:eastAsia="zh-CN"/>
        </w:rPr>
        <w:t>1）</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=服务期汇总考核扣分之和÷服务期内考核次数</w:t>
      </w:r>
      <w:r>
        <w:rPr>
          <w:rFonts w:hint="eastAsia" w:ascii="仿宋" w:hAnsi="仿宋" w:eastAsia="仿宋" w:cs="仿宋"/>
          <w:color w:val="000000"/>
          <w:kern w:val="2"/>
          <w:sz w:val="24"/>
          <w:szCs w:val="24"/>
          <w:u w:val="none"/>
          <w:lang w:eastAsia="zh-CN"/>
        </w:rPr>
        <w:t>；</w:t>
      </w:r>
    </w:p>
    <w:p w14:paraId="70FEF544">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u w:val="none"/>
        </w:rPr>
        <w:t>2）0分&lt;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≤3分，将对供应商进行诫勉谈话；</w:t>
      </w:r>
    </w:p>
    <w:p w14:paraId="1C254823">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u w:val="none"/>
        </w:rPr>
        <w:t>3）3分&lt;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≤5分，对供应商提出警告，</w:t>
      </w:r>
      <w:r>
        <w:rPr>
          <w:rFonts w:hint="eastAsia" w:ascii="仿宋" w:hAnsi="仿宋" w:eastAsia="仿宋" w:cs="仿宋"/>
          <w:kern w:val="2"/>
          <w:sz w:val="24"/>
          <w:szCs w:val="24"/>
          <w:u w:val="none"/>
        </w:rPr>
        <w:t>从合同待支付金额中或履约保证金中</w:t>
      </w:r>
      <w:r>
        <w:rPr>
          <w:rFonts w:hint="eastAsia" w:ascii="仿宋" w:hAnsi="仿宋" w:eastAsia="仿宋" w:cs="仿宋"/>
          <w:color w:val="000000"/>
          <w:kern w:val="2"/>
          <w:sz w:val="24"/>
          <w:szCs w:val="24"/>
          <w:u w:val="none"/>
        </w:rPr>
        <w:t>扣除合同</w:t>
      </w:r>
      <w:r>
        <w:rPr>
          <w:rFonts w:hint="eastAsia" w:ascii="仿宋" w:hAnsi="仿宋" w:eastAsia="仿宋" w:cs="仿宋"/>
          <w:color w:val="000000"/>
          <w:kern w:val="2"/>
          <w:sz w:val="24"/>
          <w:szCs w:val="24"/>
          <w:u w:val="none"/>
          <w:lang w:val="en-US" w:eastAsia="zh-CN"/>
        </w:rPr>
        <w:t>总</w:t>
      </w:r>
      <w:r>
        <w:rPr>
          <w:rFonts w:hint="eastAsia" w:ascii="仿宋" w:hAnsi="仿宋" w:eastAsia="仿宋" w:cs="仿宋"/>
          <w:color w:val="000000"/>
          <w:kern w:val="2"/>
          <w:sz w:val="24"/>
          <w:szCs w:val="24"/>
          <w:u w:val="none"/>
        </w:rPr>
        <w:t>金额5%费用，扣完为止；</w:t>
      </w:r>
    </w:p>
    <w:p w14:paraId="108835B6">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u w:val="none"/>
        </w:rPr>
        <w:t>4）5分&lt;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≤10分，对供应商提出严重警告，</w:t>
      </w:r>
      <w:r>
        <w:rPr>
          <w:rFonts w:hint="eastAsia" w:ascii="仿宋" w:hAnsi="仿宋" w:eastAsia="仿宋" w:cs="仿宋"/>
          <w:kern w:val="2"/>
          <w:sz w:val="24"/>
          <w:szCs w:val="24"/>
          <w:u w:val="none"/>
        </w:rPr>
        <w:t>从合同待支付金额中或履约保证金中</w:t>
      </w:r>
      <w:r>
        <w:rPr>
          <w:rFonts w:hint="eastAsia" w:ascii="仿宋" w:hAnsi="仿宋" w:eastAsia="仿宋" w:cs="仿宋"/>
          <w:color w:val="000000"/>
          <w:kern w:val="2"/>
          <w:sz w:val="24"/>
          <w:szCs w:val="24"/>
          <w:u w:val="none"/>
        </w:rPr>
        <w:t>扣除合同</w:t>
      </w:r>
      <w:r>
        <w:rPr>
          <w:rFonts w:hint="eastAsia" w:ascii="仿宋" w:hAnsi="仿宋" w:eastAsia="仿宋" w:cs="仿宋"/>
          <w:color w:val="000000"/>
          <w:kern w:val="2"/>
          <w:sz w:val="24"/>
          <w:szCs w:val="24"/>
          <w:u w:val="none"/>
          <w:lang w:val="en-US" w:eastAsia="zh-CN"/>
        </w:rPr>
        <w:t>总</w:t>
      </w:r>
      <w:r>
        <w:rPr>
          <w:rFonts w:hint="eastAsia" w:ascii="仿宋" w:hAnsi="仿宋" w:eastAsia="仿宋" w:cs="仿宋"/>
          <w:color w:val="000000"/>
          <w:kern w:val="2"/>
          <w:sz w:val="24"/>
          <w:szCs w:val="24"/>
          <w:u w:val="none"/>
        </w:rPr>
        <w:t>金额10%费用，扣完为止；</w:t>
      </w:r>
    </w:p>
    <w:p w14:paraId="75239D6E">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lang w:eastAsia="zh-CN"/>
        </w:rPr>
      </w:pPr>
      <w:r>
        <w:rPr>
          <w:rFonts w:hint="eastAsia" w:ascii="仿宋" w:hAnsi="仿宋" w:eastAsia="仿宋" w:cs="仿宋"/>
          <w:color w:val="000000"/>
          <w:kern w:val="2"/>
          <w:sz w:val="24"/>
          <w:szCs w:val="24"/>
          <w:u w:val="none"/>
          <w:lang w:val="en-US" w:eastAsia="zh-CN"/>
        </w:rPr>
        <w:t>5</w:t>
      </w:r>
      <w:r>
        <w:rPr>
          <w:rFonts w:hint="eastAsia" w:ascii="仿宋" w:hAnsi="仿宋" w:eastAsia="仿宋" w:cs="仿宋"/>
          <w:color w:val="000000"/>
          <w:kern w:val="2"/>
          <w:sz w:val="24"/>
          <w:szCs w:val="24"/>
          <w:u w:val="none"/>
        </w:rPr>
        <w:t>）10分&lt;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，视为</w:t>
      </w:r>
      <w:r>
        <w:rPr>
          <w:rStyle w:val="21"/>
          <w:rFonts w:hint="eastAsia" w:ascii="仿宋" w:hAnsi="仿宋" w:eastAsia="仿宋" w:cs="仿宋"/>
          <w:color w:val="000000"/>
          <w:kern w:val="2"/>
          <w:sz w:val="24"/>
          <w:szCs w:val="24"/>
          <w:u w:val="none"/>
        </w:rPr>
        <w:t>不合格</w:t>
      </w:r>
      <w:r>
        <w:rPr>
          <w:rFonts w:hint="eastAsia" w:ascii="仿宋" w:hAnsi="仿宋" w:eastAsia="仿宋" w:cs="仿宋"/>
          <w:color w:val="000000"/>
          <w:kern w:val="2"/>
          <w:sz w:val="24"/>
          <w:szCs w:val="24"/>
          <w:u w:val="none"/>
        </w:rPr>
        <w:t>，终止合同，合同待支付金额</w:t>
      </w:r>
      <w:r>
        <w:rPr>
          <w:rFonts w:hint="eastAsia" w:ascii="仿宋" w:hAnsi="仿宋" w:eastAsia="仿宋" w:cs="仿宋"/>
          <w:color w:val="000000"/>
          <w:kern w:val="2"/>
          <w:sz w:val="24"/>
          <w:szCs w:val="24"/>
          <w:u w:val="none"/>
          <w:lang w:val="en-US" w:eastAsia="zh-CN"/>
        </w:rPr>
        <w:t>不予支付，</w:t>
      </w:r>
      <w:r>
        <w:rPr>
          <w:rFonts w:hint="eastAsia" w:ascii="仿宋" w:hAnsi="仿宋" w:eastAsia="仿宋" w:cs="仿宋"/>
          <w:color w:val="000000"/>
          <w:kern w:val="2"/>
          <w:sz w:val="24"/>
          <w:szCs w:val="24"/>
          <w:u w:val="none"/>
        </w:rPr>
        <w:t>履约保</w:t>
      </w:r>
      <w:r>
        <w:rPr>
          <w:rFonts w:hint="eastAsia" w:ascii="仿宋" w:hAnsi="仿宋" w:eastAsia="仿宋" w:cs="仿宋"/>
          <w:color w:val="000000"/>
          <w:kern w:val="2"/>
          <w:sz w:val="24"/>
          <w:szCs w:val="24"/>
          <w:u w:val="none"/>
          <w:lang w:val="en-US" w:eastAsia="zh-CN"/>
        </w:rPr>
        <w:t>证</w:t>
      </w:r>
      <w:r>
        <w:rPr>
          <w:rFonts w:hint="eastAsia" w:ascii="仿宋" w:hAnsi="仿宋" w:eastAsia="仿宋" w:cs="仿宋"/>
          <w:color w:val="000000"/>
          <w:kern w:val="2"/>
          <w:sz w:val="24"/>
          <w:szCs w:val="24"/>
          <w:u w:val="none"/>
        </w:rPr>
        <w:t>金（如有履约保证金）不予退还</w:t>
      </w:r>
      <w:r>
        <w:rPr>
          <w:rFonts w:hint="eastAsia" w:ascii="仿宋" w:hAnsi="仿宋" w:eastAsia="仿宋" w:cs="仿宋"/>
          <w:color w:val="000000"/>
          <w:kern w:val="2"/>
          <w:sz w:val="24"/>
          <w:szCs w:val="24"/>
          <w:u w:val="none"/>
          <w:lang w:eastAsia="zh-CN"/>
        </w:rPr>
        <w:t>。</w:t>
      </w:r>
    </w:p>
    <w:p w14:paraId="3E387B4A">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b w:val="0"/>
          <w:bCs w:val="0"/>
          <w:color w:val="000000"/>
          <w:kern w:val="2"/>
          <w:sz w:val="24"/>
          <w:szCs w:val="24"/>
          <w:u w:val="none"/>
        </w:rPr>
        <w:t>3.</w:t>
      </w:r>
      <w:r>
        <w:rPr>
          <w:rFonts w:hint="eastAsia" w:ascii="仿宋" w:hAnsi="仿宋" w:eastAsia="仿宋" w:cs="仿宋"/>
          <w:color w:val="000000"/>
          <w:kern w:val="2"/>
          <w:sz w:val="24"/>
          <w:szCs w:val="24"/>
          <w:u w:val="none"/>
        </w:rPr>
        <w:t>供应商出现一票否决时，将对其违法违纪的相关情况汇报院纪委，同时按供应商违约情况取消本次合作，扣除所有剩余款项</w:t>
      </w:r>
      <w:r>
        <w:rPr>
          <w:rFonts w:hint="eastAsia" w:ascii="仿宋" w:hAnsi="仿宋" w:eastAsia="仿宋" w:cs="仿宋"/>
          <w:color w:val="000000"/>
          <w:kern w:val="2"/>
          <w:sz w:val="24"/>
          <w:szCs w:val="24"/>
          <w:u w:val="none"/>
          <w:lang w:eastAsia="zh-CN"/>
        </w:rPr>
        <w:t>，履约保证金不予退还（如本项目要求缴纳履约保证金），并保留后续追究供应商责任的权利。</w:t>
      </w:r>
    </w:p>
    <w:p w14:paraId="48DD2A5B">
      <w:pPr>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ascii="Times New Roman" w:hAnsi="Times New Roman" w:eastAsia="宋体" w:cs="Times New Roman"/>
          <w:sz w:val="24"/>
          <w:szCs w:val="24"/>
          <w:u w:val="none"/>
        </w:rPr>
      </w:pPr>
      <w:r>
        <w:rPr>
          <w:rFonts w:hint="eastAsia" w:ascii="仿宋" w:hAnsi="仿宋" w:eastAsia="仿宋" w:cs="仿宋"/>
          <w:b w:val="0"/>
          <w:bCs w:val="0"/>
          <w:color w:val="000000"/>
          <w:kern w:val="2"/>
          <w:sz w:val="24"/>
          <w:szCs w:val="24"/>
          <w:u w:val="none"/>
        </w:rPr>
        <w:t>4.</w:t>
      </w:r>
      <w:r>
        <w:rPr>
          <w:rFonts w:hint="eastAsia" w:ascii="仿宋" w:hAnsi="仿宋" w:eastAsia="仿宋" w:cs="仿宋"/>
          <w:color w:val="000000"/>
          <w:kern w:val="2"/>
          <w:sz w:val="24"/>
          <w:szCs w:val="24"/>
          <w:u w:val="none"/>
        </w:rPr>
        <w:t>本考核指标最终解释权归四川省医学科学院·四川省人民医院。</w:t>
      </w:r>
    </w:p>
    <w:p w14:paraId="7806636B">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7" w:name="_Toc22827"/>
      <w:bookmarkStart w:id="18" w:name="_Toc3094"/>
      <w:bookmarkStart w:id="19" w:name="_Toc192583770"/>
      <w:r>
        <w:rPr>
          <w:rFonts w:ascii="Times New Roman" w:hAnsi="Times New Roman" w:cs="Times New Roman"/>
        </w:rPr>
        <w:t>响应文件格式</w:t>
      </w:r>
      <w:bookmarkEnd w:id="17"/>
      <w:bookmarkEnd w:id="18"/>
      <w:bookmarkEnd w:id="19"/>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0" w:name="_Toc29819"/>
      <w:bookmarkStart w:id="21" w:name="_Toc5913"/>
      <w:bookmarkStart w:id="22" w:name="_Toc4960"/>
      <w:r>
        <w:rPr>
          <w:rFonts w:ascii="Times New Roman" w:hAnsi="Times New Roman" w:eastAsia="仿宋" w:cs="Times New Roman"/>
          <w:sz w:val="28"/>
          <w:szCs w:val="24"/>
        </w:rPr>
        <w:t>（响应文件封面）</w:t>
      </w:r>
      <w:bookmarkEnd w:id="20"/>
      <w:bookmarkEnd w:id="21"/>
      <w:bookmarkEnd w:id="22"/>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3" w:name="_Toc9428"/>
      <w:bookmarkStart w:id="24" w:name="_Toc30609"/>
      <w:bookmarkStart w:id="25" w:name="_Toc19851"/>
      <w:r>
        <w:rPr>
          <w:rFonts w:ascii="Times New Roman" w:hAnsi="Times New Roman" w:eastAsia="仿宋" w:cs="Times New Roman"/>
          <w:sz w:val="24"/>
          <w:szCs w:val="24"/>
        </w:rPr>
        <w:t>项目名称：</w:t>
      </w:r>
      <w:bookmarkEnd w:id="23"/>
      <w:bookmarkEnd w:id="24"/>
      <w:bookmarkEnd w:id="25"/>
    </w:p>
    <w:p w14:paraId="6056BEE9">
      <w:pPr>
        <w:jc w:val="left"/>
        <w:rPr>
          <w:rFonts w:ascii="Times New Roman" w:hAnsi="Times New Roman" w:eastAsia="仿宋" w:cs="Times New Roman"/>
          <w:sz w:val="24"/>
          <w:szCs w:val="24"/>
        </w:rPr>
      </w:pPr>
      <w:bookmarkStart w:id="26" w:name="_Toc1544"/>
      <w:bookmarkStart w:id="27" w:name="_Toc32352"/>
      <w:bookmarkStart w:id="28" w:name="_Toc9041"/>
      <w:r>
        <w:rPr>
          <w:rFonts w:ascii="Times New Roman" w:hAnsi="Times New Roman" w:eastAsia="仿宋" w:cs="Times New Roman"/>
          <w:sz w:val="24"/>
          <w:szCs w:val="24"/>
        </w:rPr>
        <w:t>项目编号：</w:t>
      </w:r>
      <w:bookmarkEnd w:id="26"/>
      <w:bookmarkEnd w:id="27"/>
      <w:bookmarkEnd w:id="28"/>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9" w:name="_Toc24097"/>
      <w:bookmarkStart w:id="30" w:name="_Toc21472"/>
    </w:p>
    <w:bookmarkEnd w:id="29"/>
    <w:bookmarkEnd w:id="30"/>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1" w:name="_Toc17163"/>
      <w:bookmarkStart w:id="32" w:name="_Toc32749"/>
      <w:bookmarkStart w:id="33" w:name="_Toc1690"/>
      <w:bookmarkStart w:id="34" w:name="_Toc24859"/>
      <w:r>
        <w:rPr>
          <w:rFonts w:ascii="Times New Roman" w:hAnsi="Times New Roman" w:eastAsia="仿宋" w:cs="Times New Roman"/>
          <w:sz w:val="28"/>
          <w:szCs w:val="24"/>
        </w:rPr>
        <w:t>供应商名称（公章）：</w:t>
      </w:r>
      <w:bookmarkEnd w:id="31"/>
      <w:bookmarkEnd w:id="32"/>
      <w:bookmarkEnd w:id="33"/>
      <w:bookmarkEnd w:id="34"/>
    </w:p>
    <w:p w14:paraId="7286C9BE">
      <w:pPr>
        <w:jc w:val="left"/>
        <w:rPr>
          <w:rFonts w:ascii="Times New Roman" w:hAnsi="Times New Roman" w:eastAsia="仿宋" w:cs="Times New Roman"/>
          <w:sz w:val="28"/>
          <w:szCs w:val="24"/>
        </w:rPr>
      </w:pPr>
      <w:bookmarkStart w:id="35" w:name="_Toc3558"/>
      <w:bookmarkStart w:id="36" w:name="_Toc6803"/>
      <w:bookmarkStart w:id="37" w:name="_Toc17905"/>
      <w:bookmarkStart w:id="38" w:name="_Toc24123"/>
      <w:r>
        <w:rPr>
          <w:rFonts w:ascii="Times New Roman" w:hAnsi="Times New Roman" w:eastAsia="仿宋" w:cs="Times New Roman"/>
          <w:sz w:val="28"/>
          <w:szCs w:val="24"/>
        </w:rPr>
        <w:t>法定代表人或授权代理人（签字）：</w:t>
      </w:r>
      <w:bookmarkEnd w:id="35"/>
      <w:bookmarkEnd w:id="36"/>
      <w:bookmarkEnd w:id="37"/>
      <w:bookmarkEnd w:id="38"/>
    </w:p>
    <w:p w14:paraId="37F68485">
      <w:pPr>
        <w:jc w:val="left"/>
        <w:rPr>
          <w:rFonts w:ascii="Times New Roman" w:hAnsi="Times New Roman" w:eastAsia="仿宋" w:cs="Times New Roman"/>
          <w:sz w:val="28"/>
          <w:szCs w:val="24"/>
        </w:rPr>
      </w:pPr>
      <w:bookmarkStart w:id="39" w:name="_Toc27526"/>
      <w:bookmarkStart w:id="40" w:name="_Toc2989"/>
      <w:bookmarkStart w:id="41" w:name="_Toc5996"/>
      <w:bookmarkStart w:id="42" w:name="_Toc27135"/>
      <w:r>
        <w:rPr>
          <w:rFonts w:ascii="Times New Roman" w:hAnsi="Times New Roman" w:eastAsia="仿宋" w:cs="Times New Roman"/>
          <w:sz w:val="28"/>
          <w:szCs w:val="24"/>
        </w:rPr>
        <w:t>联系方式（移动电话）：</w:t>
      </w:r>
      <w:bookmarkEnd w:id="39"/>
      <w:bookmarkEnd w:id="40"/>
      <w:bookmarkEnd w:id="41"/>
      <w:bookmarkEnd w:id="42"/>
    </w:p>
    <w:p w14:paraId="0746BDF5">
      <w:pPr>
        <w:jc w:val="left"/>
        <w:rPr>
          <w:rFonts w:ascii="Times New Roman" w:hAnsi="Times New Roman" w:eastAsia="仿宋" w:cs="Times New Roman"/>
          <w:sz w:val="28"/>
          <w:szCs w:val="24"/>
        </w:rPr>
      </w:pPr>
      <w:bookmarkStart w:id="43" w:name="_Toc2031"/>
      <w:bookmarkStart w:id="44" w:name="_Toc19987"/>
      <w:bookmarkStart w:id="45" w:name="_Toc5056"/>
      <w:bookmarkStart w:id="46" w:name="_Toc7233"/>
      <w:r>
        <w:rPr>
          <w:rFonts w:ascii="Times New Roman" w:hAnsi="Times New Roman" w:eastAsia="仿宋" w:cs="Times New Roman"/>
          <w:sz w:val="28"/>
          <w:szCs w:val="24"/>
        </w:rPr>
        <w:t>日期：     年    月     日</w:t>
      </w:r>
      <w:bookmarkEnd w:id="43"/>
      <w:bookmarkEnd w:id="44"/>
      <w:bookmarkEnd w:id="45"/>
      <w:bookmarkEnd w:id="46"/>
    </w:p>
    <w:p w14:paraId="3FF21919">
      <w:pPr>
        <w:jc w:val="center"/>
        <w:rPr>
          <w:rFonts w:ascii="Times New Roman" w:hAnsi="Times New Roman" w:eastAsia="仿宋" w:cs="Times New Roman"/>
          <w:sz w:val="32"/>
          <w:szCs w:val="40"/>
        </w:rPr>
      </w:pPr>
      <w:bookmarkStart w:id="47" w:name="_Toc3023"/>
      <w:bookmarkStart w:id="48" w:name="_Toc21519"/>
      <w:bookmarkStart w:id="49" w:name="_Toc11352"/>
      <w:bookmarkStart w:id="50" w:name="_Toc16029"/>
      <w:bookmarkStart w:id="51" w:name="_Toc14829"/>
      <w:bookmarkStart w:id="52" w:name="_Toc6482"/>
    </w:p>
    <w:p w14:paraId="45B9BDA8">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1ADAD40">
      <w:pPr>
        <w:pStyle w:val="3"/>
        <w:ind w:firstLine="0"/>
      </w:pPr>
      <w:r>
        <w:t>承诺函</w:t>
      </w:r>
      <w:bookmarkEnd w:id="47"/>
      <w:bookmarkEnd w:id="48"/>
      <w:bookmarkEnd w:id="49"/>
      <w:bookmarkEnd w:id="50"/>
      <w:bookmarkEnd w:id="51"/>
      <w:bookmarkEnd w:id="52"/>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3" w:name="_Toc4305"/>
      <w:bookmarkStart w:id="54" w:name="_Toc31838"/>
      <w:bookmarkStart w:id="55" w:name="_Toc22676"/>
      <w:bookmarkStart w:id="56" w:name="_Toc17857"/>
      <w:bookmarkStart w:id="57" w:name="_Toc30971"/>
      <w:r>
        <w:rPr>
          <w:rFonts w:ascii="Times New Roman" w:hAnsi="Times New Roman" w:cs="Times New Roman"/>
        </w:rPr>
        <w:br w:type="page"/>
      </w:r>
    </w:p>
    <w:p w14:paraId="23ED41BF">
      <w:pPr>
        <w:pStyle w:val="3"/>
        <w:ind w:firstLine="0"/>
      </w:pPr>
      <w:r>
        <w:t>具有独立承担民事责任的能力</w:t>
      </w:r>
      <w:bookmarkEnd w:id="53"/>
      <w:bookmarkEnd w:id="54"/>
      <w:bookmarkEnd w:id="55"/>
      <w:bookmarkEnd w:id="56"/>
      <w:bookmarkEnd w:id="57"/>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2"/>
          <w:szCs w:val="28"/>
        </w:rPr>
      </w:pPr>
      <w:r>
        <w:rPr>
          <w:bCs/>
        </w:rPr>
        <w:br w:type="page"/>
      </w:r>
      <w:bookmarkStart w:id="58" w:name="_Toc15613"/>
      <w:bookmarkStart w:id="59" w:name="_Toc27186"/>
      <w:bookmarkStart w:id="60"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8"/>
      <w:bookmarkEnd w:id="59"/>
      <w:bookmarkStart w:id="61" w:name="_Toc13904"/>
      <w:bookmarkStart w:id="62" w:name="_Toc13706"/>
      <w:bookmarkStart w:id="63" w:name="_Toc25357"/>
    </w:p>
    <w:p w14:paraId="6BE6D0D2">
      <w:pPr>
        <w:pStyle w:val="3"/>
        <w:ind w:firstLine="0"/>
        <w:rPr>
          <w:szCs w:val="32"/>
        </w:rPr>
      </w:pPr>
      <w:bookmarkStart w:id="64" w:name="_Toc15508"/>
      <w:bookmarkStart w:id="65" w:name="_Toc23146"/>
      <w:r>
        <w:t>本项目其他资格条件提供的证明材料</w:t>
      </w:r>
      <w:bookmarkEnd w:id="60"/>
      <w:bookmarkEnd w:id="61"/>
      <w:bookmarkEnd w:id="62"/>
      <w:bookmarkEnd w:id="63"/>
      <w:bookmarkEnd w:id="64"/>
      <w:bookmarkEnd w:id="65"/>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1"/>
        <w:ind w:left="420" w:leftChars="200"/>
        <w:jc w:val="both"/>
        <w:rPr>
          <w:rFonts w:ascii="Times New Roman" w:hAnsi="Times New Roman" w:eastAsia="仿宋" w:cs="Times New Roman"/>
          <w:color w:val="auto"/>
        </w:rPr>
      </w:pPr>
    </w:p>
    <w:p w14:paraId="15610D65">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6" w:name="_Toc25638"/>
      <w:bookmarkStart w:id="67" w:name="_Toc27661"/>
      <w:bookmarkStart w:id="68" w:name="_Toc12015"/>
      <w:bookmarkStart w:id="69" w:name="_Toc15526"/>
      <w:bookmarkStart w:id="70" w:name="_Toc20589"/>
      <w:bookmarkStart w:id="71" w:name="_Toc11351"/>
      <w:r>
        <w:rPr>
          <w:rStyle w:val="40"/>
          <w:b/>
        </w:rPr>
        <w:t>法定代表人身份证明书</w:t>
      </w:r>
      <w:bookmarkEnd w:id="66"/>
      <w:bookmarkEnd w:id="67"/>
      <w:bookmarkEnd w:id="68"/>
      <w:bookmarkEnd w:id="69"/>
      <w:bookmarkEnd w:id="70"/>
      <w:bookmarkEnd w:id="71"/>
    </w:p>
    <w:p w14:paraId="3A3BA539">
      <w:pPr>
        <w:pStyle w:val="31"/>
        <w:jc w:val="center"/>
        <w:rPr>
          <w:rFonts w:ascii="Times New Roman" w:hAnsi="Times New Roman" w:eastAsia="仿宋" w:cs="Times New Roman"/>
          <w:color w:val="auto"/>
        </w:rPr>
      </w:pPr>
    </w:p>
    <w:p w14:paraId="1D3E4E35">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1"/>
        <w:jc w:val="center"/>
        <w:rPr>
          <w:rFonts w:ascii="Times New Roman" w:hAnsi="Times New Roman" w:eastAsia="仿宋" w:cs="Times New Roman"/>
          <w:color w:val="auto"/>
        </w:rPr>
      </w:pPr>
    </w:p>
    <w:p w14:paraId="296D8A83">
      <w:pPr>
        <w:pStyle w:val="31"/>
        <w:jc w:val="center"/>
        <w:rPr>
          <w:rFonts w:ascii="Times New Roman" w:hAnsi="Times New Roman" w:eastAsia="仿宋" w:cs="Times New Roman"/>
          <w:color w:val="auto"/>
        </w:rPr>
      </w:pPr>
    </w:p>
    <w:p w14:paraId="6A679389">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1"/>
        <w:jc w:val="both"/>
        <w:rPr>
          <w:rFonts w:ascii="Times New Roman" w:hAnsi="Times New Roman" w:eastAsia="仿宋" w:cs="Times New Roman"/>
          <w:color w:val="auto"/>
        </w:rPr>
      </w:pPr>
    </w:p>
    <w:p w14:paraId="1381E3FD">
      <w:pPr>
        <w:pStyle w:val="31"/>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1"/>
        <w:jc w:val="center"/>
        <w:rPr>
          <w:rFonts w:ascii="Times New Roman" w:hAnsi="Times New Roman" w:eastAsia="仿宋" w:cs="Times New Roman"/>
          <w:color w:val="auto"/>
        </w:rPr>
      </w:pPr>
    </w:p>
    <w:p w14:paraId="2EEFDF95">
      <w:pPr>
        <w:pStyle w:val="31"/>
        <w:jc w:val="center"/>
        <w:rPr>
          <w:rFonts w:ascii="Times New Roman" w:hAnsi="Times New Roman" w:eastAsia="仿宋" w:cs="Times New Roman"/>
          <w:color w:val="auto"/>
        </w:rPr>
      </w:pPr>
    </w:p>
    <w:p w14:paraId="4361194A">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1"/>
        <w:jc w:val="both"/>
        <w:rPr>
          <w:rFonts w:ascii="Times New Roman" w:hAnsi="Times New Roman" w:eastAsia="仿宋" w:cs="Times New Roman"/>
          <w:color w:val="auto"/>
          <w:sz w:val="32"/>
          <w:szCs w:val="32"/>
        </w:rPr>
      </w:pPr>
    </w:p>
    <w:p w14:paraId="6EE83E0D">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5EA16FDB">
      <w:pPr>
        <w:pStyle w:val="31"/>
        <w:jc w:val="center"/>
        <w:rPr>
          <w:rFonts w:ascii="Times New Roman" w:hAnsi="Times New Roman" w:eastAsia="仿宋" w:cs="Times New Roman"/>
          <w:b/>
          <w:bCs/>
          <w:color w:val="auto"/>
        </w:rPr>
      </w:pPr>
    </w:p>
    <w:p w14:paraId="724D1D6A">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1"/>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2" w:name="_Toc16435"/>
      <w:bookmarkStart w:id="73" w:name="_Toc2041"/>
      <w:bookmarkStart w:id="74" w:name="_Toc23967"/>
      <w:bookmarkStart w:id="75" w:name="_Toc1074"/>
      <w:bookmarkStart w:id="76" w:name="_Toc12967"/>
      <w:bookmarkStart w:id="77" w:name="_Toc26969"/>
      <w:r>
        <w:rPr>
          <w:rStyle w:val="40"/>
          <w:b/>
        </w:rPr>
        <w:t>采购需求偏离表</w:t>
      </w:r>
      <w:bookmarkEnd w:id="72"/>
      <w:bookmarkEnd w:id="73"/>
      <w:bookmarkEnd w:id="74"/>
      <w:bookmarkEnd w:id="75"/>
      <w:bookmarkEnd w:id="76"/>
      <w:bookmarkEnd w:id="77"/>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8"/>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1"/>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8" w:name="_Toc1369"/>
      <w:bookmarkStart w:id="79" w:name="_Toc31686"/>
      <w:bookmarkStart w:id="80" w:name="_Toc26839"/>
      <w:bookmarkStart w:id="81" w:name="_Toc21082"/>
      <w:bookmarkStart w:id="82" w:name="_Toc24806"/>
      <w:bookmarkStart w:id="83" w:name="_Toc28634"/>
      <w:r>
        <w:rPr>
          <w:rStyle w:val="40"/>
          <w:b/>
        </w:rPr>
        <w:t>评分需要提供的证明材料</w:t>
      </w:r>
      <w:bookmarkEnd w:id="78"/>
      <w:bookmarkEnd w:id="79"/>
      <w:bookmarkEnd w:id="80"/>
      <w:bookmarkEnd w:id="81"/>
      <w:bookmarkEnd w:id="82"/>
      <w:bookmarkEnd w:id="83"/>
    </w:p>
    <w:p w14:paraId="5023EAE2">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1"/>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4" w:name="_Toc24494"/>
      <w:bookmarkStart w:id="85" w:name="_Toc3871"/>
      <w:bookmarkStart w:id="86" w:name="_Toc32605"/>
    </w:p>
    <w:p w14:paraId="05758452">
      <w:pPr>
        <w:pStyle w:val="3"/>
        <w:ind w:firstLine="0"/>
      </w:pPr>
      <w:bookmarkStart w:id="87" w:name="_Toc15065"/>
      <w:r>
        <w:t>报价单</w:t>
      </w:r>
      <w:bookmarkEnd w:id="87"/>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42BCF06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5603733">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73282CF">
      <w:pPr>
        <w:rPr>
          <w:lang w:val="zh-TW"/>
        </w:rPr>
      </w:pPr>
    </w:p>
    <w:p w14:paraId="27D10C87">
      <w:pPr>
        <w:pStyle w:val="7"/>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1.报价一览表</w:t>
      </w:r>
    </w:p>
    <w:tbl>
      <w:tblPr>
        <w:tblStyle w:val="1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092"/>
        <w:gridCol w:w="3646"/>
        <w:gridCol w:w="1093"/>
        <w:gridCol w:w="1093"/>
        <w:gridCol w:w="2917"/>
      </w:tblGrid>
      <w:tr w14:paraId="2FBCC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555" w:type="pct"/>
            <w:shd w:val="clear" w:color="auto" w:fill="auto"/>
            <w:tcMar>
              <w:top w:w="0" w:type="dxa"/>
              <w:left w:w="105" w:type="dxa"/>
              <w:bottom w:w="0" w:type="dxa"/>
              <w:right w:w="105" w:type="dxa"/>
            </w:tcMar>
            <w:vAlign w:val="center"/>
          </w:tcPr>
          <w:p w14:paraId="32BBAC48">
            <w:pPr>
              <w:widowControl/>
              <w:ind w:left="0" w:leftChars="0" w:right="0" w:rightChars="0" w:firstLine="0" w:firstLineChars="0"/>
              <w:jc w:val="center"/>
              <w:rPr>
                <w:rFonts w:hint="eastAsia" w:ascii="仿宋" w:hAnsi="仿宋" w:eastAsia="仿宋" w:cs="仿宋"/>
                <w:sz w:val="24"/>
                <w:szCs w:val="24"/>
                <w:lang w:val="zh-TW" w:eastAsia="zh-CN"/>
              </w:rPr>
            </w:pPr>
            <w:r>
              <w:rPr>
                <w:rFonts w:hint="eastAsia" w:ascii="仿宋" w:hAnsi="仿宋" w:eastAsia="仿宋" w:cs="仿宋"/>
                <w:sz w:val="24"/>
                <w:szCs w:val="24"/>
                <w:lang w:val="zh-TW" w:eastAsia="zh-CN"/>
              </w:rPr>
              <w:t>序号</w:t>
            </w:r>
          </w:p>
        </w:tc>
        <w:tc>
          <w:tcPr>
            <w:tcW w:w="1852" w:type="pct"/>
            <w:shd w:val="clear" w:color="auto" w:fill="auto"/>
            <w:tcMar>
              <w:top w:w="0" w:type="dxa"/>
              <w:left w:w="105" w:type="dxa"/>
              <w:bottom w:w="0" w:type="dxa"/>
              <w:right w:w="105" w:type="dxa"/>
            </w:tcMar>
            <w:vAlign w:val="center"/>
          </w:tcPr>
          <w:p w14:paraId="23B3D153">
            <w:pPr>
              <w:widowControl/>
              <w:ind w:left="0" w:leftChars="0" w:right="0" w:rightChars="0" w:firstLine="0" w:firstLineChars="0"/>
              <w:jc w:val="center"/>
              <w:rPr>
                <w:rFonts w:hint="eastAsia" w:ascii="仿宋" w:hAnsi="仿宋" w:eastAsia="仿宋" w:cs="仿宋"/>
                <w:sz w:val="24"/>
                <w:szCs w:val="24"/>
                <w:lang w:val="zh-TW" w:eastAsia="zh-CN"/>
              </w:rPr>
            </w:pPr>
            <w:r>
              <w:rPr>
                <w:rFonts w:hint="eastAsia" w:ascii="仿宋" w:hAnsi="仿宋" w:eastAsia="仿宋" w:cs="仿宋"/>
                <w:sz w:val="24"/>
                <w:szCs w:val="24"/>
                <w:lang w:val="zh-TW" w:eastAsia="zh-CN"/>
              </w:rPr>
              <w:t>品名</w:t>
            </w:r>
          </w:p>
        </w:tc>
        <w:tc>
          <w:tcPr>
            <w:tcW w:w="555" w:type="pct"/>
            <w:shd w:val="clear" w:color="auto" w:fill="auto"/>
            <w:tcMar>
              <w:top w:w="0" w:type="dxa"/>
              <w:left w:w="105" w:type="dxa"/>
              <w:bottom w:w="0" w:type="dxa"/>
              <w:right w:w="105" w:type="dxa"/>
            </w:tcMar>
            <w:vAlign w:val="center"/>
          </w:tcPr>
          <w:p w14:paraId="769EC52B">
            <w:pPr>
              <w:widowControl/>
              <w:ind w:left="0" w:leftChars="0" w:right="0" w:rightChars="0" w:firstLine="0" w:firstLineChars="0"/>
              <w:jc w:val="center"/>
              <w:rPr>
                <w:rFonts w:hint="eastAsia" w:ascii="仿宋" w:hAnsi="仿宋" w:eastAsia="仿宋" w:cs="仿宋"/>
                <w:sz w:val="24"/>
                <w:szCs w:val="24"/>
                <w:lang w:val="zh-TW" w:eastAsia="zh-CN"/>
              </w:rPr>
            </w:pPr>
            <w:r>
              <w:rPr>
                <w:rFonts w:hint="eastAsia" w:ascii="仿宋" w:hAnsi="仿宋" w:eastAsia="仿宋" w:cs="仿宋"/>
                <w:sz w:val="24"/>
                <w:szCs w:val="24"/>
                <w:lang w:val="zh-TW" w:eastAsia="zh-CN"/>
              </w:rPr>
              <w:t>数量</w:t>
            </w:r>
          </w:p>
        </w:tc>
        <w:tc>
          <w:tcPr>
            <w:tcW w:w="555" w:type="pct"/>
            <w:shd w:val="clear" w:color="auto" w:fill="auto"/>
            <w:tcMar>
              <w:top w:w="0" w:type="dxa"/>
              <w:left w:w="105" w:type="dxa"/>
              <w:bottom w:w="0" w:type="dxa"/>
              <w:right w:w="105" w:type="dxa"/>
            </w:tcMar>
            <w:vAlign w:val="center"/>
          </w:tcPr>
          <w:p w14:paraId="3C512E1E">
            <w:pPr>
              <w:widowControl/>
              <w:ind w:left="0" w:leftChars="0" w:right="0" w:rightChars="0" w:firstLine="0" w:firstLineChars="0"/>
              <w:jc w:val="center"/>
              <w:rPr>
                <w:rFonts w:hint="eastAsia" w:ascii="仿宋" w:hAnsi="仿宋" w:eastAsia="仿宋" w:cs="仿宋"/>
                <w:sz w:val="24"/>
                <w:szCs w:val="24"/>
                <w:lang w:val="zh-TW" w:eastAsia="zh-CN"/>
              </w:rPr>
            </w:pPr>
            <w:r>
              <w:rPr>
                <w:rFonts w:hint="eastAsia" w:ascii="仿宋" w:hAnsi="仿宋" w:eastAsia="仿宋" w:cs="仿宋"/>
                <w:sz w:val="24"/>
                <w:szCs w:val="24"/>
                <w:lang w:val="zh-TW" w:eastAsia="zh-CN"/>
              </w:rPr>
              <w:t>单位</w:t>
            </w:r>
          </w:p>
        </w:tc>
        <w:tc>
          <w:tcPr>
            <w:tcW w:w="1481" w:type="pct"/>
            <w:shd w:val="clear" w:color="auto" w:fill="auto"/>
            <w:tcMar>
              <w:top w:w="0" w:type="dxa"/>
              <w:left w:w="105" w:type="dxa"/>
              <w:bottom w:w="0" w:type="dxa"/>
              <w:right w:w="105" w:type="dxa"/>
            </w:tcMar>
            <w:vAlign w:val="center"/>
          </w:tcPr>
          <w:p w14:paraId="33C27ECD">
            <w:pPr>
              <w:widowControl/>
              <w:ind w:left="0" w:leftChars="0" w:right="0" w:rightChars="0" w:firstLine="0" w:firstLineChars="0"/>
              <w:jc w:val="center"/>
              <w:rPr>
                <w:rFonts w:hint="eastAsia" w:ascii="仿宋" w:hAnsi="仿宋" w:eastAsia="仿宋" w:cs="仿宋"/>
                <w:sz w:val="24"/>
                <w:szCs w:val="24"/>
                <w:lang w:val="zh-TW" w:eastAsia="zh-CN"/>
              </w:rPr>
            </w:pPr>
            <w:r>
              <w:rPr>
                <w:rFonts w:hint="eastAsia" w:ascii="仿宋" w:hAnsi="仿宋" w:eastAsia="仿宋" w:cs="仿宋"/>
                <w:sz w:val="24"/>
                <w:szCs w:val="24"/>
                <w:lang w:val="en-US" w:eastAsia="zh-CN"/>
              </w:rPr>
              <w:t>分项报价</w:t>
            </w:r>
            <w:r>
              <w:rPr>
                <w:rFonts w:hint="eastAsia" w:ascii="仿宋" w:hAnsi="仿宋" w:eastAsia="仿宋" w:cs="仿宋"/>
                <w:sz w:val="24"/>
                <w:szCs w:val="24"/>
                <w:lang w:val="zh-TW" w:eastAsia="zh-CN"/>
              </w:rPr>
              <w:t>（元）</w:t>
            </w:r>
          </w:p>
        </w:tc>
      </w:tr>
      <w:tr w14:paraId="27062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55" w:type="pct"/>
            <w:shd w:val="clear" w:color="auto" w:fill="auto"/>
            <w:tcMar>
              <w:top w:w="0" w:type="dxa"/>
              <w:left w:w="105" w:type="dxa"/>
              <w:bottom w:w="0" w:type="dxa"/>
              <w:right w:w="105" w:type="dxa"/>
            </w:tcMar>
            <w:vAlign w:val="center"/>
          </w:tcPr>
          <w:p w14:paraId="018C9819">
            <w:pPr>
              <w:widowControl/>
              <w:ind w:left="0" w:leftChars="0" w:right="0" w:rightChars="0" w:firstLine="0" w:firstLineChars="0"/>
              <w:jc w:val="center"/>
              <w:rPr>
                <w:rFonts w:hint="eastAsia" w:ascii="仿宋" w:hAnsi="仿宋" w:eastAsia="仿宋" w:cs="仿宋"/>
                <w:sz w:val="24"/>
                <w:szCs w:val="24"/>
                <w:lang w:val="zh-TW" w:eastAsia="zh-CN"/>
              </w:rPr>
            </w:pPr>
            <w:r>
              <w:rPr>
                <w:rFonts w:hint="eastAsia" w:ascii="仿宋" w:hAnsi="仿宋" w:eastAsia="仿宋" w:cs="仿宋"/>
                <w:sz w:val="24"/>
                <w:szCs w:val="24"/>
                <w:lang w:val="zh-TW" w:eastAsia="zh-CN"/>
              </w:rPr>
              <w:t>1</w:t>
            </w:r>
          </w:p>
        </w:tc>
        <w:tc>
          <w:tcPr>
            <w:tcW w:w="1852" w:type="pct"/>
            <w:shd w:val="clear" w:color="auto" w:fill="auto"/>
            <w:tcMar>
              <w:top w:w="0" w:type="dxa"/>
              <w:left w:w="105" w:type="dxa"/>
              <w:bottom w:w="0" w:type="dxa"/>
              <w:right w:w="105" w:type="dxa"/>
            </w:tcMar>
            <w:vAlign w:val="center"/>
          </w:tcPr>
          <w:p w14:paraId="44A4866D">
            <w:pPr>
              <w:widowControl/>
              <w:ind w:left="0" w:leftChars="0" w:right="0" w:rightChars="0" w:firstLine="0" w:firstLineChars="0"/>
              <w:jc w:val="center"/>
              <w:rPr>
                <w:rFonts w:hint="eastAsia" w:ascii="仿宋" w:hAnsi="仿宋" w:eastAsia="仿宋" w:cs="仿宋"/>
                <w:sz w:val="24"/>
                <w:szCs w:val="24"/>
                <w:lang w:val="zh-TW" w:eastAsia="zh-CN"/>
              </w:rPr>
            </w:pPr>
            <w:r>
              <w:rPr>
                <w:rFonts w:hint="eastAsia" w:ascii="仿宋" w:hAnsi="仿宋" w:eastAsia="仿宋" w:cs="仿宋"/>
                <w:sz w:val="24"/>
                <w:szCs w:val="24"/>
                <w:lang w:val="zh-TW" w:eastAsia="zh-CN"/>
              </w:rPr>
              <w:t>发票池管理平台</w:t>
            </w:r>
          </w:p>
        </w:tc>
        <w:tc>
          <w:tcPr>
            <w:tcW w:w="555" w:type="pct"/>
            <w:shd w:val="clear" w:color="auto" w:fill="auto"/>
            <w:tcMar>
              <w:top w:w="0" w:type="dxa"/>
              <w:left w:w="105" w:type="dxa"/>
              <w:bottom w:w="0" w:type="dxa"/>
              <w:right w:w="105" w:type="dxa"/>
            </w:tcMar>
            <w:vAlign w:val="center"/>
          </w:tcPr>
          <w:p w14:paraId="487F9E2E">
            <w:pPr>
              <w:widowControl/>
              <w:ind w:left="0" w:leftChars="0" w:right="0" w:rightChars="0" w:firstLine="0" w:firstLineChars="0"/>
              <w:jc w:val="center"/>
              <w:rPr>
                <w:rFonts w:hint="eastAsia" w:ascii="仿宋" w:hAnsi="仿宋" w:eastAsia="仿宋" w:cs="仿宋"/>
                <w:sz w:val="24"/>
                <w:szCs w:val="24"/>
                <w:lang w:val="zh-TW" w:eastAsia="zh-CN"/>
              </w:rPr>
            </w:pPr>
            <w:r>
              <w:rPr>
                <w:rFonts w:hint="eastAsia" w:ascii="仿宋" w:hAnsi="仿宋" w:eastAsia="仿宋" w:cs="仿宋"/>
                <w:sz w:val="24"/>
                <w:szCs w:val="24"/>
                <w:lang w:val="zh-TW" w:eastAsia="zh-CN"/>
              </w:rPr>
              <w:t>1</w:t>
            </w:r>
          </w:p>
        </w:tc>
        <w:tc>
          <w:tcPr>
            <w:tcW w:w="555" w:type="pct"/>
            <w:shd w:val="clear" w:color="auto" w:fill="auto"/>
            <w:tcMar>
              <w:top w:w="0" w:type="dxa"/>
              <w:left w:w="105" w:type="dxa"/>
              <w:bottom w:w="0" w:type="dxa"/>
              <w:right w:w="105" w:type="dxa"/>
            </w:tcMar>
            <w:vAlign w:val="center"/>
          </w:tcPr>
          <w:p w14:paraId="229F28C7">
            <w:pPr>
              <w:widowControl/>
              <w:ind w:left="0" w:leftChars="0" w:right="0" w:rightChars="0" w:firstLine="0" w:firstLineChars="0"/>
              <w:jc w:val="center"/>
              <w:rPr>
                <w:rFonts w:hint="eastAsia" w:ascii="仿宋" w:hAnsi="仿宋" w:eastAsia="仿宋" w:cs="仿宋"/>
                <w:sz w:val="24"/>
                <w:szCs w:val="24"/>
                <w:lang w:val="zh-TW" w:eastAsia="zh-CN"/>
              </w:rPr>
            </w:pPr>
            <w:r>
              <w:rPr>
                <w:rFonts w:hint="eastAsia" w:ascii="仿宋" w:hAnsi="仿宋" w:eastAsia="仿宋" w:cs="仿宋"/>
                <w:sz w:val="24"/>
                <w:szCs w:val="24"/>
                <w:lang w:val="zh-TW" w:eastAsia="zh-CN"/>
              </w:rPr>
              <w:t>套</w:t>
            </w:r>
          </w:p>
        </w:tc>
        <w:tc>
          <w:tcPr>
            <w:tcW w:w="1481" w:type="pct"/>
            <w:shd w:val="clear" w:color="auto" w:fill="auto"/>
            <w:tcMar>
              <w:top w:w="0" w:type="dxa"/>
              <w:left w:w="105" w:type="dxa"/>
              <w:bottom w:w="0" w:type="dxa"/>
              <w:right w:w="105" w:type="dxa"/>
            </w:tcMar>
            <w:vAlign w:val="center"/>
          </w:tcPr>
          <w:p w14:paraId="3742DA60">
            <w:pPr>
              <w:widowControl/>
              <w:ind w:left="0" w:leftChars="0" w:right="0" w:rightChars="0" w:firstLine="0" w:firstLineChars="0"/>
              <w:jc w:val="center"/>
              <w:rPr>
                <w:rFonts w:hint="eastAsia" w:ascii="仿宋" w:hAnsi="仿宋" w:eastAsia="仿宋" w:cs="仿宋"/>
                <w:sz w:val="24"/>
                <w:szCs w:val="24"/>
                <w:lang w:val="zh-TW" w:eastAsia="zh-CN"/>
              </w:rPr>
            </w:pPr>
          </w:p>
        </w:tc>
      </w:tr>
      <w:tr w14:paraId="64477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55" w:type="pct"/>
            <w:shd w:val="clear" w:color="auto" w:fill="auto"/>
            <w:tcMar>
              <w:top w:w="0" w:type="dxa"/>
              <w:left w:w="105" w:type="dxa"/>
              <w:bottom w:w="0" w:type="dxa"/>
              <w:right w:w="105" w:type="dxa"/>
            </w:tcMar>
            <w:vAlign w:val="center"/>
          </w:tcPr>
          <w:p w14:paraId="054495EA">
            <w:pPr>
              <w:widowControl/>
              <w:ind w:left="0" w:leftChars="0" w:right="0" w:rightChars="0" w:firstLine="0" w:firstLineChars="0"/>
              <w:jc w:val="center"/>
              <w:rPr>
                <w:rFonts w:hint="eastAsia" w:ascii="仿宋" w:hAnsi="仿宋" w:eastAsia="仿宋" w:cs="仿宋"/>
                <w:sz w:val="24"/>
                <w:szCs w:val="24"/>
                <w:lang w:val="zh-TW" w:eastAsia="zh-CN"/>
              </w:rPr>
            </w:pPr>
            <w:r>
              <w:rPr>
                <w:rFonts w:hint="eastAsia" w:ascii="仿宋" w:hAnsi="仿宋" w:eastAsia="仿宋" w:cs="仿宋"/>
                <w:sz w:val="24"/>
                <w:szCs w:val="24"/>
                <w:lang w:val="zh-TW" w:eastAsia="zh-CN"/>
              </w:rPr>
              <w:t>2</w:t>
            </w:r>
          </w:p>
        </w:tc>
        <w:tc>
          <w:tcPr>
            <w:tcW w:w="1852" w:type="pct"/>
            <w:shd w:val="clear" w:color="auto" w:fill="auto"/>
            <w:tcMar>
              <w:top w:w="0" w:type="dxa"/>
              <w:left w:w="105" w:type="dxa"/>
              <w:bottom w:w="0" w:type="dxa"/>
              <w:right w:w="105" w:type="dxa"/>
            </w:tcMar>
            <w:vAlign w:val="center"/>
          </w:tcPr>
          <w:p w14:paraId="42390EE0">
            <w:pPr>
              <w:widowControl/>
              <w:ind w:left="0" w:leftChars="0" w:right="0" w:rightChars="0" w:firstLine="0" w:firstLineChars="0"/>
              <w:jc w:val="center"/>
              <w:rPr>
                <w:rFonts w:hint="eastAsia" w:ascii="仿宋" w:hAnsi="仿宋" w:eastAsia="仿宋" w:cs="仿宋"/>
                <w:sz w:val="24"/>
                <w:szCs w:val="24"/>
                <w:lang w:val="zh-TW" w:eastAsia="zh-CN"/>
              </w:rPr>
            </w:pPr>
            <w:r>
              <w:rPr>
                <w:rFonts w:hint="eastAsia" w:ascii="仿宋" w:hAnsi="仿宋" w:eastAsia="仿宋" w:cs="仿宋"/>
                <w:sz w:val="24"/>
                <w:szCs w:val="24"/>
                <w:lang w:val="zh-TW" w:eastAsia="zh-CN"/>
              </w:rPr>
              <w:t>发票核验及接口年费</w:t>
            </w:r>
          </w:p>
        </w:tc>
        <w:tc>
          <w:tcPr>
            <w:tcW w:w="555" w:type="pct"/>
            <w:shd w:val="clear" w:color="auto" w:fill="auto"/>
            <w:tcMar>
              <w:top w:w="0" w:type="dxa"/>
              <w:left w:w="105" w:type="dxa"/>
              <w:bottom w:w="0" w:type="dxa"/>
              <w:right w:w="105" w:type="dxa"/>
            </w:tcMar>
            <w:vAlign w:val="center"/>
          </w:tcPr>
          <w:p w14:paraId="4A5DE7F0">
            <w:pPr>
              <w:widowControl/>
              <w:ind w:left="0" w:leftChars="0" w:right="0" w:rightChars="0" w:firstLine="0" w:firstLineChars="0"/>
              <w:jc w:val="center"/>
              <w:rPr>
                <w:rFonts w:hint="eastAsia" w:ascii="仿宋" w:hAnsi="仿宋" w:eastAsia="仿宋" w:cs="仿宋"/>
                <w:sz w:val="24"/>
                <w:szCs w:val="24"/>
                <w:lang w:val="zh-TW" w:eastAsia="zh-CN"/>
              </w:rPr>
            </w:pPr>
            <w:r>
              <w:rPr>
                <w:rFonts w:hint="eastAsia" w:ascii="仿宋" w:hAnsi="仿宋" w:eastAsia="仿宋" w:cs="仿宋"/>
                <w:sz w:val="24"/>
                <w:szCs w:val="24"/>
                <w:lang w:val="zh-TW" w:eastAsia="zh-CN"/>
              </w:rPr>
              <w:t>1</w:t>
            </w:r>
          </w:p>
        </w:tc>
        <w:tc>
          <w:tcPr>
            <w:tcW w:w="555" w:type="pct"/>
            <w:shd w:val="clear" w:color="auto" w:fill="auto"/>
            <w:tcMar>
              <w:top w:w="0" w:type="dxa"/>
              <w:left w:w="105" w:type="dxa"/>
              <w:bottom w:w="0" w:type="dxa"/>
              <w:right w:w="105" w:type="dxa"/>
            </w:tcMar>
            <w:vAlign w:val="center"/>
          </w:tcPr>
          <w:p w14:paraId="0ED0B5FB">
            <w:pPr>
              <w:widowControl/>
              <w:ind w:left="0" w:leftChars="0" w:right="0" w:rightChars="0"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项</w:t>
            </w:r>
            <w:bookmarkStart w:id="98" w:name="_GoBack"/>
            <w:bookmarkEnd w:id="98"/>
          </w:p>
        </w:tc>
        <w:tc>
          <w:tcPr>
            <w:tcW w:w="1481" w:type="pct"/>
            <w:shd w:val="clear" w:color="auto" w:fill="auto"/>
            <w:tcMar>
              <w:top w:w="0" w:type="dxa"/>
              <w:left w:w="105" w:type="dxa"/>
              <w:bottom w:w="0" w:type="dxa"/>
              <w:right w:w="105" w:type="dxa"/>
            </w:tcMar>
            <w:vAlign w:val="center"/>
          </w:tcPr>
          <w:p w14:paraId="06112306">
            <w:pPr>
              <w:widowControl/>
              <w:ind w:left="0" w:leftChars="0" w:right="0" w:rightChars="0" w:firstLine="0" w:firstLineChars="0"/>
              <w:jc w:val="center"/>
              <w:rPr>
                <w:rFonts w:hint="eastAsia" w:ascii="仿宋" w:hAnsi="仿宋" w:eastAsia="仿宋" w:cs="仿宋"/>
                <w:sz w:val="24"/>
                <w:szCs w:val="24"/>
                <w:lang w:val="zh-TW" w:eastAsia="zh-CN"/>
              </w:rPr>
            </w:pPr>
          </w:p>
        </w:tc>
      </w:tr>
      <w:tr w14:paraId="3A311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555" w:type="pct"/>
            <w:shd w:val="clear" w:color="auto" w:fill="auto"/>
            <w:tcMar>
              <w:top w:w="0" w:type="dxa"/>
              <w:left w:w="105" w:type="dxa"/>
              <w:bottom w:w="0" w:type="dxa"/>
              <w:right w:w="105" w:type="dxa"/>
            </w:tcMar>
            <w:vAlign w:val="center"/>
          </w:tcPr>
          <w:p w14:paraId="6330F388">
            <w:pPr>
              <w:widowControl/>
              <w:ind w:left="0" w:leftChars="0" w:right="0" w:rightChars="0"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合计</w:t>
            </w:r>
          </w:p>
        </w:tc>
        <w:tc>
          <w:tcPr>
            <w:tcW w:w="4444" w:type="pct"/>
            <w:gridSpan w:val="4"/>
            <w:shd w:val="clear" w:color="auto" w:fill="auto"/>
            <w:tcMar>
              <w:top w:w="0" w:type="dxa"/>
              <w:left w:w="105" w:type="dxa"/>
              <w:bottom w:w="0" w:type="dxa"/>
              <w:right w:w="105" w:type="dxa"/>
            </w:tcMar>
            <w:vAlign w:val="center"/>
          </w:tcPr>
          <w:p w14:paraId="0BB27158">
            <w:pPr>
              <w:widowControl/>
              <w:ind w:left="0" w:leftChars="0" w:right="0" w:rightChars="0" w:firstLine="1680" w:firstLineChars="70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大写：          小写：             </w:t>
            </w:r>
          </w:p>
        </w:tc>
      </w:tr>
    </w:tbl>
    <w:p w14:paraId="5F4BBF7C">
      <w:pPr>
        <w:widowControl/>
        <w:jc w:val="left"/>
        <w:rPr>
          <w:rFonts w:hint="eastAsia" w:ascii="仿宋" w:hAnsi="仿宋" w:eastAsia="仿宋" w:cs="仿宋"/>
          <w:sz w:val="24"/>
          <w:szCs w:val="24"/>
          <w:lang w:val="en-US" w:eastAsia="zh-CN"/>
        </w:rPr>
      </w:pPr>
    </w:p>
    <w:p w14:paraId="2A79688B">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88" w:name="_Toc30002"/>
      <w:bookmarkStart w:id="89" w:name="_Toc29032"/>
      <w:bookmarkStart w:id="90" w:name="_Toc14685"/>
      <w:r>
        <w:rPr>
          <w:rFonts w:hint="eastAsia" w:ascii="Times New Roman" w:hAnsi="Times New Roman" w:eastAsia="仿宋" w:cs="Times New Roman"/>
          <w:sz w:val="24"/>
          <w:szCs w:val="24"/>
          <w:u w:val="none"/>
          <w:lang w:val="en-US" w:eastAsia="zh-CN"/>
        </w:rPr>
        <w:t>日</w:t>
      </w:r>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4"/>
      <w:bookmarkEnd w:id="85"/>
      <w:bookmarkEnd w:id="86"/>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5447"/>
      <w:bookmarkStart w:id="92"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92583771"/>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00809F2">
      <w:pPr>
        <w:jc w:val="center"/>
        <w:rPr>
          <w:rFonts w:ascii="黑体" w:hAnsi="黑体" w:eastAsia="黑体"/>
          <w:b/>
          <w:bCs/>
          <w:sz w:val="48"/>
          <w:szCs w:val="48"/>
        </w:rPr>
      </w:pPr>
      <w:r>
        <w:rPr>
          <w:rFonts w:hint="eastAsia" w:ascii="黑体" w:hAnsi="黑体" w:eastAsia="黑体"/>
          <w:b/>
          <w:bCs/>
          <w:sz w:val="48"/>
          <w:szCs w:val="48"/>
        </w:rPr>
        <w:t>软 件</w:t>
      </w:r>
      <w:r>
        <w:rPr>
          <w:rFonts w:ascii="黑体" w:hAnsi="黑体" w:eastAsia="黑体"/>
          <w:b/>
          <w:bCs/>
          <w:sz w:val="48"/>
          <w:szCs w:val="48"/>
        </w:rPr>
        <w:t xml:space="preserve"> </w:t>
      </w:r>
      <w:r>
        <w:rPr>
          <w:rFonts w:hint="eastAsia" w:ascii="黑体" w:hAnsi="黑体" w:eastAsia="黑体"/>
          <w:b/>
          <w:bCs/>
          <w:sz w:val="48"/>
          <w:szCs w:val="48"/>
        </w:rPr>
        <w:t xml:space="preserve">开 发 </w:t>
      </w:r>
      <w:r>
        <w:rPr>
          <w:rFonts w:ascii="黑体" w:hAnsi="黑体" w:eastAsia="黑体"/>
          <w:b/>
          <w:bCs/>
          <w:sz w:val="48"/>
          <w:szCs w:val="48"/>
        </w:rPr>
        <w:t>合 同</w:t>
      </w:r>
    </w:p>
    <w:p w14:paraId="65A9F303">
      <w:pPr>
        <w:contextualSpacing/>
        <w:rPr>
          <w:rFonts w:hint="eastAsia" w:ascii="Times New Roman" w:hAnsi="Times New Roman"/>
          <w:szCs w:val="21"/>
        </w:rPr>
      </w:pPr>
    </w:p>
    <w:tbl>
      <w:tblPr>
        <w:tblStyle w:val="18"/>
        <w:tblW w:w="5000" w:type="pct"/>
        <w:jc w:val="center"/>
        <w:tblLayout w:type="autofit"/>
        <w:tblCellMar>
          <w:top w:w="0" w:type="dxa"/>
          <w:left w:w="0" w:type="dxa"/>
          <w:bottom w:w="0" w:type="dxa"/>
          <w:right w:w="0" w:type="dxa"/>
        </w:tblCellMar>
      </w:tblPr>
      <w:tblGrid>
        <w:gridCol w:w="4687"/>
        <w:gridCol w:w="4950"/>
      </w:tblGrid>
      <w:tr w14:paraId="251C2640">
        <w:tblPrEx>
          <w:tblCellMar>
            <w:top w:w="0" w:type="dxa"/>
            <w:left w:w="0" w:type="dxa"/>
            <w:bottom w:w="0" w:type="dxa"/>
            <w:right w:w="0" w:type="dxa"/>
          </w:tblCellMar>
        </w:tblPrEx>
        <w:trPr>
          <w:trHeight w:val="767" w:hRule="atLeast"/>
          <w:jc w:val="center"/>
        </w:trPr>
        <w:tc>
          <w:tcPr>
            <w:tcW w:w="10204" w:type="dxa"/>
            <w:gridSpan w:val="2"/>
            <w:noWrap w:val="0"/>
            <w:vAlign w:val="top"/>
          </w:tcPr>
          <w:p w14:paraId="0F8CA8A5">
            <w:pPr>
              <w:contextualSpacing/>
              <w:rPr>
                <w:rFonts w:ascii="Times New Roman" w:hAnsi="Times New Roman"/>
                <w:color w:val="000000"/>
                <w:szCs w:val="21"/>
              </w:rPr>
            </w:pPr>
            <w:r>
              <w:rPr>
                <w:rFonts w:ascii="Times New Roman" w:hAnsi="Times New Roman"/>
                <w:b/>
                <w:bCs/>
                <w:color w:val="000000"/>
                <w:szCs w:val="21"/>
              </w:rPr>
              <w:t>合同编号</w:t>
            </w:r>
            <w:r>
              <w:rPr>
                <w:rFonts w:ascii="Times New Roman" w:hAnsi="Times New Roman"/>
                <w:color w:val="000000"/>
                <w:szCs w:val="21"/>
              </w:rPr>
              <w:t>：</w:t>
            </w:r>
            <w:r>
              <w:rPr>
                <w:rFonts w:hint="eastAsia" w:ascii="Times New Roman" w:hAnsi="Times New Roman"/>
                <w:color w:val="000000"/>
                <w:szCs w:val="21"/>
              </w:rPr>
              <w:t>CGZX</w:t>
            </w:r>
            <w:r>
              <w:rPr>
                <w:rFonts w:ascii="Times New Roman" w:hAnsi="Times New Roman"/>
                <w:color w:val="000000"/>
                <w:szCs w:val="21"/>
              </w:rPr>
              <w:t>-***</w:t>
            </w:r>
          </w:p>
          <w:p w14:paraId="0EE2A737">
            <w:pPr>
              <w:contextualSpacing/>
              <w:rPr>
                <w:rFonts w:hint="eastAsia" w:ascii="Times New Roman" w:hAnsi="Times New Roman"/>
                <w:color w:val="000000"/>
                <w:szCs w:val="21"/>
              </w:rPr>
            </w:pPr>
            <w:r>
              <w:rPr>
                <w:rFonts w:ascii="Times New Roman" w:hAnsi="Times New Roman"/>
                <w:b/>
                <w:bCs/>
                <w:color w:val="000000"/>
                <w:szCs w:val="21"/>
              </w:rPr>
              <w:t>签订地点</w:t>
            </w:r>
            <w:r>
              <w:rPr>
                <w:rFonts w:ascii="Times New Roman" w:hAnsi="Times New Roman"/>
                <w:color w:val="000000"/>
                <w:szCs w:val="21"/>
              </w:rPr>
              <w:t>：四川省人民医院</w:t>
            </w:r>
          </w:p>
        </w:tc>
      </w:tr>
      <w:tr w14:paraId="7F6B3FA3">
        <w:tblPrEx>
          <w:tblCellMar>
            <w:top w:w="0" w:type="dxa"/>
            <w:left w:w="0" w:type="dxa"/>
            <w:bottom w:w="0" w:type="dxa"/>
            <w:right w:w="0" w:type="dxa"/>
          </w:tblCellMar>
        </w:tblPrEx>
        <w:trPr>
          <w:jc w:val="center"/>
        </w:trPr>
        <w:tc>
          <w:tcPr>
            <w:tcW w:w="4962" w:type="dxa"/>
            <w:noWrap w:val="0"/>
            <w:vAlign w:val="top"/>
          </w:tcPr>
          <w:p w14:paraId="69E8C76F">
            <w:pPr>
              <w:rPr>
                <w:rFonts w:ascii="Times New Roman" w:hAnsi="Times New Roman"/>
                <w:szCs w:val="21"/>
              </w:rPr>
            </w:pPr>
            <w:r>
              <w:rPr>
                <w:rFonts w:ascii="Times New Roman" w:hAnsi="Times New Roman"/>
                <w:b/>
                <w:bCs/>
                <w:szCs w:val="21"/>
              </w:rPr>
              <w:t>采购人（以下简称甲方）</w:t>
            </w:r>
            <w:r>
              <w:rPr>
                <w:rFonts w:ascii="Times New Roman" w:hAnsi="Times New Roman"/>
                <w:szCs w:val="21"/>
              </w:rPr>
              <w:t>：四川省人民医院</w:t>
            </w:r>
          </w:p>
          <w:p w14:paraId="5DB176A7">
            <w:pPr>
              <w:rPr>
                <w:rFonts w:ascii="Times New Roman" w:hAnsi="Times New Roman"/>
                <w:szCs w:val="21"/>
              </w:rPr>
            </w:pPr>
            <w:r>
              <w:rPr>
                <w:rFonts w:ascii="Times New Roman" w:hAnsi="Times New Roman"/>
                <w:b/>
                <w:bCs/>
                <w:szCs w:val="21"/>
              </w:rPr>
              <w:t>地址</w:t>
            </w:r>
            <w:r>
              <w:rPr>
                <w:rFonts w:ascii="Times New Roman" w:hAnsi="Times New Roman"/>
                <w:szCs w:val="21"/>
              </w:rPr>
              <w:t>：四川省成都市一环路西二段32号</w:t>
            </w:r>
          </w:p>
          <w:p w14:paraId="03918DC8">
            <w:pPr>
              <w:rPr>
                <w:rFonts w:hint="eastAsia" w:ascii="Times New Roman" w:hAnsi="Times New Roman"/>
                <w:szCs w:val="21"/>
              </w:rPr>
            </w:pPr>
            <w:r>
              <w:rPr>
                <w:rFonts w:ascii="Times New Roman" w:hAnsi="Times New Roman"/>
                <w:b/>
                <w:bCs/>
                <w:szCs w:val="21"/>
              </w:rPr>
              <w:t>项目联系人</w:t>
            </w:r>
            <w:r>
              <w:rPr>
                <w:rFonts w:ascii="Times New Roman" w:hAnsi="Times New Roman"/>
                <w:szCs w:val="21"/>
              </w:rPr>
              <w:t xml:space="preserve">：*** </w:t>
            </w:r>
            <w:r>
              <w:rPr>
                <w:rFonts w:ascii="Times New Roman" w:hAnsi="Times New Roman"/>
                <w:b/>
                <w:bCs/>
                <w:szCs w:val="21"/>
              </w:rPr>
              <w:t>电话</w:t>
            </w:r>
            <w:r>
              <w:rPr>
                <w:rFonts w:ascii="Times New Roman" w:hAnsi="Times New Roman"/>
                <w:szCs w:val="21"/>
              </w:rPr>
              <w:t>：***</w:t>
            </w:r>
          </w:p>
        </w:tc>
        <w:tc>
          <w:tcPr>
            <w:tcW w:w="5242" w:type="dxa"/>
            <w:noWrap w:val="0"/>
            <w:vAlign w:val="top"/>
          </w:tcPr>
          <w:p w14:paraId="33A7B3E9">
            <w:pPr>
              <w:rPr>
                <w:rFonts w:ascii="Times New Roman" w:hAnsi="Times New Roman"/>
                <w:szCs w:val="21"/>
              </w:rPr>
            </w:pPr>
            <w:r>
              <w:rPr>
                <w:rFonts w:ascii="Times New Roman" w:hAnsi="Times New Roman"/>
                <w:b/>
                <w:bCs/>
                <w:szCs w:val="21"/>
              </w:rPr>
              <w:t>供应商（以下简称乙方）</w:t>
            </w:r>
            <w:r>
              <w:rPr>
                <w:rFonts w:ascii="Times New Roman" w:hAnsi="Times New Roman"/>
                <w:szCs w:val="21"/>
              </w:rPr>
              <w:t>：***</w:t>
            </w:r>
          </w:p>
          <w:p w14:paraId="35FDF8D1">
            <w:pPr>
              <w:rPr>
                <w:rFonts w:ascii="Times New Roman" w:hAnsi="Times New Roman"/>
                <w:szCs w:val="21"/>
              </w:rPr>
            </w:pPr>
            <w:r>
              <w:rPr>
                <w:rFonts w:ascii="Times New Roman" w:hAnsi="Times New Roman"/>
                <w:b/>
                <w:bCs/>
                <w:szCs w:val="21"/>
              </w:rPr>
              <w:t>地址</w:t>
            </w:r>
            <w:r>
              <w:rPr>
                <w:rFonts w:ascii="Times New Roman" w:hAnsi="Times New Roman"/>
                <w:szCs w:val="21"/>
              </w:rPr>
              <w:t>：***</w:t>
            </w:r>
          </w:p>
          <w:p w14:paraId="15195E18">
            <w:pPr>
              <w:rPr>
                <w:rFonts w:ascii="Times New Roman" w:hAnsi="Times New Roman"/>
                <w:szCs w:val="21"/>
              </w:rPr>
            </w:pPr>
            <w:r>
              <w:rPr>
                <w:rFonts w:ascii="Times New Roman" w:hAnsi="Times New Roman"/>
                <w:b/>
                <w:bCs/>
                <w:szCs w:val="21"/>
              </w:rPr>
              <w:t>移动电话</w:t>
            </w:r>
            <w:r>
              <w:rPr>
                <w:rFonts w:ascii="Times New Roman" w:hAnsi="Times New Roman"/>
                <w:szCs w:val="21"/>
              </w:rPr>
              <w:t>：***</w:t>
            </w:r>
          </w:p>
          <w:p w14:paraId="7E4399D1">
            <w:pPr>
              <w:contextualSpacing/>
              <w:rPr>
                <w:rFonts w:hint="eastAsia" w:ascii="Times New Roman" w:hAnsi="Times New Roman"/>
                <w:szCs w:val="21"/>
              </w:rPr>
            </w:pPr>
            <w:r>
              <w:rPr>
                <w:rFonts w:ascii="Times New Roman" w:hAnsi="Times New Roman"/>
                <w:b/>
                <w:bCs/>
                <w:szCs w:val="21"/>
              </w:rPr>
              <w:t>联系人</w:t>
            </w:r>
            <w:r>
              <w:rPr>
                <w:rFonts w:ascii="Times New Roman" w:hAnsi="Times New Roman"/>
                <w:szCs w:val="21"/>
              </w:rPr>
              <w:t>：***</w:t>
            </w:r>
          </w:p>
        </w:tc>
      </w:tr>
    </w:tbl>
    <w:p w14:paraId="3CB0C331">
      <w:pPr>
        <w:adjustRightInd w:val="0"/>
        <w:snapToGrid w:val="0"/>
        <w:spacing w:before="312" w:beforeLines="100" w:after="312" w:afterLines="100"/>
        <w:contextualSpacing/>
        <w:jc w:val="left"/>
        <w:rPr>
          <w:rFonts w:ascii="Times New Roman" w:hAnsi="Times New Roman"/>
          <w:color w:val="000000"/>
          <w:szCs w:val="21"/>
          <w:highlight w:val="none"/>
        </w:rPr>
      </w:pPr>
      <w:bookmarkStart w:id="94" w:name="OLE_LINK6"/>
      <w:bookmarkStart w:id="95" w:name="OLE_LINK5"/>
    </w:p>
    <w:p w14:paraId="3D2509C9">
      <w:pPr>
        <w:adjustRightInd w:val="0"/>
        <w:snapToGrid w:val="0"/>
        <w:spacing w:before="312" w:beforeLines="100" w:after="312" w:afterLines="100"/>
        <w:ind w:firstLine="420" w:firstLineChars="200"/>
        <w:contextualSpacing/>
        <w:jc w:val="left"/>
        <w:rPr>
          <w:rFonts w:ascii="Times New Roman" w:hAnsi="Times New Roman"/>
          <w:b/>
          <w:szCs w:val="21"/>
          <w:highlight w:val="none"/>
        </w:rPr>
      </w:pPr>
      <w:r>
        <w:rPr>
          <w:rFonts w:ascii="Times New Roman" w:hAnsi="Times New Roman"/>
          <w:color w:val="000000"/>
          <w:szCs w:val="21"/>
          <w:highlight w:val="none"/>
        </w:rPr>
        <w:t>根据《中华人民共和国民法典》及甲方</w:t>
      </w:r>
      <w:r>
        <w:rPr>
          <w:rFonts w:hint="eastAsia" w:ascii="Times New Roman" w:hAnsi="Times New Roman"/>
          <w:color w:val="000000"/>
          <w:szCs w:val="21"/>
          <w:highlight w:val="none"/>
        </w:rPr>
        <w:t>发布</w:t>
      </w:r>
      <w:r>
        <w:rPr>
          <w:rFonts w:ascii="Times New Roman" w:hAnsi="Times New Roman"/>
          <w:color w:val="000000"/>
          <w:szCs w:val="21"/>
          <w:highlight w:val="none"/>
        </w:rPr>
        <w:t>的</w:t>
      </w:r>
      <w:r>
        <w:rPr>
          <w:rFonts w:hint="eastAsia" w:ascii="Times New Roman" w:hAnsi="Times New Roman"/>
          <w:color w:val="000000"/>
          <w:szCs w:val="21"/>
          <w:highlight w:val="none"/>
        </w:rPr>
        <w:t>*</w:t>
      </w:r>
      <w:r>
        <w:rPr>
          <w:rFonts w:ascii="Times New Roman" w:hAnsi="Times New Roman"/>
          <w:color w:val="000000"/>
          <w:szCs w:val="21"/>
          <w:highlight w:val="none"/>
        </w:rPr>
        <w:t>**项目（项目编号：</w:t>
      </w:r>
      <w:r>
        <w:rPr>
          <w:rFonts w:ascii="Times New Roman" w:hAnsi="Times New Roman"/>
          <w:szCs w:val="21"/>
          <w:highlight w:val="none"/>
        </w:rPr>
        <w:t>***</w:t>
      </w:r>
      <w:r>
        <w:rPr>
          <w:rFonts w:ascii="Times New Roman" w:hAnsi="Times New Roman"/>
          <w:color w:val="000000"/>
          <w:szCs w:val="21"/>
          <w:highlight w:val="none"/>
        </w:rPr>
        <w:t>）《采购文件》、乙方的《</w:t>
      </w:r>
      <w:r>
        <w:rPr>
          <w:rFonts w:hint="eastAsia" w:ascii="Times New Roman" w:hAnsi="Times New Roman"/>
          <w:color w:val="000000"/>
          <w:szCs w:val="21"/>
          <w:highlight w:val="none"/>
        </w:rPr>
        <w:t>响应</w:t>
      </w:r>
      <w:r>
        <w:rPr>
          <w:rFonts w:ascii="Times New Roman" w:hAnsi="Times New Roman"/>
          <w:color w:val="000000"/>
          <w:szCs w:val="21"/>
          <w:highlight w:val="none"/>
        </w:rPr>
        <w:t>文件》，甲、乙双方同意签订本合同。详细技术说明及其他有关合同项目的特定信息</w:t>
      </w:r>
      <w:r>
        <w:rPr>
          <w:rFonts w:hint="eastAsia" w:ascii="Times New Roman" w:hAnsi="Times New Roman"/>
          <w:color w:val="000000"/>
          <w:szCs w:val="21"/>
          <w:highlight w:val="none"/>
        </w:rPr>
        <w:t>可</w:t>
      </w:r>
      <w:r>
        <w:rPr>
          <w:rFonts w:ascii="Times New Roman" w:hAnsi="Times New Roman"/>
          <w:color w:val="000000"/>
          <w:szCs w:val="21"/>
          <w:highlight w:val="none"/>
        </w:rPr>
        <w:t>由合同附件予以说明，合同附件及本项目的《采购文件》、《</w:t>
      </w:r>
      <w:r>
        <w:rPr>
          <w:rFonts w:hint="eastAsia" w:ascii="Times New Roman" w:hAnsi="Times New Roman"/>
          <w:color w:val="000000"/>
          <w:szCs w:val="21"/>
          <w:highlight w:val="none"/>
        </w:rPr>
        <w:t>响应</w:t>
      </w:r>
      <w:r>
        <w:rPr>
          <w:rFonts w:ascii="Times New Roman" w:hAnsi="Times New Roman"/>
          <w:color w:val="000000"/>
          <w:szCs w:val="21"/>
          <w:highlight w:val="none"/>
        </w:rPr>
        <w:t>文件》等均为本合同不可分割的部分。双方同意共同遵守</w:t>
      </w:r>
      <w:r>
        <w:rPr>
          <w:rFonts w:hint="eastAsia" w:ascii="Times New Roman" w:hAnsi="Times New Roman"/>
          <w:color w:val="000000"/>
          <w:szCs w:val="21"/>
          <w:highlight w:val="none"/>
        </w:rPr>
        <w:t>以下</w:t>
      </w:r>
      <w:r>
        <w:rPr>
          <w:rFonts w:ascii="Times New Roman" w:hAnsi="Times New Roman"/>
          <w:color w:val="000000"/>
          <w:szCs w:val="21"/>
          <w:highlight w:val="none"/>
        </w:rPr>
        <w:t>条款：</w:t>
      </w:r>
    </w:p>
    <w:bookmarkEnd w:id="94"/>
    <w:bookmarkEnd w:id="95"/>
    <w:p w14:paraId="446F67DD">
      <w:pPr>
        <w:ind w:firstLine="420" w:firstLineChars="200"/>
        <w:rPr>
          <w:rFonts w:ascii="Times New Roman" w:hAnsi="Times New Roman"/>
          <w:color w:val="000000"/>
          <w:szCs w:val="21"/>
          <w:highlight w:val="none"/>
        </w:rPr>
      </w:pPr>
    </w:p>
    <w:p w14:paraId="2E74E6A9">
      <w:pPr>
        <w:pStyle w:val="29"/>
        <w:numPr>
          <w:ilvl w:val="0"/>
          <w:numId w:val="12"/>
        </w:numPr>
        <w:snapToGrid w:val="0"/>
        <w:ind w:firstLineChars="0"/>
        <w:rPr>
          <w:rFonts w:ascii="Times New Roman" w:hAnsi="Times New Roman"/>
          <w:b/>
          <w:bCs/>
          <w:szCs w:val="21"/>
          <w:highlight w:val="none"/>
        </w:rPr>
      </w:pPr>
      <w:r>
        <w:rPr>
          <w:rFonts w:hint="eastAsia" w:ascii="Times New Roman" w:hAnsi="Times New Roman"/>
          <w:b/>
          <w:bCs/>
          <w:szCs w:val="21"/>
          <w:highlight w:val="none"/>
        </w:rPr>
        <w:t>开发项目</w:t>
      </w:r>
      <w:r>
        <w:rPr>
          <w:rFonts w:ascii="Times New Roman" w:hAnsi="Times New Roman"/>
          <w:b/>
          <w:bCs/>
          <w:szCs w:val="21"/>
          <w:highlight w:val="none"/>
        </w:rPr>
        <w:t>信息</w:t>
      </w:r>
    </w:p>
    <w:p w14:paraId="1C6B59B1">
      <w:pPr>
        <w:pStyle w:val="29"/>
        <w:numPr>
          <w:ilvl w:val="0"/>
          <w:numId w:val="13"/>
        </w:numPr>
        <w:ind w:left="0" w:firstLine="0" w:firstLineChars="0"/>
        <w:contextualSpacing/>
        <w:rPr>
          <w:rFonts w:ascii="Times New Roman" w:hAnsi="Times New Roman"/>
          <w:color w:val="000000"/>
          <w:szCs w:val="21"/>
          <w:highlight w:val="none"/>
        </w:rPr>
      </w:pPr>
      <w:r>
        <w:rPr>
          <w:rFonts w:hint="eastAsia" w:ascii="Times New Roman" w:hAnsi="Times New Roman"/>
          <w:color w:val="000000"/>
          <w:szCs w:val="21"/>
          <w:highlight w:val="none"/>
        </w:rPr>
        <w:t>软件名称：*</w:t>
      </w:r>
      <w:r>
        <w:rPr>
          <w:rFonts w:ascii="Times New Roman" w:hAnsi="Times New Roman"/>
          <w:color w:val="000000"/>
          <w:szCs w:val="21"/>
          <w:highlight w:val="none"/>
        </w:rPr>
        <w:t>**</w:t>
      </w:r>
      <w:r>
        <w:rPr>
          <w:rFonts w:hint="eastAsia" w:ascii="Times New Roman" w:hAnsi="Times New Roman"/>
          <w:color w:val="000000"/>
          <w:szCs w:val="21"/>
          <w:highlight w:val="none"/>
        </w:rPr>
        <w:t>。</w:t>
      </w:r>
    </w:p>
    <w:p w14:paraId="21CA1F25">
      <w:pPr>
        <w:pStyle w:val="29"/>
        <w:numPr>
          <w:ilvl w:val="0"/>
          <w:numId w:val="13"/>
        </w:numPr>
        <w:ind w:left="0" w:firstLine="0" w:firstLineChars="0"/>
        <w:contextualSpacing/>
        <w:rPr>
          <w:rFonts w:hint="eastAsia" w:ascii="Times New Roman" w:hAnsi="Times New Roman"/>
          <w:color w:val="000000"/>
          <w:szCs w:val="21"/>
          <w:highlight w:val="none"/>
        </w:rPr>
      </w:pPr>
      <w:r>
        <w:rPr>
          <w:rFonts w:hint="eastAsia" w:ascii="Times New Roman" w:hAnsi="Times New Roman"/>
          <w:color w:val="000000"/>
          <w:szCs w:val="21"/>
          <w:highlight w:val="none"/>
        </w:rPr>
        <w:t>软件的主要功能：</w:t>
      </w:r>
      <w:bookmarkStart w:id="96" w:name="OLE_LINK1"/>
      <w:r>
        <w:rPr>
          <w:rFonts w:hint="eastAsia" w:ascii="Times New Roman" w:hAnsi="Times New Roman"/>
          <w:color w:val="000000"/>
          <w:szCs w:val="21"/>
          <w:highlight w:val="none"/>
        </w:rPr>
        <w:t>*</w:t>
      </w:r>
      <w:r>
        <w:rPr>
          <w:rFonts w:ascii="Times New Roman" w:hAnsi="Times New Roman"/>
          <w:color w:val="000000"/>
          <w:szCs w:val="21"/>
          <w:highlight w:val="none"/>
        </w:rPr>
        <w:t>**</w:t>
      </w:r>
      <w:r>
        <w:rPr>
          <w:rFonts w:hint="eastAsia" w:ascii="Times New Roman" w:hAnsi="Times New Roman"/>
          <w:i/>
          <w:iCs/>
          <w:color w:val="000000"/>
          <w:szCs w:val="21"/>
          <w:highlight w:val="none"/>
        </w:rPr>
        <w:t>&lt;根据项目实际情况可附附件说明</w:t>
      </w:r>
      <w:bookmarkEnd w:id="96"/>
      <w:r>
        <w:rPr>
          <w:rFonts w:hint="eastAsia" w:ascii="Times New Roman" w:hAnsi="Times New Roman"/>
          <w:i/>
          <w:iCs/>
          <w:color w:val="000000"/>
          <w:szCs w:val="21"/>
          <w:highlight w:val="none"/>
        </w:rPr>
        <w:t>&gt;</w:t>
      </w:r>
    </w:p>
    <w:p w14:paraId="461998F5">
      <w:pPr>
        <w:pStyle w:val="29"/>
        <w:numPr>
          <w:ilvl w:val="0"/>
          <w:numId w:val="13"/>
        </w:numPr>
        <w:ind w:left="0" w:firstLine="0" w:firstLineChars="0"/>
        <w:contextualSpacing/>
        <w:rPr>
          <w:rFonts w:ascii="Times New Roman" w:hAnsi="Times New Roman"/>
          <w:color w:val="000000"/>
          <w:szCs w:val="21"/>
          <w:highlight w:val="none"/>
        </w:rPr>
      </w:pPr>
      <w:r>
        <w:rPr>
          <w:rFonts w:ascii="Times New Roman" w:hAnsi="Times New Roman"/>
          <w:szCs w:val="21"/>
          <w:highlight w:val="none"/>
        </w:rPr>
        <w:t>软件的</w:t>
      </w:r>
      <w:r>
        <w:rPr>
          <w:rFonts w:hint="eastAsia" w:ascii="Times New Roman" w:hAnsi="Times New Roman"/>
          <w:szCs w:val="21"/>
          <w:highlight w:val="none"/>
        </w:rPr>
        <w:t>设计</w:t>
      </w:r>
      <w:r>
        <w:rPr>
          <w:rFonts w:ascii="Times New Roman" w:hAnsi="Times New Roman"/>
          <w:szCs w:val="21"/>
          <w:highlight w:val="none"/>
        </w:rPr>
        <w:t>要求：</w:t>
      </w:r>
      <w:r>
        <w:rPr>
          <w:rFonts w:hint="eastAsia" w:ascii="Times New Roman" w:hAnsi="Times New Roman"/>
          <w:szCs w:val="21"/>
          <w:highlight w:val="none"/>
        </w:rPr>
        <w:t>*</w:t>
      </w:r>
      <w:r>
        <w:rPr>
          <w:rFonts w:ascii="Times New Roman" w:hAnsi="Times New Roman"/>
          <w:szCs w:val="21"/>
          <w:highlight w:val="none"/>
        </w:rPr>
        <w:t>**</w:t>
      </w:r>
      <w:r>
        <w:rPr>
          <w:rFonts w:hint="eastAsia" w:ascii="Times New Roman" w:hAnsi="Times New Roman"/>
          <w:i/>
          <w:iCs/>
          <w:color w:val="000000"/>
          <w:szCs w:val="21"/>
          <w:highlight w:val="none"/>
        </w:rPr>
        <w:t>&lt;根据项目实际情况可附附件说明&gt;</w:t>
      </w:r>
    </w:p>
    <w:p w14:paraId="058523C8">
      <w:pPr>
        <w:pStyle w:val="29"/>
        <w:numPr>
          <w:ilvl w:val="0"/>
          <w:numId w:val="13"/>
        </w:numPr>
        <w:ind w:left="0" w:firstLine="0" w:firstLineChars="0"/>
        <w:rPr>
          <w:rFonts w:ascii="Times New Roman" w:hAnsi="Times New Roman"/>
          <w:color w:val="000000"/>
          <w:szCs w:val="21"/>
          <w:highlight w:val="none"/>
        </w:rPr>
      </w:pPr>
      <w:r>
        <w:rPr>
          <w:rFonts w:hint="eastAsia" w:ascii="Times New Roman" w:hAnsi="Times New Roman"/>
          <w:color w:val="000000"/>
          <w:szCs w:val="21"/>
          <w:highlight w:val="none"/>
        </w:rPr>
        <w:t>分项明细：</w:t>
      </w:r>
      <w:r>
        <w:rPr>
          <w:rFonts w:hint="eastAsia" w:ascii="Times New Roman" w:hAnsi="Times New Roman"/>
          <w:i/>
          <w:iCs/>
          <w:color w:val="000000"/>
          <w:szCs w:val="21"/>
          <w:highlight w:val="none"/>
        </w:rPr>
        <w:t>&lt;根据项目实际情况调整&gt;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41304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8541E83">
            <w:pPr>
              <w:pStyle w:val="29"/>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序号</w:t>
            </w:r>
          </w:p>
        </w:tc>
        <w:tc>
          <w:tcPr>
            <w:tcW w:w="2977" w:type="dxa"/>
            <w:noWrap w:val="0"/>
            <w:vAlign w:val="center"/>
          </w:tcPr>
          <w:p w14:paraId="3CD4306A">
            <w:pPr>
              <w:pStyle w:val="29"/>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分项名称</w:t>
            </w:r>
          </w:p>
        </w:tc>
        <w:tc>
          <w:tcPr>
            <w:tcW w:w="3686" w:type="dxa"/>
            <w:noWrap w:val="0"/>
            <w:vAlign w:val="center"/>
          </w:tcPr>
          <w:p w14:paraId="5E940E42">
            <w:pPr>
              <w:pStyle w:val="29"/>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具体内容</w:t>
            </w:r>
          </w:p>
        </w:tc>
        <w:tc>
          <w:tcPr>
            <w:tcW w:w="963" w:type="dxa"/>
            <w:noWrap w:val="0"/>
            <w:vAlign w:val="center"/>
          </w:tcPr>
          <w:p w14:paraId="657B6817">
            <w:pPr>
              <w:pStyle w:val="29"/>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分项价格（万元）</w:t>
            </w:r>
          </w:p>
        </w:tc>
        <w:tc>
          <w:tcPr>
            <w:tcW w:w="2016" w:type="dxa"/>
            <w:noWrap w:val="0"/>
            <w:vAlign w:val="top"/>
          </w:tcPr>
          <w:p w14:paraId="36D5B8AC">
            <w:pPr>
              <w:pStyle w:val="29"/>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备注</w:t>
            </w:r>
          </w:p>
        </w:tc>
      </w:tr>
      <w:tr w14:paraId="3A8C9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018C4208">
            <w:pPr>
              <w:pStyle w:val="29"/>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1</w:t>
            </w:r>
          </w:p>
        </w:tc>
        <w:tc>
          <w:tcPr>
            <w:tcW w:w="2977" w:type="dxa"/>
            <w:noWrap w:val="0"/>
            <w:vAlign w:val="center"/>
          </w:tcPr>
          <w:p w14:paraId="478C0A68">
            <w:pPr>
              <w:pStyle w:val="29"/>
              <w:ind w:firstLine="0" w:firstLineChars="0"/>
              <w:rPr>
                <w:rFonts w:ascii="Times New Roman" w:hAnsi="Times New Roman"/>
                <w:color w:val="000000"/>
                <w:szCs w:val="21"/>
                <w:highlight w:val="none"/>
              </w:rPr>
            </w:pPr>
          </w:p>
        </w:tc>
        <w:tc>
          <w:tcPr>
            <w:tcW w:w="3686" w:type="dxa"/>
            <w:noWrap w:val="0"/>
            <w:vAlign w:val="center"/>
          </w:tcPr>
          <w:p w14:paraId="62669DDD">
            <w:pPr>
              <w:pStyle w:val="29"/>
              <w:ind w:firstLine="0" w:firstLineChars="0"/>
              <w:rPr>
                <w:rFonts w:ascii="Times New Roman" w:hAnsi="Times New Roman"/>
                <w:color w:val="000000"/>
                <w:szCs w:val="21"/>
                <w:highlight w:val="none"/>
              </w:rPr>
            </w:pPr>
          </w:p>
        </w:tc>
        <w:tc>
          <w:tcPr>
            <w:tcW w:w="963" w:type="dxa"/>
            <w:noWrap w:val="0"/>
            <w:vAlign w:val="center"/>
          </w:tcPr>
          <w:p w14:paraId="57DCB8A5">
            <w:pPr>
              <w:pStyle w:val="29"/>
              <w:ind w:firstLine="0" w:firstLineChars="0"/>
              <w:jc w:val="center"/>
              <w:rPr>
                <w:rFonts w:ascii="Times New Roman" w:hAnsi="Times New Roman"/>
                <w:color w:val="000000"/>
                <w:szCs w:val="21"/>
                <w:highlight w:val="none"/>
              </w:rPr>
            </w:pPr>
          </w:p>
        </w:tc>
        <w:tc>
          <w:tcPr>
            <w:tcW w:w="2016" w:type="dxa"/>
            <w:noWrap w:val="0"/>
            <w:vAlign w:val="top"/>
          </w:tcPr>
          <w:p w14:paraId="59134A2A">
            <w:pPr>
              <w:pStyle w:val="29"/>
              <w:ind w:firstLine="0" w:firstLineChars="0"/>
              <w:rPr>
                <w:rFonts w:ascii="Times New Roman" w:hAnsi="Times New Roman"/>
                <w:color w:val="000000"/>
                <w:szCs w:val="21"/>
                <w:highlight w:val="none"/>
              </w:rPr>
            </w:pPr>
          </w:p>
        </w:tc>
      </w:tr>
      <w:tr w14:paraId="78A56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ABEE2AC">
            <w:pPr>
              <w:pStyle w:val="29"/>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2</w:t>
            </w:r>
          </w:p>
        </w:tc>
        <w:tc>
          <w:tcPr>
            <w:tcW w:w="2977" w:type="dxa"/>
            <w:noWrap w:val="0"/>
            <w:vAlign w:val="center"/>
          </w:tcPr>
          <w:p w14:paraId="5D0654A7">
            <w:pPr>
              <w:pStyle w:val="29"/>
              <w:ind w:firstLine="0" w:firstLineChars="0"/>
              <w:rPr>
                <w:rFonts w:ascii="Times New Roman" w:hAnsi="Times New Roman"/>
                <w:color w:val="000000"/>
                <w:szCs w:val="21"/>
                <w:highlight w:val="none"/>
              </w:rPr>
            </w:pPr>
          </w:p>
        </w:tc>
        <w:tc>
          <w:tcPr>
            <w:tcW w:w="3686" w:type="dxa"/>
            <w:noWrap w:val="0"/>
            <w:vAlign w:val="center"/>
          </w:tcPr>
          <w:p w14:paraId="0772B457">
            <w:pPr>
              <w:pStyle w:val="29"/>
              <w:ind w:firstLine="0" w:firstLineChars="0"/>
              <w:rPr>
                <w:rFonts w:ascii="Times New Roman" w:hAnsi="Times New Roman"/>
                <w:color w:val="000000"/>
                <w:szCs w:val="21"/>
                <w:highlight w:val="none"/>
              </w:rPr>
            </w:pPr>
          </w:p>
        </w:tc>
        <w:tc>
          <w:tcPr>
            <w:tcW w:w="963" w:type="dxa"/>
            <w:noWrap w:val="0"/>
            <w:vAlign w:val="center"/>
          </w:tcPr>
          <w:p w14:paraId="2786964E">
            <w:pPr>
              <w:pStyle w:val="29"/>
              <w:ind w:firstLine="0" w:firstLineChars="0"/>
              <w:jc w:val="center"/>
              <w:rPr>
                <w:rFonts w:ascii="Times New Roman" w:hAnsi="Times New Roman"/>
                <w:color w:val="000000"/>
                <w:szCs w:val="21"/>
                <w:highlight w:val="none"/>
              </w:rPr>
            </w:pPr>
          </w:p>
        </w:tc>
        <w:tc>
          <w:tcPr>
            <w:tcW w:w="2016" w:type="dxa"/>
            <w:noWrap w:val="0"/>
            <w:vAlign w:val="top"/>
          </w:tcPr>
          <w:p w14:paraId="02EAB91B">
            <w:pPr>
              <w:pStyle w:val="29"/>
              <w:ind w:firstLine="0" w:firstLineChars="0"/>
              <w:rPr>
                <w:rFonts w:ascii="Times New Roman" w:hAnsi="Times New Roman"/>
                <w:color w:val="000000"/>
                <w:szCs w:val="21"/>
                <w:highlight w:val="none"/>
              </w:rPr>
            </w:pPr>
          </w:p>
        </w:tc>
      </w:tr>
      <w:tr w14:paraId="33AD1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2A61608A">
            <w:pPr>
              <w:pStyle w:val="29"/>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3</w:t>
            </w:r>
          </w:p>
        </w:tc>
        <w:tc>
          <w:tcPr>
            <w:tcW w:w="2977" w:type="dxa"/>
            <w:noWrap w:val="0"/>
            <w:vAlign w:val="center"/>
          </w:tcPr>
          <w:p w14:paraId="7A00E933">
            <w:pPr>
              <w:pStyle w:val="29"/>
              <w:ind w:firstLine="0" w:firstLineChars="0"/>
              <w:rPr>
                <w:rFonts w:ascii="Times New Roman" w:hAnsi="Times New Roman"/>
                <w:color w:val="000000"/>
                <w:szCs w:val="21"/>
                <w:highlight w:val="none"/>
              </w:rPr>
            </w:pPr>
          </w:p>
        </w:tc>
        <w:tc>
          <w:tcPr>
            <w:tcW w:w="3686" w:type="dxa"/>
            <w:noWrap w:val="0"/>
            <w:vAlign w:val="center"/>
          </w:tcPr>
          <w:p w14:paraId="79B2CFDD">
            <w:pPr>
              <w:pStyle w:val="29"/>
              <w:ind w:firstLine="0" w:firstLineChars="0"/>
              <w:rPr>
                <w:rFonts w:ascii="Times New Roman" w:hAnsi="Times New Roman"/>
                <w:color w:val="000000"/>
                <w:szCs w:val="21"/>
                <w:highlight w:val="none"/>
              </w:rPr>
            </w:pPr>
          </w:p>
        </w:tc>
        <w:tc>
          <w:tcPr>
            <w:tcW w:w="963" w:type="dxa"/>
            <w:noWrap w:val="0"/>
            <w:vAlign w:val="center"/>
          </w:tcPr>
          <w:p w14:paraId="400095B1">
            <w:pPr>
              <w:pStyle w:val="29"/>
              <w:ind w:firstLine="0" w:firstLineChars="0"/>
              <w:jc w:val="center"/>
              <w:rPr>
                <w:rFonts w:ascii="Times New Roman" w:hAnsi="Times New Roman"/>
                <w:color w:val="000000"/>
                <w:szCs w:val="21"/>
                <w:highlight w:val="none"/>
              </w:rPr>
            </w:pPr>
          </w:p>
        </w:tc>
        <w:tc>
          <w:tcPr>
            <w:tcW w:w="2016" w:type="dxa"/>
            <w:noWrap w:val="0"/>
            <w:vAlign w:val="top"/>
          </w:tcPr>
          <w:p w14:paraId="4D060498">
            <w:pPr>
              <w:pStyle w:val="29"/>
              <w:ind w:firstLine="0" w:firstLineChars="0"/>
              <w:rPr>
                <w:rFonts w:ascii="Times New Roman" w:hAnsi="Times New Roman"/>
                <w:color w:val="000000"/>
                <w:szCs w:val="21"/>
                <w:highlight w:val="none"/>
              </w:rPr>
            </w:pPr>
          </w:p>
        </w:tc>
      </w:tr>
      <w:tr w14:paraId="37FCA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6105501E">
            <w:pPr>
              <w:pStyle w:val="29"/>
              <w:ind w:firstLine="0" w:firstLineChars="0"/>
              <w:jc w:val="center"/>
              <w:rPr>
                <w:rFonts w:hint="eastAsia" w:ascii="Times New Roman" w:hAnsi="Times New Roman"/>
                <w:color w:val="000000"/>
                <w:szCs w:val="21"/>
                <w:highlight w:val="none"/>
              </w:rPr>
            </w:pPr>
            <w:r>
              <w:rPr>
                <w:rFonts w:ascii="Times New Roman" w:hAnsi="Times New Roman"/>
                <w:color w:val="000000"/>
                <w:szCs w:val="21"/>
                <w:highlight w:val="none"/>
              </w:rPr>
              <w:t>…</w:t>
            </w:r>
          </w:p>
        </w:tc>
        <w:tc>
          <w:tcPr>
            <w:tcW w:w="2977" w:type="dxa"/>
            <w:noWrap w:val="0"/>
            <w:vAlign w:val="center"/>
          </w:tcPr>
          <w:p w14:paraId="1B02C872">
            <w:pPr>
              <w:pStyle w:val="29"/>
              <w:ind w:firstLine="0" w:firstLineChars="0"/>
              <w:rPr>
                <w:rFonts w:ascii="Times New Roman" w:hAnsi="Times New Roman"/>
                <w:color w:val="000000"/>
                <w:szCs w:val="21"/>
                <w:highlight w:val="none"/>
              </w:rPr>
            </w:pPr>
          </w:p>
        </w:tc>
        <w:tc>
          <w:tcPr>
            <w:tcW w:w="3686" w:type="dxa"/>
            <w:noWrap w:val="0"/>
            <w:vAlign w:val="center"/>
          </w:tcPr>
          <w:p w14:paraId="47B677F2">
            <w:pPr>
              <w:pStyle w:val="29"/>
              <w:ind w:firstLine="0" w:firstLineChars="0"/>
              <w:rPr>
                <w:rFonts w:ascii="Times New Roman" w:hAnsi="Times New Roman"/>
                <w:color w:val="000000"/>
                <w:szCs w:val="21"/>
                <w:highlight w:val="none"/>
              </w:rPr>
            </w:pPr>
          </w:p>
        </w:tc>
        <w:tc>
          <w:tcPr>
            <w:tcW w:w="963" w:type="dxa"/>
            <w:noWrap w:val="0"/>
            <w:vAlign w:val="center"/>
          </w:tcPr>
          <w:p w14:paraId="13F4616E">
            <w:pPr>
              <w:pStyle w:val="29"/>
              <w:ind w:firstLine="0" w:firstLineChars="0"/>
              <w:jc w:val="center"/>
              <w:rPr>
                <w:rFonts w:ascii="Times New Roman" w:hAnsi="Times New Roman"/>
                <w:color w:val="000000"/>
                <w:szCs w:val="21"/>
                <w:highlight w:val="none"/>
              </w:rPr>
            </w:pPr>
          </w:p>
        </w:tc>
        <w:tc>
          <w:tcPr>
            <w:tcW w:w="2016" w:type="dxa"/>
            <w:noWrap w:val="0"/>
            <w:vAlign w:val="top"/>
          </w:tcPr>
          <w:p w14:paraId="38E080D5">
            <w:pPr>
              <w:pStyle w:val="29"/>
              <w:ind w:firstLine="0" w:firstLineChars="0"/>
              <w:rPr>
                <w:rFonts w:ascii="Times New Roman" w:hAnsi="Times New Roman"/>
                <w:color w:val="000000"/>
                <w:szCs w:val="21"/>
                <w:highlight w:val="none"/>
              </w:rPr>
            </w:pPr>
          </w:p>
        </w:tc>
      </w:tr>
    </w:tbl>
    <w:p w14:paraId="6F5CAF31">
      <w:pPr>
        <w:pStyle w:val="29"/>
        <w:numPr>
          <w:ilvl w:val="0"/>
          <w:numId w:val="12"/>
        </w:numPr>
        <w:snapToGrid w:val="0"/>
        <w:ind w:firstLineChars="0"/>
        <w:rPr>
          <w:rFonts w:ascii="Times New Roman" w:hAnsi="Times New Roman"/>
          <w:b/>
          <w:bCs/>
          <w:szCs w:val="21"/>
          <w:highlight w:val="none"/>
        </w:rPr>
      </w:pPr>
      <w:r>
        <w:rPr>
          <w:rFonts w:ascii="Times New Roman" w:hAnsi="Times New Roman"/>
          <w:b/>
          <w:bCs/>
          <w:szCs w:val="21"/>
          <w:highlight w:val="none"/>
        </w:rPr>
        <w:t>合同总价</w:t>
      </w:r>
    </w:p>
    <w:p w14:paraId="499781D2">
      <w:pPr>
        <w:pStyle w:val="29"/>
        <w:numPr>
          <w:ilvl w:val="3"/>
          <w:numId w:val="12"/>
        </w:numPr>
        <w:ind w:left="0" w:firstLine="0" w:firstLineChars="0"/>
        <w:contextualSpacing/>
        <w:jc w:val="left"/>
        <w:rPr>
          <w:rFonts w:hint="eastAsia" w:ascii="Times New Roman" w:hAnsi="Times New Roman"/>
          <w:szCs w:val="21"/>
          <w:highlight w:val="none"/>
        </w:rPr>
      </w:pPr>
      <w:r>
        <w:rPr>
          <w:rFonts w:hint="eastAsia" w:ascii="Times New Roman" w:hAnsi="Times New Roman"/>
          <w:szCs w:val="21"/>
          <w:highlight w:val="none"/>
        </w:rPr>
        <w:t>本</w:t>
      </w:r>
      <w:r>
        <w:rPr>
          <w:rFonts w:ascii="Times New Roman" w:hAnsi="Times New Roman"/>
          <w:szCs w:val="21"/>
          <w:highlight w:val="none"/>
        </w:rPr>
        <w:t>合同总价（含税）为人民币大写：*** 圆整，即RMB *** 元，该合同总价已包括</w:t>
      </w:r>
      <w:r>
        <w:rPr>
          <w:rFonts w:hint="eastAsia" w:ascii="Times New Roman" w:hAnsi="Times New Roman"/>
          <w:szCs w:val="21"/>
          <w:highlight w:val="none"/>
        </w:rPr>
        <w:t>软件</w:t>
      </w:r>
      <w:r>
        <w:rPr>
          <w:rFonts w:ascii="Times New Roman" w:hAnsi="Times New Roman"/>
          <w:szCs w:val="21"/>
          <w:highlight w:val="none"/>
        </w:rPr>
        <w:t>设计、</w:t>
      </w:r>
      <w:r>
        <w:rPr>
          <w:rFonts w:hint="eastAsia" w:ascii="Times New Roman" w:hAnsi="Times New Roman"/>
          <w:szCs w:val="21"/>
          <w:highlight w:val="none"/>
        </w:rPr>
        <w:t>开发、交付、培训等服务、与其它第三方软件的全部接口、技术支持</w:t>
      </w:r>
      <w:r>
        <w:rPr>
          <w:rFonts w:ascii="Times New Roman" w:hAnsi="Times New Roman"/>
          <w:szCs w:val="21"/>
          <w:highlight w:val="none"/>
        </w:rPr>
        <w:t>以及乙方为全面履行</w:t>
      </w:r>
      <w:r>
        <w:rPr>
          <w:rFonts w:hint="eastAsia" w:ascii="Times New Roman" w:hAnsi="Times New Roman"/>
          <w:szCs w:val="21"/>
          <w:highlight w:val="none"/>
        </w:rPr>
        <w:t>本</w:t>
      </w:r>
      <w:r>
        <w:rPr>
          <w:rFonts w:ascii="Times New Roman" w:hAnsi="Times New Roman"/>
          <w:szCs w:val="21"/>
          <w:highlight w:val="none"/>
        </w:rPr>
        <w:t>合同义务所完成的</w:t>
      </w:r>
      <w:r>
        <w:rPr>
          <w:rFonts w:hint="eastAsia" w:ascii="Times New Roman" w:hAnsi="Times New Roman"/>
          <w:szCs w:val="21"/>
          <w:highlight w:val="none"/>
        </w:rPr>
        <w:t>其它</w:t>
      </w:r>
      <w:r>
        <w:rPr>
          <w:rFonts w:ascii="Times New Roman" w:hAnsi="Times New Roman"/>
          <w:szCs w:val="21"/>
          <w:highlight w:val="none"/>
        </w:rPr>
        <w:t>所有事项的含税费用。</w:t>
      </w:r>
    </w:p>
    <w:p w14:paraId="3D18DB98">
      <w:pPr>
        <w:pStyle w:val="29"/>
        <w:ind w:firstLine="0" w:firstLineChars="0"/>
        <w:rPr>
          <w:rFonts w:ascii="Times New Roman" w:hAnsi="Times New Roman"/>
          <w:szCs w:val="21"/>
          <w:highlight w:val="none"/>
        </w:rPr>
      </w:pPr>
      <w:r>
        <w:rPr>
          <w:rFonts w:ascii="Times New Roman" w:hAnsi="Times New Roman"/>
          <w:szCs w:val="21"/>
          <w:highlight w:val="none"/>
        </w:rPr>
        <w:t>2.本合同执行期间合同总价不变，甲方无须另向乙方支付本合同规定之外的其他任何费用。</w:t>
      </w:r>
    </w:p>
    <w:p w14:paraId="4DEC0927">
      <w:pPr>
        <w:pStyle w:val="29"/>
        <w:numPr>
          <w:ilvl w:val="0"/>
          <w:numId w:val="12"/>
        </w:numPr>
        <w:snapToGrid w:val="0"/>
        <w:ind w:firstLineChars="0"/>
        <w:rPr>
          <w:rFonts w:ascii="Times New Roman" w:hAnsi="Times New Roman"/>
          <w:b/>
          <w:bCs/>
          <w:szCs w:val="21"/>
          <w:highlight w:val="none"/>
        </w:rPr>
      </w:pPr>
      <w:r>
        <w:rPr>
          <w:rFonts w:hint="eastAsia" w:ascii="Times New Roman" w:hAnsi="Times New Roman"/>
          <w:b/>
          <w:bCs/>
          <w:szCs w:val="21"/>
          <w:highlight w:val="none"/>
        </w:rPr>
        <w:t>工期</w:t>
      </w:r>
    </w:p>
    <w:p w14:paraId="184F3994">
      <w:pPr>
        <w:pStyle w:val="29"/>
        <w:numPr>
          <w:ilvl w:val="0"/>
          <w:numId w:val="14"/>
        </w:numPr>
        <w:ind w:left="0" w:firstLine="0" w:firstLineChars="0"/>
        <w:rPr>
          <w:rFonts w:ascii="Times New Roman" w:hAnsi="Times New Roman"/>
          <w:szCs w:val="21"/>
          <w:highlight w:val="none"/>
        </w:rPr>
      </w:pPr>
      <w:r>
        <w:rPr>
          <w:rFonts w:hint="eastAsia" w:ascii="Times New Roman" w:hAnsi="Times New Roman"/>
          <w:szCs w:val="21"/>
          <w:highlight w:val="none"/>
        </w:rPr>
        <w:t>工期：</w:t>
      </w:r>
    </w:p>
    <w:p w14:paraId="67E87980">
      <w:pPr>
        <w:pStyle w:val="29"/>
        <w:numPr>
          <w:ilvl w:val="0"/>
          <w:numId w:val="15"/>
        </w:numPr>
        <w:snapToGrid w:val="0"/>
        <w:ind w:firstLineChars="0"/>
        <w:rPr>
          <w:rFonts w:ascii="Times New Roman" w:hAnsi="Times New Roman"/>
          <w:szCs w:val="21"/>
          <w:highlight w:val="none"/>
        </w:rPr>
      </w:pPr>
      <w:r>
        <w:rPr>
          <w:rFonts w:hint="eastAsia"/>
          <w:highlight w:val="none"/>
        </w:rPr>
        <w:t>实施时间：</w:t>
      </w:r>
      <w:r>
        <w:rPr>
          <w:rFonts w:hint="eastAsia" w:ascii="宋体" w:hAnsi="宋体" w:cs="宋体"/>
          <w:szCs w:val="21"/>
          <w:highlight w:val="none"/>
        </w:rPr>
        <w:t>从合同签订生效之日起，需在</w:t>
      </w:r>
      <w:r>
        <w:rPr>
          <w:rFonts w:hint="eastAsia" w:ascii="宋体" w:hAnsi="宋体" w:cs="宋体"/>
          <w:szCs w:val="21"/>
          <w:highlight w:val="none"/>
          <w:u w:val="single"/>
        </w:rPr>
        <w:t xml:space="preserve">5 </w:t>
      </w:r>
      <w:r>
        <w:rPr>
          <w:rFonts w:hint="eastAsia" w:ascii="宋体" w:hAnsi="宋体" w:cs="宋体"/>
          <w:szCs w:val="21"/>
          <w:highlight w:val="none"/>
        </w:rPr>
        <w:t>个工作日内开始实施</w:t>
      </w:r>
      <w:r>
        <w:rPr>
          <w:rFonts w:hint="eastAsia" w:ascii="Times New Roman" w:hAnsi="Times New Roman"/>
          <w:szCs w:val="21"/>
          <w:highlight w:val="none"/>
        </w:rPr>
        <w:t>。</w:t>
      </w:r>
    </w:p>
    <w:p w14:paraId="502A8B41">
      <w:pPr>
        <w:pStyle w:val="29"/>
        <w:numPr>
          <w:ilvl w:val="0"/>
          <w:numId w:val="15"/>
        </w:numPr>
        <w:snapToGrid w:val="0"/>
        <w:ind w:firstLineChars="0"/>
        <w:rPr>
          <w:rFonts w:ascii="Times New Roman" w:hAnsi="Times New Roman"/>
          <w:szCs w:val="21"/>
          <w:highlight w:val="none"/>
        </w:rPr>
      </w:pPr>
      <w:r>
        <w:rPr>
          <w:rFonts w:hint="eastAsia" w:ascii="宋体" w:hAnsi="宋体" w:cs="宋体"/>
          <w:szCs w:val="21"/>
          <w:highlight w:val="none"/>
        </w:rPr>
        <w:t>实施周期：本项目开始实施之日起</w:t>
      </w:r>
      <w:r>
        <w:rPr>
          <w:rFonts w:hint="eastAsia" w:ascii="宋体" w:hAnsi="宋体" w:cs="宋体"/>
          <w:b/>
          <w:bCs/>
          <w:szCs w:val="21"/>
          <w:highlight w:val="none"/>
          <w:u w:val="single"/>
        </w:rPr>
        <w:t xml:space="preserve">  60 </w:t>
      </w:r>
      <w:r>
        <w:rPr>
          <w:rFonts w:hint="eastAsia" w:ascii="宋体" w:hAnsi="宋体" w:cs="宋体"/>
          <w:szCs w:val="21"/>
          <w:highlight w:val="none"/>
        </w:rPr>
        <w:t>日内，完成本项目包含的所有</w:t>
      </w:r>
      <w:r>
        <w:rPr>
          <w:rFonts w:hint="eastAsia" w:ascii="宋体" w:hAnsi="宋体" w:cs="宋体"/>
          <w:b/>
          <w:bCs/>
          <w:szCs w:val="21"/>
          <w:highlight w:val="none"/>
          <w:u w:val="single"/>
        </w:rPr>
        <w:t>软件</w:t>
      </w:r>
      <w:r>
        <w:rPr>
          <w:rFonts w:hint="eastAsia" w:ascii="宋体" w:hAnsi="宋体" w:cs="宋体"/>
          <w:szCs w:val="21"/>
          <w:highlight w:val="none"/>
        </w:rPr>
        <w:t>功能的上线运行，并通知甲方进行验收。未在实施周期内完成，视为乙方违约并自动放弃该项目，甲方有权终止合同，合同所有款项将不予支付</w:t>
      </w:r>
      <w:r>
        <w:rPr>
          <w:rFonts w:hint="eastAsia" w:ascii="宋体" w:hAnsi="宋体" w:cs="宋体"/>
          <w:bCs/>
          <w:color w:val="000000"/>
          <w:highlight w:val="none"/>
        </w:rPr>
        <w:t>（如有履约保证金，</w:t>
      </w:r>
      <w:r>
        <w:rPr>
          <w:rFonts w:hint="eastAsia" w:ascii="宋体" w:hAnsi="宋体" w:cs="宋体"/>
          <w:szCs w:val="21"/>
          <w:highlight w:val="none"/>
        </w:rPr>
        <w:t>将不予退还</w:t>
      </w:r>
      <w:r>
        <w:rPr>
          <w:rFonts w:hint="eastAsia" w:ascii="宋体" w:hAnsi="宋体" w:cs="宋体"/>
          <w:bCs/>
          <w:color w:val="000000"/>
          <w:highlight w:val="none"/>
        </w:rPr>
        <w:t>），</w:t>
      </w:r>
      <w:r>
        <w:rPr>
          <w:rFonts w:hint="eastAsia"/>
          <w:highlight w:val="none"/>
        </w:rPr>
        <w:t>已支付款项，供乙方应于7个工作日内退还甲方</w:t>
      </w:r>
      <w:r>
        <w:rPr>
          <w:rFonts w:hint="eastAsia" w:ascii="Times New Roman" w:hAnsi="Times New Roman"/>
          <w:szCs w:val="21"/>
          <w:highlight w:val="none"/>
        </w:rPr>
        <w:t>。</w:t>
      </w:r>
    </w:p>
    <w:p w14:paraId="71B40E58">
      <w:pPr>
        <w:pStyle w:val="29"/>
        <w:numPr>
          <w:ilvl w:val="0"/>
          <w:numId w:val="15"/>
        </w:numPr>
        <w:snapToGrid w:val="0"/>
        <w:ind w:firstLineChars="0"/>
        <w:rPr>
          <w:rFonts w:ascii="Times New Roman" w:hAnsi="Times New Roman"/>
          <w:szCs w:val="21"/>
          <w:highlight w:val="none"/>
        </w:rPr>
      </w:pPr>
      <w:r>
        <w:rPr>
          <w:rFonts w:hint="eastAsia" w:ascii="Times New Roman" w:hAnsi="Times New Roman"/>
          <w:szCs w:val="21"/>
          <w:highlight w:val="none"/>
        </w:rPr>
        <w:t>开发完成时间：</w:t>
      </w:r>
      <w:r>
        <w:rPr>
          <w:rFonts w:ascii="Times New Roman" w:hAnsi="Times New Roman"/>
          <w:szCs w:val="21"/>
          <w:highlight w:val="none"/>
        </w:rPr>
        <w:t>202*</w:t>
      </w:r>
      <w:r>
        <w:rPr>
          <w:rFonts w:hint="eastAsia" w:ascii="Times New Roman" w:hAnsi="Times New Roman"/>
          <w:szCs w:val="21"/>
          <w:highlight w:val="none"/>
        </w:rPr>
        <w:t>年*</w:t>
      </w:r>
      <w:r>
        <w:rPr>
          <w:rFonts w:ascii="Times New Roman" w:hAnsi="Times New Roman"/>
          <w:szCs w:val="21"/>
          <w:highlight w:val="none"/>
        </w:rPr>
        <w:t>**</w:t>
      </w:r>
      <w:r>
        <w:rPr>
          <w:rFonts w:hint="eastAsia" w:ascii="Times New Roman" w:hAnsi="Times New Roman"/>
          <w:szCs w:val="21"/>
          <w:highlight w:val="none"/>
        </w:rPr>
        <w:t>月*</w:t>
      </w:r>
      <w:r>
        <w:rPr>
          <w:rFonts w:ascii="Times New Roman" w:hAnsi="Times New Roman"/>
          <w:szCs w:val="21"/>
          <w:highlight w:val="none"/>
        </w:rPr>
        <w:t>**</w:t>
      </w:r>
      <w:r>
        <w:rPr>
          <w:rFonts w:hint="eastAsia" w:ascii="Times New Roman" w:hAnsi="Times New Roman"/>
          <w:szCs w:val="21"/>
          <w:highlight w:val="none"/>
        </w:rPr>
        <w:t>日。</w:t>
      </w:r>
    </w:p>
    <w:p w14:paraId="66B9D431">
      <w:pPr>
        <w:pStyle w:val="29"/>
        <w:numPr>
          <w:ilvl w:val="0"/>
          <w:numId w:val="15"/>
        </w:numPr>
        <w:snapToGrid w:val="0"/>
        <w:ind w:firstLineChars="0"/>
        <w:rPr>
          <w:rFonts w:ascii="Times New Roman" w:hAnsi="Times New Roman"/>
          <w:szCs w:val="21"/>
          <w:highlight w:val="none"/>
          <w:u w:val="single"/>
        </w:rPr>
      </w:pPr>
      <w:r>
        <w:rPr>
          <w:rFonts w:hint="eastAsia" w:ascii="Times New Roman" w:hAnsi="Times New Roman"/>
          <w:szCs w:val="21"/>
          <w:highlight w:val="none"/>
          <w:u w:val="single"/>
        </w:rPr>
        <w:t>软件开发进度见附件：《开发进度表》</w:t>
      </w:r>
      <w:r>
        <w:rPr>
          <w:rFonts w:hint="eastAsia" w:ascii="Times New Roman" w:hAnsi="Times New Roman"/>
          <w:i/>
          <w:iCs/>
          <w:szCs w:val="21"/>
          <w:highlight w:val="none"/>
        </w:rPr>
        <w:t>&lt;根据项目实际情况编制&gt;</w:t>
      </w:r>
    </w:p>
    <w:p w14:paraId="392688B0">
      <w:pPr>
        <w:pStyle w:val="29"/>
        <w:numPr>
          <w:ilvl w:val="0"/>
          <w:numId w:val="14"/>
        </w:numPr>
        <w:ind w:left="0" w:firstLine="0" w:firstLineChars="0"/>
        <w:rPr>
          <w:rFonts w:hint="eastAsia" w:ascii="Times New Roman" w:hAnsi="Times New Roman"/>
          <w:szCs w:val="21"/>
          <w:highlight w:val="none"/>
        </w:rPr>
      </w:pPr>
      <w:r>
        <w:rPr>
          <w:rFonts w:hint="eastAsia" w:ascii="Times New Roman" w:hAnsi="Times New Roman"/>
          <w:szCs w:val="21"/>
          <w:highlight w:val="none"/>
        </w:rPr>
        <w:t>如甲方原因推迟开发，甲方应向乙方提供书面延期通知书，并在确定继续开发时提供开工通知书，同时计算工期时应扣除因甲方原因造成的延期时间。</w:t>
      </w:r>
    </w:p>
    <w:p w14:paraId="78B0E229">
      <w:pPr>
        <w:pStyle w:val="29"/>
        <w:numPr>
          <w:ilvl w:val="0"/>
          <w:numId w:val="12"/>
        </w:numPr>
        <w:snapToGrid w:val="0"/>
        <w:ind w:firstLineChars="0"/>
        <w:rPr>
          <w:rFonts w:ascii="Times New Roman" w:hAnsi="Times New Roman"/>
          <w:b/>
          <w:bCs/>
          <w:szCs w:val="21"/>
          <w:highlight w:val="none"/>
        </w:rPr>
      </w:pPr>
      <w:r>
        <w:rPr>
          <w:rFonts w:hint="eastAsia" w:ascii="Times New Roman" w:hAnsi="Times New Roman"/>
          <w:b/>
          <w:bCs/>
          <w:szCs w:val="21"/>
          <w:highlight w:val="none"/>
        </w:rPr>
        <w:t>交付</w:t>
      </w:r>
    </w:p>
    <w:p w14:paraId="73F521B4">
      <w:pPr>
        <w:pStyle w:val="29"/>
        <w:numPr>
          <w:ilvl w:val="0"/>
          <w:numId w:val="16"/>
        </w:numPr>
        <w:ind w:left="0" w:firstLine="0" w:firstLineChars="0"/>
        <w:rPr>
          <w:rFonts w:ascii="Times New Roman" w:hAnsi="Times New Roman"/>
          <w:szCs w:val="21"/>
          <w:highlight w:val="none"/>
        </w:rPr>
      </w:pPr>
      <w:r>
        <w:rPr>
          <w:rFonts w:hint="eastAsia" w:ascii="Times New Roman" w:hAnsi="Times New Roman"/>
          <w:szCs w:val="21"/>
          <w:highlight w:val="none"/>
        </w:rPr>
        <w:t>交付的内容、形式及数量：</w:t>
      </w:r>
      <w:r>
        <w:rPr>
          <w:rFonts w:hint="eastAsia" w:ascii="Times New Roman" w:hAnsi="Times New Roman"/>
          <w:i/>
          <w:iCs/>
          <w:szCs w:val="21"/>
          <w:highlight w:val="none"/>
        </w:rPr>
        <w:t>&lt;</w:t>
      </w:r>
      <w:r>
        <w:rPr>
          <w:rFonts w:ascii="Times New Roman" w:hAnsi="Times New Roman"/>
          <w:i/>
          <w:iCs/>
          <w:szCs w:val="21"/>
          <w:highlight w:val="none"/>
        </w:rPr>
        <w:t>包括但不限于完成甲方功能要求的可执行软件、软件的设计文件、软件的测试报告、软件使用说明书及在开发过程中产生的其他文档</w:t>
      </w:r>
      <w:r>
        <w:rPr>
          <w:rFonts w:hint="eastAsia" w:ascii="Times New Roman" w:hAnsi="Times New Roman"/>
          <w:i/>
          <w:iCs/>
          <w:szCs w:val="21"/>
          <w:highlight w:val="none"/>
        </w:rPr>
        <w:t>，根据项目实际情况编制本条款具体内容，如内容较多可附附件&gt;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42"/>
        <w:gridCol w:w="1711"/>
        <w:gridCol w:w="2532"/>
        <w:gridCol w:w="2001"/>
        <w:gridCol w:w="544"/>
        <w:gridCol w:w="545"/>
        <w:gridCol w:w="1872"/>
      </w:tblGrid>
      <w:tr w14:paraId="4C659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6BB3664C">
            <w:pPr>
              <w:pStyle w:val="29"/>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序号</w:t>
            </w:r>
          </w:p>
        </w:tc>
        <w:tc>
          <w:tcPr>
            <w:tcW w:w="1815" w:type="dxa"/>
            <w:noWrap w:val="0"/>
            <w:vAlign w:val="center"/>
          </w:tcPr>
          <w:p w14:paraId="58367E37">
            <w:pPr>
              <w:pStyle w:val="29"/>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交付事项</w:t>
            </w:r>
          </w:p>
        </w:tc>
        <w:tc>
          <w:tcPr>
            <w:tcW w:w="2694" w:type="dxa"/>
            <w:noWrap w:val="0"/>
            <w:vAlign w:val="center"/>
          </w:tcPr>
          <w:p w14:paraId="62AFF85C">
            <w:pPr>
              <w:pStyle w:val="29"/>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交付内容</w:t>
            </w:r>
          </w:p>
        </w:tc>
        <w:tc>
          <w:tcPr>
            <w:tcW w:w="2126" w:type="dxa"/>
            <w:noWrap w:val="0"/>
            <w:vAlign w:val="center"/>
          </w:tcPr>
          <w:p w14:paraId="0760ABF2">
            <w:pPr>
              <w:pStyle w:val="29"/>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交付形式</w:t>
            </w:r>
          </w:p>
        </w:tc>
        <w:tc>
          <w:tcPr>
            <w:tcW w:w="567" w:type="dxa"/>
            <w:noWrap w:val="0"/>
            <w:vAlign w:val="top"/>
          </w:tcPr>
          <w:p w14:paraId="3384DA5A">
            <w:pPr>
              <w:pStyle w:val="29"/>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单位</w:t>
            </w:r>
          </w:p>
        </w:tc>
        <w:tc>
          <w:tcPr>
            <w:tcW w:w="567" w:type="dxa"/>
            <w:noWrap w:val="0"/>
            <w:vAlign w:val="top"/>
          </w:tcPr>
          <w:p w14:paraId="08EFF497">
            <w:pPr>
              <w:pStyle w:val="29"/>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数量</w:t>
            </w:r>
          </w:p>
        </w:tc>
        <w:tc>
          <w:tcPr>
            <w:tcW w:w="1987" w:type="dxa"/>
            <w:noWrap w:val="0"/>
            <w:vAlign w:val="top"/>
          </w:tcPr>
          <w:p w14:paraId="1FC74817">
            <w:pPr>
              <w:pStyle w:val="29"/>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备注</w:t>
            </w:r>
          </w:p>
        </w:tc>
      </w:tr>
      <w:tr w14:paraId="14EBC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1C659B94">
            <w:pPr>
              <w:pStyle w:val="29"/>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1</w:t>
            </w:r>
          </w:p>
        </w:tc>
        <w:tc>
          <w:tcPr>
            <w:tcW w:w="1815" w:type="dxa"/>
            <w:noWrap w:val="0"/>
            <w:vAlign w:val="center"/>
          </w:tcPr>
          <w:p w14:paraId="27176DEB">
            <w:pPr>
              <w:pStyle w:val="29"/>
              <w:ind w:firstLine="0" w:firstLineChars="0"/>
              <w:rPr>
                <w:rFonts w:ascii="Times New Roman" w:hAnsi="Times New Roman"/>
                <w:color w:val="000000"/>
                <w:szCs w:val="21"/>
                <w:highlight w:val="none"/>
              </w:rPr>
            </w:pPr>
          </w:p>
        </w:tc>
        <w:tc>
          <w:tcPr>
            <w:tcW w:w="2694" w:type="dxa"/>
            <w:noWrap w:val="0"/>
            <w:vAlign w:val="center"/>
          </w:tcPr>
          <w:p w14:paraId="0DA980B9">
            <w:pPr>
              <w:pStyle w:val="29"/>
              <w:ind w:firstLine="0" w:firstLineChars="0"/>
              <w:rPr>
                <w:rFonts w:ascii="Times New Roman" w:hAnsi="Times New Roman"/>
                <w:color w:val="000000"/>
                <w:szCs w:val="21"/>
                <w:highlight w:val="none"/>
              </w:rPr>
            </w:pPr>
          </w:p>
        </w:tc>
        <w:tc>
          <w:tcPr>
            <w:tcW w:w="2126" w:type="dxa"/>
            <w:noWrap w:val="0"/>
            <w:vAlign w:val="center"/>
          </w:tcPr>
          <w:p w14:paraId="1DD6C1EE">
            <w:pPr>
              <w:pStyle w:val="29"/>
              <w:ind w:firstLine="0" w:firstLineChars="0"/>
              <w:rPr>
                <w:rFonts w:ascii="Times New Roman" w:hAnsi="Times New Roman"/>
                <w:color w:val="000000"/>
                <w:szCs w:val="21"/>
                <w:highlight w:val="none"/>
              </w:rPr>
            </w:pPr>
          </w:p>
        </w:tc>
        <w:tc>
          <w:tcPr>
            <w:tcW w:w="567" w:type="dxa"/>
            <w:noWrap w:val="0"/>
            <w:vAlign w:val="center"/>
          </w:tcPr>
          <w:p w14:paraId="1B74E586">
            <w:pPr>
              <w:pStyle w:val="29"/>
              <w:ind w:firstLine="0" w:firstLineChars="0"/>
              <w:jc w:val="center"/>
              <w:rPr>
                <w:rFonts w:ascii="Times New Roman" w:hAnsi="Times New Roman"/>
                <w:color w:val="000000"/>
                <w:szCs w:val="21"/>
                <w:highlight w:val="none"/>
              </w:rPr>
            </w:pPr>
          </w:p>
        </w:tc>
        <w:tc>
          <w:tcPr>
            <w:tcW w:w="567" w:type="dxa"/>
            <w:noWrap w:val="0"/>
            <w:vAlign w:val="center"/>
          </w:tcPr>
          <w:p w14:paraId="0E582B89">
            <w:pPr>
              <w:pStyle w:val="29"/>
              <w:ind w:firstLine="0" w:firstLineChars="0"/>
              <w:jc w:val="center"/>
              <w:rPr>
                <w:rFonts w:ascii="Times New Roman" w:hAnsi="Times New Roman"/>
                <w:color w:val="000000"/>
                <w:szCs w:val="21"/>
                <w:highlight w:val="none"/>
              </w:rPr>
            </w:pPr>
          </w:p>
        </w:tc>
        <w:tc>
          <w:tcPr>
            <w:tcW w:w="1987" w:type="dxa"/>
            <w:noWrap w:val="0"/>
            <w:vAlign w:val="center"/>
          </w:tcPr>
          <w:p w14:paraId="3C38C102">
            <w:pPr>
              <w:pStyle w:val="29"/>
              <w:ind w:firstLine="0" w:firstLineChars="0"/>
              <w:rPr>
                <w:rFonts w:ascii="Times New Roman" w:hAnsi="Times New Roman"/>
                <w:color w:val="000000"/>
                <w:szCs w:val="21"/>
                <w:highlight w:val="none"/>
              </w:rPr>
            </w:pPr>
          </w:p>
        </w:tc>
      </w:tr>
      <w:tr w14:paraId="1CBCA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18D01DE0">
            <w:pPr>
              <w:pStyle w:val="29"/>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2</w:t>
            </w:r>
          </w:p>
        </w:tc>
        <w:tc>
          <w:tcPr>
            <w:tcW w:w="1815" w:type="dxa"/>
            <w:noWrap w:val="0"/>
            <w:vAlign w:val="center"/>
          </w:tcPr>
          <w:p w14:paraId="18CEE41C">
            <w:pPr>
              <w:pStyle w:val="29"/>
              <w:ind w:firstLine="0" w:firstLineChars="0"/>
              <w:rPr>
                <w:rFonts w:ascii="Times New Roman" w:hAnsi="Times New Roman"/>
                <w:color w:val="000000"/>
                <w:szCs w:val="21"/>
                <w:highlight w:val="none"/>
              </w:rPr>
            </w:pPr>
          </w:p>
        </w:tc>
        <w:tc>
          <w:tcPr>
            <w:tcW w:w="2694" w:type="dxa"/>
            <w:noWrap w:val="0"/>
            <w:vAlign w:val="center"/>
          </w:tcPr>
          <w:p w14:paraId="13A658B7">
            <w:pPr>
              <w:pStyle w:val="29"/>
              <w:ind w:firstLine="0" w:firstLineChars="0"/>
              <w:rPr>
                <w:rFonts w:ascii="Times New Roman" w:hAnsi="Times New Roman"/>
                <w:color w:val="000000"/>
                <w:szCs w:val="21"/>
                <w:highlight w:val="none"/>
              </w:rPr>
            </w:pPr>
          </w:p>
        </w:tc>
        <w:tc>
          <w:tcPr>
            <w:tcW w:w="2126" w:type="dxa"/>
            <w:noWrap w:val="0"/>
            <w:vAlign w:val="center"/>
          </w:tcPr>
          <w:p w14:paraId="1F6F7E5D">
            <w:pPr>
              <w:pStyle w:val="29"/>
              <w:ind w:firstLine="0" w:firstLineChars="0"/>
              <w:rPr>
                <w:rFonts w:ascii="Times New Roman" w:hAnsi="Times New Roman"/>
                <w:color w:val="000000"/>
                <w:szCs w:val="21"/>
                <w:highlight w:val="none"/>
              </w:rPr>
            </w:pPr>
          </w:p>
        </w:tc>
        <w:tc>
          <w:tcPr>
            <w:tcW w:w="567" w:type="dxa"/>
            <w:noWrap w:val="0"/>
            <w:vAlign w:val="center"/>
          </w:tcPr>
          <w:p w14:paraId="4D1CE4D3">
            <w:pPr>
              <w:pStyle w:val="29"/>
              <w:ind w:firstLine="0" w:firstLineChars="0"/>
              <w:jc w:val="center"/>
              <w:rPr>
                <w:rFonts w:ascii="Times New Roman" w:hAnsi="Times New Roman"/>
                <w:color w:val="000000"/>
                <w:szCs w:val="21"/>
                <w:highlight w:val="none"/>
              </w:rPr>
            </w:pPr>
          </w:p>
        </w:tc>
        <w:tc>
          <w:tcPr>
            <w:tcW w:w="567" w:type="dxa"/>
            <w:noWrap w:val="0"/>
            <w:vAlign w:val="center"/>
          </w:tcPr>
          <w:p w14:paraId="3E45C71F">
            <w:pPr>
              <w:pStyle w:val="29"/>
              <w:ind w:firstLine="0" w:firstLineChars="0"/>
              <w:jc w:val="center"/>
              <w:rPr>
                <w:rFonts w:ascii="Times New Roman" w:hAnsi="Times New Roman"/>
                <w:color w:val="000000"/>
                <w:szCs w:val="21"/>
                <w:highlight w:val="none"/>
              </w:rPr>
            </w:pPr>
          </w:p>
        </w:tc>
        <w:tc>
          <w:tcPr>
            <w:tcW w:w="1987" w:type="dxa"/>
            <w:noWrap w:val="0"/>
            <w:vAlign w:val="center"/>
          </w:tcPr>
          <w:p w14:paraId="2BE73FDE">
            <w:pPr>
              <w:pStyle w:val="29"/>
              <w:ind w:firstLine="0" w:firstLineChars="0"/>
              <w:rPr>
                <w:rFonts w:ascii="Times New Roman" w:hAnsi="Times New Roman"/>
                <w:color w:val="000000"/>
                <w:szCs w:val="21"/>
                <w:highlight w:val="none"/>
              </w:rPr>
            </w:pPr>
          </w:p>
        </w:tc>
      </w:tr>
      <w:tr w14:paraId="48B89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141D3FB4">
            <w:pPr>
              <w:pStyle w:val="29"/>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3</w:t>
            </w:r>
          </w:p>
        </w:tc>
        <w:tc>
          <w:tcPr>
            <w:tcW w:w="1815" w:type="dxa"/>
            <w:noWrap w:val="0"/>
            <w:vAlign w:val="center"/>
          </w:tcPr>
          <w:p w14:paraId="1B77A709">
            <w:pPr>
              <w:pStyle w:val="29"/>
              <w:ind w:firstLine="0" w:firstLineChars="0"/>
              <w:rPr>
                <w:rFonts w:ascii="Times New Roman" w:hAnsi="Times New Roman"/>
                <w:color w:val="000000"/>
                <w:szCs w:val="21"/>
                <w:highlight w:val="none"/>
              </w:rPr>
            </w:pPr>
          </w:p>
        </w:tc>
        <w:tc>
          <w:tcPr>
            <w:tcW w:w="2694" w:type="dxa"/>
            <w:noWrap w:val="0"/>
            <w:vAlign w:val="center"/>
          </w:tcPr>
          <w:p w14:paraId="4EB6B33A">
            <w:pPr>
              <w:pStyle w:val="29"/>
              <w:ind w:firstLine="0" w:firstLineChars="0"/>
              <w:rPr>
                <w:rFonts w:ascii="Times New Roman" w:hAnsi="Times New Roman"/>
                <w:color w:val="000000"/>
                <w:szCs w:val="21"/>
                <w:highlight w:val="none"/>
              </w:rPr>
            </w:pPr>
          </w:p>
        </w:tc>
        <w:tc>
          <w:tcPr>
            <w:tcW w:w="2126" w:type="dxa"/>
            <w:noWrap w:val="0"/>
            <w:vAlign w:val="center"/>
          </w:tcPr>
          <w:p w14:paraId="5E878469">
            <w:pPr>
              <w:pStyle w:val="29"/>
              <w:ind w:firstLine="0" w:firstLineChars="0"/>
              <w:rPr>
                <w:rFonts w:ascii="Times New Roman" w:hAnsi="Times New Roman"/>
                <w:color w:val="000000"/>
                <w:szCs w:val="21"/>
                <w:highlight w:val="none"/>
              </w:rPr>
            </w:pPr>
          </w:p>
        </w:tc>
        <w:tc>
          <w:tcPr>
            <w:tcW w:w="567" w:type="dxa"/>
            <w:noWrap w:val="0"/>
            <w:vAlign w:val="center"/>
          </w:tcPr>
          <w:p w14:paraId="085371EA">
            <w:pPr>
              <w:pStyle w:val="29"/>
              <w:ind w:firstLine="0" w:firstLineChars="0"/>
              <w:jc w:val="center"/>
              <w:rPr>
                <w:rFonts w:ascii="Times New Roman" w:hAnsi="Times New Roman"/>
                <w:color w:val="000000"/>
                <w:szCs w:val="21"/>
                <w:highlight w:val="none"/>
              </w:rPr>
            </w:pPr>
          </w:p>
        </w:tc>
        <w:tc>
          <w:tcPr>
            <w:tcW w:w="567" w:type="dxa"/>
            <w:noWrap w:val="0"/>
            <w:vAlign w:val="center"/>
          </w:tcPr>
          <w:p w14:paraId="0722EB85">
            <w:pPr>
              <w:pStyle w:val="29"/>
              <w:ind w:firstLine="0" w:firstLineChars="0"/>
              <w:jc w:val="center"/>
              <w:rPr>
                <w:rFonts w:ascii="Times New Roman" w:hAnsi="Times New Roman"/>
                <w:color w:val="000000"/>
                <w:szCs w:val="21"/>
                <w:highlight w:val="none"/>
              </w:rPr>
            </w:pPr>
          </w:p>
        </w:tc>
        <w:tc>
          <w:tcPr>
            <w:tcW w:w="1987" w:type="dxa"/>
            <w:noWrap w:val="0"/>
            <w:vAlign w:val="center"/>
          </w:tcPr>
          <w:p w14:paraId="1893047B">
            <w:pPr>
              <w:pStyle w:val="29"/>
              <w:ind w:firstLine="0" w:firstLineChars="0"/>
              <w:rPr>
                <w:rFonts w:ascii="Times New Roman" w:hAnsi="Times New Roman"/>
                <w:color w:val="000000"/>
                <w:szCs w:val="21"/>
                <w:highlight w:val="none"/>
              </w:rPr>
            </w:pPr>
          </w:p>
        </w:tc>
      </w:tr>
      <w:tr w14:paraId="266EE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403F54AB">
            <w:pPr>
              <w:pStyle w:val="29"/>
              <w:ind w:firstLine="0" w:firstLineChars="0"/>
              <w:jc w:val="center"/>
              <w:rPr>
                <w:rFonts w:hint="eastAsia" w:ascii="Times New Roman" w:hAnsi="Times New Roman"/>
                <w:color w:val="000000"/>
                <w:szCs w:val="21"/>
                <w:highlight w:val="none"/>
              </w:rPr>
            </w:pPr>
            <w:r>
              <w:rPr>
                <w:rFonts w:ascii="Times New Roman" w:hAnsi="Times New Roman"/>
                <w:color w:val="000000"/>
                <w:szCs w:val="21"/>
                <w:highlight w:val="none"/>
              </w:rPr>
              <w:t>…</w:t>
            </w:r>
          </w:p>
        </w:tc>
        <w:tc>
          <w:tcPr>
            <w:tcW w:w="1815" w:type="dxa"/>
            <w:noWrap w:val="0"/>
            <w:vAlign w:val="center"/>
          </w:tcPr>
          <w:p w14:paraId="46EB1CAA">
            <w:pPr>
              <w:pStyle w:val="29"/>
              <w:ind w:firstLine="0" w:firstLineChars="0"/>
              <w:rPr>
                <w:rFonts w:ascii="Times New Roman" w:hAnsi="Times New Roman"/>
                <w:color w:val="000000"/>
                <w:szCs w:val="21"/>
                <w:highlight w:val="none"/>
              </w:rPr>
            </w:pPr>
          </w:p>
        </w:tc>
        <w:tc>
          <w:tcPr>
            <w:tcW w:w="2694" w:type="dxa"/>
            <w:noWrap w:val="0"/>
            <w:vAlign w:val="center"/>
          </w:tcPr>
          <w:p w14:paraId="5FDF07AC">
            <w:pPr>
              <w:pStyle w:val="29"/>
              <w:ind w:firstLine="0" w:firstLineChars="0"/>
              <w:rPr>
                <w:rFonts w:ascii="Times New Roman" w:hAnsi="Times New Roman"/>
                <w:color w:val="000000"/>
                <w:szCs w:val="21"/>
                <w:highlight w:val="none"/>
              </w:rPr>
            </w:pPr>
          </w:p>
        </w:tc>
        <w:tc>
          <w:tcPr>
            <w:tcW w:w="2126" w:type="dxa"/>
            <w:noWrap w:val="0"/>
            <w:vAlign w:val="center"/>
          </w:tcPr>
          <w:p w14:paraId="2EBEA69E">
            <w:pPr>
              <w:pStyle w:val="29"/>
              <w:ind w:firstLine="0" w:firstLineChars="0"/>
              <w:rPr>
                <w:rFonts w:ascii="Times New Roman" w:hAnsi="Times New Roman"/>
                <w:color w:val="000000"/>
                <w:szCs w:val="21"/>
                <w:highlight w:val="none"/>
              </w:rPr>
            </w:pPr>
          </w:p>
        </w:tc>
        <w:tc>
          <w:tcPr>
            <w:tcW w:w="567" w:type="dxa"/>
            <w:noWrap w:val="0"/>
            <w:vAlign w:val="center"/>
          </w:tcPr>
          <w:p w14:paraId="0A0A3A7E">
            <w:pPr>
              <w:pStyle w:val="29"/>
              <w:ind w:firstLine="0" w:firstLineChars="0"/>
              <w:jc w:val="center"/>
              <w:rPr>
                <w:rFonts w:ascii="Times New Roman" w:hAnsi="Times New Roman"/>
                <w:color w:val="000000"/>
                <w:szCs w:val="21"/>
                <w:highlight w:val="none"/>
              </w:rPr>
            </w:pPr>
          </w:p>
        </w:tc>
        <w:tc>
          <w:tcPr>
            <w:tcW w:w="567" w:type="dxa"/>
            <w:noWrap w:val="0"/>
            <w:vAlign w:val="center"/>
          </w:tcPr>
          <w:p w14:paraId="5613A8E3">
            <w:pPr>
              <w:pStyle w:val="29"/>
              <w:ind w:firstLine="0" w:firstLineChars="0"/>
              <w:jc w:val="center"/>
              <w:rPr>
                <w:rFonts w:ascii="Times New Roman" w:hAnsi="Times New Roman"/>
                <w:color w:val="000000"/>
                <w:szCs w:val="21"/>
                <w:highlight w:val="none"/>
              </w:rPr>
            </w:pPr>
          </w:p>
        </w:tc>
        <w:tc>
          <w:tcPr>
            <w:tcW w:w="1987" w:type="dxa"/>
            <w:noWrap w:val="0"/>
            <w:vAlign w:val="center"/>
          </w:tcPr>
          <w:p w14:paraId="6239191B">
            <w:pPr>
              <w:pStyle w:val="29"/>
              <w:ind w:firstLine="0" w:firstLineChars="0"/>
              <w:rPr>
                <w:rFonts w:ascii="Times New Roman" w:hAnsi="Times New Roman"/>
                <w:color w:val="000000"/>
                <w:szCs w:val="21"/>
                <w:highlight w:val="none"/>
              </w:rPr>
            </w:pPr>
          </w:p>
        </w:tc>
      </w:tr>
    </w:tbl>
    <w:p w14:paraId="354CC1D6">
      <w:pPr>
        <w:pStyle w:val="29"/>
        <w:numPr>
          <w:ilvl w:val="0"/>
          <w:numId w:val="16"/>
        </w:numPr>
        <w:ind w:left="0" w:firstLine="0" w:firstLineChars="0"/>
        <w:rPr>
          <w:rFonts w:ascii="Times New Roman" w:hAnsi="Times New Roman"/>
          <w:szCs w:val="21"/>
          <w:highlight w:val="none"/>
        </w:rPr>
      </w:pPr>
      <w:r>
        <w:rPr>
          <w:rFonts w:hint="eastAsia" w:ascii="宋体" w:hAnsi="宋体" w:cs="宋体"/>
          <w:szCs w:val="21"/>
          <w:highlight w:val="none"/>
        </w:rPr>
        <w:t>服务地点：本项目涉及的四川省人民医院所有院区</w:t>
      </w:r>
      <w:r>
        <w:rPr>
          <w:rFonts w:hint="eastAsia" w:ascii="Times New Roman" w:hAnsi="Times New Roman"/>
          <w:szCs w:val="21"/>
          <w:highlight w:val="none"/>
        </w:rPr>
        <w:t>。</w:t>
      </w:r>
    </w:p>
    <w:p w14:paraId="46152D40">
      <w:pPr>
        <w:pStyle w:val="29"/>
        <w:numPr>
          <w:ilvl w:val="0"/>
          <w:numId w:val="12"/>
        </w:numPr>
        <w:snapToGrid w:val="0"/>
        <w:ind w:firstLineChars="0"/>
        <w:rPr>
          <w:rFonts w:hint="eastAsia" w:ascii="Times New Roman" w:hAnsi="Times New Roman"/>
          <w:b/>
          <w:bCs/>
          <w:szCs w:val="21"/>
          <w:highlight w:val="none"/>
        </w:rPr>
      </w:pPr>
      <w:r>
        <w:rPr>
          <w:rFonts w:hint="eastAsia" w:ascii="Times New Roman" w:hAnsi="Times New Roman"/>
          <w:b/>
          <w:bCs/>
          <w:szCs w:val="21"/>
          <w:highlight w:val="none"/>
        </w:rPr>
        <w:t>验收</w:t>
      </w:r>
    </w:p>
    <w:p w14:paraId="682B5B6F">
      <w:pPr>
        <w:pStyle w:val="29"/>
        <w:numPr>
          <w:ilvl w:val="0"/>
          <w:numId w:val="17"/>
        </w:numPr>
        <w:ind w:firstLineChars="0"/>
        <w:rPr>
          <w:rFonts w:ascii="Times New Roman" w:hAnsi="Times New Roman"/>
          <w:color w:val="000000"/>
          <w:szCs w:val="21"/>
          <w:highlight w:val="none"/>
        </w:rPr>
      </w:pPr>
      <w:r>
        <w:rPr>
          <w:rFonts w:hint="eastAsia" w:ascii="Times New Roman" w:hAnsi="Times New Roman"/>
          <w:color w:val="000000"/>
          <w:szCs w:val="21"/>
          <w:highlight w:val="none"/>
        </w:rPr>
        <w:t>甲、乙双方确定，按照本合同约定的验收方案对乙方交付的开发成果进行验收。</w:t>
      </w:r>
    </w:p>
    <w:p w14:paraId="076CCC66">
      <w:pPr>
        <w:pStyle w:val="29"/>
        <w:numPr>
          <w:ilvl w:val="0"/>
          <w:numId w:val="17"/>
        </w:numPr>
        <w:ind w:firstLineChars="0"/>
        <w:rPr>
          <w:rFonts w:ascii="Times New Roman" w:hAnsi="Times New Roman"/>
          <w:color w:val="000000"/>
          <w:szCs w:val="21"/>
          <w:highlight w:val="none"/>
        </w:rPr>
      </w:pPr>
      <w:r>
        <w:rPr>
          <w:rFonts w:hint="eastAsia" w:ascii="Times New Roman" w:hAnsi="Times New Roman"/>
          <w:color w:val="000000"/>
          <w:szCs w:val="21"/>
          <w:highlight w:val="none"/>
        </w:rPr>
        <w:t>验收方案：</w:t>
      </w:r>
    </w:p>
    <w:p w14:paraId="5B4D126E">
      <w:pPr>
        <w:pStyle w:val="29"/>
        <w:numPr>
          <w:ilvl w:val="0"/>
          <w:numId w:val="18"/>
        </w:numPr>
        <w:ind w:firstLineChars="0"/>
        <w:contextualSpacing/>
        <w:rPr>
          <w:color w:val="000000"/>
          <w:szCs w:val="21"/>
          <w:highlight w:val="none"/>
        </w:rPr>
      </w:pPr>
      <w:r>
        <w:rPr>
          <w:rFonts w:hint="eastAsia"/>
          <w:color w:val="000000"/>
          <w:szCs w:val="21"/>
          <w:highlight w:val="none"/>
        </w:rPr>
        <w:t>验收主体：甲方</w:t>
      </w:r>
    </w:p>
    <w:p w14:paraId="7A67B2B8">
      <w:pPr>
        <w:pStyle w:val="29"/>
        <w:numPr>
          <w:ilvl w:val="0"/>
          <w:numId w:val="18"/>
        </w:numPr>
        <w:ind w:firstLineChars="0"/>
        <w:contextualSpacing/>
        <w:rPr>
          <w:color w:val="000000"/>
          <w:szCs w:val="21"/>
          <w:highlight w:val="none"/>
        </w:rPr>
      </w:pPr>
      <w:r>
        <w:rPr>
          <w:rFonts w:hint="eastAsia"/>
          <w:color w:val="000000"/>
          <w:szCs w:val="21"/>
          <w:highlight w:val="none"/>
        </w:rPr>
        <w:t>验收组织方式：自行验收</w:t>
      </w:r>
    </w:p>
    <w:p w14:paraId="0534FD79">
      <w:pPr>
        <w:pStyle w:val="29"/>
        <w:numPr>
          <w:ilvl w:val="0"/>
          <w:numId w:val="18"/>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369AFA2F">
      <w:pPr>
        <w:pStyle w:val="29"/>
        <w:numPr>
          <w:ilvl w:val="0"/>
          <w:numId w:val="18"/>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0AEA8D8E">
      <w:pPr>
        <w:pStyle w:val="29"/>
        <w:numPr>
          <w:ilvl w:val="0"/>
          <w:numId w:val="18"/>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按照甲方的采购文件要求及乙方响应文件响应情况，由乙方向甲方交付的</w:t>
      </w:r>
      <w:r>
        <w:rPr>
          <w:rFonts w:hint="eastAsia"/>
          <w:szCs w:val="21"/>
          <w:highlight w:val="none"/>
          <w:u w:val="single"/>
        </w:rPr>
        <w:t>全部内容</w:t>
      </w:r>
      <w:r>
        <w:rPr>
          <w:rFonts w:hint="eastAsia"/>
          <w:szCs w:val="21"/>
          <w:highlight w:val="none"/>
        </w:rPr>
        <w:t>。</w:t>
      </w:r>
    </w:p>
    <w:p w14:paraId="6415E4A3">
      <w:pPr>
        <w:pStyle w:val="29"/>
        <w:numPr>
          <w:ilvl w:val="0"/>
          <w:numId w:val="18"/>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286A7ABF">
      <w:pPr>
        <w:pStyle w:val="29"/>
        <w:ind w:left="420" w:leftChars="200" w:firstLine="0" w:firstLineChars="0"/>
        <w:contextualSpacing/>
        <w:rPr>
          <w:rFonts w:hint="eastAsia"/>
          <w:color w:val="000000"/>
          <w:szCs w:val="21"/>
          <w:highlight w:val="none"/>
        </w:rPr>
      </w:pPr>
      <w:r>
        <w:rPr>
          <w:highlight w:val="none"/>
        </w:rPr>
        <w:sym w:font="Wingdings 2" w:char="F052"/>
      </w:r>
      <w:r>
        <w:rPr>
          <w:rFonts w:hint="eastAsia" w:ascii="Times New Roman" w:hAnsi="Times New Roman"/>
          <w:color w:val="000000"/>
          <w:szCs w:val="21"/>
          <w:highlight w:val="none"/>
        </w:rPr>
        <w:t>乙方</w:t>
      </w:r>
      <w:r>
        <w:rPr>
          <w:rFonts w:ascii="Times New Roman" w:hAnsi="Times New Roman"/>
          <w:color w:val="000000"/>
          <w:szCs w:val="21"/>
          <w:highlight w:val="none"/>
        </w:rPr>
        <w:t>完成</w:t>
      </w:r>
      <w:r>
        <w:rPr>
          <w:rFonts w:hint="eastAsia" w:ascii="Times New Roman" w:hAnsi="Times New Roman"/>
          <w:color w:val="000000"/>
          <w:szCs w:val="21"/>
          <w:highlight w:val="none"/>
        </w:rPr>
        <w:t>全部交付</w:t>
      </w:r>
      <w:r>
        <w:rPr>
          <w:rFonts w:ascii="Times New Roman" w:hAnsi="Times New Roman"/>
          <w:color w:val="000000"/>
          <w:szCs w:val="21"/>
          <w:highlight w:val="none"/>
        </w:rPr>
        <w:t>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4CDE9BC0">
      <w:pPr>
        <w:pStyle w:val="8"/>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00A3"/>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71CEB236">
      <w:pPr>
        <w:pStyle w:val="8"/>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7778C478">
      <w:pPr>
        <w:pStyle w:val="8"/>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甲方</w:t>
      </w:r>
      <w:r>
        <w:rPr>
          <w:rFonts w:ascii="Times New Roman" w:hAnsi="Times New Roman"/>
          <w:color w:val="000000"/>
          <w:szCs w:val="21"/>
          <w:highlight w:val="none"/>
        </w:rPr>
        <w:t>完成考核后X日内组织验收</w:t>
      </w:r>
    </w:p>
    <w:p w14:paraId="1F6FDF8E">
      <w:pPr>
        <w:pStyle w:val="8"/>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170357EE">
      <w:pPr>
        <w:pStyle w:val="29"/>
        <w:numPr>
          <w:ilvl w:val="0"/>
          <w:numId w:val="18"/>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68A8372B">
      <w:pPr>
        <w:pStyle w:val="29"/>
        <w:numPr>
          <w:ilvl w:val="0"/>
          <w:numId w:val="18"/>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28CAD53">
      <w:pPr>
        <w:pStyle w:val="29"/>
        <w:numPr>
          <w:ilvl w:val="0"/>
          <w:numId w:val="18"/>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6A205296">
      <w:pPr>
        <w:pStyle w:val="29"/>
        <w:numPr>
          <w:ilvl w:val="0"/>
          <w:numId w:val="18"/>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EA3965F">
      <w:pPr>
        <w:pStyle w:val="29"/>
        <w:numPr>
          <w:ilvl w:val="0"/>
          <w:numId w:val="18"/>
        </w:numPr>
        <w:ind w:firstLineChars="0"/>
        <w:contextualSpacing/>
        <w:rPr>
          <w:szCs w:val="21"/>
          <w:highlight w:val="none"/>
        </w:rPr>
      </w:pPr>
      <w:r>
        <w:rPr>
          <w:szCs w:val="21"/>
          <w:highlight w:val="none"/>
        </w:rPr>
        <w:t>验收标准：</w:t>
      </w:r>
    </w:p>
    <w:p w14:paraId="6E16E55F">
      <w:pPr>
        <w:pStyle w:val="8"/>
        <w:numPr>
          <w:ilvl w:val="0"/>
          <w:numId w:val="19"/>
        </w:numPr>
        <w:spacing w:after="0"/>
        <w:ind w:firstLineChars="0"/>
        <w:contextualSpacing/>
        <w:rPr>
          <w:rFonts w:ascii="Times New Roman" w:hAnsi="Times New Roman"/>
          <w:szCs w:val="21"/>
          <w:highlight w:val="none"/>
        </w:rPr>
      </w:pPr>
      <w:r>
        <w:rPr>
          <w:rFonts w:ascii="Times New Roman" w:hAnsi="Times New Roman"/>
          <w:szCs w:val="21"/>
          <w:highlight w:val="none"/>
          <w:shd w:val="clear" w:color="auto" w:fill="FFFFFF"/>
        </w:rPr>
        <w:t>国家相关法律法规、行业标准、技术规范。</w:t>
      </w:r>
    </w:p>
    <w:p w14:paraId="45DD5B1B">
      <w:pPr>
        <w:pStyle w:val="8"/>
        <w:numPr>
          <w:ilvl w:val="0"/>
          <w:numId w:val="19"/>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05CB9E6F">
      <w:pPr>
        <w:pStyle w:val="8"/>
        <w:numPr>
          <w:ilvl w:val="0"/>
          <w:numId w:val="19"/>
        </w:numPr>
        <w:spacing w:after="0"/>
        <w:ind w:firstLineChars="0"/>
        <w:contextualSpacing/>
        <w:rPr>
          <w:rFonts w:hint="eastAsia" w:ascii="Times New Roman" w:hAnsi="Times New Roman"/>
          <w:szCs w:val="21"/>
          <w:highlight w:val="none"/>
        </w:rPr>
      </w:pPr>
      <w:r>
        <w:rPr>
          <w:rFonts w:hint="eastAsia" w:ascii="Times New Roman" w:hAnsi="Times New Roman"/>
          <w:szCs w:val="21"/>
          <w:highlight w:val="none"/>
        </w:rPr>
        <w:t>产品生产厂家出具的产品说明书、技术白皮书等官方技术资料（如涉及）。</w:t>
      </w:r>
    </w:p>
    <w:p w14:paraId="7F1FA2BC">
      <w:pPr>
        <w:pStyle w:val="8"/>
        <w:numPr>
          <w:ilvl w:val="0"/>
          <w:numId w:val="19"/>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5198E7D7">
      <w:pPr>
        <w:pStyle w:val="8"/>
        <w:numPr>
          <w:ilvl w:val="0"/>
          <w:numId w:val="19"/>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26A8523B">
      <w:pPr>
        <w:pStyle w:val="8"/>
        <w:numPr>
          <w:ilvl w:val="0"/>
          <w:numId w:val="19"/>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p w14:paraId="0150C4E3">
      <w:pPr>
        <w:pStyle w:val="8"/>
        <w:numPr>
          <w:ilvl w:val="0"/>
          <w:numId w:val="19"/>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31344303">
      <w:pPr>
        <w:pStyle w:val="29"/>
        <w:numPr>
          <w:ilvl w:val="0"/>
          <w:numId w:val="18"/>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19C47D0D">
      <w:pPr>
        <w:pStyle w:val="29"/>
        <w:numPr>
          <w:ilvl w:val="0"/>
          <w:numId w:val="17"/>
        </w:numPr>
        <w:ind w:left="0" w:firstLine="0" w:firstLineChars="0"/>
        <w:contextualSpacing/>
        <w:rPr>
          <w:rFonts w:ascii="Times New Roman" w:hAnsi="Times New Roman"/>
          <w:szCs w:val="21"/>
          <w:highlight w:val="none"/>
        </w:rPr>
      </w:pPr>
      <w:r>
        <w:rPr>
          <w:rFonts w:hint="eastAsia" w:ascii="Times New Roman" w:hAnsi="Times New Roman"/>
          <w:szCs w:val="21"/>
          <w:highlight w:val="none"/>
        </w:rPr>
        <w:t>乙方按照本合同向甲方交付的软件：</w:t>
      </w:r>
      <w:bookmarkStart w:id="97" w:name="OLE_LINK3"/>
      <w:r>
        <w:rPr>
          <w:rFonts w:hint="eastAsia" w:ascii="Times New Roman" w:hAnsi="Times New Roman"/>
          <w:i/>
          <w:iCs/>
          <w:color w:val="000000"/>
          <w:szCs w:val="21"/>
          <w:highlight w:val="none"/>
        </w:rPr>
        <w:t>&lt;根据项目实际情况选择</w:t>
      </w:r>
      <w:bookmarkEnd w:id="97"/>
      <w:r>
        <w:rPr>
          <w:rFonts w:hint="eastAsia" w:ascii="Times New Roman" w:hAnsi="Times New Roman"/>
          <w:i/>
          <w:iCs/>
          <w:color w:val="000000"/>
          <w:szCs w:val="21"/>
          <w:highlight w:val="none"/>
        </w:rPr>
        <w:t>&gt;</w:t>
      </w:r>
    </w:p>
    <w:p w14:paraId="4B98FDB6">
      <w:pPr>
        <w:pStyle w:val="29"/>
        <w:ind w:left="315" w:leftChars="150" w:firstLine="0" w:firstLineChars="0"/>
        <w:rPr>
          <w:rFonts w:ascii="Times New Roman" w:hAnsi="Times New Roman"/>
          <w:szCs w:val="21"/>
          <w:highlight w:val="none"/>
          <w:u w:val="single"/>
        </w:rPr>
      </w:pPr>
      <w:r>
        <w:rPr>
          <w:rFonts w:hint="eastAsia" w:ascii="Times New Roman" w:hAnsi="Times New Roman"/>
          <w:szCs w:val="21"/>
          <w:highlight w:val="none"/>
        </w:rPr>
        <w:sym w:font="Wingdings 2" w:char="00A3"/>
      </w:r>
      <w:r>
        <w:rPr>
          <w:rFonts w:hint="eastAsia" w:ascii="Times New Roman" w:hAnsi="Times New Roman"/>
          <w:szCs w:val="21"/>
          <w:highlight w:val="none"/>
          <w:u w:val="single"/>
        </w:rPr>
        <w:t>有试运行期</w:t>
      </w:r>
      <w:r>
        <w:rPr>
          <w:rFonts w:hint="eastAsia" w:ascii="Times New Roman" w:hAnsi="Times New Roman"/>
          <w:szCs w:val="21"/>
          <w:highlight w:val="none"/>
        </w:rPr>
        <w:t>，试运行期为*</w:t>
      </w:r>
      <w:r>
        <w:rPr>
          <w:rFonts w:ascii="Times New Roman" w:hAnsi="Times New Roman"/>
          <w:szCs w:val="21"/>
          <w:highlight w:val="none"/>
        </w:rPr>
        <w:t>**</w:t>
      </w:r>
      <w:r>
        <w:rPr>
          <w:rFonts w:hint="eastAsia" w:ascii="Times New Roman" w:hAnsi="Times New Roman"/>
          <w:szCs w:val="21"/>
          <w:highlight w:val="none"/>
        </w:rPr>
        <w:t>，</w:t>
      </w:r>
      <w:r>
        <w:rPr>
          <w:rFonts w:ascii="Times New Roman" w:hAnsi="Times New Roman"/>
          <w:szCs w:val="21"/>
          <w:highlight w:val="none"/>
        </w:rPr>
        <w:t>试运行期间，如发现软件有缺陷，或性能和质量不</w:t>
      </w:r>
      <w:r>
        <w:rPr>
          <w:rFonts w:hint="eastAsia" w:ascii="Times New Roman" w:hAnsi="Times New Roman"/>
          <w:szCs w:val="21"/>
          <w:highlight w:val="none"/>
        </w:rPr>
        <w:t>符合本项目</w:t>
      </w:r>
      <w:r>
        <w:rPr>
          <w:rFonts w:ascii="Times New Roman" w:hAnsi="Times New Roman"/>
          <w:szCs w:val="21"/>
          <w:highlight w:val="none"/>
        </w:rPr>
        <w:t>要求</w:t>
      </w:r>
      <w:r>
        <w:rPr>
          <w:rFonts w:hint="eastAsia" w:ascii="Times New Roman" w:hAnsi="Times New Roman"/>
          <w:szCs w:val="21"/>
          <w:highlight w:val="none"/>
        </w:rPr>
        <w:t>时</w:t>
      </w:r>
      <w:r>
        <w:rPr>
          <w:rFonts w:ascii="Times New Roman" w:hAnsi="Times New Roman"/>
          <w:szCs w:val="21"/>
          <w:highlight w:val="none"/>
        </w:rPr>
        <w:t>，</w:t>
      </w:r>
      <w:r>
        <w:rPr>
          <w:rFonts w:hint="eastAsia" w:ascii="Times New Roman" w:hAnsi="Times New Roman"/>
          <w:szCs w:val="21"/>
          <w:highlight w:val="none"/>
        </w:rPr>
        <w:t>乙方须对相关问题进行修改和更正，同时试运行期时限按照上述修改、更正期进行相应顺延。</w:t>
      </w:r>
    </w:p>
    <w:p w14:paraId="6C0C92DD">
      <w:pPr>
        <w:pStyle w:val="29"/>
        <w:ind w:left="315" w:leftChars="150" w:firstLine="0" w:firstLineChars="0"/>
        <w:rPr>
          <w:rFonts w:hint="eastAsia" w:ascii="Times New Roman" w:hAnsi="Times New Roman"/>
          <w:szCs w:val="21"/>
          <w:highlight w:val="none"/>
        </w:rPr>
      </w:pPr>
      <w:r>
        <w:rPr>
          <w:rFonts w:hint="eastAsia" w:ascii="Times New Roman" w:hAnsi="Times New Roman"/>
          <w:szCs w:val="21"/>
          <w:highlight w:val="none"/>
        </w:rPr>
        <w:sym w:font="Wingdings 2" w:char="0052"/>
      </w:r>
      <w:r>
        <w:rPr>
          <w:rFonts w:hint="eastAsia" w:ascii="Times New Roman" w:hAnsi="Times New Roman"/>
          <w:szCs w:val="21"/>
          <w:highlight w:val="none"/>
          <w:u w:val="single"/>
        </w:rPr>
        <w:t>无试运行期</w:t>
      </w:r>
    </w:p>
    <w:p w14:paraId="63578A7E">
      <w:pPr>
        <w:pStyle w:val="29"/>
        <w:numPr>
          <w:ilvl w:val="0"/>
          <w:numId w:val="17"/>
        </w:numPr>
        <w:ind w:left="0" w:firstLine="0" w:firstLineChars="0"/>
        <w:rPr>
          <w:rFonts w:ascii="Times New Roman" w:hAnsi="Times New Roman"/>
          <w:szCs w:val="21"/>
          <w:highlight w:val="none"/>
        </w:rPr>
      </w:pPr>
      <w:r>
        <w:rPr>
          <w:rFonts w:hint="eastAsia" w:ascii="Times New Roman" w:hAnsi="Times New Roman"/>
          <w:szCs w:val="21"/>
          <w:highlight w:val="none"/>
        </w:rPr>
        <w:t>若验收交付内容涉及试运行的，经试运行达到设计使用要求、技术质量标准并经甲方认可后视为验收通过。</w:t>
      </w:r>
    </w:p>
    <w:p w14:paraId="4DB30FC3">
      <w:pPr>
        <w:pStyle w:val="29"/>
        <w:numPr>
          <w:ilvl w:val="0"/>
          <w:numId w:val="17"/>
        </w:numPr>
        <w:ind w:left="0" w:firstLine="0" w:firstLineChars="0"/>
        <w:rPr>
          <w:rFonts w:ascii="Times New Roman" w:hAnsi="Times New Roman"/>
          <w:szCs w:val="21"/>
          <w:highlight w:val="none"/>
        </w:rPr>
      </w:pPr>
      <w:r>
        <w:rPr>
          <w:rFonts w:ascii="Times New Roman" w:hAnsi="Times New Roman"/>
          <w:szCs w:val="21"/>
          <w:highlight w:val="none"/>
        </w:rPr>
        <w:t>如验收合格，双方签署验收报告</w:t>
      </w:r>
      <w:r>
        <w:rPr>
          <w:rFonts w:hint="eastAsia" w:ascii="Times New Roman" w:hAnsi="Times New Roman"/>
          <w:szCs w:val="21"/>
          <w:highlight w:val="none"/>
        </w:rPr>
        <w:t>；</w:t>
      </w:r>
      <w:r>
        <w:rPr>
          <w:rFonts w:ascii="Times New Roman" w:hAnsi="Times New Roman"/>
          <w:szCs w:val="21"/>
          <w:highlight w:val="none"/>
        </w:rPr>
        <w:t>如</w:t>
      </w:r>
      <w:r>
        <w:rPr>
          <w:rFonts w:hint="eastAsia" w:ascii="Times New Roman" w:hAnsi="Times New Roman"/>
          <w:szCs w:val="21"/>
          <w:highlight w:val="none"/>
        </w:rPr>
        <w:t>验收不合格</w:t>
      </w:r>
      <w:r>
        <w:rPr>
          <w:rFonts w:ascii="Times New Roman" w:hAnsi="Times New Roman"/>
          <w:szCs w:val="21"/>
          <w:highlight w:val="none"/>
        </w:rPr>
        <w:t>，甲方应</w:t>
      </w:r>
      <w:r>
        <w:rPr>
          <w:rFonts w:hint="eastAsia" w:ascii="Times New Roman" w:hAnsi="Times New Roman"/>
          <w:szCs w:val="21"/>
          <w:highlight w:val="none"/>
        </w:rPr>
        <w:t>进行</w:t>
      </w:r>
      <w:r>
        <w:rPr>
          <w:rFonts w:ascii="Times New Roman" w:hAnsi="Times New Roman"/>
          <w:szCs w:val="21"/>
          <w:highlight w:val="none"/>
        </w:rPr>
        <w:t>详尽的</w:t>
      </w:r>
      <w:r>
        <w:rPr>
          <w:rFonts w:hint="eastAsia" w:ascii="Times New Roman" w:hAnsi="Times New Roman"/>
          <w:szCs w:val="21"/>
          <w:highlight w:val="none"/>
        </w:rPr>
        <w:t>现场</w:t>
      </w:r>
      <w:r>
        <w:rPr>
          <w:rFonts w:ascii="Times New Roman" w:hAnsi="Times New Roman"/>
          <w:szCs w:val="21"/>
          <w:highlight w:val="none"/>
        </w:rPr>
        <w:t>记录，或由甲乙双方签署备忘录，此现场记录或备忘录可用作</w:t>
      </w:r>
      <w:r>
        <w:rPr>
          <w:rFonts w:hint="eastAsia" w:ascii="Times New Roman" w:hAnsi="Times New Roman"/>
          <w:szCs w:val="21"/>
          <w:highlight w:val="none"/>
        </w:rPr>
        <w:t>修改和更正相关问题</w:t>
      </w:r>
      <w:r>
        <w:rPr>
          <w:rFonts w:ascii="Times New Roman" w:hAnsi="Times New Roman"/>
          <w:szCs w:val="21"/>
          <w:highlight w:val="none"/>
        </w:rPr>
        <w:t>的有效证据，由此产生的时间延误与</w:t>
      </w:r>
      <w:r>
        <w:rPr>
          <w:rFonts w:hint="eastAsia" w:ascii="Times New Roman" w:hAnsi="Times New Roman"/>
          <w:szCs w:val="21"/>
          <w:highlight w:val="none"/>
        </w:rPr>
        <w:t>经济损失</w:t>
      </w:r>
      <w:r>
        <w:rPr>
          <w:rFonts w:ascii="Times New Roman" w:hAnsi="Times New Roman"/>
          <w:szCs w:val="21"/>
          <w:highlight w:val="none"/>
        </w:rPr>
        <w:t>由乙方承担，验收期限相应顺延</w:t>
      </w:r>
      <w:r>
        <w:rPr>
          <w:rFonts w:hint="eastAsia" w:ascii="Times New Roman" w:hAnsi="Times New Roman"/>
          <w:szCs w:val="21"/>
          <w:highlight w:val="none"/>
        </w:rPr>
        <w:t>，且</w:t>
      </w:r>
      <w:r>
        <w:rPr>
          <w:rFonts w:ascii="Times New Roman" w:hAnsi="Times New Roman"/>
          <w:szCs w:val="21"/>
          <w:highlight w:val="none"/>
        </w:rPr>
        <w:t>甲方有权拒绝签署验收报告，</w:t>
      </w:r>
      <w:r>
        <w:rPr>
          <w:rFonts w:hint="eastAsia" w:ascii="Times New Roman" w:hAnsi="Times New Roman"/>
          <w:szCs w:val="21"/>
          <w:highlight w:val="none"/>
        </w:rPr>
        <w:t>并</w:t>
      </w:r>
      <w:r>
        <w:rPr>
          <w:rFonts w:ascii="Times New Roman" w:hAnsi="Times New Roman"/>
          <w:szCs w:val="21"/>
          <w:highlight w:val="none"/>
        </w:rPr>
        <w:t>要求乙方无条件</w:t>
      </w:r>
      <w:r>
        <w:rPr>
          <w:rFonts w:hint="eastAsia" w:ascii="Times New Roman" w:hAnsi="Times New Roman"/>
          <w:szCs w:val="21"/>
          <w:highlight w:val="none"/>
        </w:rPr>
        <w:t>修改和更正</w:t>
      </w:r>
      <w:r>
        <w:rPr>
          <w:rFonts w:ascii="Times New Roman" w:hAnsi="Times New Roman"/>
          <w:szCs w:val="21"/>
          <w:highlight w:val="none"/>
        </w:rPr>
        <w:t>，</w:t>
      </w:r>
      <w:r>
        <w:rPr>
          <w:rFonts w:hint="eastAsia" w:ascii="Times New Roman" w:hAnsi="Times New Roman"/>
          <w:szCs w:val="21"/>
          <w:highlight w:val="none"/>
        </w:rPr>
        <w:t>而后进行再次验收，乙方应承担因此额外产生的全部费用。如果仍不合格，甲方有权终止本合同并视作乙方不能交付而须支付合同总价10</w:t>
      </w:r>
      <w:r>
        <w:rPr>
          <w:rFonts w:ascii="Times New Roman" w:hAnsi="Times New Roman"/>
          <w:szCs w:val="21"/>
          <w:highlight w:val="none"/>
        </w:rPr>
        <w:t>%的</w:t>
      </w:r>
      <w:r>
        <w:rPr>
          <w:rFonts w:hint="eastAsia" w:ascii="Times New Roman" w:hAnsi="Times New Roman"/>
          <w:szCs w:val="21"/>
          <w:highlight w:val="none"/>
        </w:rPr>
        <w:t>违约金给甲方，违约金不能弥补甲方损失的，乙方应全额赔偿。</w:t>
      </w:r>
    </w:p>
    <w:p w14:paraId="34886CB7">
      <w:pPr>
        <w:pStyle w:val="29"/>
        <w:numPr>
          <w:ilvl w:val="0"/>
          <w:numId w:val="12"/>
        </w:numPr>
        <w:snapToGrid w:val="0"/>
        <w:ind w:firstLineChars="0"/>
        <w:rPr>
          <w:rFonts w:hint="eastAsia" w:ascii="Times New Roman" w:hAnsi="Times New Roman"/>
          <w:b/>
          <w:bCs/>
          <w:szCs w:val="21"/>
          <w:highlight w:val="none"/>
        </w:rPr>
      </w:pPr>
      <w:r>
        <w:rPr>
          <w:rFonts w:ascii="Times New Roman" w:hAnsi="Times New Roman"/>
          <w:b/>
          <w:bCs/>
          <w:szCs w:val="21"/>
          <w:highlight w:val="none"/>
        </w:rPr>
        <w:t>知识产权</w:t>
      </w:r>
      <w:r>
        <w:rPr>
          <w:rFonts w:hint="eastAsia" w:ascii="Times New Roman" w:hAnsi="Times New Roman"/>
          <w:b/>
          <w:bCs/>
          <w:szCs w:val="21"/>
          <w:highlight w:val="none"/>
        </w:rPr>
        <w:t>及保密</w:t>
      </w:r>
    </w:p>
    <w:p w14:paraId="2F7AF8FB">
      <w:pPr>
        <w:pStyle w:val="29"/>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甲、乙双方确定，因履行本合同所产生的开发成果及其相关知识产权归属</w:t>
      </w:r>
      <w:r>
        <w:rPr>
          <w:rFonts w:hint="eastAsia" w:ascii="Times New Roman" w:hAnsi="Times New Roman"/>
          <w:szCs w:val="21"/>
          <w:highlight w:val="none"/>
          <w:u w:val="single"/>
        </w:rPr>
        <w:t>甲方所有</w:t>
      </w:r>
      <w:r>
        <w:rPr>
          <w:rFonts w:hint="eastAsia" w:ascii="Times New Roman" w:hAnsi="Times New Roman"/>
          <w:szCs w:val="21"/>
          <w:highlight w:val="none"/>
        </w:rPr>
        <w:t>。</w:t>
      </w:r>
    </w:p>
    <w:p w14:paraId="156AB6DC">
      <w:pPr>
        <w:pStyle w:val="29"/>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乙方不得在向甲方交付开发成果之前，自行将开发成果转让给第三方。</w:t>
      </w:r>
    </w:p>
    <w:p w14:paraId="7C86DFE0">
      <w:pPr>
        <w:pStyle w:val="29"/>
        <w:numPr>
          <w:ilvl w:val="0"/>
          <w:numId w:val="20"/>
        </w:numPr>
        <w:ind w:left="0" w:firstLine="0" w:firstLineChars="0"/>
        <w:rPr>
          <w:rFonts w:hint="eastAsia" w:ascii="Times New Roman" w:hAnsi="Times New Roman"/>
          <w:szCs w:val="21"/>
          <w:highlight w:val="none"/>
        </w:rPr>
      </w:pPr>
      <w:r>
        <w:rPr>
          <w:rFonts w:hint="eastAsia" w:ascii="Times New Roman" w:hAnsi="Times New Roman"/>
          <w:szCs w:val="21"/>
          <w:highlight w:val="none"/>
        </w:rPr>
        <w:t>乙方须保证，对于其提供的软件系统拥有知识产权或已获得权利人的授权，甲方无需另行支付任何费用。本项目使用乙方提供的软件不会侵犯第三方的合法权益，否则乙方应当负责处理索赔或涉诉等各项事宜，造成甲方损失的，乙方还应当承担赔偿责任。</w:t>
      </w:r>
    </w:p>
    <w:p w14:paraId="62FC368A">
      <w:pPr>
        <w:pStyle w:val="29"/>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甲、乙双方确定，甲方有权利用乙方按照本合同约定提供的产品，进行后续改进，由此产生的具有实质性或创造性技术进步特征的新的技术成果及其权利归属，由甲方享有。</w:t>
      </w:r>
    </w:p>
    <w:p w14:paraId="79A0F926">
      <w:pPr>
        <w:pStyle w:val="29"/>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甲、乙双方确定，本合同价格已</w:t>
      </w:r>
      <w:r>
        <w:rPr>
          <w:rFonts w:ascii="Times New Roman" w:hAnsi="Times New Roman"/>
          <w:szCs w:val="21"/>
          <w:highlight w:val="none"/>
        </w:rPr>
        <w:t>包含向</w:t>
      </w:r>
      <w:r>
        <w:rPr>
          <w:rFonts w:hint="eastAsia" w:ascii="Times New Roman" w:hAnsi="Times New Roman"/>
          <w:szCs w:val="21"/>
          <w:highlight w:val="none"/>
        </w:rPr>
        <w:t>本合同涉及的相关</w:t>
      </w:r>
      <w:r>
        <w:rPr>
          <w:rFonts w:ascii="Times New Roman" w:hAnsi="Times New Roman"/>
          <w:szCs w:val="21"/>
          <w:highlight w:val="none"/>
        </w:rPr>
        <w:t>所有权人支付的专利权、商标权或其他知识产权的有关费用及税费。</w:t>
      </w:r>
    </w:p>
    <w:p w14:paraId="3F294998">
      <w:pPr>
        <w:pStyle w:val="29"/>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甲乙双方均应对本合同内容，包括但不限于项目关键技术、实施方案等予以保密，非经双方一致同意，任何一方不得将协议内容泄露、提供给第三方或用作其他不正当用途。</w:t>
      </w:r>
    </w:p>
    <w:p w14:paraId="42C2BF4C">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付款方式</w:t>
      </w:r>
    </w:p>
    <w:p w14:paraId="08E40771">
      <w:pPr>
        <w:pStyle w:val="29"/>
        <w:numPr>
          <w:ilvl w:val="0"/>
          <w:numId w:val="21"/>
        </w:numPr>
        <w:ind w:firstLineChars="0"/>
        <w:rPr>
          <w:rFonts w:ascii="Times New Roman" w:hAnsi="Times New Roman"/>
          <w:szCs w:val="21"/>
          <w:highlight w:val="none"/>
        </w:rPr>
      </w:pPr>
      <w:r>
        <w:rPr>
          <w:rFonts w:hint="eastAsia" w:ascii="Times New Roman" w:hAnsi="Times New Roman"/>
          <w:szCs w:val="21"/>
          <w:highlight w:val="none"/>
        </w:rPr>
        <w:t>履约保证金：</w:t>
      </w:r>
    </w:p>
    <w:p w14:paraId="31658C1F">
      <w:pPr>
        <w:pStyle w:val="8"/>
        <w:spacing w:after="0"/>
        <w:ind w:left="420" w:leftChars="200" w:firstLine="0" w:firstLineChars="0"/>
        <w:contextualSpacing/>
        <w:rPr>
          <w:rFonts w:hint="eastAsia"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乙方在合同签订生效之日起的***个工作日内，按合同总价***%支付履约保证金</w:t>
      </w:r>
      <w:r>
        <w:rPr>
          <w:rFonts w:hint="eastAsia" w:ascii="Times New Roman" w:hAnsi="Times New Roman"/>
          <w:color w:val="000000"/>
          <w:szCs w:val="21"/>
          <w:highlight w:val="none"/>
        </w:rPr>
        <w:t>；项目</w:t>
      </w:r>
      <w:r>
        <w:rPr>
          <w:rFonts w:ascii="Times New Roman" w:hAnsi="Times New Roman"/>
          <w:color w:val="000000"/>
          <w:szCs w:val="21"/>
          <w:highlight w:val="none"/>
        </w:rPr>
        <w:t>验收合格</w:t>
      </w:r>
      <w:r>
        <w:rPr>
          <w:rFonts w:hint="eastAsia" w:ascii="Times New Roman" w:hAnsi="Times New Roman"/>
          <w:color w:val="000000"/>
          <w:szCs w:val="21"/>
          <w:highlight w:val="none"/>
        </w:rPr>
        <w:t>且服务期结束</w:t>
      </w:r>
      <w:r>
        <w:rPr>
          <w:rFonts w:ascii="Times New Roman" w:hAnsi="Times New Roman"/>
          <w:color w:val="000000"/>
          <w:szCs w:val="21"/>
          <w:highlight w:val="none"/>
        </w:rPr>
        <w:t>之</w:t>
      </w:r>
      <w:r>
        <w:rPr>
          <w:rFonts w:hint="eastAsia" w:ascii="Times New Roman" w:hAnsi="Times New Roman"/>
          <w:color w:val="000000"/>
          <w:szCs w:val="21"/>
          <w:highlight w:val="none"/>
        </w:rPr>
        <w:t>后</w:t>
      </w:r>
      <w:r>
        <w:rPr>
          <w:rFonts w:ascii="Times New Roman" w:hAnsi="Times New Roman"/>
          <w:color w:val="000000"/>
          <w:szCs w:val="21"/>
          <w:highlight w:val="none"/>
        </w:rPr>
        <w:t>，</w:t>
      </w:r>
      <w:r>
        <w:rPr>
          <w:rFonts w:hint="eastAsia" w:ascii="宋体" w:hAnsi="宋体" w:cs="宋体"/>
          <w:szCs w:val="21"/>
          <w:highlight w:val="none"/>
        </w:rPr>
        <w:t>乙方向甲方提供合法有效票据及其他相关请款资料，甲方在</w:t>
      </w:r>
      <w:r>
        <w:rPr>
          <w:rFonts w:hint="eastAsia" w:ascii="宋体" w:hAnsi="宋体" w:cs="宋体"/>
          <w:szCs w:val="21"/>
          <w:highlight w:val="none"/>
          <w:u w:val="single"/>
        </w:rPr>
        <w:t xml:space="preserve"> 50 </w:t>
      </w:r>
      <w:r>
        <w:rPr>
          <w:rFonts w:hint="eastAsia" w:ascii="宋体" w:hAnsi="宋体" w:cs="宋体"/>
          <w:szCs w:val="21"/>
          <w:highlight w:val="none"/>
        </w:rPr>
        <w:t>工作日内将履约保证金扣减考核金额（如涉及考核）后一次性无息退还</w:t>
      </w:r>
      <w:r>
        <w:rPr>
          <w:rFonts w:hint="eastAsia" w:ascii="Times New Roman" w:hAnsi="Times New Roman"/>
          <w:color w:val="000000"/>
          <w:szCs w:val="21"/>
          <w:highlight w:val="none"/>
        </w:rPr>
        <w:t>；</w:t>
      </w:r>
      <w:r>
        <w:rPr>
          <w:rFonts w:ascii="Times New Roman" w:hAnsi="Times New Roman"/>
          <w:color w:val="000000"/>
          <w:szCs w:val="21"/>
          <w:highlight w:val="none"/>
        </w:rPr>
        <w:t>经验收</w:t>
      </w:r>
      <w:r>
        <w:rPr>
          <w:rFonts w:hint="eastAsia" w:ascii="Times New Roman" w:hAnsi="Times New Roman"/>
          <w:color w:val="000000"/>
          <w:szCs w:val="21"/>
          <w:highlight w:val="none"/>
        </w:rPr>
        <w:t>后</w:t>
      </w:r>
      <w:r>
        <w:rPr>
          <w:rFonts w:ascii="Times New Roman" w:hAnsi="Times New Roman"/>
          <w:color w:val="000000"/>
          <w:szCs w:val="21"/>
          <w:highlight w:val="none"/>
        </w:rPr>
        <w:t>乙方履约不合格的，履约保证金不予退还。</w:t>
      </w:r>
    </w:p>
    <w:p w14:paraId="5D7D4260">
      <w:pPr>
        <w:pStyle w:val="8"/>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本合同不涉及履约保证金。</w:t>
      </w:r>
    </w:p>
    <w:p w14:paraId="2FE0B5AD">
      <w:pPr>
        <w:pStyle w:val="29"/>
        <w:numPr>
          <w:ilvl w:val="0"/>
          <w:numId w:val="21"/>
        </w:numPr>
        <w:ind w:firstLineChars="0"/>
        <w:rPr>
          <w:rFonts w:ascii="Times New Roman" w:hAnsi="Times New Roman"/>
          <w:szCs w:val="21"/>
          <w:highlight w:val="none"/>
        </w:rPr>
      </w:pPr>
      <w:r>
        <w:rPr>
          <w:rFonts w:hint="eastAsia" w:ascii="Times New Roman" w:hAnsi="Times New Roman"/>
          <w:szCs w:val="21"/>
          <w:highlight w:val="none"/>
        </w:rPr>
        <w:t>本项目价款采用以下方式支付，以人民币结算：</w:t>
      </w:r>
    </w:p>
    <w:p w14:paraId="265BC6FC">
      <w:pPr>
        <w:pStyle w:val="8"/>
        <w:spacing w:after="0"/>
        <w:ind w:firstLine="0" w:firstLineChars="0"/>
        <w:contextualSpacing/>
        <w:rPr>
          <w:rFonts w:hint="eastAsia" w:ascii="Times New Roman" w:hAnsi="Times New Roman"/>
          <w:color w:val="000000"/>
          <w:szCs w:val="21"/>
          <w:highlight w:val="none"/>
        </w:rPr>
      </w:pPr>
      <w:r>
        <w:rPr>
          <w:rFonts w:ascii="Times New Roman" w:hAnsi="Times New Roman"/>
          <w:color w:val="000000"/>
          <w:szCs w:val="21"/>
          <w:highlight w:val="none"/>
        </w:rPr>
        <w:sym w:font="Wingdings 2" w:char="F052"/>
      </w:r>
      <w:r>
        <w:rPr>
          <w:rFonts w:hint="eastAsia" w:ascii="Times New Roman" w:hAnsi="Times New Roman"/>
          <w:color w:val="000000"/>
          <w:szCs w:val="21"/>
          <w:highlight w:val="none"/>
        </w:rPr>
        <w:t>一次性支付：甲方</w:t>
      </w:r>
      <w:r>
        <w:rPr>
          <w:rFonts w:hint="eastAsia" w:ascii="宋体" w:hAnsi="宋体" w:cs="宋体"/>
          <w:szCs w:val="21"/>
          <w:highlight w:val="none"/>
        </w:rPr>
        <w:t>甲方提供合法有效票据及其他相关请款资料</w:t>
      </w:r>
      <w:r>
        <w:rPr>
          <w:rFonts w:ascii="宋体" w:hAnsi="宋体" w:cs="宋体"/>
          <w:szCs w:val="21"/>
          <w:highlight w:val="none"/>
        </w:rPr>
        <w:t>，</w:t>
      </w:r>
      <w:r>
        <w:rPr>
          <w:rFonts w:hint="eastAsia" w:ascii="宋体" w:hAnsi="宋体" w:cs="宋体"/>
          <w:szCs w:val="21"/>
          <w:highlight w:val="none"/>
        </w:rPr>
        <w:t>甲方</w:t>
      </w:r>
      <w:r>
        <w:rPr>
          <w:rFonts w:ascii="宋体" w:hAnsi="宋体" w:cs="宋体"/>
          <w:szCs w:val="21"/>
          <w:highlight w:val="none"/>
        </w:rPr>
        <w:t>接到</w:t>
      </w:r>
      <w:r>
        <w:rPr>
          <w:rFonts w:hint="eastAsia" w:ascii="宋体" w:hAnsi="宋体" w:cs="宋体"/>
          <w:szCs w:val="21"/>
          <w:highlight w:val="none"/>
        </w:rPr>
        <w:t>乙方</w:t>
      </w:r>
      <w:r>
        <w:rPr>
          <w:rFonts w:ascii="宋体" w:hAnsi="宋体" w:cs="宋体"/>
          <w:szCs w:val="21"/>
          <w:highlight w:val="none"/>
        </w:rPr>
        <w:t>请款资料以后的</w:t>
      </w:r>
      <w:r>
        <w:rPr>
          <w:rFonts w:hint="eastAsia" w:ascii="宋体" w:hAnsi="宋体" w:cs="宋体"/>
          <w:szCs w:val="21"/>
          <w:highlight w:val="none"/>
        </w:rPr>
        <w:t>55</w:t>
      </w:r>
      <w:r>
        <w:rPr>
          <w:rFonts w:ascii="宋体" w:hAnsi="宋体" w:cs="宋体"/>
          <w:szCs w:val="21"/>
          <w:highlight w:val="none"/>
        </w:rPr>
        <w:t>日内，</w:t>
      </w:r>
      <w:r>
        <w:rPr>
          <w:rFonts w:hint="eastAsia" w:ascii="宋体" w:hAnsi="宋体" w:cs="宋体"/>
          <w:szCs w:val="21"/>
          <w:highlight w:val="none"/>
        </w:rPr>
        <w:t>向乙方支付合同总价100%的金额</w:t>
      </w:r>
      <w:r>
        <w:rPr>
          <w:rFonts w:hint="eastAsia" w:ascii="Times New Roman" w:hAnsi="Times New Roman"/>
          <w:color w:val="000000"/>
          <w:szCs w:val="21"/>
          <w:highlight w:val="none"/>
        </w:rPr>
        <w:t>。</w:t>
      </w:r>
    </w:p>
    <w:p w14:paraId="54C52F72">
      <w:pPr>
        <w:pStyle w:val="8"/>
        <w:spacing w:after="0"/>
        <w:ind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分阶段支付：</w:t>
      </w:r>
    </w:p>
    <w:p w14:paraId="4B9EA76F">
      <w:pPr>
        <w:pStyle w:val="8"/>
        <w:spacing w:after="0"/>
        <w:ind w:left="840" w:leftChars="400" w:firstLine="0" w:firstLineChars="0"/>
        <w:contextualSpacing/>
        <w:jc w:val="left"/>
        <w:rPr>
          <w:rFonts w:ascii="Times New Roman" w:hAnsi="Times New Roman"/>
          <w:color w:val="000000"/>
          <w:szCs w:val="21"/>
          <w:highlight w:val="none"/>
        </w:rPr>
      </w:pPr>
      <w:r>
        <w:rPr>
          <w:rFonts w:hint="eastAsia" w:ascii="Times New Roman" w:hAnsi="Times New Roman"/>
          <w:color w:val="000000"/>
          <w:szCs w:val="21"/>
          <w:highlight w:val="none"/>
        </w:rPr>
        <w:t>（1）</w:t>
      </w:r>
      <w:r>
        <w:rPr>
          <w:rFonts w:hint="eastAsia" w:ascii="宋体" w:hAnsi="宋体" w:cs="宋体"/>
          <w:szCs w:val="21"/>
          <w:highlight w:val="none"/>
        </w:rPr>
        <w:t>第一次付款：合同签订生效且</w:t>
      </w:r>
      <w:r>
        <w:rPr>
          <w:rFonts w:ascii="宋体" w:hAnsi="宋体" w:cs="宋体"/>
          <w:szCs w:val="21"/>
          <w:highlight w:val="none"/>
        </w:rPr>
        <w:t>项目验收通过后，</w:t>
      </w:r>
      <w:r>
        <w:rPr>
          <w:rFonts w:hint="eastAsia" w:ascii="宋体" w:hAnsi="宋体" w:cs="宋体"/>
          <w:szCs w:val="21"/>
          <w:highlight w:val="none"/>
        </w:rPr>
        <w:t>乙方</w:t>
      </w:r>
      <w:r>
        <w:rPr>
          <w:rFonts w:ascii="宋体" w:hAnsi="宋体" w:cs="宋体"/>
          <w:szCs w:val="21"/>
          <w:highlight w:val="none"/>
        </w:rPr>
        <w:t xml:space="preserve"> 5 日内向</w:t>
      </w:r>
      <w:r>
        <w:rPr>
          <w:rFonts w:hint="eastAsia" w:ascii="宋体" w:hAnsi="宋体" w:cs="宋体"/>
          <w:szCs w:val="21"/>
          <w:highlight w:val="none"/>
        </w:rPr>
        <w:t>甲方提供合法有效票据及其他相关请款资料</w:t>
      </w:r>
      <w:r>
        <w:rPr>
          <w:rFonts w:ascii="宋体" w:hAnsi="宋体" w:cs="宋体"/>
          <w:szCs w:val="21"/>
          <w:highlight w:val="none"/>
        </w:rPr>
        <w:t>，</w:t>
      </w:r>
      <w:r>
        <w:rPr>
          <w:rFonts w:hint="eastAsia" w:ascii="宋体" w:hAnsi="宋体" w:cs="宋体"/>
          <w:szCs w:val="21"/>
          <w:highlight w:val="none"/>
        </w:rPr>
        <w:t>甲方</w:t>
      </w:r>
      <w:r>
        <w:rPr>
          <w:rFonts w:ascii="宋体" w:hAnsi="宋体" w:cs="宋体"/>
          <w:szCs w:val="21"/>
          <w:highlight w:val="none"/>
        </w:rPr>
        <w:t>接到</w:t>
      </w:r>
      <w:r>
        <w:rPr>
          <w:rFonts w:hint="eastAsia" w:ascii="宋体" w:hAnsi="宋体" w:cs="宋体"/>
          <w:szCs w:val="21"/>
          <w:highlight w:val="none"/>
        </w:rPr>
        <w:t>乙方</w:t>
      </w:r>
      <w:r>
        <w:rPr>
          <w:rFonts w:ascii="宋体" w:hAnsi="宋体" w:cs="宋体"/>
          <w:szCs w:val="21"/>
          <w:highlight w:val="none"/>
        </w:rPr>
        <w:t>请款资料以后的</w:t>
      </w:r>
      <w:r>
        <w:rPr>
          <w:rFonts w:hint="eastAsia" w:ascii="宋体" w:hAnsi="宋体" w:cs="宋体"/>
          <w:szCs w:val="21"/>
          <w:highlight w:val="none"/>
        </w:rPr>
        <w:t>55</w:t>
      </w:r>
      <w:r>
        <w:rPr>
          <w:rFonts w:ascii="宋体" w:hAnsi="宋体" w:cs="宋体"/>
          <w:szCs w:val="21"/>
          <w:highlight w:val="none"/>
        </w:rPr>
        <w:t>日内，向</w:t>
      </w:r>
      <w:r>
        <w:rPr>
          <w:rFonts w:hint="eastAsia" w:ascii="宋体" w:hAnsi="宋体" w:cs="宋体"/>
          <w:szCs w:val="21"/>
          <w:highlight w:val="none"/>
        </w:rPr>
        <w:t>乙方</w:t>
      </w:r>
      <w:r>
        <w:rPr>
          <w:rFonts w:ascii="宋体" w:hAnsi="宋体" w:cs="宋体"/>
          <w:szCs w:val="21"/>
          <w:highlight w:val="none"/>
        </w:rPr>
        <w:t xml:space="preserve">支付本次合同金额的 </w:t>
      </w:r>
      <w:r>
        <w:rPr>
          <w:rFonts w:hint="eastAsia" w:ascii="宋体" w:hAnsi="宋体" w:cs="宋体"/>
          <w:szCs w:val="21"/>
          <w:highlight w:val="none"/>
        </w:rPr>
        <w:t>80</w:t>
      </w:r>
      <w:r>
        <w:rPr>
          <w:rFonts w:ascii="宋体" w:hAnsi="宋体" w:cs="宋体"/>
          <w:szCs w:val="21"/>
          <w:highlight w:val="none"/>
        </w:rPr>
        <w:t>%</w:t>
      </w:r>
      <w:r>
        <w:rPr>
          <w:rFonts w:hint="eastAsia" w:ascii="Times New Roman" w:hAnsi="Times New Roman"/>
          <w:color w:val="000000"/>
          <w:szCs w:val="21"/>
          <w:highlight w:val="none"/>
        </w:rPr>
        <w:t>。</w:t>
      </w:r>
    </w:p>
    <w:p w14:paraId="389A3859">
      <w:pPr>
        <w:pStyle w:val="8"/>
        <w:spacing w:after="0"/>
        <w:ind w:left="840" w:leftChars="400" w:firstLine="0" w:firstLineChars="0"/>
        <w:contextualSpacing/>
        <w:jc w:val="left"/>
        <w:rPr>
          <w:rFonts w:ascii="Times New Roman" w:hAnsi="Times New Roman"/>
          <w:color w:val="000000"/>
          <w:szCs w:val="21"/>
          <w:highlight w:val="none"/>
        </w:rPr>
      </w:pPr>
      <w:r>
        <w:rPr>
          <w:rFonts w:hint="eastAsia" w:ascii="Times New Roman" w:hAnsi="Times New Roman"/>
          <w:color w:val="000000"/>
          <w:szCs w:val="21"/>
          <w:highlight w:val="none"/>
        </w:rPr>
        <w:t>（2）</w:t>
      </w:r>
      <w:r>
        <w:rPr>
          <w:rFonts w:hint="eastAsia" w:ascii="宋体" w:hAnsi="宋体" w:cs="宋体"/>
          <w:szCs w:val="21"/>
          <w:highlight w:val="none"/>
        </w:rPr>
        <w:t>第二次付款：服务期满后，乙方 5 日内向甲方提供合法有效票据及其他相关请款资料，甲方接到乙方请款资料以后</w:t>
      </w:r>
      <w:r>
        <w:rPr>
          <w:rFonts w:ascii="宋体" w:hAnsi="宋体" w:cs="宋体"/>
          <w:szCs w:val="21"/>
          <w:highlight w:val="none"/>
        </w:rPr>
        <w:t>的</w:t>
      </w:r>
      <w:r>
        <w:rPr>
          <w:rFonts w:hint="eastAsia" w:ascii="宋体" w:hAnsi="宋体" w:cs="宋体"/>
          <w:szCs w:val="21"/>
          <w:highlight w:val="none"/>
        </w:rPr>
        <w:t>90</w:t>
      </w:r>
      <w:r>
        <w:rPr>
          <w:rFonts w:ascii="宋体" w:hAnsi="宋体" w:cs="宋体"/>
          <w:szCs w:val="21"/>
          <w:highlight w:val="none"/>
        </w:rPr>
        <w:t>日内，</w:t>
      </w:r>
      <w:r>
        <w:rPr>
          <w:rFonts w:hint="eastAsia" w:ascii="宋体" w:hAnsi="宋体" w:cs="宋体"/>
          <w:szCs w:val="21"/>
          <w:highlight w:val="none"/>
        </w:rPr>
        <w:t>向乙方支付合同总价20%减去考核扣除金额（若有考核）</w:t>
      </w:r>
      <w:r>
        <w:rPr>
          <w:rFonts w:hint="eastAsia" w:ascii="Times New Roman" w:hAnsi="Times New Roman"/>
          <w:color w:val="000000"/>
          <w:szCs w:val="21"/>
          <w:highlight w:val="none"/>
        </w:rPr>
        <w:t>。</w:t>
      </w:r>
    </w:p>
    <w:p w14:paraId="13CF5142">
      <w:pPr>
        <w:pStyle w:val="8"/>
        <w:spacing w:after="0"/>
        <w:ind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00A8"/>
      </w:r>
      <w:r>
        <w:rPr>
          <w:rFonts w:hint="eastAsia" w:ascii="Times New Roman" w:hAnsi="Times New Roman"/>
          <w:color w:val="000000"/>
          <w:szCs w:val="21"/>
          <w:highlight w:val="none"/>
        </w:rPr>
        <w:t>实结算方式：</w:t>
      </w:r>
      <w:r>
        <w:rPr>
          <w:rFonts w:ascii="宋体" w:hAnsi="宋体" w:cs="宋体"/>
          <w:szCs w:val="21"/>
          <w:highlight w:val="none"/>
        </w:rPr>
        <w:t>本项目</w:t>
      </w:r>
      <w:r>
        <w:rPr>
          <w:rFonts w:ascii="宋体" w:hAnsi="宋体" w:cs="宋体"/>
          <w:szCs w:val="21"/>
          <w:highlight w:val="none"/>
          <w:u w:val="single"/>
        </w:rPr>
        <w:t>每月/每季度</w:t>
      </w:r>
      <w:r>
        <w:rPr>
          <w:rFonts w:ascii="宋体" w:hAnsi="宋体" w:cs="宋体"/>
          <w:szCs w:val="21"/>
          <w:highlight w:val="none"/>
        </w:rPr>
        <w:t>结算一次 ，</w:t>
      </w:r>
      <w:r>
        <w:rPr>
          <w:rFonts w:hint="eastAsia"/>
          <w:highlight w:val="none"/>
        </w:rPr>
        <w:t>根据本项目成交单价及实际验收数量</w:t>
      </w:r>
      <w:r>
        <w:rPr>
          <w:rFonts w:ascii="宋体" w:hAnsi="宋体" w:cs="宋体"/>
          <w:szCs w:val="21"/>
          <w:highlight w:val="none"/>
        </w:rPr>
        <w:t>，</w:t>
      </w:r>
      <w:r>
        <w:rPr>
          <w:rFonts w:hint="eastAsia" w:ascii="宋体" w:hAnsi="宋体" w:cs="宋体"/>
          <w:szCs w:val="21"/>
          <w:highlight w:val="none"/>
        </w:rPr>
        <w:t>乙方</w:t>
      </w:r>
      <w:r>
        <w:rPr>
          <w:rFonts w:ascii="宋体" w:hAnsi="宋体" w:cs="宋体"/>
          <w:szCs w:val="21"/>
          <w:highlight w:val="none"/>
        </w:rPr>
        <w:t>需 5 日内向</w:t>
      </w:r>
      <w:r>
        <w:rPr>
          <w:rFonts w:hint="eastAsia" w:ascii="宋体" w:hAnsi="宋体" w:cs="宋体"/>
          <w:szCs w:val="21"/>
          <w:highlight w:val="none"/>
        </w:rPr>
        <w:t>甲方提供合法有效票据及其他相关请款资料</w:t>
      </w:r>
      <w:r>
        <w:rPr>
          <w:rFonts w:ascii="宋体" w:hAnsi="宋体" w:cs="宋体"/>
          <w:szCs w:val="21"/>
          <w:highlight w:val="none"/>
        </w:rPr>
        <w:t>，</w:t>
      </w:r>
      <w:r>
        <w:rPr>
          <w:rFonts w:hint="eastAsia" w:ascii="宋体" w:hAnsi="宋体" w:cs="宋体"/>
          <w:szCs w:val="21"/>
          <w:highlight w:val="none"/>
        </w:rPr>
        <w:t>甲方</w:t>
      </w:r>
      <w:r>
        <w:rPr>
          <w:rFonts w:ascii="宋体" w:hAnsi="宋体" w:cs="宋体"/>
          <w:szCs w:val="21"/>
          <w:highlight w:val="none"/>
        </w:rPr>
        <w:t>接到</w:t>
      </w:r>
      <w:r>
        <w:rPr>
          <w:rFonts w:hint="eastAsia" w:ascii="宋体" w:hAnsi="宋体" w:cs="宋体"/>
          <w:szCs w:val="21"/>
          <w:highlight w:val="none"/>
        </w:rPr>
        <w:t>乙方</w:t>
      </w:r>
      <w:r>
        <w:rPr>
          <w:rFonts w:ascii="宋体" w:hAnsi="宋体" w:cs="宋体"/>
          <w:szCs w:val="21"/>
          <w:highlight w:val="none"/>
        </w:rPr>
        <w:t>请款资料以后的</w:t>
      </w:r>
      <w:r>
        <w:rPr>
          <w:rFonts w:hint="eastAsia" w:ascii="宋体" w:hAnsi="宋体" w:cs="宋体"/>
          <w:szCs w:val="21"/>
          <w:highlight w:val="none"/>
        </w:rPr>
        <w:t>55</w:t>
      </w:r>
      <w:r>
        <w:rPr>
          <w:rFonts w:ascii="宋体" w:hAnsi="宋体" w:cs="宋体"/>
          <w:szCs w:val="21"/>
          <w:highlight w:val="none"/>
        </w:rPr>
        <w:t>日内支付相应价款，最终结算总价不得超过</w:t>
      </w:r>
      <w:r>
        <w:rPr>
          <w:rFonts w:hint="eastAsia" w:ascii="宋体" w:hAnsi="宋体" w:cs="宋体"/>
          <w:szCs w:val="21"/>
          <w:highlight w:val="none"/>
          <w:u w:val="single"/>
        </w:rPr>
        <w:t xml:space="preserve">     </w:t>
      </w:r>
      <w:r>
        <w:rPr>
          <w:rFonts w:ascii="宋体" w:hAnsi="宋体" w:cs="宋体"/>
          <w:szCs w:val="21"/>
          <w:highlight w:val="none"/>
        </w:rPr>
        <w:t>元</w:t>
      </w:r>
      <w:r>
        <w:rPr>
          <w:rFonts w:hint="eastAsia" w:ascii="Times New Roman" w:hAnsi="Times New Roman"/>
          <w:color w:val="000000"/>
          <w:szCs w:val="21"/>
          <w:highlight w:val="none"/>
        </w:rPr>
        <w:t>。</w:t>
      </w:r>
    </w:p>
    <w:p w14:paraId="4EE91459">
      <w:pPr>
        <w:pStyle w:val="29"/>
        <w:numPr>
          <w:ilvl w:val="0"/>
          <w:numId w:val="21"/>
        </w:numPr>
        <w:ind w:left="0" w:firstLine="0" w:firstLineChars="0"/>
        <w:rPr>
          <w:rFonts w:ascii="Times New Roman" w:hAnsi="Times New Roman"/>
          <w:szCs w:val="21"/>
          <w:highlight w:val="none"/>
        </w:rPr>
      </w:pPr>
      <w:r>
        <w:rPr>
          <w:rFonts w:hint="eastAsia" w:ascii="Times New Roman" w:hAnsi="Times New Roman"/>
          <w:szCs w:val="21"/>
          <w:highlight w:val="none"/>
        </w:rPr>
        <w:t>甲方付款前，乙方需</w:t>
      </w:r>
      <w:r>
        <w:rPr>
          <w:rFonts w:hint="eastAsia" w:ascii="宋体" w:hAnsi="宋体" w:cs="宋体"/>
          <w:szCs w:val="21"/>
          <w:highlight w:val="none"/>
        </w:rPr>
        <w:t>提供合法有效票据及其他相关请款资料</w:t>
      </w:r>
      <w:r>
        <w:rPr>
          <w:rFonts w:hint="eastAsia" w:ascii="Times New Roman" w:hAnsi="Times New Roman"/>
          <w:szCs w:val="21"/>
          <w:highlight w:val="none"/>
        </w:rPr>
        <w:t>，否则甲方有权拒绝支付且不承担任何违约责任，且乙方不得因此停止工作。</w:t>
      </w:r>
    </w:p>
    <w:p w14:paraId="7BCB6AA9">
      <w:pPr>
        <w:pStyle w:val="29"/>
        <w:numPr>
          <w:ilvl w:val="0"/>
          <w:numId w:val="21"/>
        </w:numPr>
        <w:ind w:left="0" w:firstLine="0" w:firstLineChars="0"/>
        <w:rPr>
          <w:rFonts w:ascii="Times New Roman" w:hAnsi="Times New Roman"/>
          <w:szCs w:val="21"/>
          <w:highlight w:val="none"/>
        </w:rPr>
      </w:pPr>
      <w:r>
        <w:rPr>
          <w:rFonts w:ascii="Times New Roman" w:hAnsi="Times New Roman"/>
          <w:szCs w:val="21"/>
          <w:highlight w:val="none"/>
        </w:rPr>
        <w:t>乙方开票信息</w:t>
      </w:r>
      <w:r>
        <w:rPr>
          <w:rFonts w:hint="eastAsia" w:ascii="Times New Roman" w:hAnsi="Times New Roman"/>
          <w:szCs w:val="21"/>
          <w:highlight w:val="none"/>
        </w:rPr>
        <w:t>中的软件</w:t>
      </w:r>
      <w:r>
        <w:rPr>
          <w:rFonts w:ascii="Times New Roman" w:hAnsi="Times New Roman"/>
          <w:szCs w:val="21"/>
          <w:highlight w:val="none"/>
        </w:rPr>
        <w:t>名称与</w:t>
      </w:r>
      <w:r>
        <w:rPr>
          <w:rFonts w:hint="eastAsia" w:ascii="Times New Roman" w:hAnsi="Times New Roman"/>
          <w:szCs w:val="21"/>
          <w:highlight w:val="none"/>
        </w:rPr>
        <w:t>合同</w:t>
      </w:r>
      <w:r>
        <w:rPr>
          <w:rFonts w:ascii="Times New Roman" w:hAnsi="Times New Roman"/>
          <w:szCs w:val="21"/>
          <w:highlight w:val="none"/>
        </w:rPr>
        <w:t>中</w:t>
      </w:r>
      <w:r>
        <w:rPr>
          <w:rFonts w:hint="eastAsia" w:ascii="Times New Roman" w:hAnsi="Times New Roman"/>
          <w:szCs w:val="21"/>
          <w:highlight w:val="none"/>
        </w:rPr>
        <w:t>软件</w:t>
      </w:r>
      <w:r>
        <w:rPr>
          <w:rFonts w:ascii="Times New Roman" w:hAnsi="Times New Roman"/>
          <w:szCs w:val="21"/>
          <w:highlight w:val="none"/>
        </w:rPr>
        <w:t>名称</w:t>
      </w:r>
      <w:r>
        <w:rPr>
          <w:rFonts w:hint="eastAsia" w:ascii="Times New Roman" w:hAnsi="Times New Roman"/>
          <w:szCs w:val="21"/>
          <w:highlight w:val="none"/>
        </w:rPr>
        <w:t>应</w:t>
      </w:r>
      <w:r>
        <w:rPr>
          <w:rFonts w:ascii="Times New Roman" w:hAnsi="Times New Roman"/>
          <w:szCs w:val="21"/>
          <w:highlight w:val="none"/>
        </w:rPr>
        <w:t>一致。</w:t>
      </w:r>
    </w:p>
    <w:p w14:paraId="006FA72A">
      <w:pPr>
        <w:pStyle w:val="29"/>
        <w:numPr>
          <w:ilvl w:val="0"/>
          <w:numId w:val="21"/>
        </w:numPr>
        <w:ind w:left="0" w:firstLine="0" w:firstLineChars="0"/>
        <w:rPr>
          <w:rFonts w:ascii="Times New Roman" w:hAnsi="Times New Roman"/>
          <w:szCs w:val="21"/>
          <w:highlight w:val="none"/>
        </w:rPr>
      </w:pPr>
      <w:r>
        <w:rPr>
          <w:rFonts w:ascii="Times New Roman" w:hAnsi="Times New Roman"/>
          <w:szCs w:val="21"/>
          <w:highlight w:val="none"/>
        </w:rPr>
        <w:t>乙方开票信息应与合同预留账户信息一致</w:t>
      </w:r>
      <w:r>
        <w:rPr>
          <w:rFonts w:hint="eastAsia" w:ascii="Times New Roman" w:hAnsi="Times New Roman"/>
          <w:szCs w:val="21"/>
          <w:highlight w:val="none"/>
        </w:rPr>
        <w:t>，</w:t>
      </w:r>
      <w:r>
        <w:rPr>
          <w:rFonts w:ascii="Times New Roman" w:hAnsi="Times New Roman"/>
          <w:szCs w:val="21"/>
          <w:highlight w:val="none"/>
        </w:rPr>
        <w:t>如有变更，乙方应当在变更后3日内通知甲方</w:t>
      </w:r>
      <w:r>
        <w:rPr>
          <w:rFonts w:hint="eastAsia" w:ascii="Times New Roman" w:hAnsi="Times New Roman"/>
          <w:szCs w:val="21"/>
          <w:highlight w:val="none"/>
        </w:rPr>
        <w:t>，</w:t>
      </w:r>
      <w:r>
        <w:rPr>
          <w:rFonts w:ascii="Times New Roman" w:hAnsi="Times New Roman"/>
          <w:szCs w:val="21"/>
          <w:highlight w:val="none"/>
        </w:rPr>
        <w:t>否则，由此造成的损失由乙方自行承担。</w:t>
      </w:r>
    </w:p>
    <w:p w14:paraId="734CFD97">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售后服务</w:t>
      </w:r>
    </w:p>
    <w:p w14:paraId="5551B44E">
      <w:pPr>
        <w:pStyle w:val="29"/>
        <w:numPr>
          <w:ilvl w:val="0"/>
          <w:numId w:val="22"/>
        </w:numPr>
        <w:ind w:firstLineChars="0"/>
        <w:rPr>
          <w:rFonts w:ascii="Times New Roman" w:hAnsi="Times New Roman"/>
          <w:szCs w:val="21"/>
          <w:highlight w:val="none"/>
        </w:rPr>
      </w:pPr>
      <w:r>
        <w:rPr>
          <w:rFonts w:hint="eastAsia" w:ascii="Times New Roman" w:hAnsi="Times New Roman"/>
          <w:szCs w:val="21"/>
          <w:highlight w:val="none"/>
        </w:rPr>
        <w:t>软件完成安装后，乙</w:t>
      </w:r>
      <w:r>
        <w:rPr>
          <w:rFonts w:ascii="Times New Roman" w:hAnsi="Times New Roman"/>
          <w:szCs w:val="21"/>
          <w:highlight w:val="none"/>
        </w:rPr>
        <w:t>方应对甲方工作人员进行培训：</w:t>
      </w:r>
      <w:r>
        <w:rPr>
          <w:rFonts w:hint="eastAsia" w:ascii="Times New Roman" w:hAnsi="Times New Roman"/>
          <w:szCs w:val="21"/>
          <w:highlight w:val="none"/>
        </w:rPr>
        <w:t>*</w:t>
      </w:r>
      <w:r>
        <w:rPr>
          <w:rFonts w:ascii="Times New Roman" w:hAnsi="Times New Roman"/>
          <w:szCs w:val="21"/>
          <w:highlight w:val="none"/>
        </w:rPr>
        <w:t>**</w:t>
      </w:r>
      <w:r>
        <w:rPr>
          <w:rFonts w:ascii="Times New Roman" w:hAnsi="Times New Roman"/>
          <w:highlight w:val="none"/>
        </w:rPr>
        <w:t>。</w:t>
      </w:r>
      <w:r>
        <w:rPr>
          <w:rFonts w:hint="eastAsia" w:ascii="Times New Roman" w:hAnsi="Times New Roman"/>
          <w:i/>
          <w:iCs/>
          <w:szCs w:val="21"/>
          <w:highlight w:val="none"/>
        </w:rPr>
        <w:t>&lt;具体培训内容</w:t>
      </w:r>
      <w:r>
        <w:rPr>
          <w:rFonts w:ascii="Times New Roman" w:hAnsi="Times New Roman"/>
          <w:i/>
          <w:iCs/>
          <w:szCs w:val="21"/>
          <w:highlight w:val="none"/>
        </w:rPr>
        <w:t>可根据项目具体情况编制</w:t>
      </w:r>
      <w:r>
        <w:rPr>
          <w:rFonts w:hint="eastAsia" w:ascii="Times New Roman" w:hAnsi="Times New Roman"/>
          <w:i/>
          <w:iCs/>
          <w:szCs w:val="21"/>
          <w:highlight w:val="none"/>
        </w:rPr>
        <w:t>&gt;</w:t>
      </w:r>
      <w:r>
        <w:rPr>
          <w:rFonts w:ascii="Times New Roman" w:hAnsi="Times New Roman"/>
          <w:szCs w:val="21"/>
          <w:highlight w:val="none"/>
        </w:rPr>
        <w:t>并保证甲方受训技术人员熟练掌握</w:t>
      </w:r>
      <w:r>
        <w:rPr>
          <w:rFonts w:hint="eastAsia" w:ascii="Times New Roman" w:hAnsi="Times New Roman"/>
          <w:szCs w:val="21"/>
          <w:highlight w:val="none"/>
        </w:rPr>
        <w:t>软件的使用方法</w:t>
      </w:r>
      <w:r>
        <w:rPr>
          <w:rFonts w:ascii="Times New Roman" w:hAnsi="Times New Roman"/>
          <w:szCs w:val="21"/>
          <w:highlight w:val="none"/>
        </w:rPr>
        <w:t>，直至甲方受训技术人员能保证</w:t>
      </w:r>
      <w:r>
        <w:rPr>
          <w:rFonts w:hint="eastAsia" w:ascii="Times New Roman" w:hAnsi="Times New Roman"/>
          <w:szCs w:val="21"/>
          <w:highlight w:val="none"/>
        </w:rPr>
        <w:t>软件日常</w:t>
      </w:r>
      <w:r>
        <w:rPr>
          <w:rFonts w:ascii="Times New Roman" w:hAnsi="Times New Roman"/>
          <w:szCs w:val="21"/>
          <w:highlight w:val="none"/>
        </w:rPr>
        <w:t>运行并能排除一般</w:t>
      </w:r>
      <w:r>
        <w:rPr>
          <w:rFonts w:hint="eastAsia" w:ascii="Times New Roman" w:hAnsi="Times New Roman"/>
          <w:szCs w:val="21"/>
          <w:highlight w:val="none"/>
        </w:rPr>
        <w:t>性</w:t>
      </w:r>
      <w:r>
        <w:rPr>
          <w:rFonts w:ascii="Times New Roman" w:hAnsi="Times New Roman"/>
          <w:szCs w:val="21"/>
          <w:highlight w:val="none"/>
        </w:rPr>
        <w:t>故障。</w:t>
      </w:r>
    </w:p>
    <w:p w14:paraId="73249DB3">
      <w:pPr>
        <w:pStyle w:val="29"/>
        <w:numPr>
          <w:ilvl w:val="0"/>
          <w:numId w:val="22"/>
        </w:numPr>
        <w:ind w:firstLineChars="0"/>
        <w:rPr>
          <w:rFonts w:ascii="Times New Roman" w:hAnsi="Times New Roman"/>
          <w:szCs w:val="21"/>
          <w:highlight w:val="none"/>
        </w:rPr>
      </w:pPr>
      <w:r>
        <w:rPr>
          <w:rFonts w:ascii="Times New Roman" w:hAnsi="Times New Roman"/>
          <w:szCs w:val="21"/>
          <w:highlight w:val="none"/>
        </w:rPr>
        <w:t>质保期为验收合格后***年（合同签订后甲方验收合格且</w:t>
      </w:r>
      <w:r>
        <w:rPr>
          <w:rFonts w:hint="eastAsia" w:ascii="Times New Roman" w:hAnsi="Times New Roman"/>
          <w:szCs w:val="21"/>
          <w:highlight w:val="none"/>
        </w:rPr>
        <w:t>甲乙双方签署</w:t>
      </w:r>
      <w:r>
        <w:rPr>
          <w:rFonts w:ascii="Times New Roman" w:hAnsi="Times New Roman"/>
          <w:szCs w:val="21"/>
          <w:highlight w:val="none"/>
        </w:rPr>
        <w:t>验收报告之日起）</w:t>
      </w:r>
      <w:r>
        <w:rPr>
          <w:rFonts w:hint="eastAsia" w:ascii="Times New Roman" w:hAnsi="Times New Roman"/>
          <w:szCs w:val="21"/>
          <w:highlight w:val="none"/>
        </w:rPr>
        <w:t>。</w:t>
      </w:r>
    </w:p>
    <w:p w14:paraId="1B709BCE">
      <w:pPr>
        <w:pStyle w:val="29"/>
        <w:numPr>
          <w:ilvl w:val="0"/>
          <w:numId w:val="22"/>
        </w:numPr>
        <w:ind w:firstLineChars="0"/>
        <w:rPr>
          <w:rFonts w:hint="eastAsia" w:ascii="Times New Roman" w:hAnsi="Times New Roman"/>
          <w:highlight w:val="none"/>
        </w:rPr>
      </w:pPr>
      <w:r>
        <w:rPr>
          <w:rFonts w:ascii="Times New Roman" w:hAnsi="Times New Roman"/>
          <w:szCs w:val="21"/>
          <w:highlight w:val="none"/>
        </w:rPr>
        <w:t>质保范围：</w:t>
      </w:r>
      <w:r>
        <w:rPr>
          <w:rFonts w:hint="eastAsia" w:ascii="Times New Roman" w:hAnsi="Times New Roman"/>
          <w:highlight w:val="none"/>
        </w:rPr>
        <w:t>质保期内发现软件不符合本合同约定的</w:t>
      </w:r>
      <w:r>
        <w:rPr>
          <w:rFonts w:hint="eastAsia" w:ascii="Times New Roman" w:hAnsi="Times New Roman"/>
          <w:szCs w:val="21"/>
          <w:highlight w:val="none"/>
        </w:rPr>
        <w:t>功能</w:t>
      </w:r>
      <w:r>
        <w:rPr>
          <w:rFonts w:ascii="Times New Roman" w:hAnsi="Times New Roman"/>
          <w:szCs w:val="21"/>
          <w:highlight w:val="none"/>
        </w:rPr>
        <w:t>要求和技术指标</w:t>
      </w:r>
      <w:r>
        <w:rPr>
          <w:rFonts w:hint="eastAsia" w:ascii="Times New Roman" w:hAnsi="Times New Roman"/>
          <w:highlight w:val="none"/>
        </w:rPr>
        <w:t>，乙方在接到通知后</w:t>
      </w:r>
      <w:r>
        <w:rPr>
          <w:rFonts w:ascii="Times New Roman" w:hAnsi="Times New Roman"/>
          <w:highlight w:val="none"/>
        </w:rPr>
        <w:t>***</w:t>
      </w:r>
      <w:r>
        <w:rPr>
          <w:rFonts w:hint="eastAsia" w:ascii="Times New Roman" w:hAnsi="Times New Roman"/>
          <w:highlight w:val="none"/>
        </w:rPr>
        <w:t>小时内响应到场，</w:t>
      </w:r>
      <w:r>
        <w:rPr>
          <w:rFonts w:ascii="Times New Roman" w:hAnsi="Times New Roman"/>
          <w:highlight w:val="none"/>
        </w:rPr>
        <w:t>***</w:t>
      </w:r>
      <w:r>
        <w:rPr>
          <w:rFonts w:hint="eastAsia" w:ascii="Times New Roman" w:hAnsi="Times New Roman"/>
          <w:highlight w:val="none"/>
        </w:rPr>
        <w:t>小时内完成调试或维修，并承担相关费用；如经乙方3次调试或维修仍不能达到本合同约定的</w:t>
      </w:r>
      <w:r>
        <w:rPr>
          <w:rFonts w:hint="eastAsia" w:ascii="Times New Roman" w:hAnsi="Times New Roman"/>
          <w:szCs w:val="21"/>
          <w:highlight w:val="none"/>
        </w:rPr>
        <w:t>功能</w:t>
      </w:r>
      <w:r>
        <w:rPr>
          <w:rFonts w:ascii="Times New Roman" w:hAnsi="Times New Roman"/>
          <w:szCs w:val="21"/>
          <w:highlight w:val="none"/>
        </w:rPr>
        <w:t>要求和技术指标</w:t>
      </w:r>
      <w:r>
        <w:rPr>
          <w:rFonts w:hint="eastAsia" w:ascii="Times New Roman" w:hAnsi="Times New Roman"/>
          <w:highlight w:val="none"/>
        </w:rPr>
        <w:t>，甲方有权退货并追究乙方的违约责任。</w:t>
      </w:r>
    </w:p>
    <w:p w14:paraId="50112506">
      <w:pPr>
        <w:pStyle w:val="29"/>
        <w:numPr>
          <w:ilvl w:val="0"/>
          <w:numId w:val="22"/>
        </w:numPr>
        <w:ind w:firstLineChars="0"/>
        <w:rPr>
          <w:rFonts w:ascii="Times New Roman" w:hAnsi="Times New Roman"/>
          <w:szCs w:val="21"/>
          <w:highlight w:val="none"/>
        </w:rPr>
      </w:pPr>
      <w:r>
        <w:rPr>
          <w:rFonts w:ascii="Times New Roman" w:hAnsi="Times New Roman"/>
          <w:szCs w:val="21"/>
          <w:highlight w:val="none"/>
        </w:rPr>
        <w:t>在</w:t>
      </w:r>
      <w:r>
        <w:rPr>
          <w:rFonts w:hint="eastAsia" w:ascii="Times New Roman" w:hAnsi="Times New Roman"/>
          <w:szCs w:val="21"/>
          <w:highlight w:val="none"/>
        </w:rPr>
        <w:t>质保</w:t>
      </w:r>
      <w:r>
        <w:rPr>
          <w:rFonts w:ascii="Times New Roman" w:hAnsi="Times New Roman"/>
          <w:szCs w:val="21"/>
          <w:highlight w:val="none"/>
        </w:rPr>
        <w:t>期内乙方应保证甲方对</w:t>
      </w:r>
      <w:r>
        <w:rPr>
          <w:rFonts w:hint="eastAsia" w:ascii="Times New Roman" w:hAnsi="Times New Roman"/>
          <w:szCs w:val="21"/>
          <w:highlight w:val="none"/>
        </w:rPr>
        <w:t>软件</w:t>
      </w:r>
      <w:r>
        <w:rPr>
          <w:rFonts w:ascii="Times New Roman" w:hAnsi="Times New Roman"/>
          <w:szCs w:val="21"/>
          <w:highlight w:val="none"/>
        </w:rPr>
        <w:t>的使用因故障停用时间小于***个工作日。</w:t>
      </w:r>
    </w:p>
    <w:p w14:paraId="12BA0292">
      <w:pPr>
        <w:pStyle w:val="29"/>
        <w:numPr>
          <w:ilvl w:val="0"/>
          <w:numId w:val="22"/>
        </w:numPr>
        <w:ind w:firstLineChars="0"/>
        <w:rPr>
          <w:rFonts w:ascii="Times New Roman" w:hAnsi="Times New Roman"/>
          <w:szCs w:val="21"/>
          <w:highlight w:val="none"/>
        </w:rPr>
      </w:pPr>
      <w:r>
        <w:rPr>
          <w:rFonts w:ascii="Times New Roman" w:hAnsi="Times New Roman"/>
          <w:szCs w:val="21"/>
          <w:highlight w:val="none"/>
        </w:rPr>
        <w:t>售后服务涉及费用均</w:t>
      </w:r>
      <w:r>
        <w:rPr>
          <w:rFonts w:hint="eastAsia" w:ascii="Times New Roman" w:hAnsi="Times New Roman"/>
          <w:szCs w:val="21"/>
          <w:highlight w:val="none"/>
        </w:rPr>
        <w:t>已</w:t>
      </w:r>
      <w:r>
        <w:rPr>
          <w:rFonts w:ascii="Times New Roman" w:hAnsi="Times New Roman"/>
          <w:szCs w:val="21"/>
          <w:highlight w:val="none"/>
        </w:rPr>
        <w:t>包含在</w:t>
      </w:r>
      <w:r>
        <w:rPr>
          <w:rFonts w:hint="eastAsia" w:ascii="Times New Roman" w:hAnsi="Times New Roman"/>
          <w:szCs w:val="21"/>
          <w:highlight w:val="none"/>
        </w:rPr>
        <w:t>本</w:t>
      </w:r>
      <w:r>
        <w:rPr>
          <w:rFonts w:ascii="Times New Roman" w:hAnsi="Times New Roman"/>
          <w:szCs w:val="21"/>
          <w:highlight w:val="none"/>
        </w:rPr>
        <w:t>合同总价中。</w:t>
      </w:r>
    </w:p>
    <w:p w14:paraId="5D220ABE">
      <w:pPr>
        <w:pStyle w:val="29"/>
        <w:numPr>
          <w:ilvl w:val="0"/>
          <w:numId w:val="22"/>
        </w:numPr>
        <w:ind w:firstLineChars="0"/>
        <w:rPr>
          <w:rFonts w:ascii="Times New Roman" w:hAnsi="Times New Roman"/>
          <w:szCs w:val="21"/>
          <w:highlight w:val="none"/>
        </w:rPr>
      </w:pPr>
      <w:r>
        <w:rPr>
          <w:rFonts w:ascii="Times New Roman" w:hAnsi="Times New Roman"/>
          <w:szCs w:val="21"/>
          <w:highlight w:val="none"/>
        </w:rPr>
        <w:t>无论是质保期内还是在质保期外，若出现故障，乙方应在***小时内提供技术支持</w:t>
      </w:r>
      <w:r>
        <w:rPr>
          <w:rFonts w:hint="eastAsia" w:ascii="Times New Roman" w:hAnsi="Times New Roman"/>
          <w:szCs w:val="21"/>
          <w:highlight w:val="none"/>
        </w:rPr>
        <w:t>并</w:t>
      </w:r>
      <w:r>
        <w:rPr>
          <w:rFonts w:ascii="Times New Roman" w:hAnsi="Times New Roman"/>
          <w:szCs w:val="21"/>
          <w:highlight w:val="none"/>
        </w:rPr>
        <w:t>作出答复</w:t>
      </w:r>
      <w:r>
        <w:rPr>
          <w:rFonts w:hint="eastAsia" w:ascii="Times New Roman" w:hAnsi="Times New Roman"/>
          <w:szCs w:val="21"/>
          <w:highlight w:val="none"/>
        </w:rPr>
        <w:t>。质保期满后甲方委托乙方继续提供维护服务的，因此产生的维护费用由甲乙双方另行商议，每年费用最高不超过</w:t>
      </w:r>
      <w:r>
        <w:rPr>
          <w:rFonts w:hint="eastAsia" w:ascii="Times New Roman" w:hAnsi="Times New Roman"/>
          <w:szCs w:val="21"/>
          <w:highlight w:val="none"/>
          <w:u w:val="single"/>
        </w:rPr>
        <w:t>本合同总价</w:t>
      </w:r>
      <w:r>
        <w:rPr>
          <w:rFonts w:hint="eastAsia" w:ascii="Times New Roman" w:hAnsi="Times New Roman"/>
          <w:szCs w:val="21"/>
          <w:highlight w:val="none"/>
        </w:rPr>
        <w:t>的</w:t>
      </w:r>
      <w:r>
        <w:rPr>
          <w:rFonts w:hint="eastAsia" w:ascii="Times New Roman" w:hAnsi="Times New Roman"/>
          <w:szCs w:val="21"/>
          <w:highlight w:val="none"/>
          <w:u w:val="single"/>
        </w:rPr>
        <w:t>***</w:t>
      </w:r>
      <w:r>
        <w:rPr>
          <w:rFonts w:hint="eastAsia" w:ascii="Times New Roman" w:hAnsi="Times New Roman"/>
          <w:szCs w:val="21"/>
          <w:highlight w:val="none"/>
        </w:rPr>
        <w:t>%。</w:t>
      </w:r>
    </w:p>
    <w:p w14:paraId="5C6C48B4">
      <w:pPr>
        <w:pStyle w:val="29"/>
        <w:numPr>
          <w:ilvl w:val="0"/>
          <w:numId w:val="22"/>
        </w:numPr>
        <w:ind w:firstLineChars="0"/>
        <w:rPr>
          <w:rFonts w:ascii="Times New Roman" w:hAnsi="Times New Roman"/>
          <w:szCs w:val="21"/>
          <w:highlight w:val="none"/>
        </w:rPr>
      </w:pPr>
      <w:r>
        <w:rPr>
          <w:rFonts w:ascii="Times New Roman" w:hAnsi="Times New Roman"/>
          <w:szCs w:val="21"/>
          <w:highlight w:val="none"/>
        </w:rPr>
        <w:tab/>
      </w:r>
      <w:r>
        <w:rPr>
          <w:rFonts w:ascii="Times New Roman" w:hAnsi="Times New Roman"/>
          <w:szCs w:val="21"/>
          <w:highlight w:val="none"/>
        </w:rPr>
        <w:t>因乙方原因</w:t>
      </w:r>
      <w:r>
        <w:rPr>
          <w:rFonts w:hint="eastAsia" w:ascii="Times New Roman" w:hAnsi="Times New Roman"/>
          <w:szCs w:val="21"/>
          <w:highlight w:val="none"/>
        </w:rPr>
        <w:t>致使软件不能达到</w:t>
      </w:r>
      <w:r>
        <w:rPr>
          <w:rFonts w:hint="eastAsia" w:ascii="Times New Roman" w:hAnsi="Times New Roman"/>
          <w:highlight w:val="none"/>
        </w:rPr>
        <w:t>本合同约定的</w:t>
      </w:r>
      <w:r>
        <w:rPr>
          <w:rFonts w:hint="eastAsia" w:ascii="Times New Roman" w:hAnsi="Times New Roman"/>
          <w:szCs w:val="21"/>
          <w:highlight w:val="none"/>
        </w:rPr>
        <w:t>功能</w:t>
      </w:r>
      <w:r>
        <w:rPr>
          <w:rFonts w:ascii="Times New Roman" w:hAnsi="Times New Roman"/>
          <w:szCs w:val="21"/>
          <w:highlight w:val="none"/>
        </w:rPr>
        <w:t>要求和技术指标，按甲方实际</w:t>
      </w:r>
      <w:r>
        <w:rPr>
          <w:rFonts w:hint="eastAsia" w:ascii="Times New Roman" w:hAnsi="Times New Roman"/>
          <w:szCs w:val="21"/>
          <w:highlight w:val="none"/>
        </w:rPr>
        <w:t>停用</w:t>
      </w:r>
      <w:r>
        <w:rPr>
          <w:rFonts w:ascii="Times New Roman" w:hAnsi="Times New Roman"/>
          <w:szCs w:val="21"/>
          <w:highlight w:val="none"/>
        </w:rPr>
        <w:t>天数自动延长其质保期,甲方有权延后</w:t>
      </w:r>
      <w:r>
        <w:rPr>
          <w:rFonts w:hint="eastAsia" w:ascii="Times New Roman" w:hAnsi="Times New Roman"/>
          <w:szCs w:val="21"/>
          <w:highlight w:val="none"/>
        </w:rPr>
        <w:t>履约保证金</w:t>
      </w:r>
      <w:r>
        <w:rPr>
          <w:rFonts w:ascii="Times New Roman" w:hAnsi="Times New Roman"/>
          <w:szCs w:val="21"/>
          <w:highlight w:val="none"/>
        </w:rPr>
        <w:t>和维保费用的支付时间，并追究因此引发的乙方相应法律责任。</w:t>
      </w:r>
    </w:p>
    <w:p w14:paraId="46E89335">
      <w:pPr>
        <w:pStyle w:val="29"/>
        <w:numPr>
          <w:ilvl w:val="0"/>
          <w:numId w:val="22"/>
        </w:numPr>
        <w:ind w:firstLineChars="0"/>
        <w:rPr>
          <w:rFonts w:hint="eastAsia" w:ascii="Times New Roman" w:hAnsi="Times New Roman"/>
          <w:szCs w:val="21"/>
          <w:highlight w:val="none"/>
        </w:rPr>
      </w:pPr>
      <w:r>
        <w:rPr>
          <w:rFonts w:hint="eastAsia" w:ascii="Times New Roman" w:hAnsi="Times New Roman"/>
          <w:szCs w:val="21"/>
          <w:highlight w:val="none"/>
        </w:rPr>
        <w:t>质保期内，如遇系统升级或技术迭代，乙方应保证交付标的及时相应更新，同时并就更新后信息系统进行培训，保证甲方受训技术人员熟练掌握信息系统的使用方法并能独立操作，保证正常运行并能排除一般性故障。相关更新和培训费用已包含在本合同总价内，甲方无需另行支付。</w:t>
      </w:r>
    </w:p>
    <w:p w14:paraId="318BDBC2">
      <w:pPr>
        <w:pStyle w:val="29"/>
        <w:numPr>
          <w:ilvl w:val="0"/>
          <w:numId w:val="12"/>
        </w:numPr>
        <w:snapToGrid w:val="0"/>
        <w:ind w:left="0" w:firstLine="0" w:firstLineChars="0"/>
        <w:rPr>
          <w:rFonts w:ascii="Times New Roman" w:hAnsi="Times New Roman"/>
          <w:b/>
          <w:bCs/>
          <w:szCs w:val="21"/>
          <w:highlight w:val="none"/>
        </w:rPr>
      </w:pPr>
      <w:r>
        <w:rPr>
          <w:rFonts w:hint="eastAsia" w:ascii="Times New Roman" w:hAnsi="Times New Roman"/>
          <w:b/>
          <w:bCs/>
          <w:szCs w:val="21"/>
          <w:highlight w:val="none"/>
        </w:rPr>
        <w:t>双方的权利和义务</w:t>
      </w:r>
    </w:p>
    <w:p w14:paraId="6AA18A0E">
      <w:pPr>
        <w:pStyle w:val="29"/>
        <w:numPr>
          <w:ilvl w:val="0"/>
          <w:numId w:val="23"/>
        </w:numPr>
        <w:ind w:firstLineChars="0"/>
        <w:rPr>
          <w:rFonts w:hint="eastAsia" w:ascii="Times New Roman" w:hAnsi="Times New Roman"/>
          <w:szCs w:val="21"/>
          <w:highlight w:val="none"/>
        </w:rPr>
      </w:pPr>
      <w:r>
        <w:rPr>
          <w:rFonts w:hint="eastAsia" w:ascii="Times New Roman" w:hAnsi="Times New Roman"/>
          <w:szCs w:val="21"/>
          <w:highlight w:val="none"/>
        </w:rPr>
        <w:t>甲方的权利和义务：</w:t>
      </w:r>
    </w:p>
    <w:p w14:paraId="1ACB2C84">
      <w:pPr>
        <w:pStyle w:val="29"/>
        <w:numPr>
          <w:ilvl w:val="0"/>
          <w:numId w:val="24"/>
        </w:numPr>
        <w:snapToGrid w:val="0"/>
        <w:ind w:firstLineChars="0"/>
        <w:rPr>
          <w:rFonts w:hint="eastAsia" w:ascii="Times New Roman" w:hAnsi="Times New Roman"/>
          <w:szCs w:val="21"/>
          <w:highlight w:val="none"/>
        </w:rPr>
      </w:pPr>
      <w:r>
        <w:rPr>
          <w:rFonts w:hint="eastAsia" w:ascii="Times New Roman" w:hAnsi="Times New Roman"/>
          <w:szCs w:val="21"/>
          <w:highlight w:val="none"/>
        </w:rPr>
        <w:t>甲方有权获得乙方所提交的软件交付成果及相关服务。</w:t>
      </w:r>
    </w:p>
    <w:p w14:paraId="592A927C">
      <w:pPr>
        <w:pStyle w:val="29"/>
        <w:numPr>
          <w:ilvl w:val="0"/>
          <w:numId w:val="24"/>
        </w:numPr>
        <w:snapToGrid w:val="0"/>
        <w:ind w:firstLineChars="0"/>
        <w:rPr>
          <w:rFonts w:hint="eastAsia" w:ascii="Times New Roman" w:hAnsi="Times New Roman"/>
          <w:szCs w:val="21"/>
          <w:highlight w:val="none"/>
        </w:rPr>
      </w:pPr>
      <w:r>
        <w:rPr>
          <w:rFonts w:hint="eastAsia" w:ascii="Times New Roman" w:hAnsi="Times New Roman"/>
          <w:szCs w:val="21"/>
          <w:highlight w:val="none"/>
        </w:rPr>
        <w:t>甲方有权及时了解和监督软件开发的进展情况。</w:t>
      </w:r>
    </w:p>
    <w:p w14:paraId="51497BC3">
      <w:pPr>
        <w:pStyle w:val="29"/>
        <w:numPr>
          <w:ilvl w:val="0"/>
          <w:numId w:val="24"/>
        </w:numPr>
        <w:snapToGrid w:val="0"/>
        <w:ind w:firstLineChars="0"/>
        <w:rPr>
          <w:rFonts w:hint="eastAsia" w:ascii="Times New Roman" w:hAnsi="Times New Roman"/>
          <w:szCs w:val="21"/>
          <w:highlight w:val="none"/>
        </w:rPr>
      </w:pPr>
      <w:r>
        <w:rPr>
          <w:rFonts w:hint="eastAsia" w:ascii="Times New Roman" w:hAnsi="Times New Roman"/>
          <w:szCs w:val="21"/>
          <w:highlight w:val="none"/>
        </w:rPr>
        <w:t>甲方应向乙方提供完成软件开发所必需的资料和工作条件。</w:t>
      </w:r>
    </w:p>
    <w:p w14:paraId="0850DB0C">
      <w:pPr>
        <w:pStyle w:val="29"/>
        <w:numPr>
          <w:ilvl w:val="0"/>
          <w:numId w:val="24"/>
        </w:numPr>
        <w:snapToGrid w:val="0"/>
        <w:ind w:firstLineChars="0"/>
        <w:rPr>
          <w:rFonts w:ascii="Times New Roman" w:hAnsi="Times New Roman"/>
          <w:szCs w:val="21"/>
          <w:highlight w:val="none"/>
        </w:rPr>
      </w:pPr>
      <w:r>
        <w:rPr>
          <w:rFonts w:hint="eastAsia" w:ascii="Times New Roman" w:hAnsi="Times New Roman"/>
          <w:szCs w:val="21"/>
          <w:highlight w:val="none"/>
        </w:rPr>
        <w:t>甲方应按照合同约定向乙方支付合同价款。</w:t>
      </w:r>
    </w:p>
    <w:p w14:paraId="29FC55F3">
      <w:pPr>
        <w:pStyle w:val="29"/>
        <w:numPr>
          <w:ilvl w:val="0"/>
          <w:numId w:val="23"/>
        </w:numPr>
        <w:ind w:firstLineChars="0"/>
        <w:rPr>
          <w:rFonts w:hint="eastAsia" w:ascii="Times New Roman" w:hAnsi="Times New Roman"/>
          <w:szCs w:val="21"/>
          <w:highlight w:val="none"/>
        </w:rPr>
      </w:pPr>
      <w:r>
        <w:rPr>
          <w:rFonts w:hint="eastAsia" w:ascii="Times New Roman" w:hAnsi="Times New Roman"/>
          <w:szCs w:val="21"/>
          <w:highlight w:val="none"/>
        </w:rPr>
        <w:t>乙方的权利和义务：</w:t>
      </w:r>
    </w:p>
    <w:p w14:paraId="4BCDC70B">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乙方有权按照本合同约定收取合同价款。</w:t>
      </w:r>
    </w:p>
    <w:p w14:paraId="715AEB9B">
      <w:pPr>
        <w:pStyle w:val="29"/>
        <w:numPr>
          <w:ilvl w:val="0"/>
          <w:numId w:val="25"/>
        </w:numPr>
        <w:snapToGrid w:val="0"/>
        <w:ind w:firstLineChars="0"/>
        <w:rPr>
          <w:rFonts w:ascii="Times New Roman" w:hAnsi="Times New Roman"/>
          <w:szCs w:val="21"/>
          <w:highlight w:val="none"/>
        </w:rPr>
      </w:pPr>
      <w:r>
        <w:rPr>
          <w:rFonts w:hint="eastAsia" w:ascii="Times New Roman" w:hAnsi="Times New Roman"/>
          <w:szCs w:val="21"/>
          <w:highlight w:val="none"/>
        </w:rPr>
        <w:t>乙方有权要求甲方提供软件开发所必需的资料和支持。</w:t>
      </w:r>
    </w:p>
    <w:p w14:paraId="6A9AD2B6">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应保证所交付的软件产品是完整、全新的，并在性能、质量和设计方面满足安全、可靠和高效运行与方便维护的全部要求，能够满足甲方的个性化需求与接口的相关开发工作需求；若软件产品开发需要与甲方主要业务相关系统对接，原则上对接费用由乙方支付；乙方所提供的技术文件和相关资料应是完整的、清晰易读取和准确无误的，能够满足软件交付成果的检验、安装、调试、测试、验收、运行、维护和培训的需要。</w:t>
      </w:r>
    </w:p>
    <w:p w14:paraId="7CB6F2BC">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乙方应派遣身体健康、有相关工作经验和相应技能的技术人员到甲方现场并提供开发、安装、调试、测试、试运行、维护及培训等技术服务，该技术服务费用包括在本合同总价内。</w:t>
      </w:r>
    </w:p>
    <w:p w14:paraId="15FCA366">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如果甲方发现乙方交付的软件产品有缺陷，或性能和质量不符甲方要求时，乙方应负责无偿地修复缺陷、替换或更换所交付的软件产品。因乙方交付的软件产品存在缺陷，或性能和质量不符合本合同约定而给甲方造成损失或者工作障碍的，乙方应承当相应的责任。</w:t>
      </w:r>
    </w:p>
    <w:p w14:paraId="0E4BB1CB">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在售后服务期内，乙方应负责向甲方提供与软件有关新的或改进的运行经验、技术开发和安全方面的所有资料及信息，且负责对本合同以下的软件进行更新、升级，并提供相应的培训、维护服务，相关费用包含在本合同总价中。</w:t>
      </w:r>
    </w:p>
    <w:p w14:paraId="6835C000">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乙方保证其所交付软件产品及服务不存在任何权利瑕疵，如任何第三方就乙方交付的软件产品及服务向甲方提起侵权索赔，乙方应负责与第三方交涉，并承担由此引起的一切法律责任，相关费用由乙方承担。</w:t>
      </w:r>
    </w:p>
    <w:p w14:paraId="4116C38B">
      <w:pPr>
        <w:pStyle w:val="29"/>
        <w:numPr>
          <w:ilvl w:val="0"/>
          <w:numId w:val="25"/>
        </w:numPr>
        <w:snapToGrid w:val="0"/>
        <w:ind w:firstLineChars="0"/>
        <w:rPr>
          <w:rFonts w:ascii="Times New Roman" w:hAnsi="Times New Roman"/>
          <w:szCs w:val="21"/>
          <w:highlight w:val="none"/>
        </w:rPr>
      </w:pPr>
      <w:r>
        <w:rPr>
          <w:rFonts w:hint="eastAsia" w:ascii="Times New Roman" w:hAnsi="Times New Roman"/>
          <w:szCs w:val="21"/>
          <w:highlight w:val="none"/>
        </w:rPr>
        <w:t>乙方承诺所提供的软件产品不含有任何安全隐患，并在软件使用期内 承担全部责任(包括但不限于消除安全隐患、退款、赔偿损失等)。发生任何由于软件产品安全引起的事故时，乙方应赔偿甲方及相关用户因此所发生的损失。</w:t>
      </w:r>
    </w:p>
    <w:p w14:paraId="28F9B12A">
      <w:pPr>
        <w:pStyle w:val="29"/>
        <w:numPr>
          <w:ilvl w:val="0"/>
          <w:numId w:val="25"/>
        </w:numPr>
        <w:snapToGrid w:val="0"/>
        <w:ind w:firstLineChars="0"/>
        <w:rPr>
          <w:rFonts w:ascii="Times New Roman" w:hAnsi="Times New Roman"/>
          <w:szCs w:val="21"/>
          <w:highlight w:val="none"/>
        </w:rPr>
      </w:pPr>
      <w:r>
        <w:rPr>
          <w:rFonts w:hint="eastAsia" w:ascii="Times New Roman" w:hAnsi="Times New Roman"/>
          <w:szCs w:val="21"/>
          <w:highlight w:val="none"/>
        </w:rPr>
        <w:t>乙方对本合同软件的开发及在开发过程中所获得的所有数据负有保密的义务，本合同履行过程中乙方获知的甲方商业秘密或其它技术及经营信息均负有保密义务，不得向任何第三方透露或泄露。</w:t>
      </w:r>
    </w:p>
    <w:p w14:paraId="6ECD0386">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基于本合同向甲方提供服务过程中所产出的各项医疗数据（包括但不限于就诊信息、检查检验结果、用药记录、手术记录、病历病案等）及其它技术服务成果均归属于甲方所有，乙方应当严格保密，未经甲方书面许可，乙方不得对外泄露或私自转让予第三方。合作结束，乙方应配合向甲方交付所有上述数据后再行删除，无法删除的数据，乙方承诺妥善保管不得外泄。</w:t>
      </w:r>
    </w:p>
    <w:p w14:paraId="704CD968">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违约责任</w:t>
      </w:r>
      <w:r>
        <w:rPr>
          <w:rFonts w:hint="eastAsia" w:ascii="Times New Roman" w:hAnsi="Times New Roman"/>
          <w:i/>
          <w:iCs/>
          <w:szCs w:val="21"/>
          <w:highlight w:val="none"/>
        </w:rPr>
        <w:t>&lt;本条款中违约金比例可根据项目实际情况确定&gt;</w:t>
      </w:r>
    </w:p>
    <w:p w14:paraId="0FD8124D">
      <w:pPr>
        <w:pStyle w:val="29"/>
        <w:ind w:firstLine="0" w:firstLineChars="0"/>
        <w:rPr>
          <w:rFonts w:ascii="Times New Roman" w:hAnsi="Times New Roman"/>
          <w:szCs w:val="21"/>
          <w:highlight w:val="none"/>
        </w:rPr>
      </w:pPr>
      <w:r>
        <w:rPr>
          <w:rFonts w:ascii="Times New Roman" w:hAnsi="Times New Roman"/>
          <w:szCs w:val="21"/>
          <w:highlight w:val="none"/>
        </w:rPr>
        <w:t>1.甲方违约责任：甲方无正当理由</w:t>
      </w:r>
      <w:r>
        <w:rPr>
          <w:rFonts w:hint="eastAsia" w:ascii="Times New Roman" w:hAnsi="Times New Roman"/>
          <w:szCs w:val="21"/>
          <w:highlight w:val="none"/>
        </w:rPr>
        <w:t>拒绝交付及验收的</w:t>
      </w:r>
      <w:r>
        <w:rPr>
          <w:rFonts w:ascii="Times New Roman" w:hAnsi="Times New Roman"/>
          <w:szCs w:val="21"/>
          <w:highlight w:val="none"/>
        </w:rPr>
        <w:t>，甲方应偿付合同总</w:t>
      </w:r>
      <w:r>
        <w:rPr>
          <w:rFonts w:hint="eastAsia" w:ascii="Times New Roman" w:hAnsi="Times New Roman"/>
          <w:szCs w:val="21"/>
          <w:highlight w:val="none"/>
        </w:rPr>
        <w:t>金额的</w:t>
      </w:r>
      <w:r>
        <w:rPr>
          <w:rFonts w:hint="eastAsia" w:ascii="Times New Roman" w:hAnsi="Times New Roman"/>
          <w:szCs w:val="21"/>
          <w:highlight w:val="none"/>
          <w:u w:val="single"/>
        </w:rPr>
        <w:t>1</w:t>
      </w:r>
      <w:r>
        <w:rPr>
          <w:rFonts w:ascii="Times New Roman" w:hAnsi="Times New Roman"/>
          <w:szCs w:val="21"/>
          <w:highlight w:val="none"/>
          <w:u w:val="single"/>
        </w:rPr>
        <w:t>0%</w:t>
      </w:r>
      <w:r>
        <w:rPr>
          <w:rFonts w:hint="eastAsia" w:ascii="Times New Roman" w:hAnsi="Times New Roman"/>
          <w:szCs w:val="21"/>
          <w:highlight w:val="none"/>
        </w:rPr>
        <w:t>作为</w:t>
      </w:r>
      <w:r>
        <w:rPr>
          <w:rFonts w:ascii="Times New Roman" w:hAnsi="Times New Roman"/>
          <w:szCs w:val="21"/>
          <w:highlight w:val="none"/>
        </w:rPr>
        <w:t>违约金。</w:t>
      </w:r>
    </w:p>
    <w:p w14:paraId="7C0BBD00">
      <w:pPr>
        <w:pStyle w:val="29"/>
        <w:ind w:firstLine="0" w:firstLineChars="0"/>
        <w:rPr>
          <w:rFonts w:ascii="Times New Roman" w:hAnsi="Times New Roman"/>
          <w:szCs w:val="21"/>
          <w:highlight w:val="none"/>
        </w:rPr>
      </w:pPr>
      <w:r>
        <w:rPr>
          <w:rFonts w:ascii="Times New Roman" w:hAnsi="Times New Roman"/>
          <w:szCs w:val="21"/>
          <w:highlight w:val="none"/>
        </w:rPr>
        <w:t>2.乙方违约责任：</w:t>
      </w:r>
    </w:p>
    <w:p w14:paraId="11B9D72D">
      <w:pPr>
        <w:pStyle w:val="29"/>
        <w:numPr>
          <w:ilvl w:val="0"/>
          <w:numId w:val="26"/>
        </w:numPr>
        <w:snapToGrid w:val="0"/>
        <w:ind w:firstLineChars="0"/>
        <w:rPr>
          <w:rFonts w:ascii="Times New Roman" w:hAnsi="Times New Roman"/>
          <w:szCs w:val="21"/>
          <w:highlight w:val="none"/>
        </w:rPr>
      </w:pPr>
      <w:r>
        <w:rPr>
          <w:rFonts w:hint="eastAsia" w:ascii="Times New Roman" w:hAnsi="Times New Roman"/>
          <w:szCs w:val="21"/>
          <w:highlight w:val="none"/>
        </w:rPr>
        <w:t>乙方拒绝交付软件，或交付的软件经两次验收仍不符合本合同约定的验收标准，甲方有权解除合同，乙方须向甲方支付合同总金额的</w:t>
      </w:r>
      <w:r>
        <w:rPr>
          <w:rFonts w:hint="eastAsia" w:ascii="Times New Roman" w:hAnsi="Times New Roman"/>
          <w:szCs w:val="21"/>
          <w:highlight w:val="none"/>
          <w:u w:val="single"/>
        </w:rPr>
        <w:t>10</w:t>
      </w:r>
      <w:r>
        <w:rPr>
          <w:rFonts w:hint="eastAsia" w:ascii="Times New Roman" w:hAnsi="Times New Roman"/>
          <w:szCs w:val="21"/>
          <w:highlight w:val="none"/>
        </w:rPr>
        <w:t>%作为违约金，并承担其它相应的经济损失。</w:t>
      </w:r>
    </w:p>
    <w:p w14:paraId="4648C14F">
      <w:pPr>
        <w:pStyle w:val="29"/>
        <w:numPr>
          <w:ilvl w:val="0"/>
          <w:numId w:val="26"/>
        </w:numPr>
        <w:snapToGrid w:val="0"/>
        <w:ind w:firstLineChars="0"/>
        <w:rPr>
          <w:rFonts w:ascii="Times New Roman" w:hAnsi="Times New Roman"/>
          <w:szCs w:val="21"/>
          <w:highlight w:val="none"/>
        </w:rPr>
      </w:pPr>
      <w:r>
        <w:rPr>
          <w:rFonts w:ascii="Times New Roman" w:hAnsi="Times New Roman"/>
          <w:szCs w:val="21"/>
          <w:highlight w:val="none"/>
        </w:rPr>
        <w:t>质保期内出现质量问题，</w:t>
      </w:r>
      <w:r>
        <w:rPr>
          <w:rFonts w:ascii="Times New Roman" w:hAnsi="Times New Roman"/>
          <w:highlight w:val="none"/>
        </w:rPr>
        <w:t>因同一故障经乙方</w:t>
      </w:r>
      <w:r>
        <w:rPr>
          <w:rFonts w:ascii="Times New Roman" w:hAnsi="Times New Roman"/>
          <w:szCs w:val="21"/>
          <w:highlight w:val="none"/>
        </w:rPr>
        <w:t>经</w:t>
      </w:r>
      <w:r>
        <w:rPr>
          <w:rFonts w:hint="eastAsia" w:ascii="Times New Roman" w:hAnsi="Times New Roman"/>
          <w:szCs w:val="21"/>
          <w:highlight w:val="none"/>
          <w:u w:val="single"/>
        </w:rPr>
        <w:t>2</w:t>
      </w:r>
      <w:r>
        <w:rPr>
          <w:rFonts w:hint="eastAsia" w:ascii="Times New Roman" w:hAnsi="Times New Roman"/>
          <w:szCs w:val="21"/>
          <w:highlight w:val="none"/>
        </w:rPr>
        <w:t>次</w:t>
      </w:r>
      <w:r>
        <w:rPr>
          <w:rFonts w:hint="eastAsia" w:ascii="Times New Roman" w:hAnsi="Times New Roman"/>
          <w:highlight w:val="none"/>
        </w:rPr>
        <w:t>调试或维修</w:t>
      </w:r>
      <w:r>
        <w:rPr>
          <w:rFonts w:ascii="Times New Roman" w:hAnsi="Times New Roman"/>
          <w:szCs w:val="21"/>
          <w:highlight w:val="none"/>
        </w:rPr>
        <w:t>仍不能达到合同约定的</w:t>
      </w:r>
      <w:r>
        <w:rPr>
          <w:rFonts w:hint="eastAsia" w:ascii="Times New Roman" w:hAnsi="Times New Roman"/>
          <w:szCs w:val="21"/>
          <w:highlight w:val="none"/>
        </w:rPr>
        <w:t>功能</w:t>
      </w:r>
      <w:r>
        <w:rPr>
          <w:rFonts w:ascii="Times New Roman" w:hAnsi="Times New Roman"/>
          <w:szCs w:val="21"/>
          <w:highlight w:val="none"/>
        </w:rPr>
        <w:t>要求和技术指标，甲方有权解除合同并要求退货，乙方按照合同总额的</w:t>
      </w:r>
      <w:r>
        <w:rPr>
          <w:rFonts w:hint="eastAsia" w:ascii="Times New Roman" w:hAnsi="Times New Roman"/>
          <w:szCs w:val="21"/>
          <w:highlight w:val="none"/>
          <w:u w:val="single"/>
        </w:rPr>
        <w:t>10</w:t>
      </w:r>
      <w:r>
        <w:rPr>
          <w:rFonts w:ascii="Times New Roman" w:hAnsi="Times New Roman"/>
          <w:szCs w:val="21"/>
          <w:highlight w:val="none"/>
        </w:rPr>
        <w:t>%向甲方支付违约金</w:t>
      </w:r>
      <w:r>
        <w:rPr>
          <w:rFonts w:hint="eastAsia" w:ascii="Times New Roman" w:hAnsi="Times New Roman"/>
          <w:szCs w:val="21"/>
          <w:highlight w:val="none"/>
        </w:rPr>
        <w:t>。</w:t>
      </w:r>
    </w:p>
    <w:p w14:paraId="1D72A06A">
      <w:pPr>
        <w:pStyle w:val="29"/>
        <w:numPr>
          <w:ilvl w:val="0"/>
          <w:numId w:val="26"/>
        </w:numPr>
        <w:snapToGrid w:val="0"/>
        <w:ind w:firstLineChars="0"/>
        <w:rPr>
          <w:rFonts w:hint="eastAsia" w:ascii="Times New Roman" w:hAnsi="Times New Roman"/>
          <w:szCs w:val="21"/>
          <w:highlight w:val="none"/>
        </w:rPr>
      </w:pPr>
      <w:r>
        <w:rPr>
          <w:rFonts w:ascii="Times New Roman" w:hAnsi="Times New Roman"/>
          <w:szCs w:val="21"/>
          <w:highlight w:val="none"/>
        </w:rPr>
        <w:t>因乙方原因逾期</w:t>
      </w:r>
      <w:r>
        <w:rPr>
          <w:rFonts w:hint="eastAsia" w:ascii="Times New Roman" w:hAnsi="Times New Roman"/>
          <w:szCs w:val="21"/>
          <w:highlight w:val="none"/>
        </w:rPr>
        <w:t>交付</w:t>
      </w:r>
      <w:r>
        <w:rPr>
          <w:rFonts w:ascii="Times New Roman" w:hAnsi="Times New Roman"/>
          <w:szCs w:val="21"/>
          <w:highlight w:val="none"/>
        </w:rPr>
        <w:t>，每</w:t>
      </w:r>
      <w:r>
        <w:rPr>
          <w:rFonts w:hint="eastAsia" w:ascii="Times New Roman" w:hAnsi="Times New Roman"/>
          <w:szCs w:val="21"/>
          <w:highlight w:val="none"/>
        </w:rPr>
        <w:t>逾期</w:t>
      </w:r>
      <w:r>
        <w:rPr>
          <w:rFonts w:ascii="Times New Roman" w:hAnsi="Times New Roman"/>
          <w:szCs w:val="21"/>
          <w:highlight w:val="none"/>
        </w:rPr>
        <w:t>一天，须向甲方支付合同</w:t>
      </w:r>
      <w:r>
        <w:rPr>
          <w:rFonts w:hint="eastAsia" w:ascii="Times New Roman" w:hAnsi="Times New Roman"/>
          <w:szCs w:val="21"/>
          <w:highlight w:val="none"/>
        </w:rPr>
        <w:t>总金额的</w:t>
      </w:r>
      <w:r>
        <w:rPr>
          <w:rFonts w:ascii="Times New Roman" w:hAnsi="Times New Roman"/>
          <w:szCs w:val="21"/>
          <w:highlight w:val="none"/>
          <w:u w:val="single"/>
        </w:rPr>
        <w:t>***</w:t>
      </w:r>
      <w:r>
        <w:rPr>
          <w:rFonts w:hint="eastAsia" w:ascii="Times New Roman" w:hAnsi="Times New Roman"/>
          <w:szCs w:val="21"/>
          <w:highlight w:val="none"/>
        </w:rPr>
        <w:t>‰作为</w:t>
      </w:r>
      <w:r>
        <w:rPr>
          <w:rFonts w:ascii="Times New Roman" w:hAnsi="Times New Roman"/>
          <w:szCs w:val="21"/>
          <w:highlight w:val="none"/>
        </w:rPr>
        <w:t>违约金。因乙方原因逾期交货超过</w:t>
      </w:r>
      <w:r>
        <w:rPr>
          <w:rFonts w:ascii="Times New Roman" w:hAnsi="Times New Roman"/>
          <w:szCs w:val="21"/>
          <w:highlight w:val="none"/>
          <w:u w:val="single"/>
        </w:rPr>
        <w:t>***</w:t>
      </w:r>
      <w:r>
        <w:rPr>
          <w:rFonts w:ascii="Times New Roman" w:hAnsi="Times New Roman"/>
          <w:szCs w:val="21"/>
          <w:highlight w:val="none"/>
        </w:rPr>
        <w:t>天，甲方有权</w:t>
      </w:r>
      <w:r>
        <w:rPr>
          <w:rFonts w:hint="eastAsia" w:ascii="Times New Roman" w:hAnsi="Times New Roman"/>
          <w:szCs w:val="21"/>
          <w:highlight w:val="none"/>
        </w:rPr>
        <w:t>终止</w:t>
      </w:r>
      <w:r>
        <w:rPr>
          <w:rFonts w:ascii="Times New Roman" w:hAnsi="Times New Roman"/>
          <w:szCs w:val="21"/>
          <w:highlight w:val="none"/>
        </w:rPr>
        <w:t>合同</w:t>
      </w:r>
      <w:r>
        <w:rPr>
          <w:rFonts w:hint="eastAsia" w:ascii="Times New Roman" w:hAnsi="Times New Roman"/>
          <w:szCs w:val="21"/>
          <w:highlight w:val="none"/>
        </w:rPr>
        <w:t>，乙方须按合同总金额的</w:t>
      </w:r>
      <w:r>
        <w:rPr>
          <w:rFonts w:hint="eastAsia" w:ascii="Times New Roman" w:hAnsi="Times New Roman"/>
          <w:szCs w:val="21"/>
          <w:highlight w:val="none"/>
          <w:u w:val="single"/>
        </w:rPr>
        <w:t>10</w:t>
      </w:r>
      <w:r>
        <w:rPr>
          <w:rFonts w:hint="eastAsia" w:ascii="Times New Roman" w:hAnsi="Times New Roman"/>
          <w:szCs w:val="21"/>
          <w:highlight w:val="none"/>
        </w:rPr>
        <w:t>%向甲方支付违约金，如本项目要求乙方缴纳履约保证金，则乙方除向甲方支付相应违约金外，已缴纳的履约保证金不予退还；履约保证金未缴纳或已退还的，乙方应按照履约保证金的相同金额向甲方另行支付。</w:t>
      </w:r>
    </w:p>
    <w:p w14:paraId="4F1B128A">
      <w:pPr>
        <w:pStyle w:val="29"/>
        <w:numPr>
          <w:ilvl w:val="0"/>
          <w:numId w:val="26"/>
        </w:numPr>
        <w:snapToGrid w:val="0"/>
        <w:ind w:firstLineChars="0"/>
        <w:rPr>
          <w:rFonts w:ascii="Times New Roman" w:hAnsi="Times New Roman"/>
          <w:szCs w:val="21"/>
          <w:highlight w:val="none"/>
        </w:rPr>
      </w:pPr>
      <w:r>
        <w:rPr>
          <w:rFonts w:hint="eastAsia" w:ascii="Times New Roman" w:hAnsi="Times New Roman"/>
          <w:szCs w:val="21"/>
          <w:highlight w:val="none"/>
        </w:rPr>
        <w:t>乙方未按合同约定及时履行培训及维护义务时，每发生一次，乙方应按合同总金额的</w:t>
      </w:r>
      <w:r>
        <w:rPr>
          <w:rFonts w:ascii="Times New Roman" w:hAnsi="Times New Roman"/>
          <w:szCs w:val="21"/>
          <w:highlight w:val="none"/>
          <w:u w:val="single"/>
        </w:rPr>
        <w:t>***</w:t>
      </w:r>
      <w:r>
        <w:rPr>
          <w:rFonts w:hint="eastAsia" w:ascii="Times New Roman" w:hAnsi="Times New Roman"/>
          <w:szCs w:val="21"/>
          <w:highlight w:val="none"/>
        </w:rPr>
        <w:t>‰向甲方支付违约金，乙方支付违约金的同时，仍有义务对甲方进行培训及对软件维护。</w:t>
      </w:r>
    </w:p>
    <w:p w14:paraId="703D5485">
      <w:pPr>
        <w:pStyle w:val="29"/>
        <w:numPr>
          <w:ilvl w:val="0"/>
          <w:numId w:val="26"/>
        </w:numPr>
        <w:snapToGrid w:val="0"/>
        <w:ind w:firstLineChars="0"/>
        <w:rPr>
          <w:rFonts w:ascii="Times New Roman" w:hAnsi="Times New Roman"/>
          <w:szCs w:val="21"/>
          <w:highlight w:val="none"/>
        </w:rPr>
      </w:pPr>
      <w:r>
        <w:rPr>
          <w:rFonts w:hint="eastAsia" w:ascii="Times New Roman" w:hAnsi="Times New Roman"/>
          <w:szCs w:val="21"/>
          <w:highlight w:val="none"/>
        </w:rPr>
        <w:t>乙方在开发软件过程侵犯他人知识产权，甲方有权单方解除合同，并要求乙方赔偿所造成的损失，同时甲方有权要求对方按照合同总金额的</w:t>
      </w:r>
      <w:r>
        <w:rPr>
          <w:rFonts w:hint="eastAsia" w:ascii="Times New Roman" w:hAnsi="Times New Roman"/>
          <w:szCs w:val="21"/>
          <w:highlight w:val="none"/>
          <w:u w:val="single"/>
        </w:rPr>
        <w:t>10</w:t>
      </w:r>
      <w:r>
        <w:rPr>
          <w:rFonts w:ascii="Times New Roman" w:hAnsi="Times New Roman"/>
          <w:szCs w:val="21"/>
          <w:highlight w:val="none"/>
        </w:rPr>
        <w:t>%</w:t>
      </w:r>
      <w:r>
        <w:rPr>
          <w:rFonts w:hint="eastAsia" w:ascii="Times New Roman" w:hAnsi="Times New Roman"/>
          <w:szCs w:val="21"/>
          <w:highlight w:val="none"/>
        </w:rPr>
        <w:t>支付违约金。</w:t>
      </w:r>
    </w:p>
    <w:p w14:paraId="6EEE1A66">
      <w:pPr>
        <w:pStyle w:val="29"/>
        <w:numPr>
          <w:ilvl w:val="0"/>
          <w:numId w:val="26"/>
        </w:numPr>
        <w:snapToGrid w:val="0"/>
        <w:ind w:firstLineChars="0"/>
        <w:rPr>
          <w:rFonts w:hint="eastAsia" w:ascii="Times New Roman" w:hAnsi="Times New Roman"/>
          <w:szCs w:val="21"/>
          <w:highlight w:val="none"/>
        </w:rPr>
      </w:pPr>
      <w:r>
        <w:rPr>
          <w:rFonts w:ascii="Times New Roman" w:hAnsi="Times New Roman"/>
          <w:szCs w:val="21"/>
          <w:highlight w:val="none"/>
        </w:rPr>
        <w:t>乙方违反保密义务，甲方有权单方解除合同，乙方应按甲方实际损失向甲方进行赔偿并向甲方支付</w:t>
      </w:r>
      <w:r>
        <w:rPr>
          <w:rFonts w:hint="eastAsia" w:ascii="Times New Roman" w:hAnsi="Times New Roman"/>
          <w:szCs w:val="21"/>
          <w:highlight w:val="none"/>
        </w:rPr>
        <w:t>合同总金额的</w:t>
      </w:r>
      <w:r>
        <w:rPr>
          <w:rFonts w:hint="eastAsia" w:ascii="Times New Roman" w:hAnsi="Times New Roman"/>
          <w:szCs w:val="21"/>
          <w:highlight w:val="none"/>
          <w:u w:val="single"/>
        </w:rPr>
        <w:t>10</w:t>
      </w:r>
      <w:r>
        <w:rPr>
          <w:rFonts w:ascii="Times New Roman" w:hAnsi="Times New Roman"/>
          <w:szCs w:val="21"/>
          <w:highlight w:val="none"/>
        </w:rPr>
        <w:t>%</w:t>
      </w:r>
      <w:r>
        <w:rPr>
          <w:rFonts w:hint="eastAsia" w:ascii="Times New Roman" w:hAnsi="Times New Roman"/>
          <w:szCs w:val="21"/>
          <w:highlight w:val="none"/>
        </w:rPr>
        <w:t>作为</w:t>
      </w:r>
      <w:r>
        <w:rPr>
          <w:rFonts w:ascii="Times New Roman" w:hAnsi="Times New Roman"/>
          <w:szCs w:val="21"/>
          <w:highlight w:val="none"/>
        </w:rPr>
        <w:t>违约金。</w:t>
      </w:r>
    </w:p>
    <w:p w14:paraId="233512B9">
      <w:pPr>
        <w:pStyle w:val="29"/>
        <w:numPr>
          <w:ilvl w:val="0"/>
          <w:numId w:val="26"/>
        </w:numPr>
        <w:snapToGrid w:val="0"/>
        <w:ind w:firstLineChars="0"/>
        <w:rPr>
          <w:rFonts w:ascii="Times New Roman" w:hAnsi="Times New Roman"/>
          <w:szCs w:val="21"/>
          <w:highlight w:val="none"/>
        </w:rPr>
      </w:pPr>
      <w:r>
        <w:rPr>
          <w:rFonts w:hint="eastAsia" w:ascii="Times New Roman" w:hAnsi="Times New Roman"/>
          <w:szCs w:val="21"/>
          <w:highlight w:val="none"/>
        </w:rPr>
        <w:t>乙方偿付的违约金不足以弥补甲方损失的，还应按甲方损失尚未弥补的部分，支付赔偿金给甲方。</w:t>
      </w:r>
    </w:p>
    <w:p w14:paraId="1E9F2EAE">
      <w:pPr>
        <w:pStyle w:val="29"/>
        <w:numPr>
          <w:ilvl w:val="0"/>
          <w:numId w:val="26"/>
        </w:numPr>
        <w:snapToGrid w:val="0"/>
        <w:ind w:firstLineChars="0"/>
        <w:rPr>
          <w:rFonts w:ascii="Times New Roman" w:hAnsi="Times New Roman"/>
          <w:szCs w:val="21"/>
          <w:highlight w:val="none"/>
        </w:rPr>
      </w:pPr>
      <w:r>
        <w:rPr>
          <w:rFonts w:ascii="Times New Roman" w:hAnsi="Times New Roman"/>
          <w:szCs w:val="21"/>
          <w:highlight w:val="none"/>
        </w:rPr>
        <w:t>乙方</w:t>
      </w:r>
      <w:r>
        <w:rPr>
          <w:rFonts w:hint="eastAsia" w:ascii="Times New Roman" w:hAnsi="Times New Roman"/>
          <w:szCs w:val="21"/>
          <w:highlight w:val="none"/>
        </w:rPr>
        <w:t>交付软件因</w:t>
      </w:r>
      <w:r>
        <w:rPr>
          <w:rFonts w:ascii="Times New Roman" w:hAnsi="Times New Roman"/>
          <w:szCs w:val="21"/>
          <w:highlight w:val="none"/>
        </w:rPr>
        <w:t>质量问题导致甲方及第三方人身、财产损失的，乙方承担由此造成的全部法律责任。</w:t>
      </w:r>
    </w:p>
    <w:p w14:paraId="025D7D02">
      <w:pPr>
        <w:pStyle w:val="29"/>
        <w:numPr>
          <w:ilvl w:val="0"/>
          <w:numId w:val="26"/>
        </w:numPr>
        <w:snapToGrid w:val="0"/>
        <w:ind w:firstLineChars="0"/>
        <w:rPr>
          <w:rFonts w:ascii="Times New Roman" w:hAnsi="Times New Roman"/>
          <w:szCs w:val="21"/>
          <w:highlight w:val="none"/>
        </w:rPr>
      </w:pPr>
      <w:r>
        <w:rPr>
          <w:rFonts w:ascii="Times New Roman" w:hAnsi="Times New Roman"/>
          <w:szCs w:val="21"/>
          <w:highlight w:val="none"/>
        </w:rPr>
        <w:t>乙方未按照本合同约定的时限提供合法发票或提供发票瑕疵（包括但不限于发票种类有误、发票金额有误等），甲方付款时限相应顺延并不承担任何延期支付的违约责任。</w:t>
      </w:r>
    </w:p>
    <w:p w14:paraId="36C44F88">
      <w:pPr>
        <w:pStyle w:val="29"/>
        <w:numPr>
          <w:ilvl w:val="0"/>
          <w:numId w:val="26"/>
        </w:numPr>
        <w:snapToGrid w:val="0"/>
        <w:ind w:firstLineChars="0"/>
        <w:rPr>
          <w:rFonts w:ascii="Times New Roman" w:hAnsi="Times New Roman"/>
          <w:szCs w:val="21"/>
          <w:highlight w:val="none"/>
        </w:rPr>
      </w:pPr>
      <w:r>
        <w:rPr>
          <w:rFonts w:ascii="Times New Roman" w:hAnsi="Times New Roman"/>
          <w:szCs w:val="21"/>
          <w:highlight w:val="none"/>
        </w:rPr>
        <w:t>乙方在</w:t>
      </w:r>
      <w:r>
        <w:rPr>
          <w:rFonts w:hint="eastAsia" w:ascii="Times New Roman" w:hAnsi="Times New Roman"/>
          <w:szCs w:val="21"/>
          <w:highlight w:val="none"/>
        </w:rPr>
        <w:t>安装、</w:t>
      </w:r>
      <w:r>
        <w:rPr>
          <w:rFonts w:ascii="Times New Roman" w:hAnsi="Times New Roman"/>
          <w:szCs w:val="21"/>
          <w:highlight w:val="none"/>
        </w:rPr>
        <w:t>调试及售后服务过程中，因未按规程</w:t>
      </w:r>
      <w:r>
        <w:rPr>
          <w:rFonts w:hint="eastAsia" w:ascii="Times New Roman" w:hAnsi="Times New Roman"/>
          <w:szCs w:val="21"/>
          <w:highlight w:val="none"/>
        </w:rPr>
        <w:t>操作、</w:t>
      </w:r>
      <w:r>
        <w:rPr>
          <w:rFonts w:ascii="Times New Roman" w:hAnsi="Times New Roman"/>
          <w:szCs w:val="21"/>
          <w:highlight w:val="none"/>
        </w:rPr>
        <w:t>未采取必要的安全防范措施等原因直接或间接造成甲方及第三方人身、财产损失的，由乙方承担由此造成的全部法律责任。</w:t>
      </w:r>
    </w:p>
    <w:p w14:paraId="19A359CE">
      <w:pPr>
        <w:pStyle w:val="29"/>
        <w:numPr>
          <w:ilvl w:val="0"/>
          <w:numId w:val="26"/>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16B75D8E">
      <w:pPr>
        <w:pStyle w:val="29"/>
        <w:snapToGrid w:val="0"/>
        <w:ind w:firstLine="0" w:firstLineChars="0"/>
        <w:rPr>
          <w:rFonts w:ascii="Times New Roman" w:hAnsi="Times New Roman"/>
          <w:szCs w:val="21"/>
          <w:highlight w:val="none"/>
        </w:rPr>
      </w:pPr>
      <w:r>
        <w:rPr>
          <w:rFonts w:hint="eastAsia" w:ascii="Times New Roman" w:hAnsi="Times New Roman"/>
          <w:szCs w:val="21"/>
          <w:highlight w:val="none"/>
        </w:rPr>
        <w:t>3</w:t>
      </w:r>
      <w:r>
        <w:rPr>
          <w:rFonts w:ascii="Times New Roman" w:hAnsi="Times New Roman"/>
          <w:szCs w:val="21"/>
          <w:highlight w:val="none"/>
        </w:rPr>
        <w:t>.本合同履行中如有任何一方违约，那么守约方为保障自己合法权益而产生的律师费、诉讼费、差旅费、公告费等，均由违约方承担。</w:t>
      </w:r>
    </w:p>
    <w:p w14:paraId="4543A6D0">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不可抗力</w:t>
      </w:r>
    </w:p>
    <w:p w14:paraId="2B720162">
      <w:pPr>
        <w:pStyle w:val="29"/>
        <w:snapToGrid w:val="0"/>
        <w:rPr>
          <w:rFonts w:ascii="Times New Roman" w:hAnsi="Times New Roman"/>
          <w:bCs/>
          <w:szCs w:val="21"/>
          <w:highlight w:val="none"/>
        </w:rPr>
      </w:pPr>
      <w:r>
        <w:rPr>
          <w:rFonts w:ascii="Times New Roman" w:hAnsi="Times New Roman"/>
          <w:bCs/>
          <w:szCs w:val="21"/>
          <w:highlight w:val="none"/>
        </w:rPr>
        <w:t>如果遇到自然灾害和灾难及其他不可抗力事件而影响合同履行时，乙方应在三个工作日内以书面形式通知甲方。若不可抗力原因影响本合同执行时间超过</w:t>
      </w:r>
      <w:r>
        <w:rPr>
          <w:rFonts w:ascii="Times New Roman" w:hAnsi="Times New Roman"/>
          <w:bCs/>
          <w:szCs w:val="21"/>
          <w:highlight w:val="none"/>
          <w:u w:val="single"/>
        </w:rPr>
        <w:t>***</w:t>
      </w:r>
      <w:r>
        <w:rPr>
          <w:rFonts w:hint="eastAsia" w:ascii="Times New Roman" w:hAnsi="Times New Roman"/>
          <w:bCs/>
          <w:szCs w:val="21"/>
          <w:highlight w:val="none"/>
          <w:u w:val="single"/>
        </w:rPr>
        <w:t>日</w:t>
      </w:r>
      <w:r>
        <w:rPr>
          <w:rFonts w:ascii="Times New Roman" w:hAnsi="Times New Roman"/>
          <w:bCs/>
          <w:szCs w:val="21"/>
          <w:highlight w:val="none"/>
        </w:rPr>
        <w:t>，甲方有权解除合同，双方互不承担违约责任。</w:t>
      </w:r>
    </w:p>
    <w:p w14:paraId="0C9A50AA">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争议解决办法</w:t>
      </w:r>
    </w:p>
    <w:p w14:paraId="6D34D5BD">
      <w:pPr>
        <w:pStyle w:val="29"/>
        <w:numPr>
          <w:ilvl w:val="0"/>
          <w:numId w:val="27"/>
        </w:numPr>
        <w:ind w:left="0" w:firstLine="0" w:firstLineChars="0"/>
        <w:rPr>
          <w:rFonts w:ascii="Times New Roman" w:hAnsi="Times New Roman"/>
          <w:szCs w:val="21"/>
          <w:highlight w:val="none"/>
        </w:rPr>
      </w:pPr>
      <w:r>
        <w:rPr>
          <w:rFonts w:ascii="Times New Roman" w:hAnsi="Times New Roman"/>
          <w:szCs w:val="21"/>
          <w:highlight w:val="none"/>
        </w:rPr>
        <w:t>因</w:t>
      </w:r>
      <w:r>
        <w:rPr>
          <w:rFonts w:hint="eastAsia" w:ascii="Times New Roman" w:hAnsi="Times New Roman"/>
          <w:szCs w:val="21"/>
          <w:highlight w:val="none"/>
        </w:rPr>
        <w:t>软件</w:t>
      </w:r>
      <w:r>
        <w:rPr>
          <w:rFonts w:ascii="Times New Roman" w:hAnsi="Times New Roman"/>
          <w:szCs w:val="21"/>
          <w:highlight w:val="none"/>
        </w:rPr>
        <w:t>的质量问题发生争议，由质量技术监督部门或其指定的质量鉴定机构进行质量鉴定。货物符合标准的，鉴定费由甲方承担；货物不符合质量标准的，鉴定费由乙方承担。</w:t>
      </w:r>
    </w:p>
    <w:p w14:paraId="70BBC008">
      <w:pPr>
        <w:pStyle w:val="29"/>
        <w:numPr>
          <w:ilvl w:val="0"/>
          <w:numId w:val="27"/>
        </w:numPr>
        <w:ind w:left="0" w:firstLine="0" w:firstLineChars="0"/>
        <w:rPr>
          <w:rFonts w:ascii="Times New Roman" w:hAnsi="Times New Roman"/>
          <w:szCs w:val="21"/>
          <w:highlight w:val="none"/>
        </w:rPr>
      </w:pPr>
      <w:r>
        <w:rPr>
          <w:rFonts w:ascii="Times New Roman" w:hAnsi="Times New Roman"/>
          <w:szCs w:val="21"/>
          <w:highlight w:val="none"/>
        </w:rPr>
        <w:t>合同履行期间,若双方发生争议，可协商或由有关部门调解解决，协商或调解不成的，任何一方均有权向甲方</w:t>
      </w:r>
      <w:r>
        <w:rPr>
          <w:rFonts w:hint="eastAsia" w:ascii="Times New Roman" w:hAnsi="Times New Roman"/>
          <w:szCs w:val="21"/>
          <w:highlight w:val="none"/>
        </w:rPr>
        <w:t>所在地</w:t>
      </w:r>
      <w:r>
        <w:rPr>
          <w:rFonts w:ascii="Times New Roman" w:hAnsi="Times New Roman"/>
          <w:szCs w:val="21"/>
          <w:highlight w:val="none"/>
        </w:rPr>
        <w:t>具有管辖权的人民法院起诉。</w:t>
      </w:r>
    </w:p>
    <w:p w14:paraId="027AD60C">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送达</w:t>
      </w:r>
      <w:r>
        <w:rPr>
          <w:rFonts w:hint="eastAsia" w:ascii="Times New Roman" w:hAnsi="Times New Roman"/>
          <w:b/>
          <w:bCs/>
          <w:szCs w:val="21"/>
          <w:highlight w:val="none"/>
        </w:rPr>
        <w:t>（送达地址是司法机关、执法机关和仲裁机关将法律文书送达给当事人的收件地址）</w:t>
      </w:r>
    </w:p>
    <w:p w14:paraId="3CA15EA9">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56CC98D9">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r>
        <w:rPr>
          <w:rFonts w:hint="eastAsia" w:hAnsi="Times New Roman" w:eastAsia="宋体" w:cs="Times New Roman"/>
          <w:color w:val="auto"/>
          <w:highlight w:val="none"/>
        </w:rPr>
        <w:t>*</w:t>
      </w:r>
      <w:r>
        <w:rPr>
          <w:rFonts w:hAnsi="Times New Roman" w:eastAsia="宋体" w:cs="Times New Roman"/>
          <w:color w:val="auto"/>
          <w:highlight w:val="none"/>
        </w:rPr>
        <w:t>**</w:t>
      </w:r>
    </w:p>
    <w:p w14:paraId="7DDCAD8B">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32E8AE43">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其他</w:t>
      </w:r>
    </w:p>
    <w:p w14:paraId="10B1552B">
      <w:pPr>
        <w:pStyle w:val="29"/>
        <w:numPr>
          <w:ilvl w:val="0"/>
          <w:numId w:val="29"/>
        </w:numPr>
        <w:ind w:left="0" w:firstLine="0" w:firstLineChars="0"/>
        <w:rPr>
          <w:rFonts w:ascii="Times New Roman" w:hAnsi="Times New Roman"/>
          <w:szCs w:val="21"/>
          <w:highlight w:val="none"/>
        </w:rPr>
      </w:pPr>
      <w:r>
        <w:rPr>
          <w:rFonts w:ascii="Times New Roman" w:hAnsi="Times New Roman"/>
          <w:szCs w:val="21"/>
          <w:highlight w:val="none"/>
        </w:rPr>
        <w:t>如有未尽事宜，由双方依法订立补充合同。补充合同</w:t>
      </w:r>
      <w:r>
        <w:rPr>
          <w:rFonts w:hint="eastAsia" w:ascii="Times New Roman" w:hAnsi="Times New Roman"/>
          <w:szCs w:val="21"/>
          <w:highlight w:val="none"/>
        </w:rPr>
        <w:t>及本合同</w:t>
      </w:r>
      <w:r>
        <w:rPr>
          <w:rFonts w:ascii="Times New Roman" w:hAnsi="Times New Roman"/>
          <w:szCs w:val="21"/>
          <w:highlight w:val="none"/>
        </w:rPr>
        <w:t>附件</w:t>
      </w:r>
      <w:r>
        <w:rPr>
          <w:rFonts w:hint="eastAsia" w:ascii="Times New Roman" w:hAnsi="Times New Roman"/>
          <w:szCs w:val="21"/>
          <w:highlight w:val="none"/>
        </w:rPr>
        <w:t>均</w:t>
      </w:r>
      <w:r>
        <w:rPr>
          <w:rFonts w:ascii="Times New Roman" w:hAnsi="Times New Roman"/>
          <w:szCs w:val="21"/>
          <w:highlight w:val="none"/>
        </w:rPr>
        <w:t>为本合同的组成部分，与本合同具有同等法律效力。</w:t>
      </w:r>
    </w:p>
    <w:p w14:paraId="2AF92006">
      <w:pPr>
        <w:pStyle w:val="29"/>
        <w:numPr>
          <w:ilvl w:val="0"/>
          <w:numId w:val="29"/>
        </w:numPr>
        <w:ind w:left="0" w:firstLine="0" w:firstLineChars="0"/>
        <w:rPr>
          <w:rFonts w:ascii="Times New Roman" w:hAnsi="Times New Roman"/>
          <w:szCs w:val="21"/>
          <w:highlight w:val="none"/>
        </w:rPr>
      </w:pPr>
      <w:r>
        <w:rPr>
          <w:rFonts w:ascii="Times New Roman" w:hAnsi="Times New Roman"/>
          <w:szCs w:val="21"/>
          <w:highlight w:val="none"/>
        </w:rPr>
        <w:t>本合同一式</w:t>
      </w:r>
      <w:r>
        <w:rPr>
          <w:rFonts w:hint="eastAsia" w:ascii="Times New Roman" w:hAnsi="Times New Roman"/>
          <w:szCs w:val="21"/>
          <w:highlight w:val="none"/>
        </w:rPr>
        <w:t>四</w:t>
      </w:r>
      <w:r>
        <w:rPr>
          <w:rFonts w:ascii="Times New Roman" w:hAnsi="Times New Roman"/>
          <w:szCs w:val="21"/>
          <w:highlight w:val="none"/>
        </w:rPr>
        <w:t>份，自双方</w:t>
      </w:r>
      <w:r>
        <w:rPr>
          <w:rFonts w:hint="eastAsia" w:ascii="Times New Roman" w:hAnsi="Times New Roman"/>
          <w:szCs w:val="21"/>
          <w:highlight w:val="none"/>
        </w:rPr>
        <w:t>签字且盖章</w:t>
      </w:r>
      <w:r>
        <w:rPr>
          <w:rFonts w:ascii="Times New Roman" w:hAnsi="Times New Roman"/>
          <w:szCs w:val="21"/>
          <w:highlight w:val="none"/>
        </w:rPr>
        <w:t>之日起生效。甲方三份，乙方一份。</w:t>
      </w:r>
    </w:p>
    <w:p w14:paraId="009D96C1">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合同附件</w:t>
      </w:r>
    </w:p>
    <w:p w14:paraId="520E11DA">
      <w:pPr>
        <w:rPr>
          <w:rFonts w:ascii="Times New Roman" w:hAnsi="Times New Roman"/>
          <w:i/>
          <w:iCs/>
          <w:szCs w:val="21"/>
          <w:highlight w:val="none"/>
        </w:rPr>
      </w:pPr>
      <w:r>
        <w:rPr>
          <w:rFonts w:hint="eastAsia" w:ascii="Times New Roman" w:hAnsi="Times New Roman"/>
          <w:szCs w:val="21"/>
          <w:highlight w:val="none"/>
        </w:rPr>
        <w:t>本合同为</w:t>
      </w:r>
      <w:r>
        <w:rPr>
          <w:rFonts w:hint="eastAsia" w:ascii="Times New Roman" w:hAnsi="Times New Roman"/>
          <w:szCs w:val="21"/>
          <w:highlight w:val="none"/>
          <w:u w:val="single"/>
        </w:rPr>
        <w:t>有</w:t>
      </w:r>
      <w:r>
        <w:rPr>
          <w:rFonts w:hint="eastAsia" w:ascii="Times New Roman" w:hAnsi="Times New Roman"/>
          <w:szCs w:val="21"/>
          <w:highlight w:val="none"/>
        </w:rPr>
        <w:t>附件合同。</w:t>
      </w:r>
      <w:r>
        <w:rPr>
          <w:rFonts w:hint="eastAsia" w:ascii="Times New Roman" w:hAnsi="Times New Roman"/>
          <w:i/>
          <w:iCs/>
          <w:szCs w:val="21"/>
          <w:highlight w:val="none"/>
        </w:rPr>
        <w:t>&lt;根据项目实际情况编制&gt;</w:t>
      </w:r>
    </w:p>
    <w:p w14:paraId="330054BD">
      <w:pPr>
        <w:pStyle w:val="7"/>
        <w:rPr>
          <w:rFonts w:hint="eastAsia"/>
        </w:rPr>
      </w:pPr>
      <w:r>
        <w:rPr>
          <w:rFonts w:hint="eastAsia" w:ascii="Times New Roman" w:hAnsi="Times New Roman"/>
          <w:szCs w:val="21"/>
          <w:u w:val="single"/>
        </w:rPr>
        <w:t>附件：《开发进度表》</w:t>
      </w:r>
    </w:p>
    <w:p w14:paraId="1BD63CDA">
      <w:pPr>
        <w:jc w:val="center"/>
        <w:rPr>
          <w:rFonts w:hint="eastAsia"/>
        </w:rPr>
      </w:pPr>
      <w:r>
        <w:rPr>
          <w:rFonts w:ascii="Times New Roman" w:hAnsi="Times New Roman"/>
          <w:szCs w:val="21"/>
        </w:rPr>
        <w:t>——</w:t>
      </w:r>
      <w:r>
        <w:rPr>
          <w:rFonts w:ascii="Times New Roman" w:hAnsi="Times New Roman"/>
          <w:sz w:val="18"/>
          <w:szCs w:val="18"/>
        </w:rPr>
        <w:t>以下无正文</w:t>
      </w:r>
      <w:r>
        <w:rPr>
          <w:rFonts w:ascii="Times New Roman" w:hAnsi="Times New Roman"/>
          <w:szCs w:val="21"/>
        </w:rPr>
        <w:t>——</w:t>
      </w:r>
    </w:p>
    <w:tbl>
      <w:tblPr>
        <w:tblStyle w:val="18"/>
        <w:tblW w:w="5000" w:type="pct"/>
        <w:jc w:val="center"/>
        <w:tblLayout w:type="autofit"/>
        <w:tblCellMar>
          <w:top w:w="0" w:type="dxa"/>
          <w:left w:w="0" w:type="dxa"/>
          <w:bottom w:w="0" w:type="dxa"/>
          <w:right w:w="0" w:type="dxa"/>
        </w:tblCellMar>
      </w:tblPr>
      <w:tblGrid>
        <w:gridCol w:w="4688"/>
        <w:gridCol w:w="4949"/>
      </w:tblGrid>
      <w:tr w14:paraId="201BBA2C">
        <w:tblPrEx>
          <w:tblCellMar>
            <w:top w:w="0" w:type="dxa"/>
            <w:left w:w="0" w:type="dxa"/>
            <w:bottom w:w="0" w:type="dxa"/>
            <w:right w:w="0" w:type="dxa"/>
          </w:tblCellMar>
        </w:tblPrEx>
        <w:trPr>
          <w:trHeight w:val="519" w:hRule="atLeast"/>
          <w:jc w:val="center"/>
        </w:trPr>
        <w:tc>
          <w:tcPr>
            <w:tcW w:w="10214" w:type="dxa"/>
            <w:gridSpan w:val="2"/>
            <w:noWrap w:val="0"/>
            <w:vAlign w:val="top"/>
          </w:tcPr>
          <w:p w14:paraId="4BB0622E">
            <w:pPr>
              <w:rPr>
                <w:rFonts w:hint="eastAsia"/>
              </w:rPr>
            </w:pPr>
            <w:r>
              <w:rPr>
                <w:rFonts w:hint="eastAsia"/>
              </w:rPr>
              <w:t>签订时间：</w:t>
            </w:r>
            <w:r>
              <w:t>202</w:t>
            </w:r>
            <w:r>
              <w:rPr>
                <w:rFonts w:hint="eastAsia"/>
              </w:rPr>
              <w:t>*</w:t>
            </w:r>
            <w:r>
              <w:t>年</w:t>
            </w:r>
            <w:r>
              <w:rPr>
                <w:rFonts w:hint="eastAsia"/>
              </w:rPr>
              <w:t>*</w:t>
            </w:r>
            <w:r>
              <w:t>**月</w:t>
            </w:r>
            <w:r>
              <w:rPr>
                <w:rFonts w:hint="eastAsia"/>
              </w:rPr>
              <w:t>*</w:t>
            </w:r>
            <w:r>
              <w:t>**</w:t>
            </w:r>
            <w:r>
              <w:rPr>
                <w:rFonts w:hint="eastAsia"/>
              </w:rPr>
              <w:t>日</w:t>
            </w:r>
          </w:p>
        </w:tc>
      </w:tr>
      <w:tr w14:paraId="142C65EB">
        <w:tblPrEx>
          <w:tblCellMar>
            <w:top w:w="0" w:type="dxa"/>
            <w:left w:w="0" w:type="dxa"/>
            <w:bottom w:w="0" w:type="dxa"/>
            <w:right w:w="0" w:type="dxa"/>
          </w:tblCellMar>
        </w:tblPrEx>
        <w:trPr>
          <w:jc w:val="center"/>
        </w:trPr>
        <w:tc>
          <w:tcPr>
            <w:tcW w:w="4967" w:type="dxa"/>
            <w:noWrap w:val="0"/>
            <w:vAlign w:val="top"/>
          </w:tcPr>
          <w:p w14:paraId="42CFB3DD">
            <w:r>
              <w:t>甲方：四川省人民医院（盖章）</w:t>
            </w:r>
          </w:p>
          <w:p w14:paraId="10F061BF">
            <w:r>
              <w:t>法定代表人（授权代表签字）：</w:t>
            </w:r>
          </w:p>
          <w:p w14:paraId="2356B37A">
            <w:r>
              <w:t>地    址：四川省成都市一环路西二段32号</w:t>
            </w:r>
          </w:p>
          <w:p w14:paraId="04A1885E">
            <w:r>
              <w:t>开户银行：建设银行成都青羊支行</w:t>
            </w:r>
          </w:p>
          <w:p w14:paraId="46D80296">
            <w:pPr>
              <w:rPr>
                <w:rFonts w:hint="eastAsia"/>
              </w:rPr>
            </w:pPr>
            <w:r>
              <w:t>账号：5100 1446 4360 5037 4282</w:t>
            </w:r>
          </w:p>
        </w:tc>
        <w:tc>
          <w:tcPr>
            <w:tcW w:w="5247" w:type="dxa"/>
            <w:noWrap w:val="0"/>
            <w:vAlign w:val="top"/>
          </w:tcPr>
          <w:p w14:paraId="5261C723">
            <w:r>
              <w:t>乙方：***（盖章）</w:t>
            </w:r>
          </w:p>
          <w:p w14:paraId="1882164D">
            <w:r>
              <w:t>法定代表人（授权代表签字）：</w:t>
            </w:r>
          </w:p>
          <w:p w14:paraId="61ABA052">
            <w:r>
              <w:t>地址：***</w:t>
            </w:r>
          </w:p>
          <w:p w14:paraId="5D64ACD6">
            <w:r>
              <w:t>开户银行：***</w:t>
            </w:r>
          </w:p>
          <w:p w14:paraId="273198A9">
            <w:pPr>
              <w:rPr>
                <w:rFonts w:hint="eastAsia"/>
              </w:rPr>
            </w:pPr>
            <w:r>
              <w:t>账号：***</w:t>
            </w:r>
          </w:p>
        </w:tc>
      </w:tr>
    </w:tbl>
    <w:p w14:paraId="16E35848">
      <w:pPr>
        <w:rPr>
          <w:rFonts w:hint="eastAsia" w:ascii="Times New Roman" w:hAnsi="Times New Roman"/>
          <w:b/>
          <w:bCs/>
          <w:szCs w:val="21"/>
        </w:rPr>
      </w:pPr>
      <w:r>
        <w:rPr>
          <w:rFonts w:hint="eastAsia" w:ascii="Times New Roman" w:hAnsi="Times New Roman"/>
          <w:b/>
          <w:bCs/>
          <w:szCs w:val="21"/>
        </w:rPr>
        <w:br w:type="page"/>
      </w:r>
    </w:p>
    <w:p w14:paraId="199C5AF7">
      <w:pPr>
        <w:rPr>
          <w:rFonts w:ascii="Times New Roman" w:hAnsi="Times New Roman"/>
          <w:b/>
          <w:bCs/>
          <w:szCs w:val="21"/>
        </w:rPr>
      </w:pPr>
      <w:r>
        <w:rPr>
          <w:rFonts w:hint="eastAsia" w:ascii="Times New Roman" w:hAnsi="Times New Roman"/>
          <w:b/>
          <w:bCs/>
          <w:szCs w:val="21"/>
        </w:rPr>
        <w:t>附件：开发进度表</w:t>
      </w:r>
    </w:p>
    <w:p w14:paraId="5E869B76">
      <w:pPr>
        <w:pStyle w:val="8"/>
        <w:ind w:firstLine="0" w:firstLineChars="0"/>
        <w:contextualSpacing/>
        <w:rPr>
          <w:rFonts w:ascii="Times New Roman" w:hAnsi="Times New Roman"/>
        </w:rPr>
      </w:pPr>
    </w:p>
    <w:p w14:paraId="551F41CB">
      <w:pPr>
        <w:pStyle w:val="8"/>
        <w:ind w:firstLine="0" w:firstLineChars="0"/>
        <w:rPr>
          <w:rFonts w:hint="eastAsia"/>
        </w:rPr>
      </w:pPr>
      <w:r>
        <w:rPr>
          <w:rFonts w:hint="eastAsia"/>
        </w:rPr>
        <w:t>*</w:t>
      </w:r>
      <w:r>
        <w:t>**</w:t>
      </w:r>
    </w:p>
    <w:p w14:paraId="2C51A505">
      <w:pPr>
        <w:rPr>
          <w:rFonts w:ascii="Times New Roman" w:hAnsi="Times New Roman" w:cs="Times New Roman"/>
          <w:b/>
          <w:bCs/>
          <w:sz w:val="44"/>
          <w:szCs w:val="52"/>
        </w:rPr>
      </w:pPr>
    </w:p>
    <w:p w14:paraId="3650DF39">
      <w:pPr>
        <w:rPr>
          <w:rFonts w:ascii="Times New Roman" w:hAnsi="Times New Roman" w:cs="Times New Roman"/>
          <w:b/>
          <w:bCs/>
          <w:sz w:val="44"/>
          <w:szCs w:val="52"/>
        </w:rPr>
      </w:pPr>
      <w:r>
        <w:rPr>
          <w:rFonts w:ascii="Times New Roman" w:hAnsi="Times New Roman" w:cs="Times New Roman"/>
          <w:b/>
          <w:bCs/>
          <w:sz w:val="44"/>
          <w:szCs w:val="52"/>
        </w:rPr>
        <w:br w:type="page"/>
      </w:r>
    </w:p>
    <w:p w14:paraId="57906FDD">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57B74785">
      <w:pPr>
        <w:pStyle w:val="26"/>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B7C67F0-3891-4572-8C0C-8B6F1949C5D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EE4B02A-BD5F-443D-8A4D-58018446760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7838CCD-E6C5-47E6-9720-1E9F72516D1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Wingdings 2">
    <w:altName w:val="Wingdings"/>
    <w:panose1 w:val="05020102010507070707"/>
    <w:charset w:val="4D"/>
    <w:family w:val="decorative"/>
    <w:pitch w:val="default"/>
    <w:sig w:usb0="00000000" w:usb1="00000000" w:usb2="00000000" w:usb3="00000000" w:csb0="80000001" w:csb1="00000000"/>
    <w:embedRegular r:id="rId4" w:fontKey="{83DE9E2D-8B1F-4576-9485-36ECDA0339E3}"/>
  </w:font>
  <w:font w:name="KSOFE816CA0F">
    <w:panose1 w:val="02020603050405020304"/>
    <w:charset w:val="00"/>
    <w:family w:val="auto"/>
    <w:pitch w:val="default"/>
    <w:sig w:usb0="00000001" w:usb1="00000000" w:usb2="00000000" w:usb3="00000000" w:csb0="00000001" w:csb1="00000000"/>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E35543">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5E35543">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3"/>
      <w:pBdr>
        <w:bottom w:val="single" w:color="auto" w:sz="4" w:space="1"/>
      </w:pBdr>
      <w:jc w:val="right"/>
      <w:rPr>
        <w:rFonts w:ascii="Times New Roman" w:hAnsi="Times New Roman" w:cs="Times New Roma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3AD0F08C">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AF3FB">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lang w:val="en-US" w:eastAsia="zh-C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2C59B872">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3">
    <w:nsid w:val="F48B33EC"/>
    <w:multiLevelType w:val="singleLevel"/>
    <w:tmpl w:val="F48B33EC"/>
    <w:lvl w:ilvl="0" w:tentative="0">
      <w:start w:val="1"/>
      <w:numFmt w:val="decimal"/>
      <w:suff w:val="nothing"/>
      <w:lvlText w:val="（%1）"/>
      <w:lvlJc w:val="left"/>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F712D09"/>
    <w:multiLevelType w:val="singleLevel"/>
    <w:tmpl w:val="1F712D09"/>
    <w:lvl w:ilvl="0" w:tentative="0">
      <w:start w:val="1"/>
      <w:numFmt w:val="decimal"/>
      <w:lvlText w:val="(%1)"/>
      <w:lvlJc w:val="left"/>
      <w:pPr>
        <w:ind w:left="218" w:hanging="425"/>
      </w:pPr>
      <w:rPr>
        <w:rFonts w:hint="default"/>
      </w:rPr>
    </w:lvl>
  </w:abstractNum>
  <w:abstractNum w:abstractNumId="11">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3">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4">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3AF7D37"/>
    <w:multiLevelType w:val="multilevel"/>
    <w:tmpl w:val="33AF7D3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497435B"/>
    <w:multiLevelType w:val="multilevel"/>
    <w:tmpl w:val="3497435B"/>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470125C6"/>
    <w:multiLevelType w:val="multilevel"/>
    <w:tmpl w:val="470125C6"/>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4">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2"/>
  </w:num>
  <w:num w:numId="2">
    <w:abstractNumId w:val="2"/>
  </w:num>
  <w:num w:numId="3">
    <w:abstractNumId w:val="18"/>
  </w:num>
  <w:num w:numId="4">
    <w:abstractNumId w:val="28"/>
  </w:num>
  <w:num w:numId="5">
    <w:abstractNumId w:val="10"/>
  </w:num>
  <w:num w:numId="6">
    <w:abstractNumId w:val="23"/>
  </w:num>
  <w:num w:numId="7">
    <w:abstractNumId w:val="17"/>
  </w:num>
  <w:num w:numId="8">
    <w:abstractNumId w:val="3"/>
  </w:num>
  <w:num w:numId="9">
    <w:abstractNumId w:val="1"/>
  </w:num>
  <w:num w:numId="10">
    <w:abstractNumId w:val="0"/>
  </w:num>
  <w:num w:numId="11">
    <w:abstractNumId w:val="4"/>
  </w:num>
  <w:num w:numId="12">
    <w:abstractNumId w:val="6"/>
  </w:num>
  <w:num w:numId="13">
    <w:abstractNumId w:val="25"/>
  </w:num>
  <w:num w:numId="14">
    <w:abstractNumId w:val="5"/>
  </w:num>
  <w:num w:numId="15">
    <w:abstractNumId w:val="16"/>
  </w:num>
  <w:num w:numId="16">
    <w:abstractNumId w:val="15"/>
  </w:num>
  <w:num w:numId="17">
    <w:abstractNumId w:val="27"/>
  </w:num>
  <w:num w:numId="18">
    <w:abstractNumId w:val="21"/>
  </w:num>
  <w:num w:numId="19">
    <w:abstractNumId w:val="7"/>
  </w:num>
  <w:num w:numId="20">
    <w:abstractNumId w:val="11"/>
  </w:num>
  <w:num w:numId="21">
    <w:abstractNumId w:val="14"/>
  </w:num>
  <w:num w:numId="22">
    <w:abstractNumId w:val="26"/>
  </w:num>
  <w:num w:numId="23">
    <w:abstractNumId w:val="24"/>
  </w:num>
  <w:num w:numId="24">
    <w:abstractNumId w:val="19"/>
  </w:num>
  <w:num w:numId="25">
    <w:abstractNumId w:val="13"/>
  </w:num>
  <w:num w:numId="26">
    <w:abstractNumId w:val="8"/>
  </w:num>
  <w:num w:numId="27">
    <w:abstractNumId w:val="20"/>
  </w:num>
  <w:num w:numId="28">
    <w:abstractNumId w:val="9"/>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77AA7"/>
    <w:rsid w:val="000A1F80"/>
    <w:rsid w:val="000C337E"/>
    <w:rsid w:val="000F3ADD"/>
    <w:rsid w:val="00114DBC"/>
    <w:rsid w:val="00160E82"/>
    <w:rsid w:val="001C6721"/>
    <w:rsid w:val="00216FC8"/>
    <w:rsid w:val="0022301C"/>
    <w:rsid w:val="002440A6"/>
    <w:rsid w:val="002B5793"/>
    <w:rsid w:val="002B6CC6"/>
    <w:rsid w:val="003228AC"/>
    <w:rsid w:val="003460DC"/>
    <w:rsid w:val="00377351"/>
    <w:rsid w:val="003831C0"/>
    <w:rsid w:val="003C1118"/>
    <w:rsid w:val="003C1BC0"/>
    <w:rsid w:val="003C4927"/>
    <w:rsid w:val="003E4BF1"/>
    <w:rsid w:val="00426031"/>
    <w:rsid w:val="00427BF2"/>
    <w:rsid w:val="00461368"/>
    <w:rsid w:val="004F4DC4"/>
    <w:rsid w:val="00500885"/>
    <w:rsid w:val="00540FCE"/>
    <w:rsid w:val="005A705A"/>
    <w:rsid w:val="005D169E"/>
    <w:rsid w:val="00607092"/>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D28C0"/>
    <w:rsid w:val="008E7EFA"/>
    <w:rsid w:val="008F14FA"/>
    <w:rsid w:val="008F26A3"/>
    <w:rsid w:val="00901047"/>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E95036"/>
    <w:rsid w:val="00F072BE"/>
    <w:rsid w:val="00F26A71"/>
    <w:rsid w:val="00F3202A"/>
    <w:rsid w:val="00F523A1"/>
    <w:rsid w:val="00F676AD"/>
    <w:rsid w:val="00F90C3B"/>
    <w:rsid w:val="00FF60E3"/>
    <w:rsid w:val="03103BAE"/>
    <w:rsid w:val="04174CC4"/>
    <w:rsid w:val="058C78B0"/>
    <w:rsid w:val="05E13064"/>
    <w:rsid w:val="05E5363E"/>
    <w:rsid w:val="072332DA"/>
    <w:rsid w:val="078A573C"/>
    <w:rsid w:val="092A0515"/>
    <w:rsid w:val="093A3733"/>
    <w:rsid w:val="09A03EDE"/>
    <w:rsid w:val="0B4508AE"/>
    <w:rsid w:val="0C8B7F7D"/>
    <w:rsid w:val="0C917B0E"/>
    <w:rsid w:val="0CF161C9"/>
    <w:rsid w:val="0D0C188A"/>
    <w:rsid w:val="0E0B7FF0"/>
    <w:rsid w:val="0E65470A"/>
    <w:rsid w:val="0F8B4CE8"/>
    <w:rsid w:val="0FB82141"/>
    <w:rsid w:val="117A5014"/>
    <w:rsid w:val="127F05A0"/>
    <w:rsid w:val="13557B56"/>
    <w:rsid w:val="136D78F8"/>
    <w:rsid w:val="140908D1"/>
    <w:rsid w:val="14C173FE"/>
    <w:rsid w:val="14CF1B1B"/>
    <w:rsid w:val="15134E53"/>
    <w:rsid w:val="15CC4977"/>
    <w:rsid w:val="15D66ED9"/>
    <w:rsid w:val="162A4F7D"/>
    <w:rsid w:val="16A82A66"/>
    <w:rsid w:val="173B5475"/>
    <w:rsid w:val="17E72CD8"/>
    <w:rsid w:val="182B0DDD"/>
    <w:rsid w:val="192F5006"/>
    <w:rsid w:val="1994787E"/>
    <w:rsid w:val="19E50C18"/>
    <w:rsid w:val="1AF35E37"/>
    <w:rsid w:val="1D532BBD"/>
    <w:rsid w:val="1D82366F"/>
    <w:rsid w:val="1DD000AF"/>
    <w:rsid w:val="1DD45AAC"/>
    <w:rsid w:val="1DED2D19"/>
    <w:rsid w:val="1E09745A"/>
    <w:rsid w:val="201B291E"/>
    <w:rsid w:val="21521B0A"/>
    <w:rsid w:val="217D645B"/>
    <w:rsid w:val="22B025C2"/>
    <w:rsid w:val="238B1303"/>
    <w:rsid w:val="23D4489F"/>
    <w:rsid w:val="24FE78B3"/>
    <w:rsid w:val="25697F5A"/>
    <w:rsid w:val="262001B9"/>
    <w:rsid w:val="272A6FE5"/>
    <w:rsid w:val="27930786"/>
    <w:rsid w:val="27B87AF9"/>
    <w:rsid w:val="27E80EA9"/>
    <w:rsid w:val="280414A1"/>
    <w:rsid w:val="28570368"/>
    <w:rsid w:val="28F00E11"/>
    <w:rsid w:val="2927387C"/>
    <w:rsid w:val="29824F56"/>
    <w:rsid w:val="29C5318E"/>
    <w:rsid w:val="29DA009F"/>
    <w:rsid w:val="2B502F98"/>
    <w:rsid w:val="2B764647"/>
    <w:rsid w:val="2B826E74"/>
    <w:rsid w:val="2BFC0FF0"/>
    <w:rsid w:val="2C9A0A9E"/>
    <w:rsid w:val="2D7626DC"/>
    <w:rsid w:val="2DA70D65"/>
    <w:rsid w:val="2E3E316C"/>
    <w:rsid w:val="2EBF2F4F"/>
    <w:rsid w:val="2EFD0262"/>
    <w:rsid w:val="34126ED7"/>
    <w:rsid w:val="3427766B"/>
    <w:rsid w:val="343706EB"/>
    <w:rsid w:val="351A08D0"/>
    <w:rsid w:val="35A65B28"/>
    <w:rsid w:val="35B1007D"/>
    <w:rsid w:val="36124C6D"/>
    <w:rsid w:val="36334CE5"/>
    <w:rsid w:val="37B02769"/>
    <w:rsid w:val="37C64260"/>
    <w:rsid w:val="39B3630B"/>
    <w:rsid w:val="39F74BA5"/>
    <w:rsid w:val="3A551407"/>
    <w:rsid w:val="3B033C36"/>
    <w:rsid w:val="3E5D4E8E"/>
    <w:rsid w:val="3E946E66"/>
    <w:rsid w:val="3EBD5B21"/>
    <w:rsid w:val="3F802D74"/>
    <w:rsid w:val="3FE25336"/>
    <w:rsid w:val="40532D51"/>
    <w:rsid w:val="407F661D"/>
    <w:rsid w:val="40F55BB6"/>
    <w:rsid w:val="410F0A26"/>
    <w:rsid w:val="42075FF8"/>
    <w:rsid w:val="4255690C"/>
    <w:rsid w:val="42664FBD"/>
    <w:rsid w:val="42842020"/>
    <w:rsid w:val="439A5D2A"/>
    <w:rsid w:val="440525B4"/>
    <w:rsid w:val="465B470D"/>
    <w:rsid w:val="468567BB"/>
    <w:rsid w:val="47150D60"/>
    <w:rsid w:val="4782487D"/>
    <w:rsid w:val="487307B7"/>
    <w:rsid w:val="48835542"/>
    <w:rsid w:val="498779AB"/>
    <w:rsid w:val="4AEF78B9"/>
    <w:rsid w:val="4B31068E"/>
    <w:rsid w:val="4B7122DD"/>
    <w:rsid w:val="4BA55220"/>
    <w:rsid w:val="4BAD0151"/>
    <w:rsid w:val="4C8F75A2"/>
    <w:rsid w:val="4D066C0A"/>
    <w:rsid w:val="4DAD4403"/>
    <w:rsid w:val="4DB85903"/>
    <w:rsid w:val="4DF94F37"/>
    <w:rsid w:val="4E5E7A74"/>
    <w:rsid w:val="4E8C008E"/>
    <w:rsid w:val="4ECA2430"/>
    <w:rsid w:val="4F695058"/>
    <w:rsid w:val="4FEF758C"/>
    <w:rsid w:val="50771A9C"/>
    <w:rsid w:val="51C47F6D"/>
    <w:rsid w:val="522D51B0"/>
    <w:rsid w:val="529E7E5B"/>
    <w:rsid w:val="53191BD8"/>
    <w:rsid w:val="53574AE5"/>
    <w:rsid w:val="5455382C"/>
    <w:rsid w:val="55EA33B8"/>
    <w:rsid w:val="581B5AAA"/>
    <w:rsid w:val="58DB1253"/>
    <w:rsid w:val="59DD53DB"/>
    <w:rsid w:val="5A113973"/>
    <w:rsid w:val="5A5C174F"/>
    <w:rsid w:val="5A8C2C8F"/>
    <w:rsid w:val="5B2130BD"/>
    <w:rsid w:val="5BE523F7"/>
    <w:rsid w:val="5C571B18"/>
    <w:rsid w:val="5D0A3490"/>
    <w:rsid w:val="5D7E0D39"/>
    <w:rsid w:val="5DF536DD"/>
    <w:rsid w:val="5E9B5B97"/>
    <w:rsid w:val="5E9D3F29"/>
    <w:rsid w:val="5EDC2437"/>
    <w:rsid w:val="5F3538F6"/>
    <w:rsid w:val="5FA25B22"/>
    <w:rsid w:val="5FE63BE9"/>
    <w:rsid w:val="60384CD1"/>
    <w:rsid w:val="60655808"/>
    <w:rsid w:val="60C457EE"/>
    <w:rsid w:val="62487DE4"/>
    <w:rsid w:val="631402F3"/>
    <w:rsid w:val="63A9427A"/>
    <w:rsid w:val="63D462B1"/>
    <w:rsid w:val="641A3596"/>
    <w:rsid w:val="643B5D39"/>
    <w:rsid w:val="64D96647"/>
    <w:rsid w:val="655B51E5"/>
    <w:rsid w:val="65C47781"/>
    <w:rsid w:val="65E40ADA"/>
    <w:rsid w:val="65EE0CA2"/>
    <w:rsid w:val="66330B86"/>
    <w:rsid w:val="66E22203"/>
    <w:rsid w:val="66F145A6"/>
    <w:rsid w:val="68701E42"/>
    <w:rsid w:val="68B812C9"/>
    <w:rsid w:val="69D50CF4"/>
    <w:rsid w:val="6AF44E44"/>
    <w:rsid w:val="6B185026"/>
    <w:rsid w:val="6C487AFD"/>
    <w:rsid w:val="6CB24363"/>
    <w:rsid w:val="6EA93466"/>
    <w:rsid w:val="6EC76ECB"/>
    <w:rsid w:val="6FCF0795"/>
    <w:rsid w:val="70256A67"/>
    <w:rsid w:val="709F1517"/>
    <w:rsid w:val="70BC3E77"/>
    <w:rsid w:val="70E81B34"/>
    <w:rsid w:val="71381023"/>
    <w:rsid w:val="713F6856"/>
    <w:rsid w:val="719153B4"/>
    <w:rsid w:val="72B333C6"/>
    <w:rsid w:val="7314136A"/>
    <w:rsid w:val="73714961"/>
    <w:rsid w:val="74E53276"/>
    <w:rsid w:val="754D1D92"/>
    <w:rsid w:val="758350A9"/>
    <w:rsid w:val="77071BC4"/>
    <w:rsid w:val="77541AA4"/>
    <w:rsid w:val="77EE068E"/>
    <w:rsid w:val="78302A2A"/>
    <w:rsid w:val="79EB6EA3"/>
    <w:rsid w:val="7A530E81"/>
    <w:rsid w:val="7B560FD7"/>
    <w:rsid w:val="7B5F74F8"/>
    <w:rsid w:val="7B690630"/>
    <w:rsid w:val="7C5123F4"/>
    <w:rsid w:val="7D040AB6"/>
    <w:rsid w:val="7D4119E6"/>
    <w:rsid w:val="7DAF162B"/>
    <w:rsid w:val="7DC42B41"/>
    <w:rsid w:val="7EFC30BD"/>
    <w:rsid w:val="7F8B0200"/>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8"/>
    <w:qFormat/>
    <w:uiPriority w:val="0"/>
    <w:pPr>
      <w:spacing w:after="120"/>
    </w:pPr>
  </w:style>
  <w:style w:type="paragraph" w:styleId="8">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2"/>
    <w:qFormat/>
    <w:uiPriority w:val="0"/>
    <w:pPr>
      <w:spacing w:after="120" w:line="480" w:lineRule="auto"/>
      <w:ind w:left="420" w:leftChars="200"/>
    </w:pPr>
    <w:rPr>
      <w:szCs w:val="20"/>
    </w:rPr>
  </w:style>
  <w:style w:type="paragraph" w:styleId="11">
    <w:name w:val="Balloon Text"/>
    <w:basedOn w:val="1"/>
    <w:link w:val="39"/>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6"/>
    <w:next w:val="6"/>
    <w:link w:val="38"/>
    <w:qFormat/>
    <w:uiPriority w:val="0"/>
    <w:rPr>
      <w:b/>
      <w:bCs/>
    </w:rPr>
  </w:style>
  <w:style w:type="paragraph" w:styleId="17">
    <w:name w:val="Body Text First Indent 2"/>
    <w:basedOn w:val="9"/>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Hyperlink"/>
    <w:basedOn w:val="20"/>
    <w:unhideWhenUsed/>
    <w:qFormat/>
    <w:uiPriority w:val="99"/>
    <w:rPr>
      <w:color w:val="0563C1" w:themeColor="hyperlink"/>
      <w:u w:val="single"/>
      <w14:textFill>
        <w14:solidFill>
          <w14:schemeClr w14:val="hlink"/>
        </w14:solidFill>
      </w14:textFill>
    </w:rPr>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10"/>
    <w:qFormat/>
    <w:uiPriority w:val="0"/>
    <w:rPr>
      <w:szCs w:val="20"/>
    </w:rPr>
  </w:style>
  <w:style w:type="character" w:customStyle="1" w:styleId="33">
    <w:name w:val="Body Text First Indent Char"/>
    <w:link w:val="8"/>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6"/>
    <w:qFormat/>
    <w:uiPriority w:val="0"/>
    <w:rPr>
      <w:b/>
      <w:bCs/>
      <w:kern w:val="2"/>
      <w:sz w:val="21"/>
      <w:szCs w:val="22"/>
    </w:rPr>
  </w:style>
  <w:style w:type="character" w:customStyle="1" w:styleId="39">
    <w:name w:val="Balloon Text Char"/>
    <w:basedOn w:val="20"/>
    <w:link w:val="11"/>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1062</Words>
  <Characters>1128</Characters>
  <Lines>68</Lines>
  <Paragraphs>19</Paragraphs>
  <TotalTime>4</TotalTime>
  <ScaleCrop>false</ScaleCrop>
  <LinksUpToDate>false</LinksUpToDate>
  <CharactersWithSpaces>1190</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2026-08-25T01:39:10Z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934EF6A1E4AC4AC2BFFF9401D1C51CED_13</vt:lpwstr>
  </property>
  <property fmtid="{D5CDD505-2E9C-101B-9397-08002B2CF9AE}" pid="4" name="KSOTemplateDocerSaveRecord">
    <vt:lpwstr>eyJoZGlkIjoiNDc0MTk5M2JkMmE1NDI4NDczMTFjZTZjODJmMzdhNjkiLCJ1c2VySWQiOiIyMTIzMTcyNzYifQ==</vt:lpwstr>
  </property>
</Properties>
</file>