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30F59">
      <w:pPr>
        <w:keepNext w:val="0"/>
        <w:keepLines w:val="0"/>
        <w:pageBreakBefore w:val="0"/>
        <w:widowControl w:val="0"/>
        <w:kinsoku/>
        <w:wordWrap/>
        <w:overflowPunct/>
        <w:topLinePunct w:val="0"/>
        <w:autoSpaceDE/>
        <w:autoSpaceDN/>
        <w:bidi w:val="0"/>
        <w:adjustRightInd/>
        <w:snapToGrid/>
        <w:spacing w:before="1269" w:beforeLines="400" w:line="240" w:lineRule="auto"/>
        <w:jc w:val="center"/>
        <w:textAlignment w:val="auto"/>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val="en-US" w:eastAsia="zh-CN"/>
        </w:rPr>
        <w:t>四川省人民医院</w:t>
      </w:r>
    </w:p>
    <w:p w14:paraId="644DBB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黑体" w:cs="Times New Roman"/>
          <w:b/>
          <w:spacing w:val="24"/>
          <w:sz w:val="56"/>
          <w:szCs w:val="56"/>
          <w:lang w:val="en-US"/>
        </w:rPr>
      </w:pPr>
      <w:r>
        <w:rPr>
          <w:rFonts w:hint="eastAsia" w:ascii="Times New Roman" w:hAnsi="Times New Roman" w:eastAsia="黑体" w:cs="Times New Roman"/>
          <w:b/>
          <w:spacing w:val="24"/>
          <w:sz w:val="56"/>
          <w:szCs w:val="56"/>
          <w:lang w:val="en-US" w:eastAsia="zh-CN"/>
        </w:rPr>
        <w:t>液氮配送服务采购项目（3）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bookmarkStart w:id="104" w:name="_GoBack"/>
      <w:bookmarkEnd w:id="104"/>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471310326"/>
      <w:bookmarkStart w:id="2" w:name="_Toc62832406"/>
      <w:bookmarkStart w:id="3" w:name="_Toc1907"/>
      <w:bookmarkStart w:id="4" w:name="_Toc20358"/>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rPr>
              <w:t>四川省人民医院</w:t>
            </w:r>
            <w:r>
              <w:rPr>
                <w:rFonts w:hint="eastAsia" w:ascii="Times New Roman" w:hAnsi="Times New Roman" w:eastAsia="仿宋" w:cs="Times New Roman"/>
                <w:sz w:val="22"/>
                <w:lang w:eastAsia="zh-CN"/>
              </w:rPr>
              <w:t>液氮配送服务</w:t>
            </w:r>
            <w:r>
              <w:rPr>
                <w:rFonts w:hint="eastAsia" w:ascii="Times New Roman" w:hAnsi="Times New Roman" w:eastAsia="仿宋" w:cs="Times New Roman"/>
                <w:sz w:val="22"/>
              </w:rPr>
              <w:t>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3）</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CGZX-HQB20260944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4DB35F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本项目支付上限为20万元/年，本项目单价限价详见第四章。</w:t>
            </w:r>
          </w:p>
          <w:p w14:paraId="131F84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68FD47D7">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w:t>
            </w:r>
            <w:r>
              <w:rPr>
                <w:rFonts w:hint="eastAsia" w:ascii="Times New Roman" w:hAnsi="Times New Roman" w:eastAsia="仿宋" w:cs="Times New Roman"/>
                <w:sz w:val="22"/>
                <w:szCs w:val="22"/>
                <w:lang w:val="en-US" w:eastAsia="zh-CN"/>
              </w:rPr>
              <w:t>支付上限</w:t>
            </w:r>
            <w:r>
              <w:rPr>
                <w:rFonts w:hint="eastAsia" w:ascii="Times New Roman" w:hAnsi="Times New Roman" w:eastAsia="仿宋" w:cs="Times New Roman"/>
                <w:sz w:val="22"/>
                <w:szCs w:val="22"/>
                <w:lang w:val="zh-CN"/>
              </w:rPr>
              <w:t>的5%</w:t>
            </w:r>
          </w:p>
          <w:p w14:paraId="22C596BE">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699ED880">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4BAD6255">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26DEB6EF">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9A2CBE1">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1459990B">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0ACBE114">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01121BAA">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p>
          <w:p w14:paraId="664075F5">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ABE35F1">
            <w:pPr>
              <w:pStyle w:val="27"/>
              <w:numPr>
                <w:ilvl w:val="0"/>
                <w:numId w:val="8"/>
              </w:numPr>
              <w:tabs>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69EC6130">
            <w:pPr>
              <w:pStyle w:val="27"/>
              <w:numPr>
                <w:ilvl w:val="0"/>
                <w:numId w:val="8"/>
              </w:numPr>
              <w:tabs>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1B963C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04F6FEA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456AB6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362038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077294">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1ED5C7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7353FBB8">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23F298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6F241D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DF78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7C4B88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7C57F05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1278AB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C4B633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01CBD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71B3401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911123">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1107DFF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6E02E9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38570F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4A10AE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002C3CBE">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8F9CD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28B817C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6050E90D">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8F2D3D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6488CE1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39AD97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11AA66F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37E8A50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2F06EB2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0C4CD4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41AD554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3320FAD6">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59B4A17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72B672E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44100DD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0019781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522D5CE">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7112DC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74CB4056">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FCD122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231E46E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2816B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6FD4697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0FC1C9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7A5A6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33FF25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437C89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16DC32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CA8E4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1524C87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A44E8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71C86FC">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D7AD8ED">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4BE7C652">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5918ECE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0798216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CBD65F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164E79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2485527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6A80B9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4EAD95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4C174061">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98091B8">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BA1505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2880C43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77FC8CD7">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1622228">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5E243D6B">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44F5DAAD">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2828695D">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6C5FAF6E">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106A91A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2D37AA1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6D683A5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40F674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21C1D3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DCBB8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75A6FB9">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0ADE39E4">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A60C09D">
            <w:pPr>
              <w:pStyle w:val="27"/>
              <w:spacing w:line="360" w:lineRule="auto"/>
              <w:ind w:left="210" w:leftChars="100"/>
              <w:jc w:val="both"/>
              <w:rPr>
                <w:rFonts w:ascii="Times New Roman" w:hAnsi="Times New Roman" w:eastAsia="仿宋" w:cs="Times New Roman"/>
                <w:sz w:val="22"/>
                <w:szCs w:val="22"/>
                <w:u w:val="none"/>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w:t>
            </w:r>
            <w:r>
              <w:rPr>
                <w:rFonts w:ascii="Times New Roman" w:hAnsi="Times New Roman" w:eastAsia="仿宋" w:cs="Times New Roman"/>
                <w:sz w:val="22"/>
                <w:szCs w:val="22"/>
                <w:u w:val="none"/>
                <w:lang w:val="zh-CN"/>
              </w:rPr>
              <w:t>8-8739</w:t>
            </w:r>
            <w:r>
              <w:rPr>
                <w:rFonts w:hint="eastAsia" w:ascii="Times New Roman" w:hAnsi="Times New Roman" w:eastAsia="仿宋" w:cs="Times New Roman"/>
                <w:sz w:val="22"/>
                <w:szCs w:val="22"/>
                <w:u w:val="none"/>
                <w:lang w:val="en-US" w:eastAsia="zh-CN"/>
              </w:rPr>
              <w:t>4783</w:t>
            </w:r>
            <w:r>
              <w:rPr>
                <w:rFonts w:ascii="Times New Roman" w:hAnsi="Times New Roman" w:eastAsia="仿宋" w:cs="Times New Roman"/>
                <w:sz w:val="22"/>
                <w:szCs w:val="22"/>
                <w:u w:val="none"/>
                <w:lang w:val="zh-CN"/>
              </w:rPr>
              <w:t>）并将合同初稿发送至</w:t>
            </w:r>
            <w:r>
              <w:rPr>
                <w:rFonts w:hint="eastAsia" w:ascii="Times New Roman" w:hAnsi="Times New Roman" w:eastAsia="仿宋" w:cs="Times New Roman"/>
                <w:sz w:val="22"/>
                <w:szCs w:val="22"/>
                <w:u w:val="none"/>
                <w:lang w:val="en-US" w:eastAsia="zh-CN"/>
              </w:rPr>
              <w:t>1841331039@qq.com</w:t>
            </w:r>
            <w:r>
              <w:rPr>
                <w:rFonts w:ascii="Times New Roman" w:hAnsi="Times New Roman" w:eastAsia="仿宋" w:cs="Times New Roman"/>
                <w:sz w:val="22"/>
                <w:szCs w:val="22"/>
                <w:u w:val="none"/>
              </w:rPr>
              <w:t>。</w:t>
            </w:r>
          </w:p>
          <w:p w14:paraId="5C702F8F">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5B0E9055">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1B4C190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751A703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4DF77">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779494B3">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1829BADA">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6D9B4BA2">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6B19A6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68AC0352">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2D5284A">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sz w:val="22"/>
              </w:rPr>
            </w:pPr>
            <w:r>
              <w:rPr>
                <w:rFonts w:ascii="Times New Roman" w:hAnsi="Times New Roman" w:eastAsia="仿宋" w:cs="Times New Roman"/>
                <w:b/>
                <w:bCs/>
                <w:sz w:val="22"/>
              </w:rPr>
              <w:t>本项目其他资格条件</w:t>
            </w:r>
            <w:r>
              <w:rPr>
                <w:rFonts w:ascii="Times New Roman" w:hAnsi="Times New Roman" w:eastAsia="仿宋" w:cs="Times New Roman"/>
                <w:b/>
                <w:sz w:val="22"/>
              </w:rPr>
              <w:t>：</w:t>
            </w:r>
          </w:p>
          <w:p w14:paraId="499FEA14">
            <w:pPr>
              <w:widowControl/>
              <w:jc w:val="left"/>
              <w:rPr>
                <w:rFonts w:hint="eastAsia" w:ascii="Times New Roman" w:hAnsi="Times New Roman" w:eastAsia="仿宋" w:cs="Times New Roman"/>
                <w:b/>
                <w:sz w:val="22"/>
                <w:lang w:eastAsia="zh-CN"/>
              </w:rPr>
            </w:pPr>
            <w:r>
              <w:rPr>
                <w:rFonts w:hint="eastAsia" w:ascii="Times New Roman" w:hAnsi="Times New Roman" w:eastAsia="仿宋" w:cs="Times New Roman"/>
                <w:b/>
                <w:sz w:val="22"/>
                <w:lang w:eastAsia="zh-CN"/>
              </w:rPr>
              <w:t>1.供应商须具备有效的《危险化学品经营许可证》。</w:t>
            </w:r>
          </w:p>
          <w:p w14:paraId="39F9712D">
            <w:pPr>
              <w:widowControl/>
              <w:jc w:val="left"/>
              <w:rPr>
                <w:rFonts w:hint="eastAsia" w:ascii="Times New Roman" w:hAnsi="Times New Roman" w:eastAsia="仿宋" w:cs="Times New Roman"/>
                <w:b/>
                <w:sz w:val="22"/>
                <w:lang w:eastAsia="zh-CN"/>
              </w:rPr>
            </w:pPr>
            <w:r>
              <w:rPr>
                <w:rFonts w:hint="eastAsia" w:ascii="Times New Roman" w:hAnsi="Times New Roman" w:eastAsia="仿宋" w:cs="Times New Roman"/>
                <w:b/>
                <w:sz w:val="22"/>
                <w:lang w:eastAsia="zh-CN"/>
              </w:rPr>
              <w:t>2.供应商须具备有效的《道路危险货物运输许可证》。若供应商委托第三方运输，则须同时提供第三方承运单位的有效运输资质文件以及双方正式签署的委托运输协议。</w:t>
            </w:r>
          </w:p>
        </w:tc>
        <w:tc>
          <w:tcPr>
            <w:tcW w:w="2846" w:type="pct"/>
            <w:vAlign w:val="center"/>
          </w:tcPr>
          <w:p w14:paraId="5CFAF7D9">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1.供应商</w:t>
            </w:r>
            <w:r>
              <w:rPr>
                <w:rFonts w:hint="default" w:ascii="Times New Roman" w:hAnsi="Times New Roman" w:eastAsia="仿宋" w:cs="Times New Roman"/>
                <w:sz w:val="22"/>
                <w:lang w:val="en-US" w:eastAsia="zh-CN"/>
              </w:rPr>
              <w:t>须提供有效期内的《危险化学品经营许可证》</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w:t>
            </w:r>
          </w:p>
          <w:p w14:paraId="1EBDCFCD">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2.供应商</w:t>
            </w:r>
            <w:r>
              <w:rPr>
                <w:rFonts w:hint="default" w:ascii="Times New Roman" w:hAnsi="Times New Roman" w:eastAsia="仿宋" w:cs="Times New Roman"/>
                <w:sz w:val="22"/>
                <w:lang w:val="en-US" w:eastAsia="zh-CN"/>
              </w:rPr>
              <w:t>须提供有效期内的《道路危险货物运输许可证》</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。若供应商委托第三方运输，则须同时提供第三方承运单位有效期内的《道路危险货物运输许可证》</w:t>
            </w:r>
            <w:r>
              <w:rPr>
                <w:rFonts w:hint="eastAsia" w:ascii="Times New Roman" w:hAnsi="Times New Roman" w:eastAsia="仿宋" w:cs="Times New Roman"/>
                <w:sz w:val="22"/>
                <w:lang w:val="en-US" w:eastAsia="zh-CN"/>
              </w:rPr>
              <w:t>复印件以及</w:t>
            </w:r>
            <w:r>
              <w:rPr>
                <w:rFonts w:hint="default" w:ascii="Times New Roman" w:hAnsi="Times New Roman" w:eastAsia="仿宋" w:cs="Times New Roman"/>
                <w:sz w:val="22"/>
                <w:lang w:val="en-US" w:eastAsia="zh-CN"/>
              </w:rPr>
              <w:t>双方正式签署的委托</w:t>
            </w:r>
            <w:r>
              <w:rPr>
                <w:rFonts w:hint="eastAsia" w:ascii="Times New Roman" w:hAnsi="Times New Roman" w:eastAsia="仿宋" w:cs="Times New Roman"/>
                <w:sz w:val="22"/>
                <w:lang w:val="en-US" w:eastAsia="zh-CN"/>
              </w:rPr>
              <w:t>运输</w:t>
            </w:r>
            <w:r>
              <w:rPr>
                <w:rFonts w:hint="default" w:ascii="Times New Roman" w:hAnsi="Times New Roman" w:eastAsia="仿宋" w:cs="Times New Roman"/>
                <w:sz w:val="22"/>
                <w:lang w:val="en-US" w:eastAsia="zh-CN"/>
              </w:rPr>
              <w:t>协议</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w:t>
            </w:r>
          </w:p>
          <w:p w14:paraId="0409E855">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注：以上证明材料需加盖供应商公章。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jc w:val="center"/>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7620F8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一、项目简介</w:t>
      </w:r>
    </w:p>
    <w:p w14:paraId="44E7B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kern w:val="2"/>
          <w:sz w:val="24"/>
          <w:szCs w:val="24"/>
          <w:lang w:val="en-US" w:eastAsia="zh-CN" w:bidi="ar-SA"/>
        </w:rPr>
        <w:t>因采购人实际工作需要，本项目拟采购一家供应商为四川省人民医院提供液氮配送服务。</w:t>
      </w:r>
    </w:p>
    <w:p w14:paraId="5A57F4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textAlignment w:val="auto"/>
        <w:rPr>
          <w:rFonts w:hint="default" w:ascii="仿宋" w:hAnsi="仿宋" w:eastAsia="仿宋" w:cs="仿宋"/>
          <w:b/>
          <w:bCs w:val="0"/>
          <w:color w:val="auto"/>
          <w:kern w:val="2"/>
          <w:sz w:val="24"/>
          <w:szCs w:val="24"/>
          <w:lang w:val="en-US" w:eastAsia="zh-CN" w:bidi="ar-SA"/>
        </w:rPr>
      </w:pPr>
      <w:r>
        <w:rPr>
          <w:rFonts w:ascii="Segoe UI Symbol" w:hAnsi="Segoe UI Symbol" w:eastAsia="仿宋" w:cs="Segoe UI Symbol"/>
          <w:b/>
          <w:bCs/>
          <w:sz w:val="24"/>
          <w:szCs w:val="22"/>
          <w:highlight w:val="none"/>
        </w:rPr>
        <w:t>★</w:t>
      </w:r>
      <w:r>
        <w:rPr>
          <w:rFonts w:hint="eastAsia" w:ascii="仿宋" w:hAnsi="仿宋" w:eastAsia="仿宋" w:cs="仿宋"/>
          <w:b/>
          <w:bCs w:val="0"/>
          <w:color w:val="auto"/>
          <w:kern w:val="2"/>
          <w:sz w:val="24"/>
          <w:szCs w:val="24"/>
          <w:lang w:val="en-US" w:eastAsia="zh-CN" w:bidi="ar-SA"/>
        </w:rPr>
        <w:t>二、服务内容及服务要求</w:t>
      </w:r>
    </w:p>
    <w:p w14:paraId="302EA2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（一）服务内容</w:t>
      </w:r>
      <w:r>
        <w:rPr>
          <w:rFonts w:hint="eastAsia" w:ascii="仿宋" w:hAnsi="仿宋" w:eastAsia="仿宋" w:cs="仿宋"/>
          <w:b/>
          <w:bCs/>
          <w:sz w:val="24"/>
          <w:szCs w:val="24"/>
          <w:lang w:val="en-US" w:eastAsia="zh-CN"/>
        </w:rPr>
        <w:t>清单及限价</w:t>
      </w:r>
    </w:p>
    <w:tbl>
      <w:tblPr>
        <w:tblStyle w:val="1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49"/>
        <w:gridCol w:w="1292"/>
        <w:gridCol w:w="4036"/>
        <w:gridCol w:w="1838"/>
        <w:gridCol w:w="1627"/>
      </w:tblGrid>
      <w:tr w14:paraId="46C94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0" w:hRule="atLeast"/>
        </w:trPr>
        <w:tc>
          <w:tcPr>
            <w:tcW w:w="533"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F4ADE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65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B78B0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名称</w:t>
            </w:r>
          </w:p>
        </w:tc>
        <w:tc>
          <w:tcPr>
            <w:tcW w:w="2049"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D4CFB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规格</w:t>
            </w:r>
          </w:p>
        </w:tc>
        <w:tc>
          <w:tcPr>
            <w:tcW w:w="933"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D472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数量（升）</w:t>
            </w:r>
          </w:p>
        </w:tc>
        <w:tc>
          <w:tcPr>
            <w:tcW w:w="82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742C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限高</w:t>
            </w:r>
            <w:r>
              <w:rPr>
                <w:rStyle w:val="21"/>
                <w:rFonts w:hint="eastAsia" w:ascii="仿宋" w:hAnsi="仿宋" w:eastAsia="仿宋" w:cs="仿宋"/>
                <w:sz w:val="24"/>
                <w:szCs w:val="24"/>
                <w:lang w:val="en-US" w:eastAsia="zh-CN"/>
              </w:rPr>
              <w:t>单</w:t>
            </w:r>
            <w:r>
              <w:rPr>
                <w:rStyle w:val="21"/>
                <w:rFonts w:hint="eastAsia" w:ascii="仿宋" w:hAnsi="仿宋" w:eastAsia="仿宋" w:cs="仿宋"/>
                <w:sz w:val="24"/>
                <w:szCs w:val="24"/>
              </w:rPr>
              <w:t>价</w:t>
            </w:r>
          </w:p>
        </w:tc>
      </w:tr>
      <w:tr w14:paraId="70C23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5" w:hRule="atLeast"/>
        </w:trPr>
        <w:tc>
          <w:tcPr>
            <w:tcW w:w="533"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588F3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56"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A857D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液氮</w:t>
            </w:r>
          </w:p>
        </w:tc>
        <w:tc>
          <w:tcPr>
            <w:tcW w:w="204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8FF32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符合《纯氮、高纯氮和超纯氮》（</w:t>
            </w:r>
            <w:r>
              <w:rPr>
                <w:rFonts w:hint="eastAsia" w:ascii="仿宋" w:hAnsi="仿宋" w:eastAsia="仿宋" w:cs="仿宋"/>
                <w:sz w:val="24"/>
                <w:szCs w:val="24"/>
              </w:rPr>
              <w:t>GB/T 8979-2025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标准</w:t>
            </w:r>
            <w:r>
              <w:rPr>
                <w:rFonts w:hint="eastAsia" w:ascii="仿宋" w:hAnsi="仿宋" w:eastAsia="仿宋" w:cs="仿宋"/>
                <w:sz w:val="24"/>
                <w:szCs w:val="24"/>
              </w:rPr>
              <w:t>，纯度≥99.995%</w:t>
            </w:r>
          </w:p>
        </w:tc>
        <w:tc>
          <w:tcPr>
            <w:tcW w:w="933"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46103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按实结算</w:t>
            </w:r>
          </w:p>
        </w:tc>
        <w:tc>
          <w:tcPr>
            <w:tcW w:w="826"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1CE402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5元/升</w:t>
            </w:r>
          </w:p>
        </w:tc>
      </w:tr>
    </w:tbl>
    <w:p w14:paraId="39E75BE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（二）技术参数要求</w:t>
      </w:r>
    </w:p>
    <w:p w14:paraId="6F5E31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供产品必须完全符合本项目采购文件规定的质量、规格和性能的要求，不得以假充真，以次充好。供应商应保证其货物在正常使用条件下，在其使用寿命期内应具有满意的性能，产品质量出现问题，供应商应负责退换，退换货费用由供应商承担。</w:t>
      </w:r>
    </w:p>
    <w:p w14:paraId="28AC403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（三）服务要求</w:t>
      </w:r>
    </w:p>
    <w:p w14:paraId="785B65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1.交付时间：采购人应至少提前24小时向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发出书面订货通知或通过电话订货，</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接订货通知后，24小时内安排送货，紧急情况在国家法律法规允许的情况下12小时内配送。</w:t>
      </w:r>
    </w:p>
    <w:p w14:paraId="131ABC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.计量标准：液氮根据采购人容器容积计量，双方在产品交付登记本签字。</w:t>
      </w:r>
    </w:p>
    <w:p w14:paraId="27A83B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安全责任</w:t>
      </w:r>
    </w:p>
    <w:p w14:paraId="20E35A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按照本项目服务要求及相关法规为采购人提供液氮产品配送服务，采购人须为供应商液氮产品运输和装卸提供安全便利的通道，液氮产品交付前安全责任由供应商承担，交付后安全责任由采购人承担，供应商必须按照国家相关规定及产品的安全技术说明书操作、搬运、使用、储存。</w:t>
      </w:r>
    </w:p>
    <w:p w14:paraId="556DB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供应商按照相关法规为采购人提供液氮产品，供应商工作人员在采购人现场送货时须遵守采购人相关安全和管理规定，如有违章作业和野蛮装卸，采购人可以向供应商管理人员进行投诉和要求整改，并记入供应商季度考核评价表。严重时可以向有关部门进行投诉。</w:t>
      </w:r>
    </w:p>
    <w:p w14:paraId="07975B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ascii="Times New Roman" w:hAnsi="Times New Roman" w:eastAsia="仿宋" w:cs="Times New Roman"/>
          <w:b/>
          <w:bCs/>
          <w:sz w:val="24"/>
          <w:szCs w:val="24"/>
        </w:rPr>
      </w:pPr>
      <w:r>
        <w:rPr>
          <w:rFonts w:ascii="Segoe UI Symbol" w:hAnsi="Segoe UI Symbol" w:eastAsia="仿宋" w:cs="Segoe UI Symbol"/>
          <w:b/>
          <w:bCs/>
          <w:sz w:val="24"/>
          <w:szCs w:val="22"/>
        </w:rPr>
        <w:t>★</w:t>
      </w:r>
      <w:r>
        <w:rPr>
          <w:rFonts w:hint="eastAsia" w:ascii="Segoe UI Symbol" w:hAnsi="Segoe UI Symbol" w:eastAsia="仿宋" w:cs="Segoe UI Symbol"/>
          <w:b/>
          <w:bCs/>
          <w:sz w:val="24"/>
          <w:szCs w:val="22"/>
          <w:lang w:val="en-US" w:eastAsia="zh-CN"/>
        </w:rPr>
        <w:t>三</w:t>
      </w:r>
      <w:r>
        <w:rPr>
          <w:rFonts w:ascii="Times New Roman" w:hAnsi="Times New Roman" w:eastAsia="仿宋" w:cs="Times New Roman"/>
          <w:b/>
          <w:bCs/>
          <w:sz w:val="24"/>
          <w:szCs w:val="24"/>
        </w:rPr>
        <w:t>、商务要求：</w:t>
      </w:r>
    </w:p>
    <w:p w14:paraId="452553B2">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val="0"/>
          <w:bCs w:val="0"/>
          <w:sz w:val="24"/>
          <w:szCs w:val="24"/>
          <w:lang w:val="en-US" w:eastAsia="zh-CN"/>
        </w:rPr>
      </w:pPr>
      <w:r>
        <w:rPr>
          <w:rFonts w:hint="eastAsia" w:ascii="Times New Roman" w:hAnsi="Times New Roman" w:eastAsia="仿宋" w:cs="Times New Roman"/>
          <w:b/>
          <w:bCs/>
          <w:sz w:val="24"/>
          <w:szCs w:val="24"/>
          <w:lang w:val="en-US" w:eastAsia="zh-CN"/>
        </w:rPr>
        <w:t>服务期限</w:t>
      </w:r>
      <w:r>
        <w:rPr>
          <w:rFonts w:hint="eastAsia" w:ascii="Times New Roman" w:hAnsi="Times New Roman" w:eastAsia="仿宋" w:cs="Times New Roman"/>
          <w:b w:val="0"/>
          <w:bCs w:val="0"/>
          <w:sz w:val="24"/>
          <w:szCs w:val="24"/>
          <w:lang w:val="en-US" w:eastAsia="zh-CN"/>
        </w:rPr>
        <w:t>：2026年8月15日至2029年8月14日，合同一年一签，年度考核合格以后续签下一年度合同。若合同签订生效时间晚于2026年8月15日，则以合同签订生效时间作为服务期起始时间，服务期结束时间按本项目服务期限顺延。</w:t>
      </w:r>
    </w:p>
    <w:p w14:paraId="5F6B699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Times New Roman" w:hAnsi="Times New Roman" w:eastAsia="仿宋" w:cs="Times New Roman"/>
          <w:b/>
          <w:bCs/>
          <w:sz w:val="24"/>
          <w:szCs w:val="24"/>
          <w:lang w:val="en-US" w:eastAsia="zh-CN"/>
        </w:rPr>
        <w:t>（二）交付地点</w:t>
      </w:r>
      <w:r>
        <w:rPr>
          <w:rFonts w:hint="eastAsia" w:ascii="Times New Roman" w:hAnsi="Times New Roman" w:eastAsia="仿宋" w:cs="Times New Roman"/>
          <w:sz w:val="24"/>
          <w:szCs w:val="24"/>
          <w:lang w:val="en-US" w:eastAsia="zh-CN"/>
        </w:rPr>
        <w:t>：四川省人民医院（青羊院区、草堂院区、皮肤病性病研究所（皮研所）、实验动物研究所、龙泉院区，四川省精神医学中心）</w:t>
      </w:r>
      <w:r>
        <w:rPr>
          <w:rFonts w:hint="eastAsia" w:ascii="Times New Roman" w:hAnsi="Times New Roman" w:eastAsia="仿宋" w:cs="Times New Roman"/>
          <w:b w:val="0"/>
          <w:bCs w:val="0"/>
          <w:kern w:val="2"/>
          <w:sz w:val="24"/>
          <w:szCs w:val="24"/>
          <w:lang w:val="en-US" w:eastAsia="zh-CN" w:bidi="ar-SA"/>
        </w:rPr>
        <w:t>。</w:t>
      </w:r>
    </w:p>
    <w:p w14:paraId="156C6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（三）付款条件</w:t>
      </w:r>
    </w:p>
    <w:p w14:paraId="2DD4CE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结算费用=成交单价×实际送货量。供应商应根据本项目成交单价及实际服务情况向采购人提供结算费用清单进行确认，并在采购人确认后5日内按费用清单金额向采购人提供合法有效票据及其他相关请款资料，采购人自收到上述票据及资料后55日内，向供应商全额支付上述结算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360" w:lineRule="auto"/>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Times New Roman" w:hAnsi="Times New Roman" w:eastAsia="仿宋" w:cs="Times New Roman"/>
          <w:b/>
          <w:bCs/>
          <w:sz w:val="24"/>
          <w:szCs w:val="24"/>
          <w:lang w:val="en-US" w:eastAsia="zh-CN"/>
        </w:rPr>
        <w:t>（四）</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按照基于本项目采购需求编制的采购文件要求及供应商响应文件情况，由供应商向采购人提供的每批次液氮产品。</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供应商完成每批次货物交付后5日内通知采购人验收，采购人接供应商通知后10日内组织验收。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5.参照《财政部关于进一步加强政府采购需求和履约验收管理的指导意见》（财库〔2016〕205号）的要求进行验收。</w:t>
            </w:r>
          </w:p>
          <w:p w14:paraId="42C0B31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按照本项目要求对液氮质量现场检验，每批次配送的液氮产品批次号与送货单、验收单上相关信息应完全一致。货物验收以双方签字的登记本数量为验收依据之一，货物验收合格前，毁损灭失的风险由供应商承担。</w:t>
            </w:r>
          </w:p>
        </w:tc>
      </w:tr>
    </w:tbl>
    <w:p w14:paraId="4DBB66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default" w:ascii="仿宋" w:hAnsi="仿宋" w:eastAsia="仿宋" w:cs="仿宋"/>
          <w:b w:val="0"/>
          <w:bCs w:val="0"/>
          <w:kern w:val="2"/>
          <w:sz w:val="24"/>
          <w:szCs w:val="24"/>
          <w:lang w:val="en-US" w:eastAsia="zh-CN" w:bidi="ar-SA"/>
        </w:rPr>
      </w:pPr>
      <w:r>
        <w:rPr>
          <w:rFonts w:hint="eastAsia" w:ascii="Times New Roman" w:hAnsi="Times New Roman" w:eastAsia="仿宋" w:cs="Times New Roman"/>
          <w:b/>
          <w:bCs/>
          <w:kern w:val="2"/>
          <w:sz w:val="24"/>
          <w:szCs w:val="24"/>
          <w:lang w:val="en-US" w:eastAsia="zh-CN" w:bidi="ar-SA"/>
        </w:rPr>
        <w:t>（五）考核内容</w:t>
      </w:r>
    </w:p>
    <w:p w14:paraId="2A6111C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1.考核表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25"/>
        <w:gridCol w:w="1312"/>
        <w:gridCol w:w="2270"/>
        <w:gridCol w:w="1655"/>
        <w:gridCol w:w="1374"/>
        <w:gridCol w:w="823"/>
        <w:gridCol w:w="1639"/>
      </w:tblGrid>
      <w:tr w14:paraId="7F7C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540" w:hRule="atLeast"/>
        </w:trPr>
        <w:tc>
          <w:tcPr>
            <w:tcW w:w="9806" w:type="dxa"/>
            <w:gridSpan w:val="7"/>
            <w:shd w:val="clear" w:color="auto" w:fill="auto"/>
            <w:tcMar>
              <w:top w:w="0" w:type="dxa"/>
              <w:left w:w="30" w:type="dxa"/>
              <w:bottom w:w="0" w:type="dxa"/>
              <w:right w:w="30" w:type="dxa"/>
            </w:tcMar>
            <w:vAlign w:val="center"/>
          </w:tcPr>
          <w:p w14:paraId="376D0C4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供应商季度考核评价表</w:t>
            </w:r>
          </w:p>
        </w:tc>
      </w:tr>
      <w:tr w14:paraId="3DAD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5368A05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申请科室</w:t>
            </w:r>
          </w:p>
        </w:tc>
        <w:tc>
          <w:tcPr>
            <w:tcW w:w="7851" w:type="dxa"/>
            <w:gridSpan w:val="5"/>
            <w:shd w:val="clear" w:color="auto" w:fill="auto"/>
            <w:tcMar>
              <w:top w:w="0" w:type="dxa"/>
              <w:left w:w="30" w:type="dxa"/>
              <w:bottom w:w="0" w:type="dxa"/>
              <w:right w:w="30" w:type="dxa"/>
            </w:tcMar>
            <w:vAlign w:val="center"/>
          </w:tcPr>
          <w:p w14:paraId="5C2801E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46A1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4B24D3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3974" w:type="dxa"/>
            <w:gridSpan w:val="2"/>
            <w:shd w:val="clear" w:color="auto" w:fill="auto"/>
            <w:tcMar>
              <w:top w:w="0" w:type="dxa"/>
              <w:left w:w="30" w:type="dxa"/>
              <w:bottom w:w="0" w:type="dxa"/>
              <w:right w:w="30" w:type="dxa"/>
            </w:tcMar>
            <w:vAlign w:val="center"/>
          </w:tcPr>
          <w:p w14:paraId="1082295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c>
          <w:tcPr>
            <w:tcW w:w="1389" w:type="dxa"/>
            <w:shd w:val="clear" w:color="auto" w:fill="auto"/>
            <w:tcMar>
              <w:top w:w="0" w:type="dxa"/>
              <w:left w:w="30" w:type="dxa"/>
              <w:bottom w:w="0" w:type="dxa"/>
              <w:right w:w="30" w:type="dxa"/>
            </w:tcMar>
            <w:vAlign w:val="center"/>
          </w:tcPr>
          <w:p w14:paraId="56E76D9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tc>
        <w:tc>
          <w:tcPr>
            <w:tcW w:w="2488" w:type="dxa"/>
            <w:gridSpan w:val="2"/>
            <w:shd w:val="clear" w:color="auto" w:fill="auto"/>
            <w:tcMar>
              <w:top w:w="0" w:type="dxa"/>
              <w:left w:w="30" w:type="dxa"/>
              <w:bottom w:w="0" w:type="dxa"/>
              <w:right w:w="30" w:type="dxa"/>
            </w:tcMar>
            <w:vAlign w:val="center"/>
          </w:tcPr>
          <w:p w14:paraId="17983B4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C72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1DDE8DC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供应商地址</w:t>
            </w:r>
          </w:p>
        </w:tc>
        <w:tc>
          <w:tcPr>
            <w:tcW w:w="3974" w:type="dxa"/>
            <w:gridSpan w:val="2"/>
            <w:shd w:val="clear" w:color="auto" w:fill="auto"/>
            <w:tcMar>
              <w:top w:w="0" w:type="dxa"/>
              <w:left w:w="30" w:type="dxa"/>
              <w:bottom w:w="0" w:type="dxa"/>
              <w:right w:w="30" w:type="dxa"/>
            </w:tcMar>
            <w:vAlign w:val="center"/>
          </w:tcPr>
          <w:p w14:paraId="342E0E8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c>
          <w:tcPr>
            <w:tcW w:w="1389" w:type="dxa"/>
            <w:shd w:val="clear" w:color="auto" w:fill="auto"/>
            <w:tcMar>
              <w:top w:w="0" w:type="dxa"/>
              <w:left w:w="30" w:type="dxa"/>
              <w:bottom w:w="0" w:type="dxa"/>
              <w:right w:w="30" w:type="dxa"/>
            </w:tcMar>
            <w:vAlign w:val="center"/>
          </w:tcPr>
          <w:p w14:paraId="2C2C9C8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w:t>
            </w:r>
          </w:p>
        </w:tc>
        <w:tc>
          <w:tcPr>
            <w:tcW w:w="2488" w:type="dxa"/>
            <w:gridSpan w:val="2"/>
            <w:shd w:val="clear" w:color="auto" w:fill="auto"/>
            <w:tcMar>
              <w:top w:w="0" w:type="dxa"/>
              <w:left w:w="30" w:type="dxa"/>
              <w:bottom w:w="0" w:type="dxa"/>
              <w:right w:w="30" w:type="dxa"/>
            </w:tcMar>
            <w:vAlign w:val="center"/>
          </w:tcPr>
          <w:p w14:paraId="743EC76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5CF1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165" w:hRule="atLeast"/>
        </w:trPr>
        <w:tc>
          <w:tcPr>
            <w:tcW w:w="1955" w:type="dxa"/>
            <w:gridSpan w:val="2"/>
            <w:shd w:val="clear" w:color="auto" w:fill="auto"/>
            <w:tcMar>
              <w:top w:w="0" w:type="dxa"/>
              <w:left w:w="30" w:type="dxa"/>
              <w:bottom w:w="0" w:type="dxa"/>
              <w:right w:w="30" w:type="dxa"/>
            </w:tcMar>
            <w:vAlign w:val="center"/>
          </w:tcPr>
          <w:p w14:paraId="1F4B3FC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合同名称</w:t>
            </w:r>
          </w:p>
        </w:tc>
        <w:tc>
          <w:tcPr>
            <w:tcW w:w="7851" w:type="dxa"/>
            <w:gridSpan w:val="5"/>
            <w:shd w:val="clear" w:color="auto" w:fill="auto"/>
            <w:tcMar>
              <w:top w:w="0" w:type="dxa"/>
              <w:left w:w="30" w:type="dxa"/>
              <w:bottom w:w="0" w:type="dxa"/>
              <w:right w:w="30" w:type="dxa"/>
            </w:tcMar>
            <w:vAlign w:val="center"/>
          </w:tcPr>
          <w:p w14:paraId="482416B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CD6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555" w:hRule="atLeast"/>
        </w:trPr>
        <w:tc>
          <w:tcPr>
            <w:tcW w:w="4249" w:type="dxa"/>
            <w:gridSpan w:val="3"/>
            <w:shd w:val="clear" w:color="auto" w:fill="auto"/>
            <w:tcMar>
              <w:top w:w="0" w:type="dxa"/>
              <w:left w:w="30" w:type="dxa"/>
              <w:bottom w:w="0" w:type="dxa"/>
              <w:right w:w="30" w:type="dxa"/>
            </w:tcMar>
            <w:vAlign w:val="center"/>
          </w:tcPr>
          <w:p w14:paraId="3013A5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评价日期：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tc>
        <w:tc>
          <w:tcPr>
            <w:tcW w:w="5557" w:type="dxa"/>
            <w:gridSpan w:val="4"/>
            <w:shd w:val="clear" w:color="auto" w:fill="auto"/>
            <w:tcMar>
              <w:top w:w="0" w:type="dxa"/>
              <w:left w:w="30" w:type="dxa"/>
              <w:bottom w:w="0" w:type="dxa"/>
              <w:right w:w="30" w:type="dxa"/>
            </w:tcMar>
            <w:vAlign w:val="center"/>
          </w:tcPr>
          <w:p w14:paraId="1A3A281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季度</w:t>
            </w:r>
          </w:p>
        </w:tc>
      </w:tr>
      <w:tr w14:paraId="0E08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35" w:hRule="atLeast"/>
        </w:trPr>
        <w:tc>
          <w:tcPr>
            <w:tcW w:w="630" w:type="dxa"/>
            <w:shd w:val="clear" w:color="auto" w:fill="auto"/>
            <w:tcMar>
              <w:top w:w="0" w:type="dxa"/>
              <w:left w:w="30" w:type="dxa"/>
              <w:bottom w:w="0" w:type="dxa"/>
              <w:right w:w="30" w:type="dxa"/>
            </w:tcMar>
            <w:vAlign w:val="center"/>
          </w:tcPr>
          <w:p w14:paraId="14B9F67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325" w:type="dxa"/>
            <w:shd w:val="clear" w:color="auto" w:fill="auto"/>
            <w:tcMar>
              <w:top w:w="0" w:type="dxa"/>
              <w:left w:w="30" w:type="dxa"/>
              <w:bottom w:w="0" w:type="dxa"/>
              <w:right w:w="30" w:type="dxa"/>
            </w:tcMar>
            <w:vAlign w:val="center"/>
          </w:tcPr>
          <w:p w14:paraId="25FA841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指标类型</w:t>
            </w:r>
          </w:p>
        </w:tc>
        <w:tc>
          <w:tcPr>
            <w:tcW w:w="2294" w:type="dxa"/>
            <w:shd w:val="clear" w:color="auto" w:fill="auto"/>
            <w:tcMar>
              <w:top w:w="0" w:type="dxa"/>
              <w:left w:w="30" w:type="dxa"/>
              <w:bottom w:w="0" w:type="dxa"/>
              <w:right w:w="30" w:type="dxa"/>
            </w:tcMar>
            <w:vAlign w:val="center"/>
          </w:tcPr>
          <w:p w14:paraId="32866E4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指标名称、分值</w:t>
            </w:r>
          </w:p>
        </w:tc>
        <w:tc>
          <w:tcPr>
            <w:tcW w:w="3904" w:type="dxa"/>
            <w:gridSpan w:val="3"/>
            <w:shd w:val="clear" w:color="auto" w:fill="auto"/>
            <w:tcMar>
              <w:top w:w="0" w:type="dxa"/>
              <w:left w:w="30" w:type="dxa"/>
              <w:bottom w:w="0" w:type="dxa"/>
              <w:right w:w="30" w:type="dxa"/>
            </w:tcMar>
            <w:vAlign w:val="center"/>
          </w:tcPr>
          <w:p w14:paraId="285DC2A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1653" w:type="dxa"/>
            <w:shd w:val="clear" w:color="auto" w:fill="auto"/>
            <w:tcMar>
              <w:top w:w="0" w:type="dxa"/>
              <w:left w:w="30" w:type="dxa"/>
              <w:bottom w:w="0" w:type="dxa"/>
              <w:right w:w="30" w:type="dxa"/>
            </w:tcMar>
            <w:vAlign w:val="center"/>
          </w:tcPr>
          <w:p w14:paraId="72C16A2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分项得分</w:t>
            </w:r>
          </w:p>
        </w:tc>
      </w:tr>
      <w:tr w14:paraId="7D99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575" w:hRule="atLeast"/>
        </w:trPr>
        <w:tc>
          <w:tcPr>
            <w:tcW w:w="630" w:type="dxa"/>
            <w:vMerge w:val="restart"/>
            <w:shd w:val="clear" w:color="auto" w:fill="auto"/>
            <w:tcMar>
              <w:top w:w="0" w:type="dxa"/>
              <w:left w:w="30" w:type="dxa"/>
              <w:bottom w:w="0" w:type="dxa"/>
              <w:right w:w="30" w:type="dxa"/>
            </w:tcMar>
            <w:vAlign w:val="center"/>
          </w:tcPr>
          <w:p w14:paraId="316E79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325" w:type="dxa"/>
            <w:vMerge w:val="restart"/>
            <w:shd w:val="clear" w:color="auto" w:fill="auto"/>
            <w:tcMar>
              <w:top w:w="0" w:type="dxa"/>
              <w:left w:w="30" w:type="dxa"/>
              <w:bottom w:w="0" w:type="dxa"/>
              <w:right w:w="30" w:type="dxa"/>
            </w:tcMar>
            <w:vAlign w:val="center"/>
          </w:tcPr>
          <w:p w14:paraId="63295C7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响应速度</w:t>
            </w:r>
          </w:p>
          <w:p w14:paraId="21AD6B2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（40分）</w:t>
            </w:r>
          </w:p>
        </w:tc>
        <w:tc>
          <w:tcPr>
            <w:tcW w:w="2294" w:type="dxa"/>
            <w:shd w:val="clear" w:color="auto" w:fill="auto"/>
            <w:tcMar>
              <w:top w:w="0" w:type="dxa"/>
              <w:left w:w="30" w:type="dxa"/>
              <w:bottom w:w="0" w:type="dxa"/>
              <w:right w:w="30" w:type="dxa"/>
            </w:tcMar>
            <w:vAlign w:val="center"/>
          </w:tcPr>
          <w:p w14:paraId="7F5B4BC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反应及时性</w:t>
            </w:r>
          </w:p>
          <w:p w14:paraId="21EB45D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（0-15分）</w:t>
            </w:r>
          </w:p>
        </w:tc>
        <w:tc>
          <w:tcPr>
            <w:tcW w:w="3904" w:type="dxa"/>
            <w:gridSpan w:val="3"/>
            <w:shd w:val="clear" w:color="auto" w:fill="auto"/>
            <w:tcMar>
              <w:top w:w="0" w:type="dxa"/>
              <w:left w:w="30" w:type="dxa"/>
              <w:bottom w:w="0" w:type="dxa"/>
              <w:right w:w="30" w:type="dxa"/>
            </w:tcMar>
            <w:vAlign w:val="center"/>
          </w:tcPr>
          <w:p w14:paraId="75D205A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完全符合合同要求15分，出现一次不符合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合同要求的响应时限的情形，扣5分，扣完为止。</w:t>
            </w:r>
          </w:p>
        </w:tc>
        <w:tc>
          <w:tcPr>
            <w:tcW w:w="1653" w:type="dxa"/>
            <w:shd w:val="clear" w:color="auto" w:fill="auto"/>
            <w:tcMar>
              <w:top w:w="0" w:type="dxa"/>
              <w:left w:w="30" w:type="dxa"/>
              <w:bottom w:w="0" w:type="dxa"/>
              <w:right w:w="30" w:type="dxa"/>
            </w:tcMar>
            <w:vAlign w:val="center"/>
          </w:tcPr>
          <w:p w14:paraId="60F34BC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7A28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515" w:hRule="atLeast"/>
        </w:trPr>
        <w:tc>
          <w:tcPr>
            <w:tcW w:w="630" w:type="dxa"/>
            <w:vMerge w:val="continue"/>
            <w:shd w:val="clear" w:color="auto" w:fill="auto"/>
            <w:tcMar>
              <w:top w:w="0" w:type="dxa"/>
              <w:left w:w="30" w:type="dxa"/>
              <w:bottom w:w="0" w:type="dxa"/>
              <w:right w:w="30" w:type="dxa"/>
            </w:tcMar>
            <w:vAlign w:val="center"/>
          </w:tcPr>
          <w:p w14:paraId="666EB467">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59DA60AB">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5050FF0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问题处理及时性（0-25分）</w:t>
            </w:r>
          </w:p>
        </w:tc>
        <w:tc>
          <w:tcPr>
            <w:tcW w:w="3904" w:type="dxa"/>
            <w:gridSpan w:val="3"/>
            <w:shd w:val="clear" w:color="auto" w:fill="auto"/>
            <w:tcMar>
              <w:top w:w="0" w:type="dxa"/>
              <w:left w:w="30" w:type="dxa"/>
              <w:bottom w:w="0" w:type="dxa"/>
              <w:right w:w="30" w:type="dxa"/>
            </w:tcMar>
            <w:vAlign w:val="center"/>
          </w:tcPr>
          <w:p w14:paraId="2351FBE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完全符合合同要求25分，出现一次不符合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合同要求的问题处理时限的情形，扣5分，扣完为止。</w:t>
            </w:r>
          </w:p>
        </w:tc>
        <w:tc>
          <w:tcPr>
            <w:tcW w:w="1653" w:type="dxa"/>
            <w:shd w:val="clear" w:color="auto" w:fill="auto"/>
            <w:tcMar>
              <w:top w:w="0" w:type="dxa"/>
              <w:left w:w="30" w:type="dxa"/>
              <w:bottom w:w="0" w:type="dxa"/>
              <w:right w:w="30" w:type="dxa"/>
            </w:tcMar>
            <w:vAlign w:val="center"/>
          </w:tcPr>
          <w:p w14:paraId="652330F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0F55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95" w:hRule="atLeast"/>
        </w:trPr>
        <w:tc>
          <w:tcPr>
            <w:tcW w:w="630" w:type="dxa"/>
            <w:vMerge w:val="restart"/>
            <w:shd w:val="clear" w:color="auto" w:fill="auto"/>
            <w:tcMar>
              <w:top w:w="0" w:type="dxa"/>
              <w:left w:w="30" w:type="dxa"/>
              <w:bottom w:w="0" w:type="dxa"/>
              <w:right w:w="30" w:type="dxa"/>
            </w:tcMar>
            <w:vAlign w:val="center"/>
          </w:tcPr>
          <w:p w14:paraId="40AAC59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325" w:type="dxa"/>
            <w:vMerge w:val="restart"/>
            <w:shd w:val="clear" w:color="auto" w:fill="auto"/>
            <w:tcMar>
              <w:top w:w="0" w:type="dxa"/>
              <w:left w:w="30" w:type="dxa"/>
              <w:bottom w:w="0" w:type="dxa"/>
              <w:right w:w="30" w:type="dxa"/>
            </w:tcMar>
            <w:vAlign w:val="center"/>
          </w:tcPr>
          <w:p w14:paraId="6DDE214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服务水平</w:t>
            </w:r>
          </w:p>
          <w:p w14:paraId="08F929D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（30分）</w:t>
            </w:r>
          </w:p>
        </w:tc>
        <w:tc>
          <w:tcPr>
            <w:tcW w:w="2294" w:type="dxa"/>
            <w:shd w:val="clear" w:color="auto" w:fill="auto"/>
            <w:tcMar>
              <w:top w:w="0" w:type="dxa"/>
              <w:left w:w="30" w:type="dxa"/>
              <w:bottom w:w="0" w:type="dxa"/>
              <w:right w:w="30" w:type="dxa"/>
            </w:tcMar>
            <w:vAlign w:val="center"/>
          </w:tcPr>
          <w:p w14:paraId="10E7069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按照合同约定完成服务内容（0-15分）</w:t>
            </w:r>
          </w:p>
        </w:tc>
        <w:tc>
          <w:tcPr>
            <w:tcW w:w="3904" w:type="dxa"/>
            <w:gridSpan w:val="3"/>
            <w:shd w:val="clear" w:color="auto" w:fill="auto"/>
            <w:tcMar>
              <w:top w:w="0" w:type="dxa"/>
              <w:left w:w="30" w:type="dxa"/>
              <w:bottom w:w="0" w:type="dxa"/>
              <w:right w:w="30" w:type="dxa"/>
            </w:tcMar>
            <w:vAlign w:val="center"/>
          </w:tcPr>
          <w:p w14:paraId="72D16A3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完全符合合同要求15分，出现一次不符合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合同要求的服务内容情形，扣5分，扣完为止。</w:t>
            </w:r>
          </w:p>
        </w:tc>
        <w:tc>
          <w:tcPr>
            <w:tcW w:w="1653" w:type="dxa"/>
            <w:shd w:val="clear" w:color="auto" w:fill="auto"/>
            <w:tcMar>
              <w:top w:w="0" w:type="dxa"/>
              <w:left w:w="30" w:type="dxa"/>
              <w:bottom w:w="0" w:type="dxa"/>
              <w:right w:w="30" w:type="dxa"/>
            </w:tcMar>
            <w:vAlign w:val="center"/>
          </w:tcPr>
          <w:p w14:paraId="7634D39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3A12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95" w:hRule="atLeast"/>
        </w:trPr>
        <w:tc>
          <w:tcPr>
            <w:tcW w:w="630" w:type="dxa"/>
            <w:vMerge w:val="continue"/>
            <w:shd w:val="clear" w:color="auto" w:fill="auto"/>
            <w:tcMar>
              <w:top w:w="0" w:type="dxa"/>
              <w:left w:w="30" w:type="dxa"/>
              <w:bottom w:w="0" w:type="dxa"/>
              <w:right w:w="30" w:type="dxa"/>
            </w:tcMar>
            <w:vAlign w:val="center"/>
          </w:tcPr>
          <w:p w14:paraId="3B04BA30">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6AD73604">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31DF212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一次性解决问题能力（0-10分）</w:t>
            </w:r>
          </w:p>
        </w:tc>
        <w:tc>
          <w:tcPr>
            <w:tcW w:w="3904" w:type="dxa"/>
            <w:gridSpan w:val="3"/>
            <w:shd w:val="clear" w:color="auto" w:fill="auto"/>
            <w:tcMar>
              <w:top w:w="0" w:type="dxa"/>
              <w:left w:w="30" w:type="dxa"/>
              <w:bottom w:w="0" w:type="dxa"/>
              <w:right w:w="30" w:type="dxa"/>
            </w:tcMar>
            <w:vAlign w:val="center"/>
          </w:tcPr>
          <w:p w14:paraId="4BA7B60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出现一次返工处理问题的情形扣2分，扣完为止。无此类情形得10分。</w:t>
            </w:r>
          </w:p>
        </w:tc>
        <w:tc>
          <w:tcPr>
            <w:tcW w:w="1653" w:type="dxa"/>
            <w:shd w:val="clear" w:color="auto" w:fill="auto"/>
            <w:tcMar>
              <w:top w:w="0" w:type="dxa"/>
              <w:left w:w="30" w:type="dxa"/>
              <w:bottom w:w="0" w:type="dxa"/>
              <w:right w:w="30" w:type="dxa"/>
            </w:tcMar>
            <w:vAlign w:val="center"/>
          </w:tcPr>
          <w:p w14:paraId="216FC1D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61C78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960" w:hRule="atLeast"/>
        </w:trPr>
        <w:tc>
          <w:tcPr>
            <w:tcW w:w="630" w:type="dxa"/>
            <w:vMerge w:val="continue"/>
            <w:shd w:val="clear" w:color="auto" w:fill="auto"/>
            <w:tcMar>
              <w:top w:w="0" w:type="dxa"/>
              <w:left w:w="30" w:type="dxa"/>
              <w:bottom w:w="0" w:type="dxa"/>
              <w:right w:w="30" w:type="dxa"/>
            </w:tcMar>
            <w:vAlign w:val="center"/>
          </w:tcPr>
          <w:p w14:paraId="58E9C930">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1DF51F75">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0F0A503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巡检质效</w:t>
            </w:r>
          </w:p>
          <w:p w14:paraId="041481E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（0-5分）</w:t>
            </w:r>
          </w:p>
        </w:tc>
        <w:tc>
          <w:tcPr>
            <w:tcW w:w="3904" w:type="dxa"/>
            <w:gridSpan w:val="3"/>
            <w:shd w:val="clear" w:color="auto" w:fill="auto"/>
            <w:tcMar>
              <w:top w:w="0" w:type="dxa"/>
              <w:left w:w="30" w:type="dxa"/>
              <w:bottom w:w="0" w:type="dxa"/>
              <w:right w:w="30" w:type="dxa"/>
            </w:tcMar>
            <w:vAlign w:val="center"/>
          </w:tcPr>
          <w:p w14:paraId="229F336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巡检完全符合合同要求5分，不符合合同要求（频次、记录、反馈等）扣5分。</w:t>
            </w:r>
          </w:p>
        </w:tc>
        <w:tc>
          <w:tcPr>
            <w:tcW w:w="1653" w:type="dxa"/>
            <w:shd w:val="clear" w:color="auto" w:fill="auto"/>
            <w:tcMar>
              <w:top w:w="0" w:type="dxa"/>
              <w:left w:w="30" w:type="dxa"/>
              <w:bottom w:w="0" w:type="dxa"/>
              <w:right w:w="30" w:type="dxa"/>
            </w:tcMar>
            <w:vAlign w:val="center"/>
          </w:tcPr>
          <w:p w14:paraId="476FDE9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A6A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95" w:hRule="atLeast"/>
        </w:trPr>
        <w:tc>
          <w:tcPr>
            <w:tcW w:w="630" w:type="dxa"/>
            <w:vMerge w:val="restart"/>
            <w:shd w:val="clear" w:color="auto" w:fill="auto"/>
            <w:tcMar>
              <w:top w:w="0" w:type="dxa"/>
              <w:left w:w="30" w:type="dxa"/>
              <w:bottom w:w="0" w:type="dxa"/>
              <w:right w:w="30" w:type="dxa"/>
            </w:tcMar>
            <w:vAlign w:val="center"/>
          </w:tcPr>
          <w:p w14:paraId="21846F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325" w:type="dxa"/>
            <w:vMerge w:val="restart"/>
            <w:shd w:val="clear" w:color="auto" w:fill="auto"/>
            <w:tcMar>
              <w:top w:w="0" w:type="dxa"/>
              <w:left w:w="30" w:type="dxa"/>
              <w:bottom w:w="0" w:type="dxa"/>
              <w:right w:w="30" w:type="dxa"/>
            </w:tcMar>
            <w:vAlign w:val="center"/>
          </w:tcPr>
          <w:p w14:paraId="7E7DAED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货物质量</w:t>
            </w:r>
          </w:p>
          <w:p w14:paraId="09665BB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（20分）</w:t>
            </w:r>
          </w:p>
        </w:tc>
        <w:tc>
          <w:tcPr>
            <w:tcW w:w="2294" w:type="dxa"/>
            <w:shd w:val="clear" w:color="auto" w:fill="auto"/>
            <w:tcMar>
              <w:top w:w="0" w:type="dxa"/>
              <w:left w:w="30" w:type="dxa"/>
              <w:bottom w:w="0" w:type="dxa"/>
              <w:right w:w="30" w:type="dxa"/>
            </w:tcMar>
            <w:vAlign w:val="center"/>
          </w:tcPr>
          <w:p w14:paraId="530095A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到货质量(0-10分)</w:t>
            </w:r>
          </w:p>
        </w:tc>
        <w:tc>
          <w:tcPr>
            <w:tcW w:w="3904" w:type="dxa"/>
            <w:gridSpan w:val="3"/>
            <w:shd w:val="clear" w:color="auto" w:fill="auto"/>
            <w:tcMar>
              <w:top w:w="0" w:type="dxa"/>
              <w:left w:w="30" w:type="dxa"/>
              <w:bottom w:w="0" w:type="dxa"/>
              <w:right w:w="30" w:type="dxa"/>
            </w:tcMar>
            <w:vAlign w:val="center"/>
          </w:tcPr>
          <w:p w14:paraId="254DBD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完全符合合同质量要求10分，出现一次不符合合同要求的到货质量情形，扣2分，扣完为止。</w:t>
            </w:r>
          </w:p>
        </w:tc>
        <w:tc>
          <w:tcPr>
            <w:tcW w:w="1653" w:type="dxa"/>
            <w:shd w:val="clear" w:color="auto" w:fill="auto"/>
            <w:tcMar>
              <w:top w:w="0" w:type="dxa"/>
              <w:left w:w="30" w:type="dxa"/>
              <w:bottom w:w="0" w:type="dxa"/>
              <w:right w:w="30" w:type="dxa"/>
            </w:tcMar>
            <w:vAlign w:val="center"/>
          </w:tcPr>
          <w:p w14:paraId="6524991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76D6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60" w:hRule="atLeast"/>
        </w:trPr>
        <w:tc>
          <w:tcPr>
            <w:tcW w:w="630" w:type="dxa"/>
            <w:vMerge w:val="continue"/>
            <w:shd w:val="clear" w:color="auto" w:fill="auto"/>
            <w:tcMar>
              <w:top w:w="0" w:type="dxa"/>
              <w:left w:w="30" w:type="dxa"/>
              <w:bottom w:w="0" w:type="dxa"/>
              <w:right w:w="30" w:type="dxa"/>
            </w:tcMar>
            <w:vAlign w:val="center"/>
          </w:tcPr>
          <w:p w14:paraId="65E1AC3C">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243F93B2">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6B58366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使用质量(0-10分)</w:t>
            </w:r>
          </w:p>
        </w:tc>
        <w:tc>
          <w:tcPr>
            <w:tcW w:w="3904" w:type="dxa"/>
            <w:gridSpan w:val="3"/>
            <w:shd w:val="clear" w:color="auto" w:fill="auto"/>
            <w:tcMar>
              <w:top w:w="0" w:type="dxa"/>
              <w:left w:w="30" w:type="dxa"/>
              <w:bottom w:w="0" w:type="dxa"/>
              <w:right w:w="30" w:type="dxa"/>
            </w:tcMar>
            <w:vAlign w:val="center"/>
          </w:tcPr>
          <w:p w14:paraId="1190925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（1）多次送货项目：完全符合合同要求10分，出现一次不满足合同要求的质量效期，扣2分，扣完为止。（2）一次性送货项目：如果不满足合同求的质量效期，扣10分。</w:t>
            </w:r>
          </w:p>
        </w:tc>
        <w:tc>
          <w:tcPr>
            <w:tcW w:w="1653" w:type="dxa"/>
            <w:shd w:val="clear" w:color="auto" w:fill="auto"/>
            <w:tcMar>
              <w:top w:w="0" w:type="dxa"/>
              <w:left w:w="30" w:type="dxa"/>
              <w:bottom w:w="0" w:type="dxa"/>
              <w:right w:w="30" w:type="dxa"/>
            </w:tcMar>
            <w:vAlign w:val="center"/>
          </w:tcPr>
          <w:p w14:paraId="7E8DDE0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0C3B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725" w:hRule="atLeast"/>
        </w:trPr>
        <w:tc>
          <w:tcPr>
            <w:tcW w:w="630" w:type="dxa"/>
            <w:shd w:val="clear" w:color="auto" w:fill="auto"/>
            <w:tcMar>
              <w:top w:w="0" w:type="dxa"/>
              <w:left w:w="30" w:type="dxa"/>
              <w:bottom w:w="0" w:type="dxa"/>
              <w:right w:w="30" w:type="dxa"/>
            </w:tcMar>
            <w:vAlign w:val="center"/>
          </w:tcPr>
          <w:p w14:paraId="50A8918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325" w:type="dxa"/>
            <w:shd w:val="clear" w:color="auto" w:fill="auto"/>
            <w:tcMar>
              <w:top w:w="0" w:type="dxa"/>
              <w:left w:w="30" w:type="dxa"/>
              <w:bottom w:w="0" w:type="dxa"/>
              <w:right w:w="30" w:type="dxa"/>
            </w:tcMar>
            <w:vAlign w:val="center"/>
          </w:tcPr>
          <w:p w14:paraId="73FBA2B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其他履约情形（10分）</w:t>
            </w:r>
          </w:p>
        </w:tc>
        <w:tc>
          <w:tcPr>
            <w:tcW w:w="2294" w:type="dxa"/>
            <w:shd w:val="clear" w:color="auto" w:fill="auto"/>
            <w:tcMar>
              <w:top w:w="0" w:type="dxa"/>
              <w:left w:w="30" w:type="dxa"/>
              <w:bottom w:w="0" w:type="dxa"/>
              <w:right w:w="30" w:type="dxa"/>
            </w:tcMar>
            <w:vAlign w:val="center"/>
          </w:tcPr>
          <w:p w14:paraId="04CF8D1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合同约定的其他履约要求(0-10分)</w:t>
            </w:r>
          </w:p>
        </w:tc>
        <w:tc>
          <w:tcPr>
            <w:tcW w:w="3904" w:type="dxa"/>
            <w:gridSpan w:val="3"/>
            <w:shd w:val="clear" w:color="auto" w:fill="auto"/>
            <w:tcMar>
              <w:top w:w="0" w:type="dxa"/>
              <w:left w:w="30" w:type="dxa"/>
              <w:bottom w:w="0" w:type="dxa"/>
              <w:right w:w="30" w:type="dxa"/>
            </w:tcMar>
            <w:vAlign w:val="center"/>
          </w:tcPr>
          <w:p w14:paraId="4450FF1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完全符合合同约定的其他履约要求10分，出现一次不符合要求的扣2分，扣完为止。</w:t>
            </w:r>
          </w:p>
        </w:tc>
        <w:tc>
          <w:tcPr>
            <w:tcW w:w="1653" w:type="dxa"/>
            <w:shd w:val="clear" w:color="auto" w:fill="auto"/>
            <w:tcMar>
              <w:top w:w="0" w:type="dxa"/>
              <w:left w:w="30" w:type="dxa"/>
              <w:bottom w:w="0" w:type="dxa"/>
              <w:right w:w="30" w:type="dxa"/>
            </w:tcMar>
            <w:vAlign w:val="center"/>
          </w:tcPr>
          <w:p w14:paraId="6B3C8E0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11A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725" w:hRule="atLeast"/>
        </w:trPr>
        <w:tc>
          <w:tcPr>
            <w:tcW w:w="630" w:type="dxa"/>
            <w:shd w:val="clear" w:color="auto" w:fill="auto"/>
            <w:tcMar>
              <w:top w:w="0" w:type="dxa"/>
              <w:left w:w="30" w:type="dxa"/>
              <w:bottom w:w="0" w:type="dxa"/>
              <w:right w:w="30" w:type="dxa"/>
            </w:tcMar>
            <w:vAlign w:val="center"/>
          </w:tcPr>
          <w:p w14:paraId="22C43EE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25" w:type="dxa"/>
            <w:shd w:val="clear" w:color="auto" w:fill="auto"/>
            <w:tcMar>
              <w:top w:w="0" w:type="dxa"/>
              <w:left w:w="30" w:type="dxa"/>
              <w:bottom w:w="0" w:type="dxa"/>
              <w:right w:w="30" w:type="dxa"/>
            </w:tcMar>
            <w:vAlign w:val="center"/>
          </w:tcPr>
          <w:p w14:paraId="3FB33F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约谈次数（扣分项，40分）</w:t>
            </w:r>
          </w:p>
        </w:tc>
        <w:tc>
          <w:tcPr>
            <w:tcW w:w="2294" w:type="dxa"/>
            <w:shd w:val="clear" w:color="auto" w:fill="auto"/>
            <w:tcMar>
              <w:top w:w="0" w:type="dxa"/>
              <w:left w:w="30" w:type="dxa"/>
              <w:bottom w:w="0" w:type="dxa"/>
              <w:right w:w="30" w:type="dxa"/>
            </w:tcMar>
            <w:vAlign w:val="center"/>
          </w:tcPr>
          <w:p w14:paraId="4A7B97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因科室投诉或履约质效差等原因被约谈（扣0-40分）</w:t>
            </w:r>
          </w:p>
        </w:tc>
        <w:tc>
          <w:tcPr>
            <w:tcW w:w="3904" w:type="dxa"/>
            <w:gridSpan w:val="3"/>
            <w:shd w:val="clear" w:color="auto" w:fill="auto"/>
            <w:tcMar>
              <w:top w:w="0" w:type="dxa"/>
              <w:left w:w="30" w:type="dxa"/>
              <w:bottom w:w="0" w:type="dxa"/>
              <w:right w:w="30" w:type="dxa"/>
            </w:tcMar>
            <w:vAlign w:val="center"/>
          </w:tcPr>
          <w:p w14:paraId="1B443EA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约谈一次扣10分，扣完为止。</w:t>
            </w:r>
          </w:p>
        </w:tc>
        <w:tc>
          <w:tcPr>
            <w:tcW w:w="1653" w:type="dxa"/>
            <w:shd w:val="clear" w:color="auto" w:fill="auto"/>
            <w:tcMar>
              <w:top w:w="0" w:type="dxa"/>
              <w:left w:w="30" w:type="dxa"/>
              <w:bottom w:w="0" w:type="dxa"/>
              <w:right w:w="30" w:type="dxa"/>
            </w:tcMar>
            <w:vAlign w:val="center"/>
          </w:tcPr>
          <w:p w14:paraId="695F05C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EE3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416" w:hRule="atLeast"/>
        </w:trPr>
        <w:tc>
          <w:tcPr>
            <w:tcW w:w="630" w:type="dxa"/>
            <w:shd w:val="clear" w:color="auto" w:fill="auto"/>
            <w:tcMar>
              <w:top w:w="0" w:type="dxa"/>
              <w:left w:w="30" w:type="dxa"/>
              <w:bottom w:w="0" w:type="dxa"/>
              <w:right w:w="30" w:type="dxa"/>
            </w:tcMar>
            <w:vAlign w:val="center"/>
          </w:tcPr>
          <w:p w14:paraId="380C709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325" w:type="dxa"/>
            <w:shd w:val="clear" w:color="auto" w:fill="auto"/>
            <w:tcMar>
              <w:top w:w="0" w:type="dxa"/>
              <w:left w:w="30" w:type="dxa"/>
              <w:bottom w:w="0" w:type="dxa"/>
              <w:right w:w="30" w:type="dxa"/>
            </w:tcMar>
            <w:vAlign w:val="center"/>
          </w:tcPr>
          <w:p w14:paraId="7487E8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合规性或其他严重问题</w:t>
            </w:r>
          </w:p>
          <w:p w14:paraId="7ECDD8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（一票否决项，若存在，当季考核得分为0分）</w:t>
            </w:r>
          </w:p>
        </w:tc>
        <w:tc>
          <w:tcPr>
            <w:tcW w:w="6198" w:type="dxa"/>
            <w:gridSpan w:val="4"/>
            <w:shd w:val="clear" w:color="auto" w:fill="auto"/>
            <w:tcMar>
              <w:top w:w="0" w:type="dxa"/>
              <w:left w:w="30" w:type="dxa"/>
              <w:bottom w:w="0" w:type="dxa"/>
              <w:right w:w="30" w:type="dxa"/>
            </w:tcMar>
            <w:vAlign w:val="center"/>
          </w:tcPr>
          <w:p w14:paraId="2E55DEC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是否存在商业贿赂等不良记录、违法违纪、行政处罚、行政强制，以及消防安全或安全生产责任事故对医院产生重大不良影响等情形</w:t>
            </w:r>
          </w:p>
        </w:tc>
        <w:tc>
          <w:tcPr>
            <w:tcW w:w="1653" w:type="dxa"/>
            <w:shd w:val="clear" w:color="auto" w:fill="auto"/>
            <w:tcMar>
              <w:top w:w="0" w:type="dxa"/>
              <w:left w:w="30" w:type="dxa"/>
              <w:bottom w:w="0" w:type="dxa"/>
              <w:right w:w="30" w:type="dxa"/>
            </w:tcMar>
            <w:vAlign w:val="center"/>
          </w:tcPr>
          <w:p w14:paraId="3DDA4D5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是口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口</w:t>
            </w:r>
          </w:p>
          <w:p w14:paraId="0FB560D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情形（是则填写）：</w:t>
            </w:r>
          </w:p>
          <w:p w14:paraId="556F03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p>
        </w:tc>
      </w:tr>
      <w:tr w14:paraId="0DABF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7035E43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当季考核得分:</w:t>
            </w:r>
          </w:p>
        </w:tc>
      </w:tr>
      <w:tr w14:paraId="297B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4D15616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Style w:val="21"/>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lang w:val="en-US" w:eastAsia="zh-CN"/>
              </w:rPr>
              <w:t>考核结果：</w:t>
            </w:r>
            <w:r>
              <w:rPr>
                <w:rFonts w:hint="eastAsia" w:ascii="仿宋" w:hAnsi="仿宋" w:eastAsia="仿宋" w:cs="仿宋"/>
                <w:i w:val="0"/>
                <w:iCs w:val="0"/>
                <w:color w:val="auto"/>
                <w:kern w:val="0"/>
                <w:sz w:val="24"/>
                <w:szCs w:val="24"/>
                <w:highlight w:val="none"/>
                <w:u w:val="none"/>
                <w:lang w:val="en-US" w:eastAsia="zh-CN" w:bidi="ar"/>
              </w:rPr>
              <w:t xml:space="preserve">           □合格(≥90分)            □不合格(&lt;90分)</w:t>
            </w:r>
          </w:p>
        </w:tc>
      </w:tr>
      <w:tr w14:paraId="0AF1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6499049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评价人员：</w:t>
            </w:r>
          </w:p>
        </w:tc>
      </w:tr>
      <w:tr w14:paraId="5948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30" w:type="dxa"/>
            <w:shd w:val="clear" w:color="auto" w:fill="auto"/>
            <w:tcMar>
              <w:top w:w="0" w:type="dxa"/>
              <w:left w:w="30" w:type="dxa"/>
              <w:bottom w:w="0" w:type="dxa"/>
              <w:right w:w="30" w:type="dxa"/>
            </w:tcMar>
            <w:vAlign w:val="center"/>
          </w:tcPr>
          <w:p w14:paraId="6D5F07E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9176" w:type="dxa"/>
            <w:gridSpan w:val="6"/>
            <w:shd w:val="clear" w:color="auto" w:fill="auto"/>
            <w:tcMar>
              <w:top w:w="0" w:type="dxa"/>
              <w:left w:w="30" w:type="dxa"/>
              <w:bottom w:w="0" w:type="dxa"/>
              <w:right w:w="30" w:type="dxa"/>
            </w:tcMar>
            <w:vAlign w:val="top"/>
          </w:tcPr>
          <w:p w14:paraId="1C10133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bl>
    <w:p w14:paraId="0DC6BE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2.费用结算说明</w:t>
      </w:r>
    </w:p>
    <w:p w14:paraId="420EF0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（1）考核得分≥90分：足额支付供应商该季度结算费用；</w:t>
      </w:r>
    </w:p>
    <w:p w14:paraId="26890A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（2）80≤考核得分＜90：每低于90分1分扣除供应商该季度结算费用2%。</w:t>
      </w:r>
    </w:p>
    <w:p w14:paraId="59D9A9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（3）考核得分＜80分：直接扣除供应商该季度结算费用50%。</w:t>
      </w:r>
    </w:p>
    <w:p w14:paraId="683A9D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w:t>
      </w:r>
      <w:r>
        <w:rPr>
          <w:rFonts w:hint="default" w:ascii="仿宋" w:hAnsi="仿宋" w:eastAsia="仿宋" w:cs="仿宋"/>
          <w:i w:val="0"/>
          <w:iCs w:val="0"/>
          <w:color w:val="auto"/>
          <w:kern w:val="0"/>
          <w:sz w:val="24"/>
          <w:szCs w:val="24"/>
          <w:highlight w:val="none"/>
          <w:u w:val="none"/>
          <w:lang w:val="en-US" w:eastAsia="zh-CN" w:bidi="ar"/>
        </w:rPr>
        <w:t>采购人每季度对供应商供应服务质量进行考核评价。1次季度考核低于90分，采购人将约谈</w:t>
      </w:r>
      <w:r>
        <w:rPr>
          <w:rFonts w:hint="eastAsia" w:ascii="仿宋" w:hAnsi="仿宋" w:eastAsia="仿宋" w:cs="仿宋"/>
          <w:i w:val="0"/>
          <w:iCs w:val="0"/>
          <w:color w:val="auto"/>
          <w:kern w:val="0"/>
          <w:sz w:val="24"/>
          <w:szCs w:val="24"/>
          <w:highlight w:val="none"/>
          <w:u w:val="none"/>
          <w:lang w:val="en-US" w:eastAsia="zh-CN" w:bidi="ar"/>
        </w:rPr>
        <w:t>成交</w:t>
      </w:r>
      <w:r>
        <w:rPr>
          <w:rFonts w:hint="default" w:ascii="仿宋" w:hAnsi="仿宋" w:eastAsia="仿宋" w:cs="仿宋"/>
          <w:i w:val="0"/>
          <w:iCs w:val="0"/>
          <w:color w:val="auto"/>
          <w:kern w:val="0"/>
          <w:sz w:val="24"/>
          <w:szCs w:val="24"/>
          <w:highlight w:val="none"/>
          <w:u w:val="none"/>
          <w:lang w:val="en-US" w:eastAsia="zh-CN" w:bidi="ar"/>
        </w:rPr>
        <w:t>供应商，供应商应立即进行整改。2次季度考核低于90分采购人有权解除合同。</w:t>
      </w:r>
    </w:p>
    <w:p w14:paraId="2814C4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4.年度考核：</w:t>
      </w:r>
      <w:r>
        <w:rPr>
          <w:rFonts w:hint="eastAsia" w:ascii="仿宋" w:hAnsi="仿宋" w:eastAsia="仿宋" w:cs="仿宋"/>
          <w:color w:val="auto"/>
          <w:sz w:val="24"/>
          <w:szCs w:val="24"/>
          <w:highlight w:val="none"/>
          <w:lang w:val="en-US" w:eastAsia="zh-CN"/>
        </w:rPr>
        <w:t>供应商服务期内前三个季度考核均合格，为年度考核合格，采购人续签下一年度合同。</w:t>
      </w:r>
    </w:p>
    <w:p w14:paraId="245F031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bCs/>
          <w:kern w:val="2"/>
          <w:sz w:val="24"/>
          <w:szCs w:val="24"/>
          <w:highlight w:val="none"/>
          <w:lang w:val="en-US" w:eastAsia="zh-CN" w:bidi="ar-SA"/>
        </w:rPr>
      </w:pPr>
      <w:r>
        <w:rPr>
          <w:rFonts w:hint="eastAsia" w:ascii="Times New Roman" w:hAnsi="Times New Roman" w:eastAsia="仿宋" w:cs="Times New Roman"/>
          <w:b/>
          <w:bCs/>
          <w:kern w:val="2"/>
          <w:sz w:val="24"/>
          <w:szCs w:val="24"/>
          <w:highlight w:val="none"/>
          <w:lang w:val="en-US" w:eastAsia="zh-CN" w:bidi="ar-SA"/>
        </w:rPr>
        <w:t>四、其他要求</w:t>
      </w:r>
    </w:p>
    <w:p w14:paraId="240A80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1.供应商提供自2023年1月1日（含）至响应文件递交截止之日类似项目业绩（类似项目是指：液氮配送或销售项目），提供合同复印件或中标（成交）通知书，并加盖供应商公章。</w:t>
      </w:r>
    </w:p>
    <w:p w14:paraId="283DC4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2.服务方案</w:t>
      </w:r>
    </w:p>
    <w:p w14:paraId="21A360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供应商针对本项目提供服务方案，包括：①配送运输方案；②充装方案；③危险因素应急措施（应包含：预防及应急处理实施方案）；④液氮泄漏应急措施（应包含：预防及应急处理实施方案）；⑤应急措施（应包含：预防及应急处理实施方案）。</w:t>
      </w:r>
    </w:p>
    <w:p w14:paraId="5DBC11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3.售后服务方案</w:t>
      </w:r>
    </w:p>
    <w:p w14:paraId="45F2D5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供应商针对本项目提供售后服务方案，包括：①售后服务计划及售后服务内容；②设施设备维护方案；③安全巡检计划；④培训计划及定期回访。</w:t>
      </w:r>
    </w:p>
    <w:p w14:paraId="3F1CD373">
      <w:pPr>
        <w:pStyle w:val="16"/>
        <w:keepNext w:val="0"/>
        <w:keepLines w:val="0"/>
        <w:pageBreakBefore w:val="0"/>
        <w:kinsoku/>
        <w:wordWrap/>
        <w:overflowPunct/>
        <w:topLinePunct w:val="0"/>
        <w:autoSpaceDE/>
        <w:autoSpaceDN/>
        <w:bidi w:val="0"/>
        <w:spacing w:before="32" w:beforeLines="10" w:after="48" w:afterLines="15" w:line="400" w:lineRule="exact"/>
        <w:ind w:firstLine="480" w:firstLineChars="200"/>
        <w:jc w:val="left"/>
        <w:rPr>
          <w:rFonts w:hint="default" w:ascii="仿宋" w:hAnsi="仿宋" w:eastAsia="仿宋" w:cs="仿宋"/>
          <w:kern w:val="2"/>
          <w:sz w:val="24"/>
          <w:szCs w:val="24"/>
          <w:lang w:val="en-US" w:eastAsia="zh-CN" w:bidi="ar-SA"/>
        </w:rPr>
      </w:pPr>
    </w:p>
    <w:p w14:paraId="2CA346DE">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tbl>
      <w:tblPr>
        <w:tblStyle w:val="18"/>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282"/>
        <w:gridCol w:w="722"/>
        <w:gridCol w:w="4491"/>
        <w:gridCol w:w="1687"/>
      </w:tblGrid>
      <w:tr w14:paraId="3C66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540580BC">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282" w:type="dxa"/>
            <w:vAlign w:val="center"/>
          </w:tcPr>
          <w:p w14:paraId="7D71937A">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评分因素</w:t>
            </w:r>
          </w:p>
          <w:p w14:paraId="1B53ED3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及权重</w:t>
            </w:r>
          </w:p>
        </w:tc>
        <w:tc>
          <w:tcPr>
            <w:tcW w:w="722" w:type="dxa"/>
            <w:vAlign w:val="center"/>
          </w:tcPr>
          <w:p w14:paraId="2CD60A90">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分值</w:t>
            </w:r>
          </w:p>
        </w:tc>
        <w:tc>
          <w:tcPr>
            <w:tcW w:w="4491" w:type="dxa"/>
            <w:vAlign w:val="center"/>
          </w:tcPr>
          <w:p w14:paraId="70C71708">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评分标准</w:t>
            </w:r>
          </w:p>
        </w:tc>
        <w:tc>
          <w:tcPr>
            <w:tcW w:w="1687" w:type="dxa"/>
            <w:vAlign w:val="center"/>
          </w:tcPr>
          <w:p w14:paraId="7DBEA10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说明</w:t>
            </w:r>
          </w:p>
        </w:tc>
      </w:tr>
      <w:tr w14:paraId="7599C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1FF2E408">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p>
        </w:tc>
        <w:tc>
          <w:tcPr>
            <w:tcW w:w="1282" w:type="dxa"/>
            <w:vAlign w:val="center"/>
          </w:tcPr>
          <w:p w14:paraId="1D4BE4D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w:t>
            </w:r>
          </w:p>
        </w:tc>
        <w:tc>
          <w:tcPr>
            <w:tcW w:w="722" w:type="dxa"/>
            <w:vAlign w:val="center"/>
          </w:tcPr>
          <w:p w14:paraId="094EF9DA">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4491" w:type="dxa"/>
            <w:vAlign w:val="center"/>
          </w:tcPr>
          <w:p w14:paraId="0D63898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eastAsia="仿宋"/>
                <w:highlight w:val="none"/>
                <w:lang w:val="en-US" w:eastAsia="zh-CN"/>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1687" w:type="dxa"/>
            <w:vAlign w:val="center"/>
          </w:tcPr>
          <w:p w14:paraId="50441EB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highlight w:val="none"/>
              </w:rPr>
            </w:pPr>
          </w:p>
        </w:tc>
      </w:tr>
      <w:tr w14:paraId="2ED5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69943489">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p>
        </w:tc>
        <w:tc>
          <w:tcPr>
            <w:tcW w:w="1282" w:type="dxa"/>
            <w:vAlign w:val="center"/>
          </w:tcPr>
          <w:p w14:paraId="79B3AB7D">
            <w:pPr>
              <w:keepNext w:val="0"/>
              <w:keepLines w:val="0"/>
              <w:pageBreakBefore w:val="0"/>
              <w:kinsoku/>
              <w:wordWrap/>
              <w:overflowPunct/>
              <w:topLinePunct w:val="0"/>
              <w:autoSpaceDE/>
              <w:autoSpaceDN/>
              <w:bidi w:val="0"/>
              <w:adjustRightInd/>
              <w:snapToGrid/>
              <w:spacing w:line="240" w:lineRule="auto"/>
              <w:ind w:left="63" w:leftChars="3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r>
              <w:rPr>
                <w:rFonts w:hint="eastAsia" w:ascii="仿宋" w:hAnsi="仿宋" w:eastAsia="仿宋" w:cs="仿宋"/>
                <w:sz w:val="24"/>
                <w:szCs w:val="24"/>
                <w:highlight w:val="none"/>
                <w:lang w:val="en-US" w:eastAsia="zh-CN"/>
              </w:rPr>
              <w:t>56</w:t>
            </w:r>
            <w:r>
              <w:rPr>
                <w:rFonts w:hint="eastAsia" w:ascii="仿宋" w:hAnsi="仿宋" w:eastAsia="仿宋" w:cs="仿宋"/>
                <w:sz w:val="24"/>
                <w:szCs w:val="24"/>
                <w:highlight w:val="none"/>
              </w:rPr>
              <w:t>%</w:t>
            </w:r>
          </w:p>
        </w:tc>
        <w:tc>
          <w:tcPr>
            <w:tcW w:w="722" w:type="dxa"/>
            <w:vAlign w:val="center"/>
          </w:tcPr>
          <w:p w14:paraId="258067C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56</w:t>
            </w:r>
          </w:p>
        </w:tc>
        <w:tc>
          <w:tcPr>
            <w:tcW w:w="4491" w:type="dxa"/>
            <w:vAlign w:val="center"/>
          </w:tcPr>
          <w:p w14:paraId="3F81B53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供应商自2023年1月1日（含）至响应文件递交截止之日，每具有1个类似项目业绩（类似项目是指：液氮配送或销售项目）的得7分，本项最多得56分。</w:t>
            </w:r>
          </w:p>
        </w:tc>
        <w:tc>
          <w:tcPr>
            <w:tcW w:w="1687" w:type="dxa"/>
            <w:vAlign w:val="center"/>
          </w:tcPr>
          <w:p w14:paraId="55A2E0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提供合同复印件或中标（成交）通知书，并加盖供应商公章。</w:t>
            </w:r>
          </w:p>
          <w:p w14:paraId="4FEAA4F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kern w:val="2"/>
                <w:sz w:val="24"/>
                <w:szCs w:val="24"/>
                <w:lang w:val="en-US" w:eastAsia="zh-CN" w:bidi="ar-SA"/>
              </w:rPr>
              <w:t>以合同签订时间或中标(成交)通知书发放时间为准。</w:t>
            </w:r>
          </w:p>
        </w:tc>
      </w:tr>
      <w:tr w14:paraId="3EC3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74A0783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p>
        </w:tc>
        <w:tc>
          <w:tcPr>
            <w:tcW w:w="1282" w:type="dxa"/>
            <w:shd w:val="clear" w:color="auto" w:fill="auto"/>
            <w:vAlign w:val="center"/>
          </w:tcPr>
          <w:p w14:paraId="1FD4157B">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服务方案</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p>
        </w:tc>
        <w:tc>
          <w:tcPr>
            <w:tcW w:w="722" w:type="dxa"/>
            <w:shd w:val="clear" w:color="auto" w:fill="auto"/>
            <w:vAlign w:val="center"/>
          </w:tcPr>
          <w:p w14:paraId="217D1A65">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8</w:t>
            </w:r>
          </w:p>
        </w:tc>
        <w:tc>
          <w:tcPr>
            <w:tcW w:w="4491" w:type="dxa"/>
            <w:shd w:val="clear" w:color="auto" w:fill="auto"/>
            <w:vAlign w:val="center"/>
          </w:tcPr>
          <w:p w14:paraId="2064F3D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针对本项目提供的服务方案进行评审，内容包括：①配送运输方案；②充装方案；③危险因素应急措施（应包含：预防及应急处理实施方案）；④液氮泄漏应急措施（应包含：预防及应急处理实施方案）；⑤应急措施（应包含：预防及应急处理实施方案）。完全满足得8分，每缺少一项内容扣1.6分；每项有一处内容缺陷扣0.8分，每项最多扣1.6分，扣完为止。</w:t>
            </w:r>
          </w:p>
          <w:p w14:paraId="10E5039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内容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60478B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r w14:paraId="39C0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51E3B8D9">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282" w:type="dxa"/>
            <w:shd w:val="clear" w:color="auto" w:fill="auto"/>
            <w:vAlign w:val="center"/>
          </w:tcPr>
          <w:p w14:paraId="27C9D780">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_GB2312" w:cs="仿宋"/>
                <w:sz w:val="24"/>
                <w:szCs w:val="24"/>
                <w:highlight w:val="none"/>
                <w:lang w:val="en-US" w:eastAsia="zh-CN"/>
              </w:rPr>
            </w:pPr>
            <w:r>
              <w:rPr>
                <w:rFonts w:hint="eastAsia" w:ascii="仿宋" w:hAnsi="仿宋" w:eastAsia="仿宋" w:cs="仿宋"/>
                <w:kern w:val="2"/>
                <w:sz w:val="24"/>
                <w:szCs w:val="24"/>
                <w:lang w:val="en-US" w:eastAsia="zh-CN" w:bidi="ar-SA"/>
              </w:rPr>
              <w:t>售后服务方案6%</w:t>
            </w:r>
          </w:p>
        </w:tc>
        <w:tc>
          <w:tcPr>
            <w:tcW w:w="722" w:type="dxa"/>
            <w:shd w:val="clear" w:color="auto" w:fill="auto"/>
            <w:vAlign w:val="center"/>
          </w:tcPr>
          <w:p w14:paraId="0A73F39B">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4491" w:type="dxa"/>
            <w:shd w:val="clear" w:color="auto" w:fill="auto"/>
            <w:vAlign w:val="center"/>
          </w:tcPr>
          <w:p w14:paraId="1BA51F4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针对本项目提供的售后服务方案进行评审，内容包括：①售后服务计划及售后服务内容；②设施设备维护方案；③安全巡检计划；④培训计划及定期回访。完全满足得6分，每缺少一项内容扣1.5分；每项有一处内容缺陷扣0.75分，每项最多扣1.5分，扣完为止。</w:t>
            </w:r>
          </w:p>
          <w:p w14:paraId="760B402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7A118C6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1690"/>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24123"/>
      <w:bookmarkStart w:id="37" w:name="_Toc680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6029"/>
      <w:bookmarkStart w:id="49" w:name="_Toc3023"/>
      <w:bookmarkStart w:id="50" w:name="_Toc21519"/>
      <w:bookmarkStart w:id="51" w:name="_Toc6482"/>
      <w:bookmarkStart w:id="52" w:name="_Toc11352"/>
      <w:bookmarkStart w:id="53" w:name="_Toc1482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22676"/>
      <w:bookmarkStart w:id="56" w:name="_Toc17857"/>
      <w:bookmarkStart w:id="57" w:name="_Toc4305"/>
      <w:bookmarkStart w:id="58" w:name="_Toc31838"/>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15526"/>
      <w:bookmarkStart w:id="69" w:name="_Toc20589"/>
      <w:bookmarkStart w:id="70" w:name="_Toc11351"/>
      <w:bookmarkStart w:id="71" w:name="_Toc27661"/>
      <w:bookmarkStart w:id="72" w:name="_Toc25638"/>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6435"/>
      <w:bookmarkStart w:id="74" w:name="_Toc2041"/>
      <w:bookmarkStart w:id="75" w:name="_Toc23967"/>
      <w:bookmarkStart w:id="76" w:name="_Toc26969"/>
      <w:bookmarkStart w:id="77" w:name="_Toc1074"/>
      <w:bookmarkStart w:id="78" w:name="_Toc12967"/>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6839"/>
      <w:bookmarkStart w:id="80" w:name="_Toc31686"/>
      <w:bookmarkStart w:id="81" w:name="_Toc28634"/>
      <w:bookmarkStart w:id="82" w:name="_Toc1369"/>
      <w:bookmarkStart w:id="83" w:name="_Toc21082"/>
      <w:bookmarkStart w:id="84" w:name="_Toc24806"/>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2958"/>
        <w:gridCol w:w="2083"/>
        <w:gridCol w:w="1682"/>
        <w:gridCol w:w="1869"/>
      </w:tblGrid>
      <w:tr w14:paraId="5407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36" w:type="pct"/>
            <w:vAlign w:val="center"/>
          </w:tcPr>
          <w:p w14:paraId="5EA29404">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序号</w:t>
            </w:r>
          </w:p>
        </w:tc>
        <w:tc>
          <w:tcPr>
            <w:tcW w:w="1502" w:type="pct"/>
            <w:vAlign w:val="center"/>
          </w:tcPr>
          <w:p w14:paraId="706A7A3D">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报价项目</w:t>
            </w:r>
          </w:p>
        </w:tc>
        <w:tc>
          <w:tcPr>
            <w:tcW w:w="1058" w:type="pct"/>
            <w:vAlign w:val="center"/>
          </w:tcPr>
          <w:p w14:paraId="7F65D97A">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w:t>
            </w:r>
          </w:p>
        </w:tc>
        <w:tc>
          <w:tcPr>
            <w:tcW w:w="854" w:type="pct"/>
            <w:vAlign w:val="center"/>
          </w:tcPr>
          <w:p w14:paraId="1F078A84">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生产企业</w:t>
            </w:r>
          </w:p>
        </w:tc>
        <w:tc>
          <w:tcPr>
            <w:tcW w:w="948" w:type="pct"/>
            <w:vAlign w:val="center"/>
          </w:tcPr>
          <w:p w14:paraId="2A0ABD3D">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558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6" w:type="pct"/>
            <w:vAlign w:val="center"/>
          </w:tcPr>
          <w:p w14:paraId="40B3417B">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1</w:t>
            </w:r>
          </w:p>
        </w:tc>
        <w:tc>
          <w:tcPr>
            <w:tcW w:w="1502" w:type="pct"/>
            <w:vAlign w:val="center"/>
          </w:tcPr>
          <w:p w14:paraId="00FE56D5">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液氮配送服务（液氮费）</w:t>
            </w:r>
          </w:p>
        </w:tc>
        <w:tc>
          <w:tcPr>
            <w:tcW w:w="1058" w:type="pct"/>
            <w:vAlign w:val="center"/>
          </w:tcPr>
          <w:p w14:paraId="66178E21">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u w:val="single"/>
                <w:lang w:val="en-US" w:eastAsia="zh-CN"/>
              </w:rPr>
              <w:t xml:space="preserve">     </w:t>
            </w:r>
            <w:r>
              <w:rPr>
                <w:rFonts w:hint="eastAsia" w:ascii="Times New Roman" w:hAnsi="Times New Roman" w:eastAsia="仿宋" w:cs="Times New Roman"/>
                <w:kern w:val="0"/>
                <w:szCs w:val="21"/>
                <w:lang w:val="en-US" w:eastAsia="zh-CN"/>
              </w:rPr>
              <w:t>元/升</w:t>
            </w:r>
          </w:p>
        </w:tc>
        <w:tc>
          <w:tcPr>
            <w:tcW w:w="854" w:type="pct"/>
            <w:vAlign w:val="center"/>
          </w:tcPr>
          <w:p w14:paraId="345FA1B3">
            <w:pPr>
              <w:spacing w:line="240" w:lineRule="auto"/>
              <w:jc w:val="center"/>
              <w:rPr>
                <w:rFonts w:hint="eastAsia" w:ascii="Times New Roman" w:hAnsi="Times New Roman" w:eastAsia="仿宋" w:cs="Times New Roman"/>
                <w:kern w:val="0"/>
                <w:szCs w:val="21"/>
                <w:u w:val="single"/>
                <w:lang w:val="en-US" w:eastAsia="zh-CN"/>
              </w:rPr>
            </w:pPr>
          </w:p>
        </w:tc>
        <w:tc>
          <w:tcPr>
            <w:tcW w:w="948" w:type="pct"/>
            <w:vAlign w:val="center"/>
          </w:tcPr>
          <w:p w14:paraId="65AC81E3">
            <w:pPr>
              <w:spacing w:line="240" w:lineRule="auto"/>
              <w:jc w:val="center"/>
              <w:rPr>
                <w:rFonts w:hint="eastAsia" w:ascii="Times New Roman" w:hAnsi="Times New Roman" w:eastAsia="仿宋" w:cs="Times New Roman"/>
                <w:kern w:val="0"/>
                <w:szCs w:val="21"/>
                <w:lang w:val="zh-TW" w:eastAsia="zh-TW"/>
              </w:rPr>
            </w:pPr>
          </w:p>
        </w:tc>
      </w:tr>
      <w:tr w14:paraId="49FCB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6" w:type="pct"/>
            <w:shd w:val="clear" w:color="auto" w:fill="auto"/>
            <w:vAlign w:val="center"/>
          </w:tcPr>
          <w:p w14:paraId="02CDE0A9">
            <w:pPr>
              <w:spacing w:line="240" w:lineRule="auto"/>
              <w:jc w:val="center"/>
              <w:rPr>
                <w:rFonts w:hint="eastAsia" w:ascii="Times New Roman" w:hAnsi="Times New Roman" w:eastAsia="仿宋" w:cs="Times New Roman"/>
                <w:kern w:val="0"/>
                <w:szCs w:val="21"/>
                <w:lang w:val="en-US" w:eastAsia="zh-CN"/>
              </w:rPr>
            </w:pPr>
            <w:r>
              <w:rPr>
                <w:rFonts w:ascii="Times New Roman" w:hAnsi="Times New Roman" w:eastAsia="仿宋" w:cs="Times New Roman"/>
                <w:kern w:val="0"/>
                <w:szCs w:val="21"/>
                <w:lang w:val="zh-TW" w:eastAsia="zh-TW"/>
              </w:rPr>
              <w:t>报价合计</w:t>
            </w:r>
          </w:p>
        </w:tc>
        <w:tc>
          <w:tcPr>
            <w:tcW w:w="4363" w:type="pct"/>
            <w:gridSpan w:val="4"/>
            <w:shd w:val="clear" w:color="auto" w:fill="auto"/>
            <w:vAlign w:val="center"/>
          </w:tcPr>
          <w:p w14:paraId="4B241147">
            <w:pPr>
              <w:spacing w:line="240" w:lineRule="auto"/>
              <w:jc w:val="both"/>
              <w:rPr>
                <w:rFonts w:hint="default" w:ascii="Times New Roman" w:hAnsi="Times New Roman" w:eastAsia="仿宋" w:cs="Times New Roman"/>
                <w:kern w:val="0"/>
                <w:szCs w:val="21"/>
                <w:lang w:val="en-US" w:eastAsia="zh-TW"/>
              </w:rPr>
            </w:pPr>
            <w:r>
              <w:rPr>
                <w:rFonts w:ascii="Times New Roman" w:hAnsi="Times New Roman" w:eastAsia="仿宋" w:cs="Times New Roman"/>
                <w:kern w:val="0"/>
                <w:szCs w:val="21"/>
                <w:lang w:val="zh-TW" w:eastAsia="zh-TW"/>
              </w:rPr>
              <w:t>大写：</w:t>
            </w:r>
            <w:r>
              <w:rPr>
                <w:rFonts w:ascii="Times New Roman" w:hAnsi="Times New Roman" w:eastAsia="仿宋" w:cs="Times New Roman"/>
                <w:kern w:val="0"/>
                <w:szCs w:val="21"/>
                <w:u w:val="single"/>
                <w:lang w:val="zh-TW" w:eastAsia="zh-TW"/>
              </w:rPr>
              <w:t xml:space="preserve">  </w:t>
            </w:r>
            <w:r>
              <w:rPr>
                <w:rFonts w:hint="eastAsia" w:ascii="Times New Roman" w:hAnsi="Times New Roman" w:eastAsia="仿宋" w:cs="Times New Roman"/>
                <w:kern w:val="0"/>
                <w:szCs w:val="21"/>
                <w:u w:val="single"/>
                <w:lang w:val="en-US" w:eastAsia="zh-CN"/>
              </w:rPr>
              <w:t xml:space="preserve"> </w:t>
            </w:r>
            <w:r>
              <w:rPr>
                <w:rFonts w:ascii="Times New Roman" w:hAnsi="Times New Roman" w:eastAsia="仿宋" w:cs="Times New Roman"/>
                <w:kern w:val="0"/>
                <w:szCs w:val="21"/>
                <w:u w:val="single"/>
                <w:lang w:val="zh-TW" w:eastAsia="zh-TW"/>
              </w:rPr>
              <w:t xml:space="preserve">    </w:t>
            </w:r>
            <w:r>
              <w:rPr>
                <w:rFonts w:hint="eastAsia" w:ascii="Times New Roman" w:hAnsi="Times New Roman" w:eastAsia="仿宋" w:cs="Times New Roman"/>
                <w:kern w:val="0"/>
                <w:szCs w:val="21"/>
                <w:u w:val="single"/>
                <w:lang w:val="en-US" w:eastAsia="zh-CN"/>
              </w:rPr>
              <w:t xml:space="preserve">    </w:t>
            </w:r>
            <w:r>
              <w:rPr>
                <w:rFonts w:ascii="Times New Roman" w:hAnsi="Times New Roman" w:eastAsia="仿宋" w:cs="Times New Roman"/>
                <w:kern w:val="0"/>
                <w:szCs w:val="21"/>
                <w:lang w:val="zh-TW" w:eastAsia="zh-TW"/>
              </w:rPr>
              <w:t xml:space="preserve"> </w:t>
            </w:r>
            <w:r>
              <w:rPr>
                <w:rFonts w:hint="eastAsia" w:ascii="Times New Roman" w:hAnsi="Times New Roman" w:eastAsia="仿宋" w:cs="Times New Roman"/>
                <w:kern w:val="0"/>
                <w:szCs w:val="21"/>
                <w:lang w:val="zh-TW" w:eastAsia="zh-TW"/>
              </w:rPr>
              <w:t xml:space="preserve">    </w:t>
            </w:r>
            <w:r>
              <w:rPr>
                <w:rFonts w:ascii="Times New Roman" w:hAnsi="Times New Roman" w:eastAsia="仿宋" w:cs="Times New Roman"/>
                <w:kern w:val="0"/>
                <w:szCs w:val="21"/>
                <w:lang w:val="zh-TW" w:eastAsia="zh-TW"/>
              </w:rPr>
              <w:t>小写：</w:t>
            </w:r>
            <w:r>
              <w:rPr>
                <w:rFonts w:hint="eastAsia" w:ascii="Times New Roman" w:hAnsi="Times New Roman" w:eastAsia="仿宋" w:cs="Times New Roman"/>
                <w:kern w:val="0"/>
                <w:szCs w:val="21"/>
                <w:u w:val="single"/>
                <w:lang w:val="en-US" w:eastAsia="zh-CN"/>
              </w:rPr>
              <w:t xml:space="preserve">          </w:t>
            </w:r>
          </w:p>
        </w:tc>
      </w:tr>
    </w:tbl>
    <w:p w14:paraId="20A10B1C">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A1DADA0">
      <w:pPr>
        <w:pStyle w:val="40"/>
        <w:rPr>
          <w:sz w:val="48"/>
          <w:szCs w:val="48"/>
        </w:rPr>
      </w:pPr>
      <w:r>
        <w:rPr>
          <w:rFonts w:hint="eastAsia"/>
          <w:sz w:val="48"/>
          <w:szCs w:val="48"/>
        </w:rPr>
        <w:t>*</w:t>
      </w:r>
      <w:r>
        <w:rPr>
          <w:sz w:val="48"/>
          <w:szCs w:val="48"/>
        </w:rPr>
        <w:t>**</w:t>
      </w:r>
      <w:r>
        <w:rPr>
          <w:rFonts w:hint="eastAsia"/>
          <w:sz w:val="48"/>
          <w:szCs w:val="48"/>
        </w:rPr>
        <w:t>服务项目</w:t>
      </w:r>
    </w:p>
    <w:p w14:paraId="04282C4C">
      <w:pPr>
        <w:pStyle w:val="40"/>
        <w:rPr>
          <w:sz w:val="48"/>
          <w:szCs w:val="48"/>
        </w:rPr>
      </w:pPr>
      <w:r>
        <w:rPr>
          <w:rFonts w:hint="eastAsia"/>
          <w:sz w:val="48"/>
          <w:szCs w:val="48"/>
        </w:rPr>
        <w:t>采购</w:t>
      </w:r>
      <w:r>
        <w:rPr>
          <w:sz w:val="48"/>
          <w:szCs w:val="48"/>
        </w:rPr>
        <w:t>合同</w:t>
      </w:r>
    </w:p>
    <w:p w14:paraId="0748937D">
      <w:pPr>
        <w:adjustRightInd w:val="0"/>
        <w:ind w:firstLine="420" w:firstLineChars="200"/>
        <w:contextualSpacing/>
        <w:jc w:val="left"/>
        <w:rPr>
          <w:color w:val="000000"/>
          <w:szCs w:val="21"/>
        </w:rPr>
      </w:pPr>
    </w:p>
    <w:p w14:paraId="4FB19C70">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765E2065">
        <w:tblPrEx>
          <w:tblCellMar>
            <w:top w:w="0" w:type="dxa"/>
            <w:left w:w="0" w:type="dxa"/>
            <w:bottom w:w="0" w:type="dxa"/>
            <w:right w:w="0" w:type="dxa"/>
          </w:tblCellMar>
        </w:tblPrEx>
        <w:trPr>
          <w:trHeight w:val="767" w:hRule="atLeast"/>
          <w:jc w:val="center"/>
        </w:trPr>
        <w:tc>
          <w:tcPr>
            <w:tcW w:w="10204" w:type="dxa"/>
            <w:gridSpan w:val="2"/>
          </w:tcPr>
          <w:p w14:paraId="732BCB77">
            <w:pPr>
              <w:contextualSpacing/>
              <w:rPr>
                <w:color w:val="000000"/>
                <w:szCs w:val="21"/>
              </w:rPr>
            </w:pPr>
            <w:r>
              <w:rPr>
                <w:b/>
                <w:bCs/>
                <w:color w:val="000000"/>
                <w:szCs w:val="21"/>
              </w:rPr>
              <w:t>合同编号</w:t>
            </w:r>
            <w:r>
              <w:rPr>
                <w:color w:val="000000"/>
                <w:szCs w:val="21"/>
              </w:rPr>
              <w:t>：CGZX-***</w:t>
            </w:r>
          </w:p>
          <w:p w14:paraId="6521A40B">
            <w:pPr>
              <w:contextualSpacing/>
              <w:rPr>
                <w:color w:val="000000"/>
                <w:szCs w:val="21"/>
              </w:rPr>
            </w:pPr>
            <w:r>
              <w:rPr>
                <w:b/>
                <w:bCs/>
                <w:color w:val="000000"/>
                <w:szCs w:val="21"/>
              </w:rPr>
              <w:t>签订地点</w:t>
            </w:r>
            <w:r>
              <w:rPr>
                <w:color w:val="000000"/>
                <w:szCs w:val="21"/>
              </w:rPr>
              <w:t>：四川省人民医院</w:t>
            </w:r>
          </w:p>
        </w:tc>
      </w:tr>
      <w:tr w14:paraId="139C764E">
        <w:tblPrEx>
          <w:tblCellMar>
            <w:top w:w="0" w:type="dxa"/>
            <w:left w:w="0" w:type="dxa"/>
            <w:bottom w:w="0" w:type="dxa"/>
            <w:right w:w="0" w:type="dxa"/>
          </w:tblCellMar>
        </w:tblPrEx>
        <w:trPr>
          <w:jc w:val="center"/>
        </w:trPr>
        <w:tc>
          <w:tcPr>
            <w:tcW w:w="4962" w:type="dxa"/>
          </w:tcPr>
          <w:p w14:paraId="159EAAF7">
            <w:pPr>
              <w:rPr>
                <w:szCs w:val="21"/>
              </w:rPr>
            </w:pPr>
            <w:r>
              <w:rPr>
                <w:b/>
                <w:bCs/>
                <w:szCs w:val="21"/>
              </w:rPr>
              <w:t>采购人（以下简称甲方）</w:t>
            </w:r>
            <w:r>
              <w:rPr>
                <w:szCs w:val="21"/>
              </w:rPr>
              <w:t>：四川省人民医院</w:t>
            </w:r>
          </w:p>
          <w:p w14:paraId="58117F67">
            <w:pPr>
              <w:rPr>
                <w:szCs w:val="21"/>
              </w:rPr>
            </w:pPr>
            <w:r>
              <w:rPr>
                <w:b/>
                <w:bCs/>
                <w:szCs w:val="21"/>
              </w:rPr>
              <w:t>地址</w:t>
            </w:r>
            <w:r>
              <w:rPr>
                <w:szCs w:val="21"/>
              </w:rPr>
              <w:t>：四川省成都市一环路西二段32号</w:t>
            </w:r>
          </w:p>
          <w:p w14:paraId="2A307575">
            <w:pPr>
              <w:rPr>
                <w:szCs w:val="21"/>
              </w:rPr>
            </w:pPr>
            <w:r>
              <w:rPr>
                <w:b/>
                <w:bCs/>
                <w:szCs w:val="21"/>
              </w:rPr>
              <w:t>项目联系人</w:t>
            </w:r>
            <w:r>
              <w:rPr>
                <w:szCs w:val="21"/>
              </w:rPr>
              <w:t xml:space="preserve">：*** </w:t>
            </w:r>
            <w:r>
              <w:rPr>
                <w:b/>
                <w:bCs/>
                <w:szCs w:val="21"/>
              </w:rPr>
              <w:t>电话</w:t>
            </w:r>
            <w:r>
              <w:rPr>
                <w:szCs w:val="21"/>
              </w:rPr>
              <w:t>：***</w:t>
            </w:r>
          </w:p>
          <w:p w14:paraId="1AE748C3">
            <w:r>
              <w:rPr>
                <w:rFonts w:hint="eastAsia"/>
                <w:b/>
                <w:bCs/>
                <w:szCs w:val="21"/>
              </w:rPr>
              <w:t>电子邮件：</w:t>
            </w:r>
            <w:r>
              <w:rPr>
                <w:rFonts w:hint="eastAsia"/>
                <w:szCs w:val="21"/>
              </w:rPr>
              <w:t>*</w:t>
            </w:r>
            <w:r>
              <w:rPr>
                <w:szCs w:val="21"/>
              </w:rPr>
              <w:t>**</w:t>
            </w:r>
          </w:p>
        </w:tc>
        <w:tc>
          <w:tcPr>
            <w:tcW w:w="5242" w:type="dxa"/>
          </w:tcPr>
          <w:p w14:paraId="56E63204">
            <w:pPr>
              <w:rPr>
                <w:b/>
                <w:bCs/>
                <w:szCs w:val="21"/>
              </w:rPr>
            </w:pPr>
            <w:r>
              <w:rPr>
                <w:b/>
                <w:bCs/>
                <w:szCs w:val="21"/>
              </w:rPr>
              <w:t>供应商（以下简称乙方）：***</w:t>
            </w:r>
          </w:p>
          <w:p w14:paraId="61247CA1">
            <w:pPr>
              <w:rPr>
                <w:b/>
                <w:bCs/>
                <w:szCs w:val="21"/>
              </w:rPr>
            </w:pPr>
            <w:r>
              <w:rPr>
                <w:b/>
                <w:bCs/>
                <w:szCs w:val="21"/>
              </w:rPr>
              <w:t>地址：***</w:t>
            </w:r>
          </w:p>
          <w:p w14:paraId="0748EE1F">
            <w:pPr>
              <w:rPr>
                <w:b/>
                <w:bCs/>
                <w:szCs w:val="21"/>
              </w:rPr>
            </w:pPr>
            <w:r>
              <w:rPr>
                <w:b/>
                <w:bCs/>
                <w:szCs w:val="21"/>
              </w:rPr>
              <w:t>移动电话：***</w:t>
            </w:r>
          </w:p>
          <w:p w14:paraId="1A68FCDB">
            <w:pPr>
              <w:contextualSpacing/>
              <w:rPr>
                <w:b/>
                <w:bCs/>
                <w:szCs w:val="21"/>
              </w:rPr>
            </w:pPr>
            <w:r>
              <w:rPr>
                <w:b/>
                <w:bCs/>
                <w:szCs w:val="21"/>
              </w:rPr>
              <w:t>联系人：***</w:t>
            </w:r>
          </w:p>
          <w:p w14:paraId="28B7DF60">
            <w:pPr>
              <w:rPr>
                <w:bCs/>
                <w:szCs w:val="21"/>
              </w:rPr>
            </w:pPr>
            <w:r>
              <w:rPr>
                <w:rFonts w:hint="eastAsia"/>
                <w:b/>
                <w:bCs/>
                <w:szCs w:val="21"/>
              </w:rPr>
              <w:t>电子邮件：</w:t>
            </w:r>
            <w:r>
              <w:rPr>
                <w:rFonts w:hint="eastAsia"/>
                <w:szCs w:val="21"/>
              </w:rPr>
              <w:t>*</w:t>
            </w:r>
            <w:r>
              <w:rPr>
                <w:szCs w:val="21"/>
              </w:rPr>
              <w:t>**</w:t>
            </w:r>
          </w:p>
        </w:tc>
      </w:tr>
    </w:tbl>
    <w:p w14:paraId="2EA78E17">
      <w:pPr>
        <w:ind w:firstLine="420" w:firstLineChars="200"/>
        <w:contextualSpacing/>
        <w:jc w:val="left"/>
        <w:rPr>
          <w:color w:val="000000"/>
          <w:szCs w:val="21"/>
        </w:rPr>
      </w:pPr>
    </w:p>
    <w:p w14:paraId="441E58E2">
      <w:pPr>
        <w:keepNext w:val="0"/>
        <w:keepLines w:val="0"/>
        <w:pageBreakBefore w:val="0"/>
        <w:kinsoku/>
        <w:wordWrap/>
        <w:overflowPunct/>
        <w:topLinePunct w:val="0"/>
        <w:autoSpaceDE/>
        <w:autoSpaceDN/>
        <w:bidi w:val="0"/>
        <w:adjustRightInd w:val="0"/>
        <w:spacing w:line="380" w:lineRule="exact"/>
        <w:ind w:firstLine="420" w:firstLineChars="200"/>
        <w:contextualSpacing/>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t>根据《中华人民共和国民法典》及甲方发布的***项目（项目编号</w:t>
      </w:r>
      <w:permStart w:id="0" w:edGrp="everyone"/>
      <w:r>
        <w:rPr>
          <w:rFonts w:hint="eastAsia" w:ascii="宋体" w:hAnsi="宋体" w:eastAsia="宋体" w:cs="宋体"/>
          <w:color w:val="000000"/>
          <w:sz w:val="21"/>
          <w:szCs w:val="21"/>
        </w:rPr>
        <w:t>：</w:t>
      </w:r>
      <w:r>
        <w:rPr>
          <w:rFonts w:hint="eastAsia" w:ascii="宋体" w:hAnsi="宋体" w:eastAsia="宋体" w:cs="宋体"/>
          <w:sz w:val="21"/>
          <w:szCs w:val="21"/>
        </w:rPr>
        <w:t>***</w:t>
      </w:r>
      <w:permEnd w:id="0"/>
      <w:r>
        <w:rPr>
          <w:rFonts w:hint="eastAsia" w:ascii="宋体" w:hAnsi="宋体" w:eastAsia="宋体" w:cs="宋体"/>
          <w:color w:val="000000"/>
          <w:sz w:val="21"/>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73FA94FD">
      <w:pPr>
        <w:keepNext w:val="0"/>
        <w:keepLines w:val="0"/>
        <w:pageBreakBefore w:val="0"/>
        <w:kinsoku/>
        <w:wordWrap/>
        <w:overflowPunct/>
        <w:topLinePunct w:val="0"/>
        <w:autoSpaceDE/>
        <w:autoSpaceDN/>
        <w:bidi w:val="0"/>
        <w:spacing w:line="380" w:lineRule="exact"/>
        <w:contextualSpacing/>
        <w:jc w:val="left"/>
        <w:textAlignment w:val="auto"/>
        <w:rPr>
          <w:rFonts w:hint="eastAsia" w:ascii="宋体" w:hAnsi="宋体" w:eastAsia="宋体" w:cs="宋体"/>
          <w:b/>
          <w:sz w:val="21"/>
          <w:szCs w:val="21"/>
        </w:rPr>
      </w:pPr>
    </w:p>
    <w:p w14:paraId="7056C779">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合同标的</w:t>
      </w:r>
    </w:p>
    <w:p w14:paraId="415479D1">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标的名称：</w:t>
      </w:r>
      <w:permStart w:id="1" w:edGrp="everyone"/>
      <w:r>
        <w:rPr>
          <w:rFonts w:hint="eastAsia" w:ascii="宋体" w:hAnsi="宋体" w:eastAsia="宋体" w:cs="宋体"/>
          <w:sz w:val="21"/>
          <w:szCs w:val="21"/>
        </w:rPr>
        <w:t>***</w:t>
      </w:r>
      <w:permEnd w:id="1"/>
      <w:r>
        <w:rPr>
          <w:rFonts w:hint="eastAsia" w:ascii="宋体" w:hAnsi="宋体" w:eastAsia="宋体" w:cs="宋体"/>
          <w:sz w:val="21"/>
          <w:szCs w:val="21"/>
        </w:rPr>
        <w:t>。</w:t>
      </w:r>
    </w:p>
    <w:p w14:paraId="3BF9DD04">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乙方向甲方提供服务的主要内容：***。</w:t>
      </w:r>
    </w:p>
    <w:p w14:paraId="6D2EB496">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服务分项明细：</w:t>
      </w:r>
      <w:r>
        <w:rPr>
          <w:rFonts w:hint="eastAsia" w:ascii="宋体" w:hAnsi="宋体" w:eastAsia="宋体" w:cs="宋体"/>
          <w:i/>
          <w:iCs/>
          <w:color w:val="000000"/>
          <w:sz w:val="21"/>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10E9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3FB9A22">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977" w:type="dxa"/>
            <w:vAlign w:val="center"/>
          </w:tcPr>
          <w:p w14:paraId="3771F800">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分项服务名称</w:t>
            </w:r>
          </w:p>
        </w:tc>
        <w:tc>
          <w:tcPr>
            <w:tcW w:w="3686" w:type="dxa"/>
            <w:vAlign w:val="center"/>
          </w:tcPr>
          <w:p w14:paraId="57B98AC9">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具体内容</w:t>
            </w:r>
          </w:p>
        </w:tc>
        <w:tc>
          <w:tcPr>
            <w:tcW w:w="963" w:type="dxa"/>
            <w:vAlign w:val="center"/>
          </w:tcPr>
          <w:p w14:paraId="6C4FA119">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分项价格（万元）</w:t>
            </w:r>
          </w:p>
        </w:tc>
        <w:tc>
          <w:tcPr>
            <w:tcW w:w="2016" w:type="dxa"/>
          </w:tcPr>
          <w:p w14:paraId="244801FB">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438F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582AD6D">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977" w:type="dxa"/>
            <w:vAlign w:val="center"/>
          </w:tcPr>
          <w:p w14:paraId="11F0DA10">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62B17BE">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ECDA59F">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7BA806A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F03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7B340F5">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977" w:type="dxa"/>
            <w:vAlign w:val="center"/>
          </w:tcPr>
          <w:p w14:paraId="169BC297">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AFAE82A">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10E29181">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5FD007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49F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CDE7B27">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977" w:type="dxa"/>
            <w:vAlign w:val="center"/>
          </w:tcPr>
          <w:p w14:paraId="2CE6C4D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09D28D0D">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73D6A1D">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42047A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3B27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82A42DB">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977" w:type="dxa"/>
            <w:vAlign w:val="center"/>
          </w:tcPr>
          <w:p w14:paraId="28940AE5">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30698DDF">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5561E28F">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11260044">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bl>
    <w:p w14:paraId="68219535">
      <w:pPr>
        <w:pStyle w:val="28"/>
        <w:keepNext w:val="0"/>
        <w:keepLines w:val="0"/>
        <w:pageBreakBefore w:val="0"/>
        <w:numPr>
          <w:ilvl w:val="0"/>
          <w:numId w:val="13"/>
        </w:numPr>
        <w:kinsoku/>
        <w:wordWrap/>
        <w:overflowPunct/>
        <w:topLinePunct w:val="0"/>
        <w:autoSpaceDE/>
        <w:autoSpaceDN/>
        <w:bidi w:val="0"/>
        <w:spacing w:line="380" w:lineRule="exact"/>
        <w:ind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合同价款</w:t>
      </w:r>
    </w:p>
    <w:p w14:paraId="5AABFA69">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bookmarkStart w:id="95" w:name="OLE_LINK2"/>
      <w:bookmarkStart w:id="96" w:name="OLE_LINK1"/>
      <w:r>
        <w:rPr>
          <w:rFonts w:hint="eastAsia" w:ascii="宋体" w:hAnsi="宋体" w:eastAsia="宋体" w:cs="宋体"/>
          <w:color w:val="000000"/>
          <w:sz w:val="21"/>
          <w:szCs w:val="21"/>
        </w:rPr>
        <w:sym w:font="Wingdings 2" w:char="F052"/>
      </w:r>
      <w:r>
        <w:rPr>
          <w:rFonts w:hint="eastAsia" w:ascii="宋体" w:hAnsi="宋体" w:eastAsia="宋体" w:cs="宋体"/>
          <w:sz w:val="21"/>
          <w:szCs w:val="21"/>
        </w:rPr>
        <w:t>全包服务</w:t>
      </w:r>
    </w:p>
    <w:p w14:paraId="2AE35938">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D7A97F3">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半包服务</w:t>
      </w:r>
    </w:p>
    <w:p w14:paraId="0B7863E9">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1.本合同固定部分价款为</w:t>
      </w:r>
      <w:bookmarkStart w:id="97" w:name="OLE_LINK28"/>
      <w:r>
        <w:rPr>
          <w:rFonts w:hint="eastAsia" w:ascii="宋体" w:hAnsi="宋体" w:eastAsia="宋体" w:cs="宋体"/>
          <w:sz w:val="21"/>
          <w:szCs w:val="21"/>
        </w:rPr>
        <w:t>人民币大写：*** 圆整，即RMB *** 元</w:t>
      </w:r>
      <w:bookmarkEnd w:id="97"/>
      <w:r>
        <w:rPr>
          <w:rFonts w:hint="eastAsia" w:ascii="宋体" w:hAnsi="宋体" w:eastAsia="宋体" w:cs="宋体"/>
          <w:sz w:val="21"/>
          <w:szCs w:val="21"/>
        </w:rPr>
        <w:t>，该部分价款已包括***及税费在内的全部含税费用。本合同执行期间该部分合同价款不变，甲方无须向乙方支付本合同规定之外的其他任何费用。</w:t>
      </w:r>
    </w:p>
    <w:p w14:paraId="3C7CF0E4">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 w:val="21"/>
          <w:szCs w:val="21"/>
          <w:highlight w:val="yellow"/>
        </w:rPr>
        <w:t>&lt;根据项目实际情况编制结算依据、标准等必要内容&gt;</w:t>
      </w:r>
    </w:p>
    <w:p w14:paraId="3D7C634B">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按实结算</w:t>
      </w:r>
    </w:p>
    <w:p w14:paraId="1E1C3EEC">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本合同支付总额不超过人民币大写：*** 圆整，即RMB *** 元，依据本合同单价进行结算，结算单价详见附件1《结算单价清单》。</w:t>
      </w:r>
    </w:p>
    <w:bookmarkEnd w:id="95"/>
    <w:bookmarkEnd w:id="96"/>
    <w:p w14:paraId="340C2782">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服务期限</w:t>
      </w:r>
      <w:r>
        <w:rPr>
          <w:rFonts w:hint="eastAsia" w:ascii="宋体" w:hAnsi="宋体" w:eastAsia="宋体" w:cs="宋体"/>
          <w:i/>
          <w:iCs/>
          <w:sz w:val="21"/>
          <w:szCs w:val="21"/>
          <w:highlight w:val="yellow"/>
        </w:rPr>
        <w:t>&lt;根据项目实际情况选择&gt;</w:t>
      </w:r>
    </w:p>
    <w:p w14:paraId="4BE0F017">
      <w:pPr>
        <w:pStyle w:val="28"/>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本</w:t>
      </w:r>
      <w:r>
        <w:rPr>
          <w:rFonts w:hint="eastAsia" w:ascii="宋体" w:hAnsi="宋体" w:eastAsia="宋体" w:cs="宋体"/>
          <w:bCs/>
          <w:sz w:val="21"/>
          <w:szCs w:val="21"/>
        </w:rPr>
        <w:t>合同服务期限为 *** 年，自 202* 年 *** 月 *** 日起至 202* 年 *** 月 *** 日。</w:t>
      </w:r>
    </w:p>
    <w:p w14:paraId="6E934571">
      <w:pPr>
        <w:pStyle w:val="28"/>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本合同服务期限为双方签字盖章生效之日起 *** 年，即自 202* 年 *** 月 *** 日起至 202* 年 *** 月 *** 日。</w:t>
      </w:r>
    </w:p>
    <w:p w14:paraId="3061A74C">
      <w:pPr>
        <w:pStyle w:val="28"/>
        <w:keepNext w:val="0"/>
        <w:keepLines w:val="0"/>
        <w:pageBreakBefore w:val="0"/>
        <w:kinsoku/>
        <w:wordWrap/>
        <w:overflowPunct/>
        <w:topLinePunct w:val="0"/>
        <w:autoSpaceDE/>
        <w:autoSpaceDN/>
        <w:bidi w:val="0"/>
        <w:spacing w:line="380" w:lineRule="exact"/>
        <w:ind w:left="105" w:leftChars="50" w:firstLine="315" w:firstLineChars="150"/>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本项目服务期为</w:t>
      </w:r>
      <w:r>
        <w:rPr>
          <w:rFonts w:hint="eastAsia" w:ascii="宋体" w:hAnsi="宋体" w:eastAsia="宋体" w:cs="宋体"/>
          <w:bCs/>
          <w:sz w:val="21"/>
          <w:szCs w:val="21"/>
          <w:u w:val="single"/>
        </w:rPr>
        <w:t>叁</w:t>
      </w:r>
      <w:r>
        <w:rPr>
          <w:rFonts w:hint="eastAsia" w:ascii="宋体" w:hAnsi="宋体" w:eastAsia="宋体" w:cs="宋体"/>
          <w:bCs/>
          <w:sz w:val="21"/>
          <w:szCs w:val="21"/>
        </w:rPr>
        <w:t>年（自202*年**月**日到202*年**月**日），合同一年一签，每年服务费为人民币 *** 元（大写：*** 圆整）。本合同为第***期，服务期为自202*年***月***日至202*年**月**日</w:t>
      </w:r>
      <w:r>
        <w:rPr>
          <w:rFonts w:hint="eastAsia" w:ascii="宋体" w:hAnsi="宋体" w:eastAsia="宋体" w:cs="宋体"/>
          <w:bCs/>
          <w:sz w:val="21"/>
          <w:szCs w:val="21"/>
          <w:u w:val="single"/>
        </w:rPr>
        <w:t>，经甲方考核合格后续签下一年合同</w:t>
      </w:r>
      <w:bookmarkStart w:id="98" w:name="OLE_LINK29"/>
      <w:r>
        <w:rPr>
          <w:rFonts w:hint="eastAsia" w:ascii="宋体" w:hAnsi="宋体" w:eastAsia="宋体" w:cs="宋体"/>
          <w:bCs/>
          <w:sz w:val="21"/>
          <w:szCs w:val="21"/>
        </w:rPr>
        <w:t>，考核标准详见附件</w:t>
      </w:r>
      <w:r>
        <w:rPr>
          <w:rFonts w:hint="eastAsia" w:ascii="宋体" w:hAnsi="宋体" w:eastAsia="宋体" w:cs="宋体"/>
          <w:bCs/>
          <w:sz w:val="21"/>
          <w:szCs w:val="21"/>
          <w:u w:val="single"/>
        </w:rPr>
        <w:t>2</w:t>
      </w:r>
      <w:r>
        <w:rPr>
          <w:rFonts w:hint="eastAsia" w:ascii="宋体" w:hAnsi="宋体" w:eastAsia="宋体" w:cs="宋体"/>
          <w:bCs/>
          <w:sz w:val="21"/>
          <w:szCs w:val="21"/>
        </w:rPr>
        <w:t>《考核标准》</w:t>
      </w:r>
      <w:bookmarkEnd w:id="98"/>
      <w:r>
        <w:rPr>
          <w:rFonts w:hint="eastAsia" w:ascii="宋体" w:hAnsi="宋体" w:eastAsia="宋体" w:cs="宋体"/>
          <w:bCs/>
          <w:sz w:val="21"/>
          <w:szCs w:val="21"/>
        </w:rPr>
        <w:t>。</w:t>
      </w:r>
    </w:p>
    <w:p w14:paraId="1345B3CD">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服务方案</w:t>
      </w:r>
    </w:p>
    <w:p w14:paraId="2DFF92A6">
      <w:pPr>
        <w:keepNext w:val="0"/>
        <w:keepLines w:val="0"/>
        <w:pageBreakBefore w:val="0"/>
        <w:kinsoku/>
        <w:wordWrap/>
        <w:overflowPunct/>
        <w:topLinePunct w:val="0"/>
        <w:autoSpaceDE/>
        <w:autoSpaceDN/>
        <w:bidi w:val="0"/>
        <w:spacing w:line="380" w:lineRule="exact"/>
        <w:ind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bCs/>
          <w:sz w:val="21"/>
          <w:szCs w:val="21"/>
        </w:rPr>
        <w:t>乙方应严格按照本合同服务方案和甲方要求提供服务，服务方案详见附件3《服务方案》。</w:t>
      </w:r>
    </w:p>
    <w:p w14:paraId="63FC2639">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验收</w:t>
      </w:r>
    </w:p>
    <w:p w14:paraId="236C5AD2">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甲、乙双方确定，按照本合同约定的验收方案对乙方按本合同约定所提供的服务进行验收。</w:t>
      </w:r>
    </w:p>
    <w:p w14:paraId="127A3D11">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验收方案：</w:t>
      </w:r>
    </w:p>
    <w:p w14:paraId="2D539E51">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验收主体：甲方</w:t>
      </w:r>
    </w:p>
    <w:p w14:paraId="295587D2">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验收组织方式：自行验收</w:t>
      </w:r>
    </w:p>
    <w:p w14:paraId="34F2CC8C">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验收程序：</w:t>
      </w:r>
      <w:r>
        <w:rPr>
          <w:rFonts w:hint="eastAsia" w:ascii="宋体" w:hAnsi="宋体" w:eastAsia="宋体" w:cs="宋体"/>
          <w:sz w:val="21"/>
          <w:szCs w:val="21"/>
        </w:rPr>
        <w:sym w:font="Wingdings 2" w:char="F052"/>
      </w:r>
      <w:r>
        <w:rPr>
          <w:rFonts w:hint="eastAsia" w:ascii="宋体" w:hAnsi="宋体" w:eastAsia="宋体" w:cs="宋体"/>
          <w:color w:val="000000"/>
          <w:sz w:val="21"/>
          <w:szCs w:val="21"/>
        </w:rPr>
        <w:t xml:space="preserve">一次性验收   </w:t>
      </w:r>
      <w:r>
        <w:rPr>
          <w:rFonts w:hint="eastAsia" w:ascii="宋体" w:hAnsi="宋体" w:eastAsia="宋体" w:cs="宋体"/>
          <w:sz w:val="21"/>
          <w:szCs w:val="21"/>
        </w:rPr>
        <w:sym w:font="Wingdings" w:char="F0A8"/>
      </w:r>
      <w:r>
        <w:rPr>
          <w:rFonts w:hint="eastAsia" w:ascii="宋体" w:hAnsi="宋体" w:eastAsia="宋体" w:cs="宋体"/>
          <w:color w:val="000000"/>
          <w:sz w:val="21"/>
          <w:szCs w:val="21"/>
        </w:rPr>
        <w:t>分段/分期验收</w:t>
      </w:r>
    </w:p>
    <w:p w14:paraId="2E46B810">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验收方式：</w:t>
      </w: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现场整体验收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考核验收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其它验收方式：</w:t>
      </w:r>
      <w:r>
        <w:rPr>
          <w:rFonts w:hint="eastAsia" w:ascii="宋体" w:hAnsi="宋体" w:eastAsia="宋体" w:cs="宋体"/>
          <w:color w:val="000000"/>
          <w:sz w:val="21"/>
          <w:szCs w:val="21"/>
          <w:u w:val="single"/>
          <w:shd w:val="clear" w:color="auto" w:fill="FFFFFF"/>
        </w:rPr>
        <w:t>***</w:t>
      </w:r>
    </w:p>
    <w:p w14:paraId="5B04528B">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履约验收内容：按照甲方的采购文件要求及乙方响应文件响应情况，由乙方向甲方提供的</w:t>
      </w:r>
      <w:r>
        <w:rPr>
          <w:rFonts w:hint="eastAsia" w:ascii="宋体" w:hAnsi="宋体" w:eastAsia="宋体" w:cs="宋体"/>
          <w:sz w:val="21"/>
          <w:szCs w:val="21"/>
          <w:u w:val="single"/>
        </w:rPr>
        <w:t>全部服务</w:t>
      </w:r>
      <w:r>
        <w:rPr>
          <w:rFonts w:hint="eastAsia" w:ascii="宋体" w:hAnsi="宋体" w:eastAsia="宋体" w:cs="宋体"/>
          <w:sz w:val="21"/>
          <w:szCs w:val="21"/>
        </w:rPr>
        <w:t>的履约情况。</w:t>
      </w:r>
    </w:p>
    <w:p w14:paraId="39A66DC0">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履约验收时间：</w:t>
      </w:r>
    </w:p>
    <w:p w14:paraId="648CD316">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服务期满且乙方完成所有服务内容后X日内通知甲方验收，甲方接乙方通知后X日内组织验收</w:t>
      </w:r>
    </w:p>
    <w:p w14:paraId="3670B147">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乙方完成每一阶段或轮次服务内容后X日内通知甲方验收，甲方接乙方通知后X日内组织验收</w:t>
      </w:r>
    </w:p>
    <w:p w14:paraId="5C285C00">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甲方完成考核后X日内组织验收</w:t>
      </w:r>
    </w:p>
    <w:p w14:paraId="467A026E">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 xml:space="preserve">其它验收时间：            </w:t>
      </w:r>
    </w:p>
    <w:p w14:paraId="6032832C">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是否邀请本项目的其他供应商：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3DE4A81">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是否邀请专家：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0ADBF2E">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是否邀请服务对象：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8D634F9">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是否邀请第三方检测机构：</w:t>
      </w:r>
      <w:r>
        <w:rPr>
          <w:rFonts w:hint="eastAsia" w:ascii="宋体" w:hAnsi="宋体" w:eastAsia="宋体" w:cs="宋体"/>
          <w:kern w:val="0"/>
          <w:sz w:val="21"/>
          <w:szCs w:val="21"/>
          <w:shd w:val="clear" w:color="auto" w:fill="FFFFFF"/>
        </w:rPr>
        <w:t xml:space="preserve">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7ADBF3D">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验收标准：</w:t>
      </w:r>
    </w:p>
    <w:p w14:paraId="7DF51521">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bookmarkStart w:id="99" w:name="OLE_LINK4"/>
      <w:r>
        <w:rPr>
          <w:rFonts w:hint="eastAsia" w:ascii="宋体" w:hAnsi="宋体" w:eastAsia="宋体" w:cs="宋体"/>
          <w:sz w:val="21"/>
          <w:szCs w:val="21"/>
          <w:shd w:val="clear" w:color="auto" w:fill="FFFFFF"/>
        </w:rPr>
        <w:t>国家相关法律法规、行业标准、技术规范。</w:t>
      </w:r>
    </w:p>
    <w:p w14:paraId="250FB2C4">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甲方采购文件相关技术、服务要求、乙方响应文件相关响应内容。</w:t>
      </w:r>
    </w:p>
    <w:p w14:paraId="49CB302A">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如本项目验收方式为考核验收，则考核结果须为合格。</w:t>
      </w:r>
    </w:p>
    <w:bookmarkEnd w:id="99"/>
    <w:p w14:paraId="7B51151F">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如验收时，甲方与乙方认为本项目验收标准中的技术指标、质量要求等内容存在相互抵触或对其理解存在异议，应按照其中更严格的要求、标准等进行验收。</w:t>
      </w:r>
    </w:p>
    <w:p w14:paraId="1F93FEF8">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参照《财政部关于进一步加强政府采购需求和履约验收管理的指导意见》（财库〔2016〕205号）的要求进行验收。</w:t>
      </w:r>
    </w:p>
    <w:p w14:paraId="0A93B369">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其它标准：</w:t>
      </w:r>
      <w:r>
        <w:rPr>
          <w:rFonts w:hint="eastAsia" w:ascii="宋体" w:hAnsi="宋体" w:eastAsia="宋体" w:cs="宋体"/>
          <w:sz w:val="21"/>
          <w:szCs w:val="21"/>
          <w:u w:val="single"/>
        </w:rPr>
        <w:t>无。</w:t>
      </w:r>
    </w:p>
    <w:p w14:paraId="5E710AB7">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其它验收要求：</w:t>
      </w:r>
      <w:r>
        <w:rPr>
          <w:rFonts w:hint="eastAsia" w:ascii="宋体" w:hAnsi="宋体" w:eastAsia="宋体" w:cs="宋体"/>
          <w:color w:val="000000"/>
          <w:kern w:val="0"/>
          <w:sz w:val="21"/>
          <w:szCs w:val="21"/>
          <w:u w:val="single"/>
        </w:rPr>
        <w:t>无</w:t>
      </w:r>
      <w:r>
        <w:rPr>
          <w:rFonts w:hint="eastAsia" w:ascii="宋体" w:hAnsi="宋体" w:eastAsia="宋体" w:cs="宋体"/>
          <w:i/>
          <w:iCs/>
          <w:color w:val="000000"/>
          <w:kern w:val="0"/>
          <w:sz w:val="21"/>
          <w:szCs w:val="21"/>
          <w:highlight w:val="yellow"/>
        </w:rPr>
        <w:t>&lt;如有请填写</w:t>
      </w:r>
      <w:r>
        <w:rPr>
          <w:rFonts w:hint="eastAsia" w:ascii="宋体" w:hAnsi="宋体" w:eastAsia="宋体" w:cs="宋体"/>
          <w:i/>
          <w:iCs/>
          <w:color w:val="000000"/>
          <w:kern w:val="0"/>
          <w:sz w:val="21"/>
          <w:szCs w:val="21"/>
        </w:rPr>
        <w:t>&gt;</w:t>
      </w:r>
    </w:p>
    <w:p w14:paraId="119A7F8A">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5580944F">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付款方式</w:t>
      </w:r>
    </w:p>
    <w:p w14:paraId="34E3500A">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履约保证金：</w:t>
      </w:r>
    </w:p>
    <w:p w14:paraId="59AB7DD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乙方在合同签订生效之日起的</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个工作日内，按合同总价</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%支付履约保证金；本合同服务期满且验收合格后，甲方接到乙方付款申请后</w:t>
      </w:r>
      <w:r>
        <w:rPr>
          <w:rFonts w:hint="eastAsia" w:ascii="宋体" w:hAnsi="宋体" w:eastAsia="宋体" w:cs="宋体"/>
          <w:color w:val="000000"/>
          <w:sz w:val="21"/>
          <w:szCs w:val="21"/>
          <w:u w:val="single"/>
        </w:rPr>
        <w:t>30</w:t>
      </w:r>
      <w:r>
        <w:rPr>
          <w:rFonts w:hint="eastAsia" w:ascii="宋体" w:hAnsi="宋体" w:eastAsia="宋体" w:cs="宋体"/>
          <w:color w:val="000000"/>
          <w:sz w:val="21"/>
          <w:szCs w:val="21"/>
        </w:rPr>
        <w:t>个工作日内，甲方一次性无息退还乙方的履约保证金；经验收后乙方履约不合格的，履约保证金不予退还。</w:t>
      </w:r>
    </w:p>
    <w:p w14:paraId="0812993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本合同不涉及履约保证金。</w:t>
      </w:r>
    </w:p>
    <w:p w14:paraId="18BED6E0">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本合同价款采用以下方式支付，以人民币结算：</w:t>
      </w:r>
    </w:p>
    <w:p w14:paraId="61FC3AD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一次性支付：</w:t>
      </w:r>
    </w:p>
    <w:p w14:paraId="5E3F27F7">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sz w:val="21"/>
          <w:szCs w:val="21"/>
        </w:rPr>
        <w:t>本合同服务期满且经甲方验收合格后</w:t>
      </w:r>
      <w:r>
        <w:rPr>
          <w:rFonts w:hint="eastAsia" w:ascii="宋体" w:hAnsi="宋体" w:eastAsia="宋体" w:cs="宋体"/>
          <w:sz w:val="21"/>
          <w:szCs w:val="21"/>
          <w:u w:val="single"/>
        </w:rPr>
        <w:t>5</w:t>
      </w:r>
      <w:r>
        <w:rPr>
          <w:rFonts w:hint="eastAsia" w:ascii="宋体" w:hAnsi="宋体" w:eastAsia="宋体" w:cs="宋体"/>
          <w:sz w:val="21"/>
          <w:szCs w:val="21"/>
        </w:rPr>
        <w:t>日内</w:t>
      </w:r>
      <w:r>
        <w:rPr>
          <w:rFonts w:hint="eastAsia" w:ascii="宋体" w:hAnsi="宋体" w:eastAsia="宋体" w:cs="宋体"/>
          <w:color w:val="000000"/>
          <w:sz w:val="21"/>
          <w:szCs w:val="21"/>
        </w:rPr>
        <w:t>，乙方须向甲方提供合法有效票据及其他相关请款资料，甲方自收到乙方请款资料后</w:t>
      </w:r>
      <w:r>
        <w:rPr>
          <w:rFonts w:hint="eastAsia" w:ascii="宋体" w:hAnsi="宋体" w:eastAsia="宋体" w:cs="宋体"/>
          <w:color w:val="000000"/>
          <w:sz w:val="21"/>
          <w:szCs w:val="21"/>
          <w:u w:val="single"/>
        </w:rPr>
        <w:t>55</w:t>
      </w:r>
      <w:r>
        <w:rPr>
          <w:rFonts w:hint="eastAsia" w:ascii="宋体" w:hAnsi="宋体" w:eastAsia="宋体" w:cs="宋体"/>
          <w:color w:val="000000"/>
          <w:sz w:val="21"/>
          <w:szCs w:val="21"/>
        </w:rPr>
        <w:t>日内支付合同总价100%的金额给乙方。</w:t>
      </w:r>
    </w:p>
    <w:p w14:paraId="767FF6C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分阶段支付，支付期限、方式及额度如下：</w:t>
      </w:r>
    </w:p>
    <w:p w14:paraId="3EAFD114">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bookmarkStart w:id="100" w:name="OLE_LINK30"/>
      <w:r>
        <w:rPr>
          <w:rFonts w:hint="eastAsia" w:ascii="宋体" w:hAnsi="宋体" w:eastAsia="宋体" w:cs="宋体"/>
          <w:sz w:val="21"/>
          <w:szCs w:val="21"/>
        </w:rPr>
        <w:t>固定部分价款</w:t>
      </w:r>
      <w:bookmarkEnd w:id="100"/>
      <w:r>
        <w:rPr>
          <w:rFonts w:hint="eastAsia" w:ascii="宋体" w:hAnsi="宋体" w:eastAsia="宋体" w:cs="宋体"/>
          <w:color w:val="000000"/>
          <w:sz w:val="21"/>
          <w:szCs w:val="21"/>
        </w:rPr>
        <w:t>：</w:t>
      </w:r>
      <w:r>
        <w:rPr>
          <w:rFonts w:hint="eastAsia" w:ascii="宋体" w:hAnsi="宋体" w:eastAsia="宋体" w:cs="宋体"/>
          <w:sz w:val="21"/>
          <w:szCs w:val="21"/>
        </w:rPr>
        <w:t>本合同服务期满且经甲方验收合格后5日内</w:t>
      </w:r>
      <w:r>
        <w:rPr>
          <w:rFonts w:hint="eastAsia" w:ascii="宋体" w:hAnsi="宋体" w:eastAsia="宋体" w:cs="宋体"/>
          <w:color w:val="000000"/>
          <w:sz w:val="21"/>
          <w:szCs w:val="21"/>
        </w:rPr>
        <w:t>，乙方须向甲方提供合法有效票据及其他相关请款资料，甲方自收到乙方请款资料后55日内向乙方支付本合同</w:t>
      </w:r>
      <w:r>
        <w:rPr>
          <w:rFonts w:hint="eastAsia" w:ascii="宋体" w:hAnsi="宋体" w:eastAsia="宋体" w:cs="宋体"/>
          <w:color w:val="000000"/>
          <w:sz w:val="21"/>
          <w:szCs w:val="21"/>
          <w:u w:val="single"/>
        </w:rPr>
        <w:t>第二条</w:t>
      </w:r>
      <w:r>
        <w:rPr>
          <w:rFonts w:hint="eastAsia" w:ascii="宋体" w:hAnsi="宋体" w:eastAsia="宋体" w:cs="宋体"/>
          <w:color w:val="000000"/>
          <w:sz w:val="21"/>
          <w:szCs w:val="21"/>
        </w:rPr>
        <w:t>写明的全部</w:t>
      </w:r>
      <w:r>
        <w:rPr>
          <w:rFonts w:hint="eastAsia" w:ascii="宋体" w:hAnsi="宋体" w:eastAsia="宋体" w:cs="宋体"/>
          <w:sz w:val="21"/>
          <w:szCs w:val="21"/>
        </w:rPr>
        <w:t>固定部分价款</w:t>
      </w:r>
      <w:r>
        <w:rPr>
          <w:rFonts w:hint="eastAsia" w:ascii="宋体" w:hAnsi="宋体" w:eastAsia="宋体" w:cs="宋体"/>
          <w:color w:val="000000"/>
          <w:sz w:val="21"/>
          <w:szCs w:val="21"/>
        </w:rPr>
        <w:t>。</w:t>
      </w:r>
    </w:p>
    <w:p w14:paraId="75A0C735">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（2）按实结算部分：每</w:t>
      </w:r>
      <w:r>
        <w:rPr>
          <w:rFonts w:hint="eastAsia" w:ascii="宋体" w:hAnsi="宋体" w:eastAsia="宋体" w:cs="宋体"/>
          <w:color w:val="000000"/>
          <w:sz w:val="21"/>
          <w:szCs w:val="21"/>
          <w:u w:val="single"/>
        </w:rPr>
        <w:t>XX</w:t>
      </w:r>
      <w:r>
        <w:rPr>
          <w:rFonts w:hint="eastAsia" w:ascii="宋体" w:hAnsi="宋体" w:eastAsia="宋体" w:cs="宋体"/>
          <w:i/>
          <w:iCs/>
          <w:sz w:val="21"/>
          <w:szCs w:val="21"/>
          <w:highlight w:val="yellow"/>
        </w:rPr>
        <w:t>&lt;约定按固定周期支付的（如每季度），可根据项目具体情况编制本条款&gt;</w:t>
      </w:r>
      <w:r>
        <w:rPr>
          <w:rFonts w:hint="eastAsia" w:ascii="宋体" w:hAnsi="宋体" w:eastAsia="宋体" w:cs="宋体"/>
          <w:color w:val="000000"/>
          <w:sz w:val="21"/>
          <w:szCs w:val="21"/>
        </w:rPr>
        <w:t>结算一次费用，结算单价以</w:t>
      </w:r>
      <w:r>
        <w:rPr>
          <w:rFonts w:hint="eastAsia" w:ascii="宋体" w:hAnsi="宋体" w:eastAsia="宋体" w:cs="宋体"/>
          <w:sz w:val="21"/>
          <w:szCs w:val="21"/>
        </w:rPr>
        <w:t>《结算单价清单》</w:t>
      </w:r>
      <w:r>
        <w:rPr>
          <w:rFonts w:hint="eastAsia" w:ascii="宋体" w:hAnsi="宋体" w:eastAsia="宋体" w:cs="宋体"/>
          <w:color w:val="000000"/>
          <w:sz w:val="21"/>
          <w:szCs w:val="21"/>
        </w:rPr>
        <w:t>为准。</w:t>
      </w:r>
      <w:r>
        <w:rPr>
          <w:rFonts w:hint="eastAsia" w:ascii="宋体" w:hAnsi="宋体" w:eastAsia="宋体" w:cs="宋体"/>
          <w:sz w:val="21"/>
          <w:szCs w:val="21"/>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sz w:val="21"/>
          <w:szCs w:val="21"/>
          <w:u w:val="single"/>
          <w:lang w:bidi="ar"/>
        </w:rPr>
        <w:t>55</w:t>
      </w:r>
      <w:r>
        <w:rPr>
          <w:rFonts w:hint="eastAsia" w:ascii="宋体" w:hAnsi="宋体" w:eastAsia="宋体" w:cs="宋体"/>
          <w:sz w:val="21"/>
          <w:szCs w:val="21"/>
          <w:lang w:bidi="ar"/>
        </w:rPr>
        <w:t>日内，向乙方全额支付上述结算费用。</w:t>
      </w:r>
    </w:p>
    <w:p w14:paraId="5EC2C152">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甲方付款前，乙方需</w:t>
      </w:r>
      <w:r>
        <w:rPr>
          <w:rFonts w:hint="eastAsia" w:ascii="宋体" w:hAnsi="宋体" w:eastAsia="宋体" w:cs="宋体"/>
          <w:sz w:val="21"/>
          <w:szCs w:val="21"/>
          <w:lang w:bidi="ar"/>
        </w:rPr>
        <w:t>提供合法有效票据及其他相关请款资料</w:t>
      </w:r>
      <w:r>
        <w:rPr>
          <w:rFonts w:hint="eastAsia" w:ascii="宋体" w:hAnsi="宋体" w:eastAsia="宋体" w:cs="宋体"/>
          <w:sz w:val="21"/>
          <w:szCs w:val="21"/>
        </w:rPr>
        <w:t>，否则甲方有权拒绝支付且不承担任何违约责任，且乙方不得因此停止服务。</w:t>
      </w:r>
    </w:p>
    <w:p w14:paraId="2DC0CC99">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乙方开票信息应与合同预留账户信息一致。如有变更，乙方应当在变更后3日内通知甲方。否则，由此造成的损失由乙方自行承担。</w:t>
      </w:r>
    </w:p>
    <w:p w14:paraId="56D9DF46">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双方权利与义务</w:t>
      </w:r>
    </w:p>
    <w:p w14:paraId="62705D20">
      <w:pPr>
        <w:pStyle w:val="9"/>
        <w:keepNext w:val="0"/>
        <w:keepLines w:val="0"/>
        <w:pageBreakBefore w:val="0"/>
        <w:numPr>
          <w:ilvl w:val="0"/>
          <w:numId w:val="19"/>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甲方权利与义务</w:t>
      </w:r>
    </w:p>
    <w:p w14:paraId="590E8BAC">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按合同约定向乙方支付费用。</w:t>
      </w:r>
    </w:p>
    <w:p w14:paraId="184833A4">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保证乙方实施服务所必须的外部条件如电源、水源的正常供应及开启、关闭等。</w:t>
      </w:r>
    </w:p>
    <w:p w14:paraId="08C6B074">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对于乙方在提供服务期间所提供的信息，甲方应予保密，未经乙方书面同意，甲方不得擅自使用或透露给第三方。</w:t>
      </w:r>
    </w:p>
    <w:p w14:paraId="0BCD5926">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甲方对服务人员不满意的，有权要求乙方在7日内更换相关服务人员。</w:t>
      </w:r>
    </w:p>
    <w:p w14:paraId="60C8337D">
      <w:pPr>
        <w:pStyle w:val="9"/>
        <w:keepNext w:val="0"/>
        <w:keepLines w:val="0"/>
        <w:pageBreakBefore w:val="0"/>
        <w:numPr>
          <w:ilvl w:val="0"/>
          <w:numId w:val="19"/>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乙方权利与义务</w:t>
      </w:r>
    </w:p>
    <w:p w14:paraId="5EC5F453">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按本合同约定向甲方提供服务。</w:t>
      </w:r>
    </w:p>
    <w:p w14:paraId="02A9CF7D">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乙方应保证提供的服务人员具备相应的服务能力和服务资质（如涉及）。</w:t>
      </w:r>
    </w:p>
    <w:p w14:paraId="531E4955">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735C6A19">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如服务涉及计算机软件产品的，乙方须承诺在服务中设备安装的软件已获得软件厂商的正规授权。</w:t>
      </w:r>
    </w:p>
    <w:p w14:paraId="2C58BFE1">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乙方对在按本合同约定向甲方提供服务过程中所获得的所有数据、商业秘密或其它技术及经营信息负有保密的义务，不得向任何第三方透露或泄露。</w:t>
      </w:r>
    </w:p>
    <w:p w14:paraId="11B61F2D">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违约责任</w:t>
      </w:r>
    </w:p>
    <w:p w14:paraId="5EFE946D">
      <w:pPr>
        <w:pStyle w:val="9"/>
        <w:keepNext w:val="0"/>
        <w:keepLines w:val="0"/>
        <w:pageBreakBefore w:val="0"/>
        <w:numPr>
          <w:ilvl w:val="0"/>
          <w:numId w:val="22"/>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甲方违约责任：甲方无正当理由拒绝乙方按本合同约定提供服务的，甲方应偿付合同总金额的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p w14:paraId="5A3E43BF">
      <w:pPr>
        <w:pStyle w:val="28"/>
        <w:keepNext w:val="0"/>
        <w:keepLines w:val="0"/>
        <w:pageBreakBefore w:val="0"/>
        <w:numPr>
          <w:ilvl w:val="0"/>
          <w:numId w:val="22"/>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乙方违约责任：</w:t>
      </w:r>
    </w:p>
    <w:p w14:paraId="12D093B7">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bookmarkStart w:id="101" w:name="OLE_LINK18"/>
      <w:bookmarkStart w:id="102" w:name="OLE_LINK17"/>
      <w:r>
        <w:rPr>
          <w:rFonts w:hint="eastAsia" w:ascii="宋体" w:hAnsi="宋体" w:eastAsia="宋体" w:cs="宋体"/>
          <w:sz w:val="21"/>
          <w:szCs w:val="21"/>
        </w:rPr>
        <w:t>乙方应派遣具备相关资质的技术人员为甲方提供服务，服务过程中，乙方技术人员因操作不当、未采取必要的安全防范措施等原因导致安全责任事故的，由乙方承担由此造成的全部法律责任。</w:t>
      </w:r>
    </w:p>
    <w:p w14:paraId="029AD166">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因乙方在服务中更换的备品备件或原材料在质保期内并在正常使用情况下出现质量原因导致甲方或第三方财产或人身损害的，由乙方承担赔偿责任。</w:t>
      </w:r>
    </w:p>
    <w:p w14:paraId="76D10404">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在本合同的履行中，如乙方提供的服务存在设计、工艺或材料缺陷（包括潜在缺陷），乙方应当对由于上述缺陷造成的损失负责。</w:t>
      </w:r>
    </w:p>
    <w:p w14:paraId="1A31D2A4">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在本合同履行中，如乙方未按本合同约定及时向甲方提供服务，每发生一次，乙方应按</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‰向甲方支付违约金。甲方可采取必要的补救措施，但由此而产生的风险责任和费用将由乙方负担，甲方根据合同规定对乙方行使的其他权利不受影响。</w:t>
      </w:r>
    </w:p>
    <w:p w14:paraId="41D4BAD0">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乙方在提供服务过程中侵犯他人知识产权，甲方有权单方解除合同，并要求乙方赔偿所造成的损失，同时甲方有权要求对方按照</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%支付违约金。</w:t>
      </w:r>
    </w:p>
    <w:p w14:paraId="78342411">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乙方违反保密义务，甲方有权单方解除合同，乙方应按甲方实际损失向甲方进行赔偿并向甲方支付</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bookmarkEnd w:id="101"/>
    <w:bookmarkEnd w:id="102"/>
    <w:p w14:paraId="771B9E3D">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乙方偿付的违约金不足以弥补甲方损失的，还应按甲方损失尚未弥补的部分，支付赔偿金给甲方。</w:t>
      </w:r>
    </w:p>
    <w:p w14:paraId="21B207D0">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乙方未按照本合同约定的时限提供合法发票或提供发票瑕疵（包括但不限于发票种类有误、发票金额有误等），甲方付款时限相应顺延并不承担任何延期支付的违约责任。</w:t>
      </w:r>
    </w:p>
    <w:p w14:paraId="33339C13">
      <w:pPr>
        <w:pStyle w:val="9"/>
        <w:keepNext w:val="0"/>
        <w:keepLines w:val="0"/>
        <w:pageBreakBefore w:val="0"/>
        <w:numPr>
          <w:ilvl w:val="0"/>
          <w:numId w:val="23"/>
        </w:numPr>
        <w:kinsoku/>
        <w:wordWrap/>
        <w:overflowPunct/>
        <w:topLinePunct w:val="0"/>
        <w:autoSpaceDE/>
        <w:autoSpaceDN/>
        <w:bidi w:val="0"/>
        <w:snapToGrid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DD8785D">
      <w:pPr>
        <w:pStyle w:val="9"/>
        <w:keepNext w:val="0"/>
        <w:keepLines w:val="0"/>
        <w:pageBreakBefore w:val="0"/>
        <w:kinsoku/>
        <w:wordWrap/>
        <w:overflowPunct/>
        <w:topLinePunct w:val="0"/>
        <w:autoSpaceDE/>
        <w:autoSpaceDN/>
        <w:bidi w:val="0"/>
        <w:spacing w:after="0" w:line="380" w:lineRule="exact"/>
        <w:ind w:left="0" w:leftChars="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3.本合同履行中如有任何一方违约，那么守约方为保障自己合法权益而产生的律师费、诉讼费、差旅费、公告费等，均由违约方承担。</w:t>
      </w:r>
    </w:p>
    <w:p w14:paraId="087BCB4B">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不可抗力</w:t>
      </w:r>
    </w:p>
    <w:p w14:paraId="078B8FD4">
      <w:pPr>
        <w:pStyle w:val="28"/>
        <w:keepNext w:val="0"/>
        <w:keepLines w:val="0"/>
        <w:pageBreakBefore w:val="0"/>
        <w:kinsoku/>
        <w:wordWrap/>
        <w:overflowPunct/>
        <w:topLinePunct w:val="0"/>
        <w:autoSpaceDE/>
        <w:autoSpaceDN/>
        <w:bidi w:val="0"/>
        <w:snapToGrid w:val="0"/>
        <w:spacing w:line="380" w:lineRule="exact"/>
        <w:textAlignment w:val="auto"/>
        <w:rPr>
          <w:rFonts w:hint="eastAsia" w:ascii="宋体" w:hAnsi="宋体" w:eastAsia="宋体" w:cs="宋体"/>
          <w:bCs/>
          <w:sz w:val="21"/>
          <w:szCs w:val="21"/>
        </w:rPr>
      </w:pPr>
      <w:r>
        <w:rPr>
          <w:rFonts w:hint="eastAsia" w:ascii="宋体" w:hAnsi="宋体" w:eastAsia="宋体" w:cs="宋体"/>
          <w:bCs/>
          <w:sz w:val="21"/>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1"/>
          <w:szCs w:val="21"/>
          <w:lang w:val="en-US" w:eastAsia="zh-CN"/>
        </w:rPr>
        <w:t>30</w:t>
      </w:r>
      <w:r>
        <w:rPr>
          <w:rFonts w:hint="eastAsia" w:ascii="宋体" w:hAnsi="宋体" w:eastAsia="宋体" w:cs="宋体"/>
          <w:bCs/>
          <w:sz w:val="21"/>
          <w:szCs w:val="21"/>
        </w:rPr>
        <w:t>日，甲方有权解除合同，双方互不承担违约责任。</w:t>
      </w:r>
    </w:p>
    <w:p w14:paraId="04BDE3C0">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合同终止及解除</w:t>
      </w:r>
    </w:p>
    <w:p w14:paraId="552B5126">
      <w:pPr>
        <w:pStyle w:val="28"/>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合同一方发现可能致使本合同无法按约定继续履行的情形时，应当及时通知另一方并采取适当措施减少损失；没有及时通知并采取适当措施，致使损失扩大的，应当就扩大的损失承担责任。</w:t>
      </w:r>
    </w:p>
    <w:p w14:paraId="7C5340A4">
      <w:pPr>
        <w:pStyle w:val="28"/>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在甲、乙任何一方有严重违约行为时，另一方有权单方解除合同。</w:t>
      </w:r>
    </w:p>
    <w:p w14:paraId="5E63D4DE">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争议解决办法</w:t>
      </w:r>
    </w:p>
    <w:p w14:paraId="26D21314">
      <w:pPr>
        <w:pStyle w:val="28"/>
        <w:keepNext w:val="0"/>
        <w:keepLines w:val="0"/>
        <w:pageBreakBefore w:val="0"/>
        <w:numPr>
          <w:ilvl w:val="0"/>
          <w:numId w:val="2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因服务质量问题发生争议，由质量技术监督部门或其指定的质量鉴定机构进行质量鉴定，结果符合标准的，鉴定费由甲方承担；不符合标准的，鉴定费由乙方承担。</w:t>
      </w:r>
    </w:p>
    <w:p w14:paraId="029A6F91">
      <w:pPr>
        <w:pStyle w:val="28"/>
        <w:keepNext w:val="0"/>
        <w:keepLines w:val="0"/>
        <w:pageBreakBefore w:val="0"/>
        <w:numPr>
          <w:ilvl w:val="0"/>
          <w:numId w:val="2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合同履行期间,若双方发生争议，可协商或由有关部门调解解决，协商或调解不成的，任何一方均有权向甲方所在地具有管辖权的人民法院起诉。</w:t>
      </w:r>
    </w:p>
    <w:p w14:paraId="49B19412">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送达（送达地址是司法机关、执法机关和仲裁机关将法律文书送达给当事人的收件地址）</w:t>
      </w:r>
    </w:p>
    <w:p w14:paraId="0636E1A3">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甲方送达地址：四川省成都市青羊区一环路西二段32号。</w:t>
      </w:r>
    </w:p>
    <w:p w14:paraId="362D409A">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乙方送达地址：***</w:t>
      </w:r>
    </w:p>
    <w:p w14:paraId="6C978075">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600EECE">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其他</w:t>
      </w:r>
    </w:p>
    <w:p w14:paraId="306815CF">
      <w:pPr>
        <w:pStyle w:val="28"/>
        <w:keepNext w:val="0"/>
        <w:keepLines w:val="0"/>
        <w:pageBreakBefore w:val="0"/>
        <w:numPr>
          <w:ilvl w:val="0"/>
          <w:numId w:val="2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如有未尽事宜，由双方依法订立补充合同。补充合同及本合同附件均为本合同的组成部分，与本合同具有同等法律效力。</w:t>
      </w:r>
    </w:p>
    <w:p w14:paraId="513D143F">
      <w:pPr>
        <w:pStyle w:val="28"/>
        <w:keepNext w:val="0"/>
        <w:keepLines w:val="0"/>
        <w:pageBreakBefore w:val="0"/>
        <w:numPr>
          <w:ilvl w:val="0"/>
          <w:numId w:val="2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本合同一式四份，自双方签字且盖章之日起生效。甲方三份，乙方一份。</w:t>
      </w:r>
    </w:p>
    <w:p w14:paraId="5C9514A7">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合同附件</w:t>
      </w:r>
    </w:p>
    <w:p w14:paraId="3A8F98E9">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本合同为</w:t>
      </w:r>
      <w:r>
        <w:rPr>
          <w:rFonts w:hint="eastAsia" w:ascii="宋体" w:hAnsi="宋体" w:eastAsia="宋体" w:cs="宋体"/>
          <w:sz w:val="21"/>
          <w:szCs w:val="21"/>
          <w:u w:val="single"/>
        </w:rPr>
        <w:t>有</w:t>
      </w:r>
      <w:r>
        <w:rPr>
          <w:rFonts w:hint="eastAsia" w:ascii="宋体" w:hAnsi="宋体" w:eastAsia="宋体" w:cs="宋体"/>
          <w:sz w:val="21"/>
          <w:szCs w:val="21"/>
        </w:rPr>
        <w:t>附件合同，附件如下：</w:t>
      </w:r>
      <w:r>
        <w:rPr>
          <w:rFonts w:hint="eastAsia" w:ascii="宋体" w:hAnsi="宋体" w:eastAsia="宋体" w:cs="宋体"/>
          <w:i/>
          <w:iCs/>
          <w:sz w:val="21"/>
          <w:szCs w:val="21"/>
          <w:highlight w:val="yellow"/>
        </w:rPr>
        <w:t>&lt;根据项目实际情况编制&gt;</w:t>
      </w:r>
    </w:p>
    <w:p w14:paraId="1C68F264">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附件1《</w:t>
      </w:r>
      <w:bookmarkStart w:id="103" w:name="OLE_LINK32"/>
      <w:r>
        <w:rPr>
          <w:rFonts w:hint="eastAsia" w:ascii="宋体" w:hAnsi="宋体" w:eastAsia="宋体" w:cs="宋体"/>
          <w:sz w:val="21"/>
          <w:szCs w:val="21"/>
        </w:rPr>
        <w:t>结算单价清单</w:t>
      </w:r>
      <w:bookmarkEnd w:id="103"/>
      <w:r>
        <w:rPr>
          <w:rFonts w:hint="eastAsia" w:ascii="宋体" w:hAnsi="宋体" w:eastAsia="宋体" w:cs="宋体"/>
          <w:sz w:val="21"/>
          <w:szCs w:val="21"/>
        </w:rPr>
        <w:t>》</w:t>
      </w:r>
    </w:p>
    <w:p w14:paraId="316CDF16">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附件2《考核标准》</w:t>
      </w:r>
    </w:p>
    <w:p w14:paraId="47EE6110">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附件3《服务方案》</w:t>
      </w:r>
    </w:p>
    <w:p w14:paraId="552DC3E7">
      <w:pPr>
        <w:keepNext w:val="0"/>
        <w:keepLines w:val="0"/>
        <w:pageBreakBefore w:val="0"/>
        <w:kinsoku/>
        <w:wordWrap/>
        <w:overflowPunct/>
        <w:topLinePunct w:val="0"/>
        <w:autoSpaceDE/>
        <w:autoSpaceDN/>
        <w:bidi w:val="0"/>
        <w:spacing w:line="38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——以下无正文——</w:t>
      </w:r>
    </w:p>
    <w:tbl>
      <w:tblPr>
        <w:tblStyle w:val="18"/>
        <w:tblW w:w="5000" w:type="pct"/>
        <w:jc w:val="center"/>
        <w:tblLayout w:type="autofit"/>
        <w:tblCellMar>
          <w:top w:w="0" w:type="dxa"/>
          <w:left w:w="0" w:type="dxa"/>
          <w:bottom w:w="0" w:type="dxa"/>
          <w:right w:w="0" w:type="dxa"/>
        </w:tblCellMar>
      </w:tblPr>
      <w:tblGrid>
        <w:gridCol w:w="4688"/>
        <w:gridCol w:w="4950"/>
      </w:tblGrid>
      <w:tr w14:paraId="76DEE611">
        <w:tblPrEx>
          <w:tblCellMar>
            <w:top w:w="0" w:type="dxa"/>
            <w:left w:w="0" w:type="dxa"/>
            <w:bottom w:w="0" w:type="dxa"/>
            <w:right w:w="0" w:type="dxa"/>
          </w:tblCellMar>
        </w:tblPrEx>
        <w:trPr>
          <w:trHeight w:val="519" w:hRule="atLeast"/>
          <w:jc w:val="center"/>
        </w:trPr>
        <w:tc>
          <w:tcPr>
            <w:tcW w:w="10214" w:type="dxa"/>
            <w:gridSpan w:val="2"/>
          </w:tcPr>
          <w:p w14:paraId="41A7EEB0">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签订时间：202*年***月***日</w:t>
            </w:r>
          </w:p>
        </w:tc>
      </w:tr>
      <w:tr w14:paraId="3324515B">
        <w:tblPrEx>
          <w:tblCellMar>
            <w:top w:w="0" w:type="dxa"/>
            <w:left w:w="0" w:type="dxa"/>
            <w:bottom w:w="0" w:type="dxa"/>
            <w:right w:w="0" w:type="dxa"/>
          </w:tblCellMar>
        </w:tblPrEx>
        <w:trPr>
          <w:jc w:val="center"/>
        </w:trPr>
        <w:tc>
          <w:tcPr>
            <w:tcW w:w="4967" w:type="dxa"/>
          </w:tcPr>
          <w:p w14:paraId="1914C25A">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甲方：四川省人民医院（盖章）</w:t>
            </w:r>
          </w:p>
          <w:p w14:paraId="51F56BA2">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278998B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    址：四川省成都市一环路西二段32号</w:t>
            </w:r>
          </w:p>
          <w:p w14:paraId="5EF02AD1">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开户银行：建设银行成都青羊支行</w:t>
            </w:r>
          </w:p>
          <w:p w14:paraId="6086BEE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账号：5100 1446 4360 5037 4282</w:t>
            </w:r>
          </w:p>
        </w:tc>
        <w:tc>
          <w:tcPr>
            <w:tcW w:w="5247" w:type="dxa"/>
          </w:tcPr>
          <w:p w14:paraId="4D1217F6">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乙方：</w:t>
            </w:r>
            <w:permStart w:id="2" w:edGrp="everyone"/>
            <w:r>
              <w:rPr>
                <w:rFonts w:hint="eastAsia" w:ascii="宋体" w:hAnsi="宋体" w:eastAsia="宋体" w:cs="宋体"/>
                <w:sz w:val="21"/>
                <w:szCs w:val="21"/>
              </w:rPr>
              <w:t>***</w:t>
            </w:r>
            <w:permEnd w:id="2"/>
            <w:r>
              <w:rPr>
                <w:rFonts w:hint="eastAsia" w:ascii="宋体" w:hAnsi="宋体" w:eastAsia="宋体" w:cs="宋体"/>
                <w:sz w:val="21"/>
                <w:szCs w:val="21"/>
              </w:rPr>
              <w:t>（盖章）</w:t>
            </w:r>
          </w:p>
          <w:p w14:paraId="21FB85E3">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02F3BD67">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地址：</w:t>
            </w:r>
            <w:permStart w:id="3" w:edGrp="everyone"/>
            <w:r>
              <w:rPr>
                <w:rFonts w:hint="eastAsia" w:ascii="宋体" w:hAnsi="宋体" w:eastAsia="宋体" w:cs="宋体"/>
                <w:sz w:val="21"/>
                <w:szCs w:val="21"/>
              </w:rPr>
              <w:t>***</w:t>
            </w:r>
            <w:permEnd w:id="3"/>
          </w:p>
          <w:p w14:paraId="6BB9791B">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w:t>
            </w:r>
            <w:permStart w:id="4" w:edGrp="everyone"/>
            <w:r>
              <w:rPr>
                <w:rFonts w:hint="eastAsia" w:ascii="宋体" w:hAnsi="宋体" w:eastAsia="宋体" w:cs="宋体"/>
                <w:sz w:val="21"/>
                <w:szCs w:val="21"/>
              </w:rPr>
              <w:t>***</w:t>
            </w:r>
          </w:p>
          <w:permEnd w:id="4"/>
          <w:p w14:paraId="5D72E5CB">
            <w:pPr>
              <w:keepNext w:val="0"/>
              <w:keepLines w:val="0"/>
              <w:pageBreakBefore w:val="0"/>
              <w:widowControl/>
              <w:kinsoku/>
              <w:wordWrap/>
              <w:overflowPunct/>
              <w:topLinePunct w:val="0"/>
              <w:autoSpaceDE/>
              <w:autoSpaceDN/>
              <w:bidi w:val="0"/>
              <w:spacing w:line="38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账号：</w:t>
            </w:r>
            <w:permStart w:id="5" w:edGrp="everyone"/>
            <w:r>
              <w:rPr>
                <w:rFonts w:hint="eastAsia" w:ascii="宋体" w:hAnsi="宋体" w:eastAsia="宋体" w:cs="宋体"/>
                <w:sz w:val="21"/>
                <w:szCs w:val="21"/>
              </w:rPr>
              <w:t>***</w:t>
            </w:r>
            <w:permEnd w:id="5"/>
          </w:p>
        </w:tc>
      </w:tr>
    </w:tbl>
    <w:p w14:paraId="3743C453">
      <w:pPr>
        <w:rPr>
          <w:b/>
          <w:bCs/>
          <w:szCs w:val="21"/>
        </w:rPr>
      </w:pPr>
      <w:r>
        <w:rPr>
          <w:b/>
          <w:bCs/>
          <w:szCs w:val="21"/>
        </w:rPr>
        <w:br w:type="page"/>
      </w:r>
    </w:p>
    <w:p w14:paraId="013D3502">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41EED08">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D64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B4895D3">
            <w:pPr>
              <w:widowControl/>
              <w:jc w:val="center"/>
              <w:rPr>
                <w:b/>
                <w:bCs/>
                <w:szCs w:val="21"/>
              </w:rPr>
            </w:pPr>
            <w:r>
              <w:rPr>
                <w:rFonts w:hint="eastAsia"/>
                <w:b/>
                <w:bCs/>
                <w:szCs w:val="21"/>
              </w:rPr>
              <w:t>序号</w:t>
            </w:r>
          </w:p>
        </w:tc>
        <w:tc>
          <w:tcPr>
            <w:tcW w:w="3686" w:type="dxa"/>
            <w:vAlign w:val="center"/>
          </w:tcPr>
          <w:p w14:paraId="19584100">
            <w:pPr>
              <w:widowControl/>
              <w:jc w:val="center"/>
              <w:rPr>
                <w:b/>
                <w:bCs/>
                <w:szCs w:val="21"/>
              </w:rPr>
            </w:pPr>
            <w:r>
              <w:rPr>
                <w:rFonts w:hint="eastAsia"/>
                <w:b/>
                <w:bCs/>
                <w:szCs w:val="21"/>
              </w:rPr>
              <w:t>结算项目名称</w:t>
            </w:r>
          </w:p>
        </w:tc>
        <w:tc>
          <w:tcPr>
            <w:tcW w:w="3402" w:type="dxa"/>
            <w:vAlign w:val="center"/>
          </w:tcPr>
          <w:p w14:paraId="189588A6">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5B33DC3D">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63351272">
            <w:pPr>
              <w:widowControl/>
              <w:jc w:val="center"/>
              <w:rPr>
                <w:b/>
                <w:bCs/>
                <w:szCs w:val="21"/>
              </w:rPr>
            </w:pPr>
            <w:r>
              <w:rPr>
                <w:rFonts w:hint="eastAsia"/>
                <w:b/>
                <w:bCs/>
                <w:szCs w:val="21"/>
              </w:rPr>
              <w:t>结算单价</w:t>
            </w:r>
          </w:p>
        </w:tc>
      </w:tr>
      <w:tr w14:paraId="76E1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3872DB6">
            <w:pPr>
              <w:widowControl/>
              <w:jc w:val="center"/>
              <w:rPr>
                <w:szCs w:val="21"/>
              </w:rPr>
            </w:pPr>
            <w:r>
              <w:rPr>
                <w:rFonts w:hint="eastAsia"/>
                <w:szCs w:val="21"/>
              </w:rPr>
              <w:t>1</w:t>
            </w:r>
          </w:p>
        </w:tc>
        <w:tc>
          <w:tcPr>
            <w:tcW w:w="3686" w:type="dxa"/>
            <w:vAlign w:val="center"/>
          </w:tcPr>
          <w:p w14:paraId="1B51F472">
            <w:pPr>
              <w:widowControl/>
              <w:jc w:val="left"/>
              <w:rPr>
                <w:szCs w:val="21"/>
              </w:rPr>
            </w:pPr>
          </w:p>
        </w:tc>
        <w:tc>
          <w:tcPr>
            <w:tcW w:w="3402" w:type="dxa"/>
            <w:vAlign w:val="center"/>
          </w:tcPr>
          <w:p w14:paraId="7DD7FFC4">
            <w:pPr>
              <w:widowControl/>
              <w:jc w:val="left"/>
              <w:rPr>
                <w:szCs w:val="21"/>
              </w:rPr>
            </w:pPr>
          </w:p>
        </w:tc>
        <w:tc>
          <w:tcPr>
            <w:tcW w:w="992" w:type="dxa"/>
            <w:vAlign w:val="center"/>
          </w:tcPr>
          <w:p w14:paraId="0FE89261">
            <w:pPr>
              <w:widowControl/>
              <w:jc w:val="center"/>
              <w:rPr>
                <w:szCs w:val="21"/>
              </w:rPr>
            </w:pPr>
          </w:p>
        </w:tc>
        <w:tc>
          <w:tcPr>
            <w:tcW w:w="986" w:type="dxa"/>
            <w:vAlign w:val="center"/>
          </w:tcPr>
          <w:p w14:paraId="0F2A25BF">
            <w:pPr>
              <w:widowControl/>
              <w:jc w:val="center"/>
              <w:rPr>
                <w:szCs w:val="21"/>
              </w:rPr>
            </w:pPr>
          </w:p>
        </w:tc>
      </w:tr>
      <w:tr w14:paraId="752D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13D3369">
            <w:pPr>
              <w:widowControl/>
              <w:jc w:val="center"/>
              <w:rPr>
                <w:szCs w:val="21"/>
              </w:rPr>
            </w:pPr>
            <w:r>
              <w:rPr>
                <w:rFonts w:hint="eastAsia"/>
                <w:szCs w:val="21"/>
              </w:rPr>
              <w:t>2</w:t>
            </w:r>
          </w:p>
        </w:tc>
        <w:tc>
          <w:tcPr>
            <w:tcW w:w="3686" w:type="dxa"/>
            <w:vAlign w:val="center"/>
          </w:tcPr>
          <w:p w14:paraId="0A223391">
            <w:pPr>
              <w:widowControl/>
              <w:jc w:val="left"/>
              <w:rPr>
                <w:szCs w:val="21"/>
              </w:rPr>
            </w:pPr>
          </w:p>
        </w:tc>
        <w:tc>
          <w:tcPr>
            <w:tcW w:w="3402" w:type="dxa"/>
            <w:vAlign w:val="center"/>
          </w:tcPr>
          <w:p w14:paraId="41AB15F4">
            <w:pPr>
              <w:widowControl/>
              <w:jc w:val="left"/>
              <w:rPr>
                <w:szCs w:val="21"/>
              </w:rPr>
            </w:pPr>
          </w:p>
        </w:tc>
        <w:tc>
          <w:tcPr>
            <w:tcW w:w="992" w:type="dxa"/>
            <w:vAlign w:val="center"/>
          </w:tcPr>
          <w:p w14:paraId="070B9E57">
            <w:pPr>
              <w:widowControl/>
              <w:jc w:val="center"/>
              <w:rPr>
                <w:szCs w:val="21"/>
              </w:rPr>
            </w:pPr>
          </w:p>
        </w:tc>
        <w:tc>
          <w:tcPr>
            <w:tcW w:w="986" w:type="dxa"/>
            <w:vAlign w:val="center"/>
          </w:tcPr>
          <w:p w14:paraId="6CEDF7E5">
            <w:pPr>
              <w:widowControl/>
              <w:jc w:val="center"/>
              <w:rPr>
                <w:szCs w:val="21"/>
              </w:rPr>
            </w:pPr>
          </w:p>
        </w:tc>
      </w:tr>
      <w:tr w14:paraId="016A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EA6CF83">
            <w:pPr>
              <w:widowControl/>
              <w:jc w:val="center"/>
              <w:rPr>
                <w:szCs w:val="21"/>
              </w:rPr>
            </w:pPr>
            <w:r>
              <w:rPr>
                <w:szCs w:val="21"/>
              </w:rPr>
              <w:t>…</w:t>
            </w:r>
          </w:p>
        </w:tc>
        <w:tc>
          <w:tcPr>
            <w:tcW w:w="3686" w:type="dxa"/>
            <w:vAlign w:val="center"/>
          </w:tcPr>
          <w:p w14:paraId="73663D6A">
            <w:pPr>
              <w:widowControl/>
              <w:jc w:val="left"/>
              <w:rPr>
                <w:szCs w:val="21"/>
              </w:rPr>
            </w:pPr>
          </w:p>
        </w:tc>
        <w:tc>
          <w:tcPr>
            <w:tcW w:w="3402" w:type="dxa"/>
            <w:vAlign w:val="center"/>
          </w:tcPr>
          <w:p w14:paraId="1D6D4B46">
            <w:pPr>
              <w:widowControl/>
              <w:jc w:val="left"/>
              <w:rPr>
                <w:szCs w:val="21"/>
              </w:rPr>
            </w:pPr>
          </w:p>
        </w:tc>
        <w:tc>
          <w:tcPr>
            <w:tcW w:w="992" w:type="dxa"/>
            <w:vAlign w:val="center"/>
          </w:tcPr>
          <w:p w14:paraId="222BAC48">
            <w:pPr>
              <w:widowControl/>
              <w:jc w:val="center"/>
              <w:rPr>
                <w:szCs w:val="21"/>
              </w:rPr>
            </w:pPr>
          </w:p>
        </w:tc>
        <w:tc>
          <w:tcPr>
            <w:tcW w:w="986" w:type="dxa"/>
            <w:vAlign w:val="center"/>
          </w:tcPr>
          <w:p w14:paraId="0F066CCC">
            <w:pPr>
              <w:widowControl/>
              <w:jc w:val="center"/>
              <w:rPr>
                <w:szCs w:val="21"/>
              </w:rPr>
            </w:pPr>
          </w:p>
        </w:tc>
      </w:tr>
    </w:tbl>
    <w:p w14:paraId="7E4B40E7">
      <w:pPr>
        <w:widowControl/>
        <w:jc w:val="left"/>
        <w:rPr>
          <w:szCs w:val="21"/>
        </w:rPr>
        <w:sectPr>
          <w:headerReference r:id="rId6" w:type="default"/>
          <w:footerReference r:id="rId7" w:type="default"/>
          <w:pgSz w:w="11906" w:h="16838"/>
          <w:pgMar w:top="851" w:right="1134" w:bottom="851" w:left="1134" w:header="0" w:footer="567" w:gutter="0"/>
          <w:pgNumType w:fmt="decimal" w:start="1"/>
          <w:cols w:space="425" w:num="1"/>
          <w:docGrid w:linePitch="312" w:charSpace="0"/>
        </w:sectPr>
      </w:pPr>
    </w:p>
    <w:p w14:paraId="05444452">
      <w:pPr>
        <w:widowControl/>
        <w:jc w:val="left"/>
        <w:rPr>
          <w:rFonts w:ascii="宋体" w:hAnsi="宋体"/>
          <w:b/>
          <w:bCs/>
          <w:szCs w:val="21"/>
        </w:rPr>
      </w:pPr>
      <w:r>
        <w:rPr>
          <w:rFonts w:hint="eastAsia" w:ascii="宋体" w:hAnsi="宋体"/>
          <w:b/>
          <w:bCs/>
          <w:szCs w:val="21"/>
        </w:rPr>
        <w:t>附件2：考核标准</w:t>
      </w:r>
    </w:p>
    <w:p w14:paraId="43DD6514"/>
    <w:p w14:paraId="11E34C38">
      <w:r>
        <w:rPr>
          <w:rFonts w:hint="eastAsia"/>
        </w:rPr>
        <w:t>*</w:t>
      </w:r>
      <w:r>
        <w:t>**</w:t>
      </w:r>
    </w:p>
    <w:p w14:paraId="4B448798">
      <w:r>
        <w:br w:type="page"/>
      </w:r>
    </w:p>
    <w:p w14:paraId="2C133F9F">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0BFA308"/>
    <w:p w14:paraId="6F9E11C8">
      <w:r>
        <w:rPr>
          <w:rFonts w:hint="eastAsia"/>
        </w:rPr>
        <w:t>*</w:t>
      </w:r>
      <w:r>
        <w:t>**</w:t>
      </w:r>
    </w:p>
    <w:p w14:paraId="15E827A6">
      <w:pPr>
        <w:rPr>
          <w:rFonts w:ascii="Times New Roman" w:hAnsi="Times New Roman" w:cs="Times New Roman"/>
          <w:b/>
          <w:bCs/>
          <w:sz w:val="44"/>
          <w:szCs w:val="52"/>
        </w:rPr>
      </w:pPr>
      <w:r>
        <w:rPr>
          <w:rFonts w:ascii="Times New Roman" w:hAnsi="Times New Roman" w:cs="Times New Roman"/>
          <w:b/>
          <w:bCs/>
          <w:sz w:val="44"/>
          <w:szCs w:val="52"/>
        </w:rPr>
        <w:br w:type="page"/>
      </w:r>
    </w:p>
    <w:p w14:paraId="0CA01D3C">
      <w:pPr>
        <w:rPr>
          <w:rFonts w:ascii="Times New Roman" w:hAnsi="Times New Roman" w:cs="Times New Roman"/>
          <w:b/>
          <w:bCs/>
          <w:sz w:val="44"/>
          <w:szCs w:val="52"/>
        </w:rPr>
      </w:pP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A42CBA0-9657-4189-95EE-4520AEE5DAC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6921847-A4AB-4DF7-9441-E6CF6DCF3FF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2F7430F-EB3F-4CD1-8D7F-42AB3D334C1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0CF121A-C741-4083-B0F5-E8EA95F839C7}"/>
  </w:font>
  <w:font w:name="Segoe UI Symbol">
    <w:panose1 w:val="020B0502040204020203"/>
    <w:charset w:val="00"/>
    <w:family w:val="swiss"/>
    <w:pitch w:val="default"/>
    <w:sig w:usb0="800001E3" w:usb1="1200FFEF" w:usb2="00040000" w:usb3="04000000" w:csb0="00000001" w:csb1="40000000"/>
    <w:embedRegular r:id="rId5" w:fontKey="{C8E1D59D-26CB-4D53-A82D-AA88750049E8}"/>
  </w:font>
  <w:font w:name="仿宋_GB2312">
    <w:panose1 w:val="02010609030101010101"/>
    <w:charset w:val="86"/>
    <w:family w:val="auto"/>
    <w:pitch w:val="default"/>
    <w:sig w:usb0="00000001" w:usb1="080E0000" w:usb2="00000000" w:usb3="00000000" w:csb0="00040000" w:csb1="00000000"/>
    <w:embedRegular r:id="rId6" w:fontKey="{693E89D0-C686-4C36-A2C4-D70C1CC79B17}"/>
  </w:font>
  <w:font w:name="Wingdings 2">
    <w:altName w:val="Wingdings"/>
    <w:panose1 w:val="05020102010507070707"/>
    <w:charset w:val="4D"/>
    <w:family w:val="decorative"/>
    <w:pitch w:val="default"/>
    <w:sig w:usb0="00000000" w:usb1="00000000" w:usb2="00000000" w:usb3="00000000" w:csb0="80000000" w:csb1="00000000"/>
    <w:embedRegular r:id="rId7" w:fontKey="{AD69B195-57BA-4218-9B96-1305ADB892A2}"/>
  </w:font>
  <w:font w:name="Arial">
    <w:panose1 w:val="020B0604020202020204"/>
    <w:charset w:val="00"/>
    <w:family w:val="auto"/>
    <w:pitch w:val="default"/>
    <w:sig w:usb0="E0002EFF" w:usb1="C000785B" w:usb2="00000009" w:usb3="00000000" w:csb0="400001FF" w:csb1="FFFF0000"/>
  </w:font>
  <w:font w:name="WPSEMBED1">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2E5B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F67E1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1F67E1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02F399">
                          <w:pPr>
                            <w:pStyle w:val="11"/>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02F399">
                    <w:pPr>
                      <w:pStyle w:val="11"/>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687B7">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C3A639F2"/>
    <w:multiLevelType w:val="singleLevel"/>
    <w:tmpl w:val="C3A639F2"/>
    <w:lvl w:ilvl="0" w:tentative="0">
      <w:start w:val="1"/>
      <w:numFmt w:val="chineseCounting"/>
      <w:suff w:val="nothing"/>
      <w:lvlText w:val="（%1）"/>
      <w:lvlJc w:val="left"/>
      <w:rPr>
        <w:rFonts w:hint="eastAsia"/>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000002"/>
    <w:multiLevelType w:val="singleLevel"/>
    <w:tmpl w:val="00000002"/>
    <w:lvl w:ilvl="0" w:tentative="0">
      <w:start w:val="1"/>
      <w:numFmt w:val="decimal"/>
      <w:lvlText w:val="(%1)"/>
      <w:lvlJc w:val="left"/>
      <w:pPr>
        <w:tabs>
          <w:tab w:val="left" w:pos="0"/>
        </w:tabs>
        <w:ind w:left="-61" w:firstLine="61"/>
      </w:pPr>
      <w:rPr>
        <w:rFonts w:hint="default"/>
      </w:rPr>
    </w:lvl>
  </w:abstractNum>
  <w:abstractNum w:abstractNumId="6">
    <w:nsid w:val="00000007"/>
    <w:multiLevelType w:val="singleLevel"/>
    <w:tmpl w:val="00000007"/>
    <w:lvl w:ilvl="0" w:tentative="0">
      <w:start w:val="1"/>
      <w:numFmt w:val="decimal"/>
      <w:lvlText w:val="(%1)"/>
      <w:lvlJc w:val="left"/>
      <w:pPr>
        <w:ind w:left="425" w:hanging="425"/>
      </w:pPr>
      <w:rPr>
        <w:rFonts w:hint="default"/>
      </w:rPr>
    </w:lvl>
  </w:abstractNum>
  <w:abstractNum w:abstractNumId="7">
    <w:nsid w:val="00000009"/>
    <w:multiLevelType w:val="singleLevel"/>
    <w:tmpl w:val="00000009"/>
    <w:lvl w:ilvl="0" w:tentative="0">
      <w:start w:val="1"/>
      <w:numFmt w:val="decimal"/>
      <w:lvlText w:val="%1."/>
      <w:lvlJc w:val="left"/>
      <w:pPr>
        <w:tabs>
          <w:tab w:val="left" w:pos="0"/>
        </w:tabs>
        <w:ind w:left="0" w:firstLine="0"/>
      </w:pPr>
      <w:rPr>
        <w:rFonts w:hint="default"/>
      </w:rPr>
    </w:lvl>
  </w:abstractNum>
  <w:abstractNum w:abstractNumId="8">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7"/>
  </w:num>
  <w:num w:numId="2">
    <w:abstractNumId w:val="3"/>
  </w:num>
  <w:num w:numId="3">
    <w:abstractNumId w:val="18"/>
  </w:num>
  <w:num w:numId="4">
    <w:abstractNumId w:val="26"/>
  </w:num>
  <w:num w:numId="5">
    <w:abstractNumId w:val="15"/>
  </w:num>
  <w:num w:numId="6">
    <w:abstractNumId w:val="7"/>
  </w:num>
  <w:num w:numId="7">
    <w:abstractNumId w:val="6"/>
  </w:num>
  <w:num w:numId="8">
    <w:abstractNumId w:val="5"/>
  </w:num>
  <w:num w:numId="9">
    <w:abstractNumId w:val="1"/>
  </w:num>
  <w:num w:numId="10">
    <w:abstractNumId w:val="0"/>
  </w:num>
  <w:num w:numId="11">
    <w:abstractNumId w:val="4"/>
  </w:num>
  <w:num w:numId="12">
    <w:abstractNumId w:val="2"/>
  </w:num>
  <w:num w:numId="13">
    <w:abstractNumId w:val="14"/>
  </w:num>
  <w:num w:numId="14">
    <w:abstractNumId w:val="22"/>
  </w:num>
  <w:num w:numId="15">
    <w:abstractNumId w:val="25"/>
  </w:num>
  <w:num w:numId="16">
    <w:abstractNumId w:val="20"/>
  </w:num>
  <w:num w:numId="17">
    <w:abstractNumId w:val="11"/>
  </w:num>
  <w:num w:numId="18">
    <w:abstractNumId w:val="9"/>
  </w:num>
  <w:num w:numId="19">
    <w:abstractNumId w:val="23"/>
  </w:num>
  <w:num w:numId="20">
    <w:abstractNumId w:val="19"/>
  </w:num>
  <w:num w:numId="21">
    <w:abstractNumId w:val="10"/>
  </w:num>
  <w:num w:numId="22">
    <w:abstractNumId w:val="13"/>
  </w:num>
  <w:num w:numId="23">
    <w:abstractNumId w:val="24"/>
  </w:num>
  <w:num w:numId="24">
    <w:abstractNumId w:val="8"/>
  </w:num>
  <w:num w:numId="25">
    <w:abstractNumId w:val="21"/>
  </w:num>
  <w:num w:numId="26">
    <w:abstractNumId w:val="1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075CB"/>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378C3"/>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D68EC"/>
    <w:rsid w:val="00EF1292"/>
    <w:rsid w:val="00F3202A"/>
    <w:rsid w:val="00F523A1"/>
    <w:rsid w:val="00F676AD"/>
    <w:rsid w:val="00F90C3B"/>
    <w:rsid w:val="00FF60E3"/>
    <w:rsid w:val="01F77F95"/>
    <w:rsid w:val="04395576"/>
    <w:rsid w:val="04777312"/>
    <w:rsid w:val="04A3117E"/>
    <w:rsid w:val="058C78B0"/>
    <w:rsid w:val="05E13064"/>
    <w:rsid w:val="06E01180"/>
    <w:rsid w:val="078A573C"/>
    <w:rsid w:val="07FB488D"/>
    <w:rsid w:val="081541D2"/>
    <w:rsid w:val="093A3733"/>
    <w:rsid w:val="0B4508AE"/>
    <w:rsid w:val="0C0D512F"/>
    <w:rsid w:val="0CD67F10"/>
    <w:rsid w:val="0CF161C9"/>
    <w:rsid w:val="0D356657"/>
    <w:rsid w:val="0D7954EB"/>
    <w:rsid w:val="0DAB3854"/>
    <w:rsid w:val="0E0B7FF0"/>
    <w:rsid w:val="0E6F3E7F"/>
    <w:rsid w:val="0F000F7B"/>
    <w:rsid w:val="0FE61CA0"/>
    <w:rsid w:val="117A5014"/>
    <w:rsid w:val="127F05A0"/>
    <w:rsid w:val="136D78F8"/>
    <w:rsid w:val="15845DE6"/>
    <w:rsid w:val="158F4E06"/>
    <w:rsid w:val="15CC4977"/>
    <w:rsid w:val="162A4F7D"/>
    <w:rsid w:val="16A82A66"/>
    <w:rsid w:val="175E328A"/>
    <w:rsid w:val="182932F0"/>
    <w:rsid w:val="1994787E"/>
    <w:rsid w:val="1C8335FD"/>
    <w:rsid w:val="1CEC0D90"/>
    <w:rsid w:val="1DD000AF"/>
    <w:rsid w:val="1E09745A"/>
    <w:rsid w:val="1E176351"/>
    <w:rsid w:val="1F731A9F"/>
    <w:rsid w:val="1FCD64B1"/>
    <w:rsid w:val="20FB77F4"/>
    <w:rsid w:val="219477BD"/>
    <w:rsid w:val="21B3734E"/>
    <w:rsid w:val="21DD66CA"/>
    <w:rsid w:val="224A0A33"/>
    <w:rsid w:val="227324E7"/>
    <w:rsid w:val="22935D1D"/>
    <w:rsid w:val="23C562A3"/>
    <w:rsid w:val="23D4489F"/>
    <w:rsid w:val="2472601F"/>
    <w:rsid w:val="257C53A7"/>
    <w:rsid w:val="25D23219"/>
    <w:rsid w:val="262001B9"/>
    <w:rsid w:val="263C2F96"/>
    <w:rsid w:val="27B87AF9"/>
    <w:rsid w:val="27E80EA9"/>
    <w:rsid w:val="280414A1"/>
    <w:rsid w:val="28570368"/>
    <w:rsid w:val="2936586D"/>
    <w:rsid w:val="29C5318E"/>
    <w:rsid w:val="29E144BE"/>
    <w:rsid w:val="2A6574E9"/>
    <w:rsid w:val="2B502F98"/>
    <w:rsid w:val="2B5F63AF"/>
    <w:rsid w:val="2BEC7D40"/>
    <w:rsid w:val="2C674CE8"/>
    <w:rsid w:val="2C9A0A9E"/>
    <w:rsid w:val="2CC31B0E"/>
    <w:rsid w:val="2D95786F"/>
    <w:rsid w:val="2DA70D65"/>
    <w:rsid w:val="2FAA0D63"/>
    <w:rsid w:val="30F776C7"/>
    <w:rsid w:val="322C3CB1"/>
    <w:rsid w:val="3427766B"/>
    <w:rsid w:val="343706EB"/>
    <w:rsid w:val="351A08D0"/>
    <w:rsid w:val="36334CE5"/>
    <w:rsid w:val="37D16702"/>
    <w:rsid w:val="39927C81"/>
    <w:rsid w:val="3A551407"/>
    <w:rsid w:val="3AAC733F"/>
    <w:rsid w:val="3AC3717D"/>
    <w:rsid w:val="3B033C36"/>
    <w:rsid w:val="3B2D3CBB"/>
    <w:rsid w:val="3BC907C3"/>
    <w:rsid w:val="3C5C560E"/>
    <w:rsid w:val="3C7707DD"/>
    <w:rsid w:val="3E5D4E8E"/>
    <w:rsid w:val="3F9133A5"/>
    <w:rsid w:val="3FE25336"/>
    <w:rsid w:val="40526FD9"/>
    <w:rsid w:val="41076015"/>
    <w:rsid w:val="4121269F"/>
    <w:rsid w:val="42075FF8"/>
    <w:rsid w:val="42842020"/>
    <w:rsid w:val="42A605E8"/>
    <w:rsid w:val="42C16887"/>
    <w:rsid w:val="45774DEB"/>
    <w:rsid w:val="45A33E32"/>
    <w:rsid w:val="468567BB"/>
    <w:rsid w:val="46AE6F33"/>
    <w:rsid w:val="46D63C8B"/>
    <w:rsid w:val="4782487D"/>
    <w:rsid w:val="47A8577D"/>
    <w:rsid w:val="48852C5B"/>
    <w:rsid w:val="48912668"/>
    <w:rsid w:val="48E00EFA"/>
    <w:rsid w:val="49B51131"/>
    <w:rsid w:val="49C246CA"/>
    <w:rsid w:val="4B31068E"/>
    <w:rsid w:val="4BA55220"/>
    <w:rsid w:val="4BAD0151"/>
    <w:rsid w:val="4C184E09"/>
    <w:rsid w:val="4C8F75A2"/>
    <w:rsid w:val="4D1B69A4"/>
    <w:rsid w:val="4DAD4403"/>
    <w:rsid w:val="4E4D5283"/>
    <w:rsid w:val="4E8168A2"/>
    <w:rsid w:val="4E8C008E"/>
    <w:rsid w:val="4F470789"/>
    <w:rsid w:val="4FEF758C"/>
    <w:rsid w:val="50771A9C"/>
    <w:rsid w:val="50A417ED"/>
    <w:rsid w:val="51814859"/>
    <w:rsid w:val="51A76A58"/>
    <w:rsid w:val="51C47F6D"/>
    <w:rsid w:val="526C2A8A"/>
    <w:rsid w:val="53514ECE"/>
    <w:rsid w:val="5455382C"/>
    <w:rsid w:val="55AC0AE1"/>
    <w:rsid w:val="55E6461A"/>
    <w:rsid w:val="566429F2"/>
    <w:rsid w:val="56DB728F"/>
    <w:rsid w:val="5ACB7C5C"/>
    <w:rsid w:val="5BAD547D"/>
    <w:rsid w:val="5D0A3490"/>
    <w:rsid w:val="5D7E0D39"/>
    <w:rsid w:val="5DFB21D6"/>
    <w:rsid w:val="5E7943E4"/>
    <w:rsid w:val="5E9D3F29"/>
    <w:rsid w:val="5F69270C"/>
    <w:rsid w:val="60241FF3"/>
    <w:rsid w:val="60384CD1"/>
    <w:rsid w:val="60655808"/>
    <w:rsid w:val="60E23609"/>
    <w:rsid w:val="60F86CEE"/>
    <w:rsid w:val="61025A59"/>
    <w:rsid w:val="61DA7EB5"/>
    <w:rsid w:val="62ED2C21"/>
    <w:rsid w:val="63A9427A"/>
    <w:rsid w:val="63B23767"/>
    <w:rsid w:val="63D462B1"/>
    <w:rsid w:val="641A3596"/>
    <w:rsid w:val="64D96647"/>
    <w:rsid w:val="655B51E5"/>
    <w:rsid w:val="65E40ADA"/>
    <w:rsid w:val="66330B86"/>
    <w:rsid w:val="668F5FE1"/>
    <w:rsid w:val="66E22203"/>
    <w:rsid w:val="677551D7"/>
    <w:rsid w:val="67863D10"/>
    <w:rsid w:val="68B812C9"/>
    <w:rsid w:val="69D50CF4"/>
    <w:rsid w:val="6AEF704E"/>
    <w:rsid w:val="6B054862"/>
    <w:rsid w:val="6B476CEE"/>
    <w:rsid w:val="6C487AFD"/>
    <w:rsid w:val="6CB24363"/>
    <w:rsid w:val="6CFA6338"/>
    <w:rsid w:val="6EA93466"/>
    <w:rsid w:val="6EBD136C"/>
    <w:rsid w:val="6EDF197E"/>
    <w:rsid w:val="6F3C53B6"/>
    <w:rsid w:val="6FCF0795"/>
    <w:rsid w:val="71381023"/>
    <w:rsid w:val="72930C07"/>
    <w:rsid w:val="73714961"/>
    <w:rsid w:val="754D1D92"/>
    <w:rsid w:val="758350A9"/>
    <w:rsid w:val="76CC46E8"/>
    <w:rsid w:val="77132317"/>
    <w:rsid w:val="77BC7D69"/>
    <w:rsid w:val="78D9133E"/>
    <w:rsid w:val="79687E1D"/>
    <w:rsid w:val="7A7120E3"/>
    <w:rsid w:val="7B560FD7"/>
    <w:rsid w:val="7B5F74F8"/>
    <w:rsid w:val="7B690630"/>
    <w:rsid w:val="7BCE4A5E"/>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rPr>
      <w:sz w:val="24"/>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sht标题1"/>
    <w:basedOn w:val="1"/>
    <w:next w:val="2"/>
    <w:qFormat/>
    <w:uiPriority w:val="0"/>
    <w:pPr>
      <w:jc w:val="center"/>
    </w:pPr>
    <w:rPr>
      <w:rFonts w:eastAsia="黑体"/>
      <w:b/>
      <w:sz w:val="52"/>
      <w:szCs w:val="24"/>
    </w:rPr>
  </w:style>
  <w:style w:type="paragraph" w:customStyle="1" w:styleId="4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1245</Words>
  <Characters>1323</Characters>
  <Lines>72</Lines>
  <Paragraphs>20</Paragraphs>
  <TotalTime>8</TotalTime>
  <ScaleCrop>false</ScaleCrop>
  <LinksUpToDate>false</LinksUpToDate>
  <CharactersWithSpaces>1395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2026-07-22T00:30:18Z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50E803B176664D6FA00F74B60392790E_13</vt:lpwstr>
  </property>
  <property fmtid="{D5CDD505-2E9C-101B-9397-08002B2CF9AE}" pid="4" name="KSOTemplateDocerSaveRecord">
    <vt:lpwstr>eyJoZGlkIjoiYzBmNjVkODg4YTI3YTdkZTY0YmRiY2Y4YmFkMWQ1OTIiLCJ1c2VySWQiOiI2NDE5ODgzNDAifQ==</vt:lpwstr>
  </property>
</Properties>
</file>