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医院2026年婴儿广域眼底影像系统采购项目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我院就2026年婴儿广域眼底影像系统项目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218"/>
        <w:gridCol w:w="6409"/>
      </w:tblGrid>
      <w:tr w14:paraId="266E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5"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3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584"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3075" w:type="pct"/>
            <w:vAlign w:val="center"/>
          </w:tcPr>
          <w:p w14:paraId="5D708AFB">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备注</w:t>
            </w:r>
          </w:p>
        </w:tc>
      </w:tr>
      <w:tr w14:paraId="5C9C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5"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3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婴儿广域眼底影像系统</w:t>
            </w:r>
          </w:p>
        </w:tc>
        <w:tc>
          <w:tcPr>
            <w:tcW w:w="584"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眼科</w:t>
            </w:r>
          </w:p>
        </w:tc>
        <w:tc>
          <w:tcPr>
            <w:tcW w:w="3075" w:type="pct"/>
            <w:vAlign w:val="center"/>
          </w:tcPr>
          <w:p w14:paraId="29BECCB1">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基本功能：可用于早产儿视网膜病变、婴幼儿的视网膜疾病检查及新生儿眼病筛查，并可用于眼外成像、眼红光反射、眼角膜、眼前节房角、视网膜母细胞瘤等检查。</w:t>
            </w:r>
          </w:p>
          <w:p w14:paraId="3B56092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配置要求</w:t>
            </w:r>
            <w:r>
              <w:rPr>
                <w:rFonts w:hint="eastAsia" w:ascii="仿宋" w:hAnsi="仿宋" w:eastAsia="仿宋" w:cs="仿宋"/>
                <w:sz w:val="21"/>
                <w:szCs w:val="21"/>
                <w:vertAlign w:val="baseline"/>
                <w:lang w:val="en-US" w:eastAsia="zh-CN"/>
              </w:rPr>
              <w:t>：主机 1 台、手柄（含镜头、线缆） 1 套、显示器 1 个、脚踏开关 1 个、造影模块 1 个、软件（含造影功能） 1 套、电脑 1 台、鼠标、键盘套装 1 套、打印机 1 个、可升降台车 1 台。</w:t>
            </w:r>
          </w:p>
          <w:p w14:paraId="1D4F15E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质保要求</w:t>
            </w:r>
            <w:r>
              <w:rPr>
                <w:rFonts w:hint="eastAsia" w:ascii="仿宋" w:hAnsi="仿宋" w:eastAsia="仿宋" w:cs="仿宋"/>
                <w:sz w:val="21"/>
                <w:szCs w:val="21"/>
                <w:vertAlign w:val="baseline"/>
                <w:lang w:val="en-US" w:eastAsia="zh-CN"/>
              </w:rPr>
              <w:t>：5年（全保）。</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2026年7月20日15:00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本次线下推荐活动暂定2026年7月21日14</w:t>
      </w:r>
      <w:bookmarkStart w:id="0" w:name="_GoBack"/>
      <w:bookmarkEnd w:id="0"/>
      <w:r>
        <w:rPr>
          <w:rFonts w:hint="eastAsia" w:ascii="仿宋" w:hAnsi="仿宋" w:eastAsia="仿宋" w:cs="仿宋"/>
          <w:b/>
          <w:bCs/>
          <w:color w:val="FF0000"/>
          <w:sz w:val="24"/>
          <w:szCs w:val="24"/>
          <w:highlight w:val="none"/>
          <w:lang w:val="en-US" w:eastAsia="zh-CN"/>
        </w:rPr>
        <w:t>：30举行，在四川省人民医院医学图书馆招标采购中心311会议室举行，具体时间若发生变化将另行通知，请注意关注</w:t>
      </w:r>
      <w:r>
        <w:rPr>
          <w:rFonts w:hint="eastAsia" w:ascii="仿宋" w:hAnsi="仿宋" w:eastAsia="仿宋" w:cs="仿宋"/>
          <w:sz w:val="24"/>
          <w:szCs w:val="24"/>
          <w:highlight w:val="none"/>
          <w:lang w:val="en-US" w:eastAsia="zh-CN"/>
        </w:rPr>
        <w:t>。</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DA5AD75"/>
    <w:multiLevelType w:val="singleLevel"/>
    <w:tmpl w:val="0DA5AD75"/>
    <w:lvl w:ilvl="0" w:tentative="0">
      <w:start w:val="1"/>
      <w:numFmt w:val="decimal"/>
      <w:suff w:val="nothing"/>
      <w:lvlText w:val="%1、"/>
      <w:lvlJc w:val="left"/>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DE44D5"/>
    <w:rsid w:val="04184A42"/>
    <w:rsid w:val="04B72AFD"/>
    <w:rsid w:val="04E01080"/>
    <w:rsid w:val="04FD3892"/>
    <w:rsid w:val="06EB12F4"/>
    <w:rsid w:val="07F04BDA"/>
    <w:rsid w:val="086821BB"/>
    <w:rsid w:val="08695AC1"/>
    <w:rsid w:val="08E9737B"/>
    <w:rsid w:val="09005079"/>
    <w:rsid w:val="091C3642"/>
    <w:rsid w:val="096170E6"/>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226DB"/>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1419</Words>
  <Characters>1479</Characters>
  <Lines>9</Lines>
  <Paragraphs>2</Paragraphs>
  <TotalTime>18</TotalTime>
  <ScaleCrop>false</ScaleCrop>
  <LinksUpToDate>false</LinksUpToDate>
  <CharactersWithSpaces>1609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2026-07-14T02:06:24Z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