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四川省人民医院院区互联移动专线扩容采购项目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4" w:type="first"/>
          <w:footerReference r:id="rId5" w:type="first"/>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9</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footerReference r:id="rId6"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numPr>
          <w:ilvl w:val="0"/>
          <w:numId w:val="0"/>
        </w:numPr>
        <w:ind w:left="0" w:leftChars="0" w:firstLine="0" w:firstLineChars="0"/>
        <w:rPr>
          <w:rFonts w:ascii="Times New Roman" w:hAnsi="Times New Roman" w:cs="Times New Roman"/>
        </w:rPr>
      </w:pPr>
      <w:bookmarkStart w:id="0" w:name="_Toc3240"/>
      <w:bookmarkStart w:id="1" w:name="_Toc1907"/>
      <w:bookmarkStart w:id="2" w:name="_Toc21919"/>
      <w:bookmarkStart w:id="3" w:name="_Toc20358"/>
      <w:bookmarkStart w:id="4" w:name="_Toc471310326"/>
      <w:bookmarkStart w:id="5" w:name="_Toc62832406"/>
      <w:r>
        <w:rPr>
          <w:rFonts w:hint="eastAsia" w:ascii="Times New Roman" w:hAnsi="Times New Roman" w:eastAsia="黑体" w:cs="Times New Roman"/>
          <w:b/>
          <w:kern w:val="44"/>
          <w:sz w:val="36"/>
          <w:lang w:val="zh-CN" w:eastAsia="zh-CN" w:bidi="ar-SA"/>
        </w:rPr>
        <w:t xml:space="preserve">第一章 </w:t>
      </w:r>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7"/>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四川省人民医院院区互联移动专线扩容采购项目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hint="eastAsia" w:ascii="Times New Roman" w:hAnsi="Times New Roman" w:eastAsia="仿宋" w:cs="Times New Roman"/>
                <w:b w:val="0"/>
                <w:bCs w:val="0"/>
                <w:sz w:val="22"/>
                <w:lang w:eastAsia="zh-CN"/>
              </w:rPr>
            </w:pPr>
            <w:r>
              <w:rPr>
                <w:rFonts w:hint="eastAsia" w:ascii="仿宋" w:hAnsi="仿宋" w:eastAsia="仿宋" w:cs="仿宋"/>
                <w:b w:val="0"/>
                <w:bCs w:val="0"/>
                <w:sz w:val="22"/>
                <w:lang w:val="en-US" w:eastAsia="zh-CN"/>
              </w:rPr>
              <w:t>CGZX-YXX20261214</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b w:val="0"/>
                <w:bCs w:val="0"/>
                <w:sz w:val="22"/>
              </w:rPr>
            </w:pPr>
            <w:r>
              <w:rPr>
                <w:rFonts w:ascii="Times New Roman" w:hAnsi="Times New Roman" w:eastAsia="仿宋" w:cs="Times New Roman"/>
                <w:b w:val="0"/>
                <w:bCs w:val="0"/>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700B880E">
            <w:pPr>
              <w:spacing w:line="360" w:lineRule="auto"/>
              <w:ind w:left="210" w:leftChars="100"/>
              <w:rPr>
                <w:rFonts w:hint="default" w:ascii="仿宋" w:hAnsi="仿宋" w:eastAsia="仿宋" w:cs="仿宋"/>
                <w:sz w:val="22"/>
                <w:u w:val="none"/>
                <w:lang w:val="en-US" w:eastAsia="zh-CN"/>
              </w:rPr>
            </w:pPr>
            <w:r>
              <w:rPr>
                <w:rFonts w:hint="eastAsia" w:ascii="仿宋" w:hAnsi="仿宋" w:eastAsia="仿宋" w:cs="仿宋"/>
                <w:sz w:val="22"/>
                <w:highlight w:val="none"/>
                <w:u w:val="none"/>
                <w:shd w:val="clear"/>
              </w:rPr>
              <w:t>人民币</w:t>
            </w:r>
            <w:r>
              <w:rPr>
                <w:rFonts w:hint="eastAsia" w:ascii="仿宋" w:hAnsi="仿宋" w:eastAsia="仿宋" w:cs="仿宋"/>
                <w:sz w:val="22"/>
                <w:highlight w:val="none"/>
                <w:u w:val="none"/>
                <w:shd w:val="clear"/>
                <w:lang w:val="en-US" w:eastAsia="zh-CN"/>
              </w:rPr>
              <w:t>46500</w:t>
            </w:r>
            <w:r>
              <w:rPr>
                <w:rFonts w:hint="eastAsia" w:ascii="仿宋" w:hAnsi="仿宋" w:eastAsia="仿宋" w:cs="仿宋"/>
                <w:sz w:val="22"/>
                <w:highlight w:val="none"/>
                <w:u w:val="none"/>
                <w:shd w:val="clear"/>
              </w:rPr>
              <w:t>元</w:t>
            </w:r>
            <w:r>
              <w:rPr>
                <w:rFonts w:hint="eastAsia" w:ascii="仿宋" w:hAnsi="仿宋" w:eastAsia="仿宋" w:cs="仿宋"/>
                <w:sz w:val="22"/>
                <w:highlight w:val="none"/>
                <w:u w:val="none"/>
                <w:shd w:val="clear"/>
                <w:lang w:eastAsia="zh-CN"/>
              </w:rPr>
              <w:t>。限</w:t>
            </w:r>
            <w:r>
              <w:rPr>
                <w:rFonts w:hint="eastAsia" w:ascii="仿宋" w:hAnsi="仿宋" w:eastAsia="仿宋" w:cs="仿宋"/>
                <w:sz w:val="22"/>
                <w:u w:val="none"/>
                <w:lang w:eastAsia="zh-CN"/>
              </w:rPr>
              <w:t>高单价</w:t>
            </w:r>
            <w:r>
              <w:rPr>
                <w:rFonts w:hint="eastAsia" w:ascii="仿宋" w:hAnsi="仿宋" w:eastAsia="仿宋" w:cs="仿宋"/>
                <w:sz w:val="22"/>
                <w:u w:val="none"/>
                <w:lang w:val="en-US" w:eastAsia="zh-CN"/>
              </w:rPr>
              <w:t>详见第四章。</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r>
              <w:rPr>
                <w:rFonts w:hint="eastAsia" w:ascii="Times New Roman" w:hAnsi="Times New Roman" w:eastAsia="仿宋" w:cs="Times New Roman"/>
                <w:sz w:val="22"/>
                <w:lang w:eastAsia="zh-CN"/>
              </w:rPr>
              <w:t>。</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收取</w:t>
            </w:r>
          </w:p>
          <w:p w14:paraId="514FE3F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en-US" w:eastAsia="zh-CN"/>
              </w:rPr>
              <w:t>合同总价10%（逾期未缴纳履约保证金，视为自动放弃成交资格。）</w:t>
            </w:r>
          </w:p>
          <w:p w14:paraId="00EA646A">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lang w:val="zh-CN"/>
              </w:rPr>
              <w:t>交款方式：履约保证金可以</w:t>
            </w:r>
            <w:r>
              <w:rPr>
                <w:rFonts w:hint="eastAsia" w:ascii="Times New Roman" w:hAnsi="Times New Roman" w:eastAsia="仿宋" w:cs="Times New Roman"/>
                <w:sz w:val="22"/>
                <w:szCs w:val="22"/>
                <w:lang w:val="zh-CN" w:eastAsia="zh-CN"/>
              </w:rPr>
              <w:t>以现金转账的形式提交（包括网银转账，电</w:t>
            </w:r>
            <w:r>
              <w:rPr>
                <w:rFonts w:hint="eastAsia" w:ascii="Times New Roman" w:hAnsi="Times New Roman" w:eastAsia="仿宋" w:cs="Times New Roman"/>
                <w:sz w:val="22"/>
                <w:szCs w:val="22"/>
                <w:highlight w:val="none"/>
                <w:lang w:val="zh-CN" w:eastAsia="zh-CN"/>
              </w:rPr>
              <w:t>汇等方式）</w:t>
            </w:r>
            <w:r>
              <w:rPr>
                <w:rFonts w:ascii="Times New Roman" w:hAnsi="Times New Roman" w:eastAsia="仿宋" w:cs="Times New Roman"/>
                <w:sz w:val="22"/>
                <w:szCs w:val="22"/>
                <w:highlight w:val="none"/>
                <w:lang w:val="zh-CN"/>
              </w:rPr>
              <w:t>；</w:t>
            </w:r>
          </w:p>
          <w:p w14:paraId="3B1AE184">
            <w:pPr>
              <w:pStyle w:val="28"/>
              <w:numPr>
                <w:ilvl w:val="0"/>
                <w:numId w:val="7"/>
              </w:numPr>
              <w:tabs>
                <w:tab w:val="left" w:pos="220"/>
              </w:tabs>
              <w:spacing w:line="360" w:lineRule="auto"/>
              <w:ind w:hanging="205"/>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收款单位：</w:t>
            </w:r>
          </w:p>
          <w:p w14:paraId="114A68D6">
            <w:pPr>
              <w:pStyle w:val="28"/>
              <w:numPr>
                <w:ilvl w:val="0"/>
                <w:numId w:val="7"/>
              </w:numPr>
              <w:tabs>
                <w:tab w:val="left" w:pos="220"/>
              </w:tabs>
              <w:spacing w:line="360" w:lineRule="auto"/>
              <w:ind w:hanging="205"/>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开户行：</w:t>
            </w:r>
          </w:p>
          <w:p w14:paraId="6EA49D8D">
            <w:pPr>
              <w:pStyle w:val="28"/>
              <w:numPr>
                <w:ilvl w:val="0"/>
                <w:numId w:val="7"/>
              </w:numPr>
              <w:tabs>
                <w:tab w:val="left" w:pos="220"/>
              </w:tabs>
              <w:spacing w:line="360" w:lineRule="auto"/>
              <w:ind w:hanging="205"/>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银行账号</w:t>
            </w:r>
            <w:r>
              <w:rPr>
                <w:rFonts w:hint="eastAsia" w:ascii="Times New Roman" w:hAnsi="Times New Roman" w:eastAsia="仿宋" w:cs="Times New Roman"/>
                <w:sz w:val="22"/>
                <w:szCs w:val="22"/>
                <w:highlight w:val="none"/>
                <w:lang w:val="zh-CN"/>
              </w:rPr>
              <w:t>：</w:t>
            </w:r>
          </w:p>
          <w:p w14:paraId="3C3D12D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hint="eastAsia" w:ascii="Times New Roman" w:hAnsi="Times New Roman" w:eastAsia="仿宋" w:cs="Times New Roman"/>
                <w:sz w:val="22"/>
                <w:szCs w:val="22"/>
                <w:lang w:val="zh-CN" w:eastAsia="zh-CN"/>
              </w:rPr>
              <w:t>合同生效后7个工作日</w:t>
            </w:r>
            <w:r>
              <w:rPr>
                <w:rFonts w:ascii="Times New Roman" w:hAnsi="Times New Roman" w:eastAsia="仿宋" w:cs="Times New Roman"/>
                <w:sz w:val="22"/>
                <w:szCs w:val="22"/>
                <w:lang w:val="zh-CN"/>
              </w:rPr>
              <w:t>；</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项目验收合格且服务期结束后，供应商向采购人提交退款申请及相应票据，采购人在60工作日内将履约保证金扣减考核金额（如涉及考核）后一次性无息退还。</w:t>
            </w:r>
            <w:r>
              <w:rPr>
                <w:rFonts w:ascii="Times New Roman" w:hAnsi="Times New Roman" w:eastAsia="仿宋" w:cs="Times New Roman"/>
                <w:sz w:val="22"/>
                <w:szCs w:val="22"/>
                <w:lang w:val="zh-CN"/>
              </w:rPr>
              <w:t>；</w:t>
            </w:r>
          </w:p>
          <w:p w14:paraId="7E8CCB7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eastAsia="zh-CN"/>
              </w:rPr>
              <w:t>供应商拒绝履行与采购人订立的合同</w:t>
            </w:r>
            <w:r>
              <w:rPr>
                <w:rFonts w:ascii="Times New Roman" w:hAnsi="Times New Roman" w:eastAsia="仿宋" w:cs="Times New Roman"/>
                <w:sz w:val="22"/>
                <w:szCs w:val="22"/>
                <w:lang w:val="zh-CN"/>
              </w:rPr>
              <w:t>；</w:t>
            </w:r>
          </w:p>
          <w:p w14:paraId="7A45648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eastAsia="zh-CN"/>
              </w:rPr>
              <w:t>因供应商严重违约或其它违法违规行为等情形，导致双方无法继续履约</w:t>
            </w:r>
            <w:r>
              <w:rPr>
                <w:rFonts w:ascii="Times New Roman" w:hAnsi="Times New Roman" w:eastAsia="仿宋" w:cs="Times New Roman"/>
                <w:sz w:val="22"/>
                <w:szCs w:val="22"/>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7D71E93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4"/>
                <w:szCs w:val="24"/>
              </w:rPr>
              <w:t>综合评分法</w:t>
            </w:r>
          </w:p>
          <w:p w14:paraId="579FA05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t>通过资格、符合性审查且满足谈判文件全部实质性要求的供应商达到3家以上</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含3家</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，若合格供应商只有2家，</w:t>
            </w:r>
            <w:r>
              <w:rPr>
                <w:rFonts w:hint="eastAsia" w:ascii="Times New Roman" w:hAnsi="Times New Roman" w:eastAsia="仿宋" w:cs="Times New Roman"/>
                <w:sz w:val="24"/>
                <w:szCs w:val="24"/>
              </w:rPr>
              <w:t>且谈判文</w:t>
            </w:r>
            <w:r>
              <w:rPr>
                <w:rFonts w:ascii="Times New Roman" w:hAnsi="Times New Roman" w:eastAsia="仿宋" w:cs="Times New Roman"/>
                <w:sz w:val="24"/>
                <w:szCs w:val="24"/>
              </w:rPr>
              <w:t>件没有不合理条款，</w:t>
            </w:r>
            <w:r>
              <w:rPr>
                <w:rFonts w:hint="eastAsia" w:ascii="Times New Roman" w:hAnsi="Times New Roman" w:eastAsia="仿宋" w:cs="Times New Roman"/>
                <w:sz w:val="24"/>
                <w:szCs w:val="24"/>
              </w:rPr>
              <w:t>同时</w:t>
            </w:r>
            <w:r>
              <w:rPr>
                <w:rFonts w:ascii="Times New Roman" w:hAnsi="Times New Roman" w:eastAsia="仿宋" w:cs="Times New Roman"/>
                <w:sz w:val="24"/>
                <w:szCs w:val="24"/>
              </w:rPr>
              <w:t>采购程序</w:t>
            </w:r>
            <w:r>
              <w:rPr>
                <w:rFonts w:hint="eastAsia" w:ascii="Times New Roman" w:hAnsi="Times New Roman" w:eastAsia="仿宋" w:cs="Times New Roman"/>
                <w:sz w:val="24"/>
                <w:szCs w:val="24"/>
              </w:rPr>
              <w:t>亦</w:t>
            </w:r>
            <w:r>
              <w:rPr>
                <w:rFonts w:ascii="Times New Roman" w:hAnsi="Times New Roman" w:eastAsia="仿宋" w:cs="Times New Roman"/>
                <w:sz w:val="24"/>
                <w:szCs w:val="24"/>
              </w:rPr>
              <w:t>符合规定的，</w:t>
            </w:r>
            <w:r>
              <w:rPr>
                <w:rFonts w:hint="eastAsia" w:ascii="Times New Roman" w:hAnsi="Times New Roman" w:eastAsia="仿宋" w:cs="Times New Roman"/>
                <w:sz w:val="24"/>
                <w:szCs w:val="24"/>
              </w:rPr>
              <w:t>仍</w:t>
            </w:r>
            <w:r>
              <w:rPr>
                <w:rFonts w:ascii="Times New Roman" w:hAnsi="Times New Roman" w:eastAsia="仿宋" w:cs="Times New Roman"/>
                <w:sz w:val="24"/>
                <w:szCs w:val="24"/>
              </w:rPr>
              <w:t>可以继续开展采购活动。谈判小组按照评审因素进行评分，得分最高的供应商为成交供应商</w:t>
            </w:r>
            <w:r>
              <w:rPr>
                <w:rFonts w:ascii="Times New Roman" w:hAnsi="Times New Roman" w:eastAsia="仿宋" w:cs="Times New Roman"/>
                <w:sz w:val="24"/>
                <w:szCs w:val="24"/>
                <w:highlight w:val="none"/>
              </w:rPr>
              <w:t>。</w:t>
            </w:r>
            <w:r>
              <w:rPr>
                <w:rFonts w:hint="eastAsia" w:ascii="Times New Roman" w:hAnsi="Times New Roman" w:eastAsia="仿宋" w:cs="Times New Roman"/>
                <w:sz w:val="24"/>
                <w:szCs w:val="24"/>
                <w:highlight w:val="none"/>
              </w:rPr>
              <w:t>若得分相同则报价最低的为成交供应商</w:t>
            </w:r>
            <w:r>
              <w:rPr>
                <w:rFonts w:hint="eastAsia" w:ascii="Times New Roman" w:hAnsi="Times New Roman" w:eastAsia="仿宋" w:cs="Times New Roman"/>
                <w:sz w:val="24"/>
                <w:szCs w:val="24"/>
              </w:rPr>
              <w:t>。若得分相同且报价亦相同，则采取随机抽取的方式确定成交供应商。</w:t>
            </w:r>
          </w:p>
          <w:p w14:paraId="354363C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FE"/>
            </w:r>
            <w:r>
              <w:rPr>
                <w:rFonts w:ascii="Times New Roman" w:hAnsi="Times New Roman" w:eastAsia="仿宋" w:cs="Times New Roman"/>
                <w:sz w:val="24"/>
                <w:szCs w:val="24"/>
              </w:rPr>
              <w:t>最低评审价法</w:t>
            </w:r>
          </w:p>
          <w:p w14:paraId="6DFB5BC6">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含3家</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。若合格供应商只有2家，</w:t>
            </w:r>
            <w:r>
              <w:rPr>
                <w:rFonts w:hint="eastAsia" w:ascii="Times New Roman" w:hAnsi="Times New Roman" w:eastAsia="仿宋" w:cs="Times New Roman"/>
                <w:sz w:val="24"/>
                <w:szCs w:val="24"/>
              </w:rPr>
              <w:t>且谈判</w:t>
            </w:r>
            <w:r>
              <w:rPr>
                <w:rFonts w:ascii="Times New Roman" w:hAnsi="Times New Roman" w:eastAsia="仿宋" w:cs="Times New Roman"/>
                <w:sz w:val="24"/>
                <w:szCs w:val="24"/>
              </w:rPr>
              <w:t>文件没有不合理条款，</w:t>
            </w:r>
            <w:r>
              <w:rPr>
                <w:rFonts w:hint="eastAsia" w:ascii="Times New Roman" w:hAnsi="Times New Roman" w:eastAsia="仿宋" w:cs="Times New Roman"/>
                <w:sz w:val="24"/>
                <w:szCs w:val="24"/>
              </w:rPr>
              <w:t>同时</w:t>
            </w:r>
            <w:r>
              <w:rPr>
                <w:rFonts w:ascii="Times New Roman" w:hAnsi="Times New Roman" w:eastAsia="仿宋" w:cs="Times New Roman"/>
                <w:sz w:val="24"/>
                <w:szCs w:val="24"/>
              </w:rPr>
              <w:t>采购程序</w:t>
            </w:r>
            <w:r>
              <w:rPr>
                <w:rFonts w:hint="eastAsia" w:ascii="Times New Roman" w:hAnsi="Times New Roman" w:eastAsia="仿宋" w:cs="Times New Roman"/>
                <w:sz w:val="24"/>
                <w:szCs w:val="24"/>
              </w:rPr>
              <w:t>亦符</w:t>
            </w:r>
            <w:r>
              <w:rPr>
                <w:rFonts w:ascii="Times New Roman" w:hAnsi="Times New Roman" w:eastAsia="仿宋" w:cs="Times New Roman"/>
                <w:sz w:val="24"/>
                <w:szCs w:val="24"/>
              </w:rPr>
              <w:t>合规定的，</w:t>
            </w:r>
            <w:r>
              <w:rPr>
                <w:rFonts w:hint="eastAsia" w:ascii="Times New Roman" w:hAnsi="Times New Roman" w:eastAsia="仿宋" w:cs="Times New Roman"/>
                <w:sz w:val="24"/>
                <w:szCs w:val="24"/>
              </w:rPr>
              <w:t>仍</w:t>
            </w:r>
            <w:r>
              <w:rPr>
                <w:rFonts w:ascii="Times New Roman" w:hAnsi="Times New Roman" w:eastAsia="仿宋" w:cs="Times New Roman"/>
                <w:sz w:val="24"/>
                <w:szCs w:val="24"/>
              </w:rPr>
              <w:t>可以继续开展采购活动。谈判小组按照有效报价进行评审，有效报价最低的合格供应商为成交供应商。</w:t>
            </w:r>
            <w:r>
              <w:rPr>
                <w:rFonts w:hint="eastAsia" w:ascii="Times New Roman" w:hAnsi="Times New Roman" w:eastAsia="仿宋" w:cs="Times New Roman"/>
                <w:sz w:val="24"/>
                <w:szCs w:val="24"/>
                <w:lang w:val="en-US" w:eastAsia="zh-CN"/>
              </w:rPr>
              <w:t>若</w:t>
            </w:r>
            <w:r>
              <w:rPr>
                <w:rFonts w:ascii="Times New Roman" w:hAnsi="Times New Roman" w:eastAsia="仿宋" w:cs="Times New Roman"/>
                <w:sz w:val="24"/>
                <w:szCs w:val="24"/>
              </w:rPr>
              <w:t>报价相同则采取随机抽取的方式确定成交供应商。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1D4FA264">
            <w:pPr>
              <w:spacing w:line="360" w:lineRule="auto"/>
              <w:ind w:left="210" w:leftChars="100"/>
              <w:rPr>
                <w:rFonts w:hint="eastAsia" w:ascii="仿宋" w:hAnsi="仿宋" w:eastAsia="仿宋" w:cs="仿宋"/>
                <w:sz w:val="22"/>
                <w:szCs w:val="22"/>
              </w:rPr>
            </w:pPr>
            <w:r>
              <w:rPr>
                <w:rFonts w:hint="eastAsia" w:ascii="仿宋" w:hAnsi="仿宋" w:eastAsia="仿宋" w:cs="仿宋"/>
                <w:sz w:val="22"/>
                <w:szCs w:val="22"/>
              </w:rPr>
              <w:t>（1）采购部门：招标采购中心</w:t>
            </w:r>
          </w:p>
          <w:p w14:paraId="59C9C6D4">
            <w:pPr>
              <w:spacing w:line="360" w:lineRule="auto"/>
              <w:ind w:left="210" w:leftChars="100"/>
              <w:rPr>
                <w:rFonts w:hint="default" w:ascii="仿宋" w:hAnsi="仿宋" w:eastAsia="仿宋" w:cs="仿宋"/>
                <w:sz w:val="22"/>
                <w:szCs w:val="22"/>
                <w:u w:val="none"/>
                <w:lang w:val="en-US" w:eastAsia="zh-CN"/>
              </w:rPr>
            </w:pPr>
            <w:r>
              <w:rPr>
                <w:rFonts w:hint="eastAsia" w:ascii="仿宋" w:hAnsi="仿宋" w:eastAsia="仿宋" w:cs="仿宋"/>
                <w:sz w:val="22"/>
                <w:szCs w:val="22"/>
                <w:u w:val="none"/>
              </w:rPr>
              <w:t>联系方式：</w:t>
            </w:r>
            <w:r>
              <w:rPr>
                <w:rFonts w:hint="eastAsia" w:ascii="仿宋" w:hAnsi="仿宋" w:eastAsia="仿宋" w:cs="仿宋"/>
                <w:sz w:val="22"/>
                <w:szCs w:val="22"/>
                <w:u w:val="none"/>
                <w:lang w:val="en-US" w:eastAsia="zh-CN"/>
              </w:rPr>
              <w:t>王</w:t>
            </w:r>
            <w:r>
              <w:rPr>
                <w:rFonts w:hint="eastAsia" w:ascii="仿宋" w:hAnsi="仿宋" w:eastAsia="仿宋" w:cs="仿宋"/>
                <w:sz w:val="22"/>
                <w:szCs w:val="22"/>
                <w:u w:val="none"/>
              </w:rPr>
              <w:t>老师</w:t>
            </w:r>
            <w:r>
              <w:rPr>
                <w:rFonts w:hint="eastAsia" w:ascii="仿宋" w:hAnsi="仿宋" w:eastAsia="仿宋" w:cs="仿宋"/>
                <w:sz w:val="22"/>
                <w:szCs w:val="22"/>
                <w:u w:val="none"/>
                <w:lang w:val="en-US" w:eastAsia="zh-CN"/>
              </w:rPr>
              <w:t xml:space="preserve"> </w:t>
            </w:r>
            <w:r>
              <w:rPr>
                <w:rFonts w:hint="eastAsia" w:ascii="仿宋" w:hAnsi="仿宋" w:eastAsia="仿宋" w:cs="仿宋"/>
                <w:sz w:val="22"/>
                <w:szCs w:val="22"/>
                <w:u w:val="none"/>
              </w:rPr>
              <w:t>028-</w:t>
            </w:r>
            <w:r>
              <w:rPr>
                <w:rFonts w:hint="eastAsia" w:ascii="仿宋" w:hAnsi="仿宋" w:eastAsia="仿宋" w:cs="仿宋"/>
                <w:sz w:val="22"/>
                <w:szCs w:val="22"/>
                <w:u w:val="none"/>
                <w:lang w:val="en-US" w:eastAsia="zh-CN"/>
              </w:rPr>
              <w:t>87393060</w:t>
            </w:r>
          </w:p>
          <w:p w14:paraId="1445CED7">
            <w:pPr>
              <w:spacing w:line="360" w:lineRule="auto"/>
              <w:ind w:left="210" w:leftChars="100"/>
              <w:rPr>
                <w:rFonts w:hint="eastAsia" w:ascii="仿宋" w:hAnsi="仿宋" w:eastAsia="仿宋" w:cs="仿宋"/>
                <w:sz w:val="22"/>
                <w:szCs w:val="22"/>
                <w:highlight w:val="none"/>
                <w:u w:val="none"/>
              </w:rPr>
            </w:pPr>
            <w:r>
              <w:rPr>
                <w:rFonts w:hint="eastAsia" w:ascii="仿宋" w:hAnsi="仿宋" w:eastAsia="仿宋" w:cs="仿宋"/>
                <w:sz w:val="22"/>
                <w:szCs w:val="22"/>
                <w:u w:val="none"/>
              </w:rPr>
              <w:t>（2）归口</w:t>
            </w:r>
            <w:r>
              <w:rPr>
                <w:rFonts w:hint="eastAsia" w:ascii="仿宋" w:hAnsi="仿宋" w:eastAsia="仿宋" w:cs="仿宋"/>
                <w:sz w:val="22"/>
                <w:szCs w:val="22"/>
                <w:highlight w:val="none"/>
                <w:u w:val="none"/>
              </w:rPr>
              <w:t>部门：</w:t>
            </w:r>
            <w:r>
              <w:rPr>
                <w:rFonts w:hint="eastAsia" w:ascii="仿宋" w:hAnsi="仿宋" w:eastAsia="仿宋" w:cs="仿宋"/>
                <w:sz w:val="22"/>
                <w:szCs w:val="22"/>
                <w:highlight w:val="none"/>
                <w:u w:val="none"/>
                <w:lang w:val="en-US" w:eastAsia="zh-CN"/>
              </w:rPr>
              <w:t>医学信息中心</w:t>
            </w:r>
          </w:p>
          <w:p w14:paraId="677B508E">
            <w:pPr>
              <w:spacing w:line="360" w:lineRule="auto"/>
              <w:ind w:left="210" w:leftChars="100"/>
              <w:rPr>
                <w:rFonts w:hint="eastAsia" w:ascii="仿宋" w:hAnsi="仿宋" w:eastAsia="仿宋" w:cs="仿宋"/>
                <w:sz w:val="22"/>
                <w:szCs w:val="22"/>
                <w:highlight w:val="none"/>
                <w:u w:val="none"/>
                <w:lang w:val="en-US" w:eastAsia="zh-CN"/>
              </w:rPr>
            </w:pPr>
            <w:r>
              <w:rPr>
                <w:rFonts w:hint="eastAsia" w:ascii="仿宋" w:hAnsi="仿宋" w:eastAsia="仿宋" w:cs="仿宋"/>
                <w:sz w:val="22"/>
                <w:szCs w:val="22"/>
                <w:highlight w:val="none"/>
                <w:u w:val="none"/>
              </w:rPr>
              <w:t>联系方式：</w:t>
            </w:r>
            <w:r>
              <w:rPr>
                <w:rFonts w:hint="eastAsia" w:ascii="仿宋" w:hAnsi="仿宋" w:eastAsia="仿宋" w:cs="仿宋"/>
                <w:sz w:val="22"/>
                <w:szCs w:val="22"/>
                <w:highlight w:val="none"/>
                <w:u w:val="none"/>
                <w:lang w:val="en-US" w:eastAsia="zh-CN"/>
              </w:rPr>
              <w:t>叶</w:t>
            </w:r>
            <w:r>
              <w:rPr>
                <w:rFonts w:hint="eastAsia" w:ascii="仿宋" w:hAnsi="仿宋" w:eastAsia="仿宋" w:cs="仿宋"/>
                <w:sz w:val="22"/>
                <w:szCs w:val="22"/>
                <w:highlight w:val="none"/>
                <w:u w:val="none"/>
              </w:rPr>
              <w:t>老师</w:t>
            </w:r>
            <w:r>
              <w:rPr>
                <w:rFonts w:hint="eastAsia" w:ascii="仿宋" w:hAnsi="仿宋" w:eastAsia="仿宋" w:cs="仿宋"/>
                <w:sz w:val="22"/>
                <w:szCs w:val="22"/>
                <w:highlight w:val="none"/>
                <w:u w:val="none"/>
                <w:lang w:val="en-US" w:eastAsia="zh-CN"/>
              </w:rPr>
              <w:t xml:space="preserve"> </w:t>
            </w:r>
            <w:r>
              <w:rPr>
                <w:rFonts w:hint="eastAsia" w:ascii="仿宋" w:hAnsi="仿宋" w:eastAsia="仿宋" w:cs="仿宋"/>
                <w:sz w:val="22"/>
                <w:szCs w:val="22"/>
                <w:highlight w:val="none"/>
                <w:u w:val="none"/>
              </w:rPr>
              <w:t>028-</w:t>
            </w:r>
            <w:r>
              <w:rPr>
                <w:rFonts w:hint="eastAsia" w:ascii="仿宋" w:hAnsi="仿宋" w:eastAsia="仿宋" w:cs="仿宋"/>
                <w:sz w:val="22"/>
                <w:szCs w:val="22"/>
                <w:highlight w:val="none"/>
                <w:u w:val="none"/>
                <w:lang w:val="en-US" w:eastAsia="zh-CN"/>
              </w:rPr>
              <w:t>87393250</w:t>
            </w:r>
          </w:p>
          <w:p w14:paraId="4C76527E">
            <w:pPr>
              <w:spacing w:line="360" w:lineRule="auto"/>
              <w:ind w:left="210" w:leftChars="100"/>
              <w:rPr>
                <w:rFonts w:hint="eastAsia" w:ascii="仿宋" w:hAnsi="仿宋" w:eastAsia="仿宋" w:cs="仿宋"/>
                <w:sz w:val="22"/>
                <w:szCs w:val="22"/>
                <w:highlight w:val="none"/>
              </w:rPr>
            </w:pPr>
            <w:r>
              <w:rPr>
                <w:rFonts w:hint="eastAsia" w:ascii="仿宋" w:hAnsi="仿宋" w:eastAsia="仿宋" w:cs="仿宋"/>
                <w:sz w:val="22"/>
                <w:szCs w:val="22"/>
                <w:highlight w:val="none"/>
              </w:rPr>
              <w:t>（3）监督部门：审计部</w:t>
            </w:r>
          </w:p>
          <w:p w14:paraId="3C2EDCE7">
            <w:pPr>
              <w:spacing w:line="360" w:lineRule="auto"/>
              <w:ind w:left="210" w:leftChars="100"/>
              <w:rPr>
                <w:rFonts w:hint="eastAsia" w:ascii="仿宋" w:hAnsi="仿宋" w:eastAsia="仿宋" w:cs="仿宋"/>
                <w:sz w:val="22"/>
                <w:szCs w:val="22"/>
                <w:highlight w:val="none"/>
              </w:rPr>
            </w:pPr>
            <w:r>
              <w:rPr>
                <w:rFonts w:hint="eastAsia" w:ascii="仿宋" w:hAnsi="仿宋" w:eastAsia="仿宋" w:cs="仿宋"/>
                <w:sz w:val="22"/>
                <w:szCs w:val="22"/>
                <w:highlight w:val="none"/>
              </w:rPr>
              <w:t>联系方式：028-87394709</w:t>
            </w:r>
          </w:p>
          <w:p w14:paraId="1BAD7122">
            <w:pPr>
              <w:spacing w:line="360" w:lineRule="auto"/>
              <w:ind w:left="210" w:leftChars="100"/>
              <w:rPr>
                <w:rFonts w:ascii="Times New Roman" w:hAnsi="Times New Roman" w:eastAsia="仿宋" w:cs="Times New Roman"/>
                <w:sz w:val="22"/>
              </w:rPr>
            </w:pPr>
            <w:r>
              <w:rPr>
                <w:rFonts w:hint="eastAsia" w:ascii="仿宋" w:hAnsi="仿宋" w:eastAsia="仿宋" w:cs="仿宋"/>
                <w:sz w:val="22"/>
                <w:szCs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numPr>
          <w:ilvl w:val="0"/>
          <w:numId w:val="0"/>
        </w:numPr>
        <w:ind w:left="0" w:leftChars="0" w:firstLine="0" w:firstLineChars="0"/>
        <w:rPr>
          <w:rFonts w:ascii="Times New Roman" w:hAnsi="Times New Roman" w:cs="Times New Roman"/>
        </w:rPr>
      </w:pPr>
      <w:bookmarkStart w:id="6" w:name="_Toc24154"/>
      <w:bookmarkStart w:id="7" w:name="_Toc22329"/>
      <w:bookmarkStart w:id="8" w:name="_Toc14460"/>
      <w:r>
        <w:rPr>
          <w:rFonts w:hint="eastAsia" w:ascii="Times New Roman" w:hAnsi="Times New Roman" w:eastAsia="黑体" w:cs="Times New Roman"/>
          <w:b/>
          <w:kern w:val="44"/>
          <w:sz w:val="36"/>
          <w:lang w:val="zh-CN" w:eastAsia="zh-CN" w:bidi="ar-SA"/>
        </w:rPr>
        <w:t xml:space="preserve">第二章 </w:t>
      </w:r>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4"/>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zh-CN" w:eastAsia="zh-CN"/>
              </w:rPr>
              <w:t>3</w:t>
            </w:r>
            <w:r>
              <w:rPr>
                <w:rFonts w:hint="eastAsia" w:ascii="Times New Roman" w:hAnsi="Times New Roman" w:eastAsia="仿宋" w:cs="Times New Roman"/>
                <w:sz w:val="22"/>
                <w:szCs w:val="22"/>
                <w:lang w:val="en-US" w:eastAsia="zh-CN"/>
              </w:rPr>
              <w:t>060</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eastAsia="zh-CN"/>
              </w:rPr>
              <w:t>sbc3214@vip.163.com</w:t>
            </w:r>
            <w:r>
              <w:rPr>
                <w:rFonts w:hint="eastAsia" w:ascii="Times New Roman" w:hAnsi="Times New Roman" w:eastAsia="仿宋" w:cs="Times New Roman"/>
                <w:sz w:val="22"/>
                <w:szCs w:val="22"/>
                <w:lang w:val="zh-CN"/>
              </w:rPr>
              <w:t>。</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numPr>
          <w:ilvl w:val="0"/>
          <w:numId w:val="0"/>
        </w:numPr>
        <w:ind w:left="0" w:leftChars="0" w:firstLine="0" w:firstLineChars="0"/>
        <w:rPr>
          <w:rFonts w:ascii="Times New Roman" w:hAnsi="Times New Roman" w:cs="Times New Roman"/>
        </w:rPr>
      </w:pPr>
      <w:bookmarkStart w:id="9" w:name="_Toc19400"/>
      <w:bookmarkStart w:id="10" w:name="_Toc28050"/>
      <w:bookmarkStart w:id="11" w:name="_Toc32181"/>
      <w:r>
        <w:rPr>
          <w:rFonts w:hint="eastAsia" w:ascii="Times New Roman" w:hAnsi="Times New Roman" w:eastAsia="黑体" w:cs="Times New Roman"/>
          <w:b/>
          <w:kern w:val="44"/>
          <w:sz w:val="36"/>
          <w:lang w:val="zh-CN" w:eastAsia="zh-CN" w:bidi="ar-SA"/>
        </w:rPr>
        <w:t xml:space="preserve">第三章 </w:t>
      </w:r>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9"/>
        <w:gridCol w:w="10"/>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6"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6"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14:paraId="430DC133">
            <w:pPr>
              <w:rPr>
                <w:rFonts w:ascii="Times New Roman" w:hAnsi="Times New Roman" w:eastAsia="仿宋" w:cs="Times New Roman"/>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22915FD">
            <w:pPr>
              <w:widowControl/>
              <w:jc w:val="left"/>
              <w:rPr>
                <w:rFonts w:hint="default" w:ascii="Times New Roman" w:hAnsi="Times New Roman" w:eastAsia="仿宋" w:cs="Times New Roman"/>
                <w:b/>
                <w:bCs/>
                <w:sz w:val="22"/>
                <w:lang w:val="en-US" w:eastAsia="zh-CN"/>
              </w:rPr>
            </w:pPr>
            <w:r>
              <w:rPr>
                <w:rFonts w:ascii="Times New Roman" w:hAnsi="Times New Roman" w:eastAsia="仿宋" w:cs="Times New Roman"/>
                <w:b/>
                <w:bCs/>
                <w:sz w:val="22"/>
              </w:rPr>
              <w:t>本项目其他资格条件：</w:t>
            </w:r>
            <w:r>
              <w:rPr>
                <w:rFonts w:hint="eastAsia" w:ascii="Times New Roman" w:hAnsi="Times New Roman" w:eastAsia="仿宋" w:cs="Times New Roman"/>
                <w:b/>
                <w:bCs/>
                <w:sz w:val="22"/>
                <w:u w:val="single"/>
                <w:lang w:val="en-US" w:eastAsia="zh-CN"/>
              </w:rPr>
              <w:t>供应商具有有效的《基础电信业务经营许可证》。</w:t>
            </w:r>
          </w:p>
        </w:tc>
        <w:tc>
          <w:tcPr>
            <w:tcW w:w="2846" w:type="pct"/>
            <w:vAlign w:val="center"/>
          </w:tcPr>
          <w:p w14:paraId="7D3D2FEC">
            <w:pPr>
              <w:rPr>
                <w:rFonts w:hint="eastAsia" w:ascii="Times New Roman" w:hAnsi="Times New Roman" w:eastAsia="仿宋" w:cs="Times New Roman"/>
                <w:sz w:val="22"/>
                <w:u w:val="single"/>
                <w:lang w:val="en-US" w:eastAsia="zh-CN"/>
              </w:rPr>
            </w:pPr>
            <w:r>
              <w:rPr>
                <w:rFonts w:ascii="Times New Roman" w:hAnsi="Times New Roman" w:eastAsia="仿宋" w:cs="Times New Roman"/>
                <w:sz w:val="22"/>
              </w:rPr>
              <w:t>提供</w:t>
            </w:r>
            <w:r>
              <w:rPr>
                <w:rFonts w:hint="eastAsia" w:ascii="Times New Roman" w:hAnsi="Times New Roman" w:eastAsia="仿宋" w:cs="Times New Roman"/>
                <w:sz w:val="22"/>
                <w:u w:val="single"/>
              </w:rPr>
              <w:t>有效期内的证书扫描件。</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8"/>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的条款</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numPr>
          <w:ilvl w:val="0"/>
          <w:numId w:val="0"/>
        </w:numPr>
        <w:ind w:left="0" w:leftChars="0" w:firstLine="0" w:firstLineChars="0"/>
        <w:rPr>
          <w:rFonts w:ascii="Times New Roman" w:hAnsi="Times New Roman" w:cs="Times New Roman"/>
        </w:rPr>
      </w:pPr>
      <w:bookmarkStart w:id="12" w:name="_Toc16403"/>
      <w:bookmarkStart w:id="13" w:name="_Toc3988"/>
      <w:bookmarkStart w:id="14" w:name="_Toc12668"/>
      <w:r>
        <w:rPr>
          <w:rFonts w:hint="eastAsia" w:ascii="Times New Roman" w:hAnsi="Times New Roman" w:eastAsia="黑体" w:cs="Times New Roman"/>
          <w:b/>
          <w:kern w:val="44"/>
          <w:sz w:val="36"/>
          <w:lang w:val="zh-CN" w:eastAsia="zh-CN" w:bidi="ar-SA"/>
        </w:rPr>
        <w:t xml:space="preserve">第四章 </w:t>
      </w:r>
      <w:r>
        <w:rPr>
          <w:rFonts w:ascii="Times New Roman" w:hAnsi="Times New Roman" w:cs="Times New Roman"/>
        </w:rPr>
        <w:t>采购需求</w:t>
      </w:r>
      <w:bookmarkEnd w:id="12"/>
      <w:bookmarkEnd w:id="13"/>
      <w:bookmarkEnd w:id="14"/>
    </w:p>
    <w:p w14:paraId="1D7D9A40">
      <w:pPr>
        <w:pStyle w:val="16"/>
        <w:keepNext w:val="0"/>
        <w:keepLines w:val="0"/>
        <w:pageBreakBefore w:val="0"/>
        <w:numPr>
          <w:ilvl w:val="0"/>
          <w:numId w:val="0"/>
        </w:numPr>
        <w:kinsoku/>
        <w:wordWrap/>
        <w:overflowPunct/>
        <w:topLinePunct w:val="0"/>
        <w:bidi w:val="0"/>
        <w:adjustRightInd w:val="0"/>
        <w:snapToGrid w:val="0"/>
        <w:spacing w:before="0" w:beforeAutospacing="0" w:after="0" w:afterAutospacing="0" w:line="288" w:lineRule="auto"/>
        <w:ind w:left="0" w:firstLine="0" w:firstLineChars="0"/>
        <w:textAlignment w:val="auto"/>
        <w:rPr>
          <w:rFonts w:hint="eastAsia" w:ascii="仿宋" w:hAnsi="仿宋" w:eastAsia="仿宋" w:cs="仿宋"/>
          <w:sz w:val="24"/>
          <w:szCs w:val="24"/>
        </w:rPr>
      </w:pPr>
      <w:r>
        <w:rPr>
          <w:rFonts w:hint="eastAsia" w:ascii="仿宋" w:hAnsi="仿宋" w:eastAsia="仿宋" w:cs="仿宋"/>
          <w:kern w:val="2"/>
          <w:sz w:val="24"/>
          <w:szCs w:val="24"/>
          <w:lang w:val="en-US" w:eastAsia="zh-CN" w:bidi="ar-SA"/>
        </w:rPr>
        <w:t>一、</w:t>
      </w:r>
      <w:r>
        <w:rPr>
          <w:rFonts w:hint="eastAsia" w:ascii="仿宋" w:hAnsi="仿宋" w:eastAsia="仿宋" w:cs="仿宋"/>
          <w:b/>
          <w:bCs/>
          <w:sz w:val="24"/>
          <w:szCs w:val="24"/>
        </w:rPr>
        <w:t>项目简介</w:t>
      </w:r>
      <w:r>
        <w:rPr>
          <w:rFonts w:hint="eastAsia" w:ascii="仿宋" w:hAnsi="仿宋" w:eastAsia="仿宋" w:cs="仿宋"/>
          <w:sz w:val="24"/>
          <w:szCs w:val="24"/>
        </w:rPr>
        <w:cr/>
      </w:r>
      <w:r>
        <w:rPr>
          <w:rFonts w:hint="eastAsia" w:ascii="仿宋" w:hAnsi="仿宋" w:eastAsia="仿宋" w:cs="仿宋"/>
          <w:sz w:val="24"/>
          <w:szCs w:val="24"/>
          <w:lang w:val="en-US" w:eastAsia="zh-CN"/>
        </w:rPr>
        <w:t>本项目拟确定一家供应商</w:t>
      </w:r>
      <w:r>
        <w:rPr>
          <w:rFonts w:hint="eastAsia" w:ascii="仿宋" w:hAnsi="仿宋" w:eastAsia="仿宋" w:cs="仿宋"/>
          <w:sz w:val="24"/>
          <w:szCs w:val="24"/>
          <w:highlight w:val="none"/>
          <w:lang w:val="en-US" w:eastAsia="zh-CN"/>
        </w:rPr>
        <w:t>提供院区互联移动专线扩容服务。</w:t>
      </w:r>
    </w:p>
    <w:p w14:paraId="075D7778">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both"/>
        <w:textAlignment w:val="auto"/>
        <w:rPr>
          <w:rFonts w:hint="eastAsia" w:ascii="仿宋" w:hAnsi="仿宋" w:eastAsia="仿宋" w:cs="仿宋"/>
          <w:sz w:val="24"/>
          <w:szCs w:val="24"/>
        </w:rPr>
      </w:pPr>
      <w:r>
        <w:rPr>
          <w:rFonts w:hint="eastAsia" w:ascii="仿宋" w:hAnsi="仿宋" w:eastAsia="仿宋" w:cs="仿宋"/>
          <w:kern w:val="2"/>
          <w:sz w:val="24"/>
          <w:szCs w:val="24"/>
          <w:lang w:val="en-US" w:eastAsia="zh-CN" w:bidi="ar-SA"/>
        </w:rPr>
        <w:t>二、</w:t>
      </w:r>
      <w:r>
        <w:rPr>
          <w:rFonts w:hint="eastAsia" w:ascii="仿宋" w:hAnsi="仿宋" w:eastAsia="仿宋" w:cs="仿宋"/>
          <w:b/>
          <w:bCs/>
          <w:sz w:val="24"/>
          <w:szCs w:val="24"/>
        </w:rPr>
        <w:t>采购内容</w:t>
      </w:r>
      <w:r>
        <w:rPr>
          <w:rFonts w:hint="eastAsia" w:ascii="仿宋" w:hAnsi="仿宋" w:eastAsia="仿宋" w:cs="仿宋"/>
          <w:sz w:val="24"/>
          <w:szCs w:val="24"/>
        </w:rPr>
        <w:cr/>
      </w:r>
      <w:r>
        <w:rPr>
          <w:rFonts w:hint="eastAsia" w:ascii="仿宋" w:hAnsi="仿宋" w:cs="仿宋"/>
          <w:kern w:val="2"/>
          <w:sz w:val="24"/>
          <w:szCs w:val="24"/>
          <w:lang w:val="en-US" w:eastAsia="zh-CN"/>
        </w:rPr>
        <w:t>1.</w:t>
      </w:r>
      <w:r>
        <w:rPr>
          <w:rFonts w:hint="eastAsia" w:ascii="仿宋" w:hAnsi="仿宋" w:eastAsia="仿宋" w:cs="仿宋"/>
          <w:kern w:val="2"/>
          <w:sz w:val="24"/>
          <w:szCs w:val="24"/>
        </w:rPr>
        <w:t>采购清单</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64"/>
        <w:gridCol w:w="2228"/>
        <w:gridCol w:w="3624"/>
        <w:gridCol w:w="782"/>
        <w:gridCol w:w="799"/>
        <w:gridCol w:w="1651"/>
      </w:tblGrid>
      <w:tr w14:paraId="421CB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764" w:type="dxa"/>
            <w:shd w:val="clear" w:color="auto" w:fill="auto"/>
            <w:tcMar>
              <w:top w:w="0" w:type="dxa"/>
              <w:left w:w="105" w:type="dxa"/>
              <w:bottom w:w="0" w:type="dxa"/>
              <w:right w:w="105" w:type="dxa"/>
            </w:tcMar>
            <w:vAlign w:val="center"/>
          </w:tcPr>
          <w:p w14:paraId="0FCE5AB1">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color w:val="auto"/>
                <w:kern w:val="0"/>
                <w:sz w:val="24"/>
                <w:szCs w:val="24"/>
                <w:u w:val="none"/>
                <w:lang w:val="en-US" w:eastAsia="zh-CN" w:bidi="ar"/>
              </w:rPr>
            </w:pPr>
            <w:r>
              <w:rPr>
                <w:rStyle w:val="21"/>
                <w:rFonts w:hint="eastAsia" w:ascii="仿宋" w:hAnsi="仿宋" w:eastAsia="仿宋" w:cs="仿宋"/>
                <w:color w:val="auto"/>
                <w:kern w:val="0"/>
                <w:sz w:val="24"/>
                <w:szCs w:val="24"/>
                <w:u w:val="none"/>
                <w:lang w:val="en-US" w:eastAsia="zh-CN" w:bidi="ar"/>
              </w:rPr>
              <w:t>序号</w:t>
            </w:r>
          </w:p>
        </w:tc>
        <w:tc>
          <w:tcPr>
            <w:tcW w:w="2228" w:type="dxa"/>
            <w:shd w:val="clear" w:color="auto" w:fill="auto"/>
            <w:tcMar>
              <w:top w:w="0" w:type="dxa"/>
              <w:left w:w="105" w:type="dxa"/>
              <w:bottom w:w="0" w:type="dxa"/>
              <w:right w:w="105" w:type="dxa"/>
            </w:tcMar>
            <w:vAlign w:val="center"/>
          </w:tcPr>
          <w:p w14:paraId="03C089B3">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color w:val="auto"/>
                <w:kern w:val="0"/>
                <w:sz w:val="24"/>
                <w:szCs w:val="24"/>
                <w:u w:val="none"/>
                <w:lang w:val="en-US" w:eastAsia="zh-CN" w:bidi="ar"/>
              </w:rPr>
            </w:pPr>
            <w:r>
              <w:rPr>
                <w:rStyle w:val="21"/>
                <w:rFonts w:hint="eastAsia" w:ascii="仿宋" w:hAnsi="仿宋" w:eastAsia="仿宋" w:cs="仿宋"/>
                <w:color w:val="auto"/>
                <w:kern w:val="0"/>
                <w:sz w:val="24"/>
                <w:szCs w:val="24"/>
                <w:u w:val="none"/>
                <w:lang w:val="en-US" w:eastAsia="zh-CN" w:bidi="ar"/>
              </w:rPr>
              <w:t>品名</w:t>
            </w:r>
          </w:p>
        </w:tc>
        <w:tc>
          <w:tcPr>
            <w:tcW w:w="3624" w:type="dxa"/>
            <w:shd w:val="clear" w:color="auto" w:fill="auto"/>
            <w:tcMar>
              <w:top w:w="0" w:type="dxa"/>
              <w:left w:w="105" w:type="dxa"/>
              <w:bottom w:w="0" w:type="dxa"/>
              <w:right w:w="105" w:type="dxa"/>
            </w:tcMar>
            <w:vAlign w:val="center"/>
          </w:tcPr>
          <w:p w14:paraId="7681A35F">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color w:val="auto"/>
                <w:kern w:val="0"/>
                <w:sz w:val="24"/>
                <w:szCs w:val="24"/>
                <w:u w:val="none"/>
                <w:lang w:val="en-US" w:eastAsia="zh-CN" w:bidi="ar"/>
              </w:rPr>
            </w:pPr>
            <w:r>
              <w:rPr>
                <w:rStyle w:val="21"/>
                <w:rFonts w:hint="eastAsia" w:ascii="仿宋" w:hAnsi="仿宋" w:eastAsia="仿宋" w:cs="仿宋"/>
                <w:color w:val="auto"/>
                <w:kern w:val="0"/>
                <w:sz w:val="24"/>
                <w:szCs w:val="24"/>
                <w:u w:val="none"/>
                <w:lang w:val="en-US" w:eastAsia="zh-CN" w:bidi="ar"/>
              </w:rPr>
              <w:t>详细描述</w:t>
            </w:r>
          </w:p>
        </w:tc>
        <w:tc>
          <w:tcPr>
            <w:tcW w:w="782" w:type="dxa"/>
            <w:shd w:val="clear" w:color="auto" w:fill="auto"/>
            <w:tcMar>
              <w:top w:w="0" w:type="dxa"/>
              <w:left w:w="105" w:type="dxa"/>
              <w:bottom w:w="0" w:type="dxa"/>
              <w:right w:w="105" w:type="dxa"/>
            </w:tcMar>
            <w:vAlign w:val="center"/>
          </w:tcPr>
          <w:p w14:paraId="1A56BB82">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color w:val="auto"/>
                <w:kern w:val="0"/>
                <w:sz w:val="24"/>
                <w:szCs w:val="24"/>
                <w:u w:val="none"/>
                <w:lang w:val="en-US" w:eastAsia="zh-CN" w:bidi="ar"/>
              </w:rPr>
            </w:pPr>
            <w:r>
              <w:rPr>
                <w:rStyle w:val="21"/>
                <w:rFonts w:hint="eastAsia" w:ascii="仿宋" w:hAnsi="仿宋" w:eastAsia="仿宋" w:cs="仿宋"/>
                <w:color w:val="auto"/>
                <w:kern w:val="0"/>
                <w:sz w:val="24"/>
                <w:szCs w:val="24"/>
                <w:u w:val="none"/>
                <w:lang w:val="en-US" w:eastAsia="zh-CN" w:bidi="ar"/>
              </w:rPr>
              <w:t>数量</w:t>
            </w:r>
          </w:p>
        </w:tc>
        <w:tc>
          <w:tcPr>
            <w:tcW w:w="799" w:type="dxa"/>
            <w:shd w:val="clear" w:color="auto" w:fill="auto"/>
            <w:tcMar>
              <w:top w:w="0" w:type="dxa"/>
              <w:left w:w="105" w:type="dxa"/>
              <w:bottom w:w="0" w:type="dxa"/>
              <w:right w:w="105" w:type="dxa"/>
            </w:tcMar>
            <w:vAlign w:val="center"/>
          </w:tcPr>
          <w:p w14:paraId="7345ABC8">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color w:val="auto"/>
                <w:kern w:val="0"/>
                <w:sz w:val="24"/>
                <w:szCs w:val="24"/>
                <w:u w:val="none"/>
                <w:lang w:val="en-US" w:eastAsia="zh-CN" w:bidi="ar"/>
              </w:rPr>
            </w:pPr>
            <w:r>
              <w:rPr>
                <w:rStyle w:val="21"/>
                <w:rFonts w:hint="eastAsia" w:ascii="仿宋" w:hAnsi="仿宋" w:eastAsia="仿宋" w:cs="仿宋"/>
                <w:color w:val="auto"/>
                <w:kern w:val="0"/>
                <w:sz w:val="24"/>
                <w:szCs w:val="24"/>
                <w:u w:val="none"/>
                <w:lang w:val="en-US" w:eastAsia="zh-CN" w:bidi="ar"/>
              </w:rPr>
              <w:t>单位</w:t>
            </w:r>
          </w:p>
        </w:tc>
        <w:tc>
          <w:tcPr>
            <w:tcW w:w="1650" w:type="dxa"/>
            <w:shd w:val="clear" w:color="auto" w:fill="auto"/>
            <w:tcMar>
              <w:top w:w="0" w:type="dxa"/>
              <w:left w:w="105" w:type="dxa"/>
              <w:bottom w:w="0" w:type="dxa"/>
              <w:right w:w="105" w:type="dxa"/>
            </w:tcMar>
            <w:vAlign w:val="center"/>
          </w:tcPr>
          <w:p w14:paraId="016821C8">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color w:val="auto"/>
                <w:kern w:val="0"/>
                <w:sz w:val="24"/>
                <w:szCs w:val="24"/>
                <w:u w:val="none"/>
                <w:lang w:val="en-US" w:eastAsia="zh-CN" w:bidi="ar"/>
              </w:rPr>
            </w:pPr>
            <w:r>
              <w:rPr>
                <w:rStyle w:val="21"/>
                <w:rFonts w:hint="eastAsia" w:ascii="仿宋" w:hAnsi="仿宋" w:eastAsia="仿宋" w:cs="仿宋"/>
                <w:color w:val="auto"/>
                <w:kern w:val="0"/>
                <w:sz w:val="24"/>
                <w:szCs w:val="24"/>
                <w:u w:val="none"/>
                <w:lang w:val="en-US" w:eastAsia="zh-CN" w:bidi="ar"/>
              </w:rPr>
              <w:t>限高单价（元）</w:t>
            </w:r>
          </w:p>
        </w:tc>
      </w:tr>
      <w:tr w14:paraId="43717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764" w:type="dxa"/>
            <w:shd w:val="clear" w:color="auto" w:fill="auto"/>
            <w:tcMar>
              <w:top w:w="0" w:type="dxa"/>
              <w:left w:w="105" w:type="dxa"/>
              <w:bottom w:w="0" w:type="dxa"/>
              <w:right w:w="105" w:type="dxa"/>
            </w:tcMar>
            <w:vAlign w:val="center"/>
          </w:tcPr>
          <w:p w14:paraId="56A4B239">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color w:val="auto"/>
                <w:kern w:val="0"/>
                <w:sz w:val="24"/>
                <w:szCs w:val="24"/>
                <w:u w:val="none"/>
                <w:lang w:val="en-US" w:eastAsia="zh-CN" w:bidi="ar"/>
              </w:rPr>
            </w:pPr>
            <w:r>
              <w:rPr>
                <w:rStyle w:val="21"/>
                <w:rFonts w:hint="eastAsia" w:ascii="仿宋" w:hAnsi="仿宋" w:eastAsia="仿宋" w:cs="仿宋"/>
                <w:color w:val="auto"/>
                <w:kern w:val="0"/>
                <w:sz w:val="24"/>
                <w:szCs w:val="24"/>
                <w:u w:val="none"/>
                <w:lang w:val="en-US" w:eastAsia="zh-CN" w:bidi="ar"/>
              </w:rPr>
              <w:t>1</w:t>
            </w:r>
          </w:p>
        </w:tc>
        <w:tc>
          <w:tcPr>
            <w:tcW w:w="2228" w:type="dxa"/>
            <w:shd w:val="clear" w:color="auto" w:fill="auto"/>
            <w:tcMar>
              <w:top w:w="0" w:type="dxa"/>
              <w:left w:w="105" w:type="dxa"/>
              <w:bottom w:w="0" w:type="dxa"/>
              <w:right w:w="105" w:type="dxa"/>
            </w:tcMar>
            <w:vAlign w:val="center"/>
          </w:tcPr>
          <w:p w14:paraId="75BD8438">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color w:val="auto"/>
                <w:kern w:val="0"/>
                <w:sz w:val="24"/>
                <w:szCs w:val="24"/>
                <w:u w:val="none"/>
                <w:lang w:val="en-US" w:eastAsia="zh-CN" w:bidi="ar"/>
              </w:rPr>
            </w:pPr>
            <w:r>
              <w:rPr>
                <w:rFonts w:hint="eastAsia" w:ascii="仿宋" w:hAnsi="仿宋" w:eastAsia="仿宋" w:cs="仿宋"/>
                <w:color w:val="auto"/>
                <w:kern w:val="0"/>
                <w:sz w:val="24"/>
                <w:szCs w:val="24"/>
                <w:u w:val="none"/>
                <w:lang w:val="en-US" w:eastAsia="zh-CN" w:bidi="ar"/>
              </w:rPr>
              <w:t>光纤传输线路专线</w:t>
            </w:r>
          </w:p>
        </w:tc>
        <w:tc>
          <w:tcPr>
            <w:tcW w:w="3624" w:type="dxa"/>
            <w:shd w:val="clear" w:color="auto" w:fill="auto"/>
            <w:tcMar>
              <w:top w:w="0" w:type="dxa"/>
              <w:left w:w="105" w:type="dxa"/>
              <w:bottom w:w="0" w:type="dxa"/>
              <w:right w:w="105" w:type="dxa"/>
            </w:tcMar>
            <w:vAlign w:val="center"/>
          </w:tcPr>
          <w:p w14:paraId="719F6640">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color w:val="auto"/>
                <w:kern w:val="0"/>
                <w:sz w:val="24"/>
                <w:szCs w:val="24"/>
                <w:u w:val="none"/>
                <w:lang w:val="en-US" w:eastAsia="zh-CN" w:bidi="ar"/>
              </w:rPr>
            </w:pPr>
            <w:r>
              <w:rPr>
                <w:rFonts w:hint="eastAsia" w:ascii="仿宋" w:hAnsi="仿宋" w:eastAsia="仿宋" w:cs="仿宋"/>
                <w:color w:val="auto"/>
                <w:kern w:val="0"/>
                <w:sz w:val="24"/>
                <w:szCs w:val="24"/>
                <w:u w:val="none"/>
                <w:lang w:val="en-US" w:eastAsia="zh-CN" w:bidi="ar"/>
              </w:rPr>
              <w:t>青羊院区机房到草堂机房医院内网网络专线，带宽≥6G</w:t>
            </w:r>
          </w:p>
        </w:tc>
        <w:tc>
          <w:tcPr>
            <w:tcW w:w="782" w:type="dxa"/>
            <w:shd w:val="clear" w:color="auto" w:fill="auto"/>
            <w:tcMar>
              <w:top w:w="0" w:type="dxa"/>
              <w:left w:w="105" w:type="dxa"/>
              <w:bottom w:w="0" w:type="dxa"/>
              <w:right w:w="105" w:type="dxa"/>
            </w:tcMar>
            <w:vAlign w:val="center"/>
          </w:tcPr>
          <w:p w14:paraId="4D7F9D40">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color w:val="auto"/>
                <w:kern w:val="0"/>
                <w:sz w:val="24"/>
                <w:szCs w:val="24"/>
                <w:u w:val="none"/>
                <w:lang w:val="en-US" w:eastAsia="zh-CN" w:bidi="ar"/>
              </w:rPr>
            </w:pPr>
            <w:r>
              <w:rPr>
                <w:rFonts w:hint="eastAsia" w:ascii="仿宋" w:hAnsi="仿宋" w:eastAsia="仿宋" w:cs="仿宋"/>
                <w:color w:val="auto"/>
                <w:kern w:val="0"/>
                <w:sz w:val="24"/>
                <w:szCs w:val="24"/>
                <w:u w:val="none"/>
                <w:lang w:val="en-US" w:eastAsia="zh-CN" w:bidi="ar"/>
              </w:rPr>
              <w:t>1</w:t>
            </w:r>
          </w:p>
        </w:tc>
        <w:tc>
          <w:tcPr>
            <w:tcW w:w="799" w:type="dxa"/>
            <w:shd w:val="clear" w:color="auto" w:fill="auto"/>
            <w:tcMar>
              <w:top w:w="0" w:type="dxa"/>
              <w:left w:w="105" w:type="dxa"/>
              <w:bottom w:w="0" w:type="dxa"/>
              <w:right w:w="105" w:type="dxa"/>
            </w:tcMar>
            <w:vAlign w:val="center"/>
          </w:tcPr>
          <w:p w14:paraId="7F2A15BB">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color w:val="auto"/>
                <w:kern w:val="0"/>
                <w:sz w:val="24"/>
                <w:szCs w:val="24"/>
                <w:u w:val="none"/>
                <w:lang w:val="en-US" w:eastAsia="zh-CN" w:bidi="ar"/>
              </w:rPr>
            </w:pPr>
            <w:r>
              <w:rPr>
                <w:rFonts w:hint="eastAsia" w:ascii="仿宋" w:hAnsi="仿宋" w:eastAsia="仿宋" w:cs="仿宋"/>
                <w:color w:val="auto"/>
                <w:kern w:val="0"/>
                <w:sz w:val="24"/>
                <w:szCs w:val="24"/>
                <w:u w:val="none"/>
                <w:lang w:val="en-US" w:eastAsia="zh-CN" w:bidi="ar"/>
              </w:rPr>
              <w:t>条</w:t>
            </w:r>
          </w:p>
        </w:tc>
        <w:tc>
          <w:tcPr>
            <w:tcW w:w="1650" w:type="dxa"/>
            <w:shd w:val="clear" w:color="auto" w:fill="auto"/>
            <w:tcMar>
              <w:top w:w="0" w:type="dxa"/>
              <w:left w:w="105" w:type="dxa"/>
              <w:bottom w:w="0" w:type="dxa"/>
              <w:right w:w="105" w:type="dxa"/>
            </w:tcMar>
            <w:vAlign w:val="center"/>
          </w:tcPr>
          <w:p w14:paraId="041C375C">
            <w:pPr>
              <w:keepNext w:val="0"/>
              <w:keepLines w:val="0"/>
              <w:widowControl/>
              <w:suppressLineNumbers w:val="0"/>
              <w:spacing w:before="0" w:beforeAutospacing="1" w:after="0" w:afterAutospacing="1"/>
              <w:ind w:left="0" w:right="0"/>
              <w:jc w:val="center"/>
              <w:rPr>
                <w:rFonts w:hint="eastAsia" w:ascii="仿宋" w:hAnsi="仿宋" w:eastAsia="仿宋" w:cs="仿宋"/>
                <w:color w:val="auto"/>
                <w:kern w:val="0"/>
                <w:sz w:val="24"/>
                <w:szCs w:val="24"/>
                <w:u w:val="none"/>
                <w:lang w:val="en-US" w:eastAsia="zh-CN" w:bidi="ar"/>
              </w:rPr>
            </w:pPr>
            <w:r>
              <w:rPr>
                <w:rFonts w:hint="eastAsia" w:ascii="仿宋" w:hAnsi="仿宋" w:eastAsia="仿宋" w:cs="仿宋"/>
                <w:color w:val="auto"/>
                <w:kern w:val="0"/>
                <w:sz w:val="24"/>
                <w:szCs w:val="24"/>
                <w:u w:val="none"/>
                <w:lang w:val="en-US" w:eastAsia="zh-CN" w:bidi="ar"/>
              </w:rPr>
              <w:t>46500</w:t>
            </w:r>
          </w:p>
        </w:tc>
      </w:tr>
    </w:tbl>
    <w:p w14:paraId="6F659206">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both"/>
        <w:textAlignment w:val="auto"/>
        <w:rPr>
          <w:rFonts w:hint="eastAsia" w:ascii="仿宋" w:hAnsi="仿宋" w:eastAsia="仿宋" w:cs="仿宋"/>
          <w:sz w:val="24"/>
          <w:szCs w:val="24"/>
        </w:rPr>
      </w:pPr>
      <w:r>
        <w:rPr>
          <w:rFonts w:hint="eastAsia" w:ascii="仿宋" w:hAnsi="仿宋" w:cs="仿宋"/>
          <w:kern w:val="2"/>
          <w:sz w:val="24"/>
          <w:szCs w:val="24"/>
          <w:lang w:val="en-US" w:eastAsia="zh-CN"/>
        </w:rPr>
        <w:t>2.</w:t>
      </w:r>
      <w:r>
        <w:rPr>
          <w:rFonts w:hint="eastAsia" w:ascii="仿宋" w:hAnsi="仿宋" w:eastAsia="仿宋" w:cs="仿宋"/>
          <w:kern w:val="2"/>
          <w:sz w:val="24"/>
          <w:szCs w:val="24"/>
        </w:rPr>
        <w:t>接口清单</w:t>
      </w:r>
    </w:p>
    <w:p w14:paraId="4020A58A">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both"/>
        <w:textAlignment w:val="auto"/>
        <w:rPr>
          <w:rFonts w:hint="eastAsia" w:ascii="仿宋" w:hAnsi="仿宋" w:eastAsia="仿宋" w:cs="仿宋"/>
          <w:b w:val="0"/>
          <w:bCs w:val="0"/>
          <w:kern w:val="0"/>
          <w:sz w:val="24"/>
          <w:szCs w:val="24"/>
          <w:lang w:val="en-US" w:eastAsia="zh-CN" w:bidi="ar"/>
        </w:rPr>
      </w:pPr>
      <w:r>
        <w:rPr>
          <w:rFonts w:hint="eastAsia" w:ascii="仿宋" w:hAnsi="仿宋" w:eastAsia="仿宋" w:cs="仿宋"/>
          <w:b w:val="0"/>
          <w:bCs w:val="0"/>
          <w:kern w:val="0"/>
          <w:sz w:val="24"/>
          <w:szCs w:val="24"/>
          <w:lang w:val="en-US" w:eastAsia="zh-CN" w:bidi="ar"/>
        </w:rPr>
        <w:t>无。</w:t>
      </w:r>
    </w:p>
    <w:p w14:paraId="62524C31">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both"/>
        <w:textAlignment w:val="auto"/>
        <w:rPr>
          <w:rFonts w:hint="eastAsia" w:ascii="仿宋" w:hAnsi="仿宋" w:eastAsia="仿宋" w:cs="仿宋"/>
          <w:sz w:val="24"/>
          <w:szCs w:val="24"/>
          <w:lang w:val="en-US" w:eastAsia="zh-CN"/>
        </w:rPr>
      </w:pPr>
      <w:r>
        <w:rPr>
          <w:rFonts w:hint="eastAsia" w:ascii="仿宋" w:hAnsi="仿宋" w:eastAsia="仿宋" w:cs="仿宋"/>
          <w:b/>
          <w:bCs/>
          <w:kern w:val="0"/>
          <w:sz w:val="24"/>
          <w:szCs w:val="24"/>
          <w:lang w:val="en-US" w:eastAsia="zh-CN" w:bidi="ar"/>
        </w:rPr>
        <w:t>三、</w:t>
      </w:r>
      <w:r>
        <w:rPr>
          <w:rFonts w:hint="eastAsia" w:ascii="仿宋" w:hAnsi="仿宋" w:eastAsia="仿宋" w:cs="仿宋"/>
          <w:b/>
          <w:bCs/>
          <w:sz w:val="24"/>
          <w:szCs w:val="24"/>
        </w:rPr>
        <w:t>技术、服务要求</w:t>
      </w:r>
      <w:r>
        <w:rPr>
          <w:rFonts w:hint="eastAsia" w:ascii="仿宋" w:hAnsi="仿宋" w:eastAsia="仿宋" w:cs="仿宋"/>
          <w:sz w:val="24"/>
          <w:szCs w:val="24"/>
        </w:rPr>
        <w:cr/>
      </w:r>
      <w:r>
        <w:rPr>
          <w:rFonts w:hint="eastAsia" w:ascii="仿宋" w:hAnsi="仿宋" w:eastAsia="仿宋" w:cs="仿宋"/>
          <w:sz w:val="24"/>
          <w:szCs w:val="24"/>
          <w:lang w:val="en-US" w:eastAsia="zh-CN"/>
        </w:rPr>
        <w:t>1.技术要求</w:t>
      </w:r>
    </w:p>
    <w:p w14:paraId="27B605EF">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right="0" w:rightChars="0"/>
        <w:jc w:val="both"/>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1.1光纤传输线路专线参数要求</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654"/>
        <w:gridCol w:w="1721"/>
        <w:gridCol w:w="3201"/>
        <w:gridCol w:w="3272"/>
      </w:tblGrid>
      <w:tr w14:paraId="562D5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1654" w:type="dxa"/>
            <w:shd w:val="clear" w:color="auto" w:fill="auto"/>
            <w:tcMar>
              <w:top w:w="0" w:type="dxa"/>
              <w:left w:w="105" w:type="dxa"/>
              <w:bottom w:w="0" w:type="dxa"/>
              <w:right w:w="105" w:type="dxa"/>
            </w:tcMar>
            <w:vAlign w:val="center"/>
          </w:tcPr>
          <w:p w14:paraId="49FD1B2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专线类别</w:t>
            </w:r>
          </w:p>
        </w:tc>
        <w:tc>
          <w:tcPr>
            <w:tcW w:w="1721" w:type="dxa"/>
            <w:shd w:val="clear" w:color="auto" w:fill="auto"/>
            <w:tcMar>
              <w:top w:w="0" w:type="dxa"/>
              <w:left w:w="105" w:type="dxa"/>
              <w:bottom w:w="0" w:type="dxa"/>
              <w:right w:w="105" w:type="dxa"/>
            </w:tcMar>
            <w:vAlign w:val="center"/>
          </w:tcPr>
          <w:p w14:paraId="0D6C50A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质量指标内容</w:t>
            </w:r>
          </w:p>
        </w:tc>
        <w:tc>
          <w:tcPr>
            <w:tcW w:w="3201" w:type="dxa"/>
            <w:shd w:val="clear" w:color="auto" w:fill="auto"/>
            <w:tcMar>
              <w:top w:w="0" w:type="dxa"/>
              <w:left w:w="105" w:type="dxa"/>
              <w:bottom w:w="0" w:type="dxa"/>
              <w:right w:w="105" w:type="dxa"/>
            </w:tcMar>
            <w:vAlign w:val="center"/>
          </w:tcPr>
          <w:p w14:paraId="5A05DE9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指标定义</w:t>
            </w:r>
          </w:p>
        </w:tc>
        <w:tc>
          <w:tcPr>
            <w:tcW w:w="3271" w:type="dxa"/>
            <w:shd w:val="clear" w:color="auto" w:fill="auto"/>
            <w:tcMar>
              <w:top w:w="0" w:type="dxa"/>
              <w:left w:w="105" w:type="dxa"/>
              <w:bottom w:w="0" w:type="dxa"/>
              <w:right w:w="105" w:type="dxa"/>
            </w:tcMar>
            <w:vAlign w:val="center"/>
          </w:tcPr>
          <w:p w14:paraId="00E088F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标准</w:t>
            </w:r>
          </w:p>
        </w:tc>
      </w:tr>
      <w:tr w14:paraId="1C6D9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1654" w:type="dxa"/>
            <w:vMerge w:val="restart"/>
            <w:shd w:val="clear" w:color="auto" w:fill="auto"/>
            <w:tcMar>
              <w:top w:w="0" w:type="dxa"/>
              <w:left w:w="105" w:type="dxa"/>
              <w:bottom w:w="0" w:type="dxa"/>
              <w:right w:w="105" w:type="dxa"/>
            </w:tcMar>
            <w:vAlign w:val="center"/>
          </w:tcPr>
          <w:p w14:paraId="70C069D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光纤传输线路专线</w:t>
            </w:r>
          </w:p>
        </w:tc>
        <w:tc>
          <w:tcPr>
            <w:tcW w:w="1721" w:type="dxa"/>
            <w:shd w:val="clear" w:color="auto" w:fill="auto"/>
            <w:tcMar>
              <w:top w:w="0" w:type="dxa"/>
              <w:left w:w="105" w:type="dxa"/>
              <w:bottom w:w="0" w:type="dxa"/>
              <w:right w:w="105" w:type="dxa"/>
            </w:tcMar>
            <w:vAlign w:val="center"/>
          </w:tcPr>
          <w:p w14:paraId="3DDE9B4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1.1误码率</w:t>
            </w:r>
          </w:p>
        </w:tc>
        <w:tc>
          <w:tcPr>
            <w:tcW w:w="3201" w:type="dxa"/>
            <w:shd w:val="clear" w:color="auto" w:fill="auto"/>
            <w:tcMar>
              <w:top w:w="0" w:type="dxa"/>
              <w:left w:w="105" w:type="dxa"/>
              <w:bottom w:w="0" w:type="dxa"/>
              <w:right w:w="105" w:type="dxa"/>
            </w:tcMar>
            <w:vAlign w:val="center"/>
          </w:tcPr>
          <w:p w14:paraId="6012086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在链路使用期间，接收出现差错的比特数与总发送的比特数之比</w:t>
            </w:r>
          </w:p>
        </w:tc>
        <w:tc>
          <w:tcPr>
            <w:tcW w:w="3271" w:type="dxa"/>
            <w:shd w:val="clear" w:color="auto" w:fill="auto"/>
            <w:tcMar>
              <w:top w:w="0" w:type="dxa"/>
              <w:left w:w="105" w:type="dxa"/>
              <w:bottom w:w="0" w:type="dxa"/>
              <w:right w:w="105" w:type="dxa"/>
            </w:tcMar>
            <w:vAlign w:val="center"/>
          </w:tcPr>
          <w:p w14:paraId="38E52AE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≤1e-9</w:t>
            </w:r>
          </w:p>
        </w:tc>
      </w:tr>
      <w:tr w14:paraId="29F2C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1654" w:type="dxa"/>
            <w:vMerge w:val="continue"/>
            <w:shd w:val="clear" w:color="auto" w:fill="auto"/>
            <w:tcMar>
              <w:top w:w="0" w:type="dxa"/>
              <w:left w:w="105" w:type="dxa"/>
              <w:bottom w:w="0" w:type="dxa"/>
              <w:right w:w="105" w:type="dxa"/>
            </w:tcMar>
            <w:vAlign w:val="center"/>
          </w:tcPr>
          <w:p w14:paraId="5DCE8D3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721" w:type="dxa"/>
            <w:shd w:val="clear" w:color="auto" w:fill="auto"/>
            <w:tcMar>
              <w:top w:w="0" w:type="dxa"/>
              <w:left w:w="105" w:type="dxa"/>
              <w:bottom w:w="0" w:type="dxa"/>
              <w:right w:w="105" w:type="dxa"/>
            </w:tcMar>
            <w:vAlign w:val="center"/>
          </w:tcPr>
          <w:p w14:paraId="1DE46A1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1.2时延</w:t>
            </w:r>
          </w:p>
        </w:tc>
        <w:tc>
          <w:tcPr>
            <w:tcW w:w="3201" w:type="dxa"/>
            <w:shd w:val="clear" w:color="auto" w:fill="auto"/>
            <w:tcMar>
              <w:top w:w="0" w:type="dxa"/>
              <w:left w:w="105" w:type="dxa"/>
              <w:bottom w:w="0" w:type="dxa"/>
              <w:right w:w="105" w:type="dxa"/>
            </w:tcMar>
            <w:vAlign w:val="center"/>
          </w:tcPr>
          <w:p w14:paraId="633F1A6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端到端不丢包情况下的网络转发数据所用时间，包括传输时延和传输节点处理时延。</w:t>
            </w:r>
          </w:p>
        </w:tc>
        <w:tc>
          <w:tcPr>
            <w:tcW w:w="3271" w:type="dxa"/>
            <w:shd w:val="clear" w:color="auto" w:fill="auto"/>
            <w:tcMar>
              <w:top w:w="0" w:type="dxa"/>
              <w:left w:w="105" w:type="dxa"/>
              <w:bottom w:w="0" w:type="dxa"/>
              <w:right w:w="105" w:type="dxa"/>
            </w:tcMar>
            <w:vAlign w:val="center"/>
          </w:tcPr>
          <w:p w14:paraId="5B6B2A6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跨省、跨市时延：0.8ms/百公里（单向时延）；本地网内≤20ms</w:t>
            </w:r>
          </w:p>
        </w:tc>
      </w:tr>
      <w:tr w14:paraId="7A6B0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1654" w:type="dxa"/>
            <w:vMerge w:val="continue"/>
            <w:shd w:val="clear" w:color="auto" w:fill="auto"/>
            <w:tcMar>
              <w:top w:w="0" w:type="dxa"/>
              <w:left w:w="105" w:type="dxa"/>
              <w:bottom w:w="0" w:type="dxa"/>
              <w:right w:w="105" w:type="dxa"/>
            </w:tcMar>
            <w:vAlign w:val="center"/>
          </w:tcPr>
          <w:p w14:paraId="0E07C66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p>
        </w:tc>
        <w:tc>
          <w:tcPr>
            <w:tcW w:w="1721" w:type="dxa"/>
            <w:shd w:val="clear" w:color="auto" w:fill="auto"/>
            <w:tcMar>
              <w:top w:w="0" w:type="dxa"/>
              <w:left w:w="105" w:type="dxa"/>
              <w:bottom w:w="0" w:type="dxa"/>
              <w:right w:w="105" w:type="dxa"/>
            </w:tcMar>
            <w:vAlign w:val="center"/>
          </w:tcPr>
          <w:p w14:paraId="4C7C51D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1.3丢包率</w:t>
            </w:r>
          </w:p>
        </w:tc>
        <w:tc>
          <w:tcPr>
            <w:tcW w:w="3201" w:type="dxa"/>
            <w:shd w:val="clear" w:color="auto" w:fill="auto"/>
            <w:tcMar>
              <w:top w:w="0" w:type="dxa"/>
              <w:left w:w="105" w:type="dxa"/>
              <w:bottom w:w="0" w:type="dxa"/>
              <w:right w:w="105" w:type="dxa"/>
            </w:tcMar>
            <w:vAlign w:val="center"/>
          </w:tcPr>
          <w:p w14:paraId="616D046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在网络稳定状态下由于网络资源缺乏造成的不能转发的数据帧和总数据帧的百分比</w:t>
            </w:r>
          </w:p>
        </w:tc>
        <w:tc>
          <w:tcPr>
            <w:tcW w:w="3271" w:type="dxa"/>
            <w:shd w:val="clear" w:color="auto" w:fill="auto"/>
            <w:tcMar>
              <w:top w:w="0" w:type="dxa"/>
              <w:left w:w="105" w:type="dxa"/>
              <w:bottom w:w="0" w:type="dxa"/>
              <w:right w:w="105" w:type="dxa"/>
            </w:tcMar>
            <w:vAlign w:val="center"/>
          </w:tcPr>
          <w:p w14:paraId="2E521C8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在正常带宽负荷下（负荷小于70％）≤0.1%（挂表测试为准）</w:t>
            </w:r>
          </w:p>
        </w:tc>
      </w:tr>
    </w:tbl>
    <w:p w14:paraId="42555229"/>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654"/>
        <w:gridCol w:w="2207"/>
        <w:gridCol w:w="2708"/>
        <w:gridCol w:w="3279"/>
      </w:tblGrid>
      <w:tr w14:paraId="49A94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1654" w:type="dxa"/>
            <w:shd w:val="clear" w:color="auto" w:fill="auto"/>
            <w:tcMar>
              <w:top w:w="0" w:type="dxa"/>
              <w:left w:w="105" w:type="dxa"/>
              <w:bottom w:w="0" w:type="dxa"/>
              <w:right w:w="105" w:type="dxa"/>
            </w:tcMar>
            <w:vAlign w:val="center"/>
          </w:tcPr>
          <w:p w14:paraId="7588A633">
            <w:pPr>
              <w:keepNext w:val="0"/>
              <w:keepLines w:val="0"/>
              <w:widowControl/>
              <w:suppressLineNumbers w:val="0"/>
              <w:spacing w:before="0" w:beforeAutospacing="0" w:after="0" w:afterAutospacing="0"/>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spacing w:val="0"/>
                <w:kern w:val="0"/>
                <w:sz w:val="24"/>
                <w:szCs w:val="24"/>
                <w:lang w:val="en-US" w:eastAsia="zh-CN" w:bidi="ar"/>
              </w:rPr>
              <w:t>服务分类</w:t>
            </w:r>
          </w:p>
        </w:tc>
        <w:tc>
          <w:tcPr>
            <w:tcW w:w="2207" w:type="dxa"/>
            <w:shd w:val="clear" w:color="auto" w:fill="auto"/>
            <w:tcMar>
              <w:top w:w="0" w:type="dxa"/>
              <w:left w:w="105" w:type="dxa"/>
              <w:bottom w:w="0" w:type="dxa"/>
              <w:right w:w="105" w:type="dxa"/>
            </w:tcMar>
            <w:vAlign w:val="center"/>
          </w:tcPr>
          <w:p w14:paraId="322D3446">
            <w:pPr>
              <w:keepNext w:val="0"/>
              <w:keepLines w:val="0"/>
              <w:widowControl/>
              <w:suppressLineNumbers w:val="0"/>
              <w:spacing w:before="0" w:beforeAutospacing="0" w:after="0" w:afterAutospacing="0"/>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spacing w:val="0"/>
                <w:kern w:val="0"/>
                <w:sz w:val="24"/>
                <w:szCs w:val="24"/>
                <w:lang w:val="en-US" w:eastAsia="zh-CN" w:bidi="ar"/>
              </w:rPr>
              <w:t>计量单位</w:t>
            </w:r>
          </w:p>
        </w:tc>
        <w:tc>
          <w:tcPr>
            <w:tcW w:w="2708" w:type="dxa"/>
            <w:shd w:val="clear" w:color="auto" w:fill="auto"/>
            <w:tcMar>
              <w:top w:w="0" w:type="dxa"/>
              <w:left w:w="105" w:type="dxa"/>
              <w:bottom w:w="0" w:type="dxa"/>
              <w:right w:w="105" w:type="dxa"/>
            </w:tcMar>
            <w:vAlign w:val="center"/>
          </w:tcPr>
          <w:p w14:paraId="3CF9487D">
            <w:pPr>
              <w:keepNext w:val="0"/>
              <w:keepLines w:val="0"/>
              <w:widowControl/>
              <w:suppressLineNumbers w:val="0"/>
              <w:spacing w:before="0" w:beforeAutospacing="0" w:after="0" w:afterAutospacing="0"/>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spacing w:val="0"/>
                <w:kern w:val="0"/>
                <w:sz w:val="24"/>
                <w:szCs w:val="24"/>
                <w:lang w:val="en-US" w:eastAsia="zh-CN" w:bidi="ar"/>
              </w:rPr>
              <w:t>业务类别</w:t>
            </w:r>
          </w:p>
        </w:tc>
        <w:tc>
          <w:tcPr>
            <w:tcW w:w="3278" w:type="dxa"/>
            <w:shd w:val="clear" w:color="auto" w:fill="auto"/>
            <w:tcMar>
              <w:top w:w="0" w:type="dxa"/>
              <w:left w:w="105" w:type="dxa"/>
              <w:bottom w:w="0" w:type="dxa"/>
              <w:right w:w="105" w:type="dxa"/>
            </w:tcMar>
            <w:vAlign w:val="center"/>
          </w:tcPr>
          <w:p w14:paraId="46BC6DE8">
            <w:pPr>
              <w:keepNext w:val="0"/>
              <w:keepLines w:val="0"/>
              <w:widowControl/>
              <w:suppressLineNumbers w:val="0"/>
              <w:spacing w:before="0" w:beforeAutospacing="0" w:after="0" w:afterAutospacing="0"/>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spacing w:val="0"/>
                <w:kern w:val="0"/>
                <w:sz w:val="24"/>
                <w:szCs w:val="24"/>
                <w:lang w:val="en-US" w:eastAsia="zh-CN" w:bidi="ar"/>
              </w:rPr>
              <w:t>频率</w:t>
            </w:r>
          </w:p>
        </w:tc>
      </w:tr>
      <w:tr w14:paraId="30DBD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1654" w:type="dxa"/>
            <w:vMerge w:val="restart"/>
            <w:shd w:val="clear" w:color="auto" w:fill="auto"/>
            <w:tcMar>
              <w:top w:w="0" w:type="dxa"/>
              <w:left w:w="105" w:type="dxa"/>
              <w:bottom w:w="0" w:type="dxa"/>
              <w:right w:w="105" w:type="dxa"/>
            </w:tcMar>
            <w:vAlign w:val="center"/>
          </w:tcPr>
          <w:p w14:paraId="15B01BAA">
            <w:pPr>
              <w:keepNext w:val="0"/>
              <w:keepLines w:val="0"/>
              <w:widowControl/>
              <w:suppressLineNumbers w:val="0"/>
              <w:spacing w:before="0" w:beforeAutospacing="0" w:after="0" w:afterAutospacing="0"/>
              <w:ind w:left="0" w:right="0" w:firstLine="0"/>
              <w:jc w:val="center"/>
              <w:rPr>
                <w:rFonts w:hint="eastAsia" w:ascii="仿宋" w:hAnsi="仿宋" w:eastAsia="仿宋" w:cs="仿宋"/>
                <w:kern w:val="0"/>
                <w:sz w:val="24"/>
                <w:szCs w:val="24"/>
                <w:lang w:val="en-US" w:eastAsia="zh-CN" w:bidi="ar"/>
              </w:rPr>
            </w:pPr>
            <w:r>
              <w:rPr>
                <w:rFonts w:hint="eastAsia" w:ascii="仿宋" w:hAnsi="仿宋" w:eastAsia="仿宋" w:cs="仿宋"/>
                <w:spacing w:val="0"/>
                <w:kern w:val="0"/>
                <w:sz w:val="24"/>
                <w:szCs w:val="24"/>
                <w:lang w:val="en-US" w:eastAsia="zh-CN" w:bidi="ar"/>
              </w:rPr>
              <w:t>光纤传输线路专线</w:t>
            </w:r>
          </w:p>
        </w:tc>
        <w:tc>
          <w:tcPr>
            <w:tcW w:w="2207" w:type="dxa"/>
            <w:shd w:val="clear" w:color="auto" w:fill="auto"/>
            <w:tcMar>
              <w:top w:w="0" w:type="dxa"/>
              <w:left w:w="105" w:type="dxa"/>
              <w:bottom w:w="0" w:type="dxa"/>
              <w:right w:w="105" w:type="dxa"/>
            </w:tcMar>
            <w:vAlign w:val="center"/>
          </w:tcPr>
          <w:p w14:paraId="07A6ECE0">
            <w:pPr>
              <w:keepNext w:val="0"/>
              <w:keepLines w:val="0"/>
              <w:widowControl/>
              <w:suppressLineNumbers w:val="0"/>
              <w:spacing w:before="0" w:beforeAutospacing="0" w:after="0" w:afterAutospacing="0"/>
              <w:ind w:left="0" w:right="0" w:firstLine="0"/>
              <w:jc w:val="center"/>
              <w:rPr>
                <w:rFonts w:hint="eastAsia" w:ascii="仿宋" w:hAnsi="仿宋" w:eastAsia="仿宋" w:cs="仿宋"/>
                <w:kern w:val="0"/>
                <w:sz w:val="24"/>
                <w:szCs w:val="24"/>
                <w:lang w:val="en-US" w:eastAsia="zh-CN" w:bidi="ar"/>
              </w:rPr>
            </w:pPr>
            <w:r>
              <w:rPr>
                <w:rFonts w:hint="eastAsia" w:ascii="仿宋" w:hAnsi="仿宋" w:eastAsia="仿宋" w:cs="仿宋"/>
                <w:spacing w:val="0"/>
                <w:kern w:val="0"/>
                <w:sz w:val="24"/>
                <w:szCs w:val="24"/>
                <w:lang w:val="en-US" w:eastAsia="zh-CN" w:bidi="ar"/>
              </w:rPr>
              <w:t>次</w:t>
            </w:r>
          </w:p>
        </w:tc>
        <w:tc>
          <w:tcPr>
            <w:tcW w:w="2708" w:type="dxa"/>
            <w:shd w:val="clear" w:color="auto" w:fill="auto"/>
            <w:tcMar>
              <w:top w:w="0" w:type="dxa"/>
              <w:left w:w="105" w:type="dxa"/>
              <w:bottom w:w="0" w:type="dxa"/>
              <w:right w:w="105" w:type="dxa"/>
            </w:tcMar>
            <w:vAlign w:val="center"/>
          </w:tcPr>
          <w:p w14:paraId="0A1E4458">
            <w:pPr>
              <w:keepNext w:val="0"/>
              <w:keepLines w:val="0"/>
              <w:widowControl/>
              <w:suppressLineNumbers w:val="0"/>
              <w:spacing w:before="0" w:beforeAutospacing="0" w:after="0" w:afterAutospacing="0"/>
              <w:ind w:left="0" w:right="0" w:firstLine="0"/>
              <w:jc w:val="center"/>
              <w:rPr>
                <w:rFonts w:hint="eastAsia" w:ascii="仿宋" w:hAnsi="仿宋" w:eastAsia="仿宋" w:cs="仿宋"/>
                <w:kern w:val="0"/>
                <w:sz w:val="24"/>
                <w:szCs w:val="24"/>
                <w:lang w:val="en-US" w:eastAsia="zh-CN" w:bidi="ar"/>
              </w:rPr>
            </w:pPr>
            <w:r>
              <w:rPr>
                <w:rFonts w:hint="eastAsia" w:ascii="仿宋" w:hAnsi="仿宋" w:eastAsia="仿宋" w:cs="仿宋"/>
                <w:spacing w:val="0"/>
                <w:kern w:val="0"/>
                <w:sz w:val="24"/>
                <w:szCs w:val="24"/>
                <w:lang w:val="en-US" w:eastAsia="zh-CN" w:bidi="ar"/>
              </w:rPr>
              <w:t>同一电路故障重复发生次数</w:t>
            </w:r>
          </w:p>
        </w:tc>
        <w:tc>
          <w:tcPr>
            <w:tcW w:w="3278" w:type="dxa"/>
            <w:shd w:val="clear" w:color="auto" w:fill="auto"/>
            <w:tcMar>
              <w:top w:w="0" w:type="dxa"/>
              <w:left w:w="105" w:type="dxa"/>
              <w:bottom w:w="0" w:type="dxa"/>
              <w:right w:w="105" w:type="dxa"/>
            </w:tcMar>
            <w:vAlign w:val="center"/>
          </w:tcPr>
          <w:p w14:paraId="55779DF6">
            <w:pPr>
              <w:keepNext w:val="0"/>
              <w:keepLines w:val="0"/>
              <w:widowControl/>
              <w:suppressLineNumbers w:val="0"/>
              <w:spacing w:before="0" w:beforeAutospacing="0" w:after="0" w:afterAutospacing="0"/>
              <w:ind w:left="0" w:right="0" w:firstLine="0"/>
              <w:jc w:val="center"/>
              <w:rPr>
                <w:rFonts w:hint="eastAsia" w:ascii="仿宋" w:hAnsi="仿宋" w:eastAsia="仿宋" w:cs="仿宋"/>
                <w:kern w:val="0"/>
                <w:sz w:val="24"/>
                <w:szCs w:val="24"/>
                <w:lang w:val="en-US" w:eastAsia="zh-CN" w:bidi="ar"/>
              </w:rPr>
            </w:pPr>
            <w:r>
              <w:rPr>
                <w:rFonts w:hint="eastAsia" w:ascii="仿宋" w:hAnsi="仿宋" w:eastAsia="仿宋" w:cs="仿宋"/>
                <w:spacing w:val="0"/>
                <w:kern w:val="0"/>
                <w:sz w:val="24"/>
                <w:szCs w:val="24"/>
                <w:lang w:val="en-US" w:eastAsia="zh-CN" w:bidi="ar"/>
              </w:rPr>
              <w:t>≤2次/年</w:t>
            </w:r>
          </w:p>
        </w:tc>
      </w:tr>
      <w:tr w14:paraId="03E83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1654" w:type="dxa"/>
            <w:vMerge w:val="continue"/>
            <w:shd w:val="clear" w:color="auto" w:fill="auto"/>
            <w:tcMar>
              <w:top w:w="0" w:type="dxa"/>
              <w:left w:w="105" w:type="dxa"/>
              <w:bottom w:w="0" w:type="dxa"/>
              <w:right w:w="105" w:type="dxa"/>
            </w:tcMar>
            <w:vAlign w:val="center"/>
          </w:tcPr>
          <w:p w14:paraId="06893A5F">
            <w:pPr>
              <w:widowControl/>
              <w:jc w:val="left"/>
              <w:rPr>
                <w:rFonts w:hint="eastAsia" w:ascii="仿宋" w:hAnsi="仿宋" w:eastAsia="仿宋" w:cs="仿宋"/>
                <w:kern w:val="0"/>
                <w:sz w:val="24"/>
                <w:szCs w:val="24"/>
                <w:lang w:bidi="ar"/>
              </w:rPr>
            </w:pPr>
          </w:p>
        </w:tc>
        <w:tc>
          <w:tcPr>
            <w:tcW w:w="2207" w:type="dxa"/>
            <w:shd w:val="clear" w:color="auto" w:fill="auto"/>
            <w:tcMar>
              <w:top w:w="0" w:type="dxa"/>
              <w:left w:w="105" w:type="dxa"/>
              <w:bottom w:w="0" w:type="dxa"/>
              <w:right w:w="105" w:type="dxa"/>
            </w:tcMar>
            <w:vAlign w:val="center"/>
          </w:tcPr>
          <w:p w14:paraId="7D856021">
            <w:pPr>
              <w:keepNext w:val="0"/>
              <w:keepLines w:val="0"/>
              <w:widowControl/>
              <w:suppressLineNumbers w:val="0"/>
              <w:spacing w:before="0" w:beforeAutospacing="0" w:after="0" w:afterAutospacing="0"/>
              <w:ind w:left="0" w:right="0" w:firstLine="0"/>
              <w:jc w:val="center"/>
              <w:rPr>
                <w:rFonts w:hint="eastAsia" w:ascii="仿宋" w:hAnsi="仿宋" w:eastAsia="仿宋" w:cs="仿宋"/>
                <w:kern w:val="0"/>
                <w:sz w:val="24"/>
                <w:szCs w:val="24"/>
                <w:lang w:val="en-US" w:eastAsia="zh-CN" w:bidi="ar"/>
              </w:rPr>
            </w:pPr>
            <w:r>
              <w:rPr>
                <w:rFonts w:hint="eastAsia" w:ascii="仿宋" w:hAnsi="仿宋" w:eastAsia="仿宋" w:cs="仿宋"/>
                <w:spacing w:val="0"/>
                <w:kern w:val="0"/>
                <w:sz w:val="24"/>
                <w:szCs w:val="24"/>
                <w:lang w:val="en-US" w:eastAsia="zh-CN" w:bidi="ar"/>
              </w:rPr>
              <w:t>百分比</w:t>
            </w:r>
          </w:p>
        </w:tc>
        <w:tc>
          <w:tcPr>
            <w:tcW w:w="2708" w:type="dxa"/>
            <w:shd w:val="clear" w:color="auto" w:fill="auto"/>
            <w:tcMar>
              <w:top w:w="0" w:type="dxa"/>
              <w:left w:w="105" w:type="dxa"/>
              <w:bottom w:w="0" w:type="dxa"/>
              <w:right w:w="105" w:type="dxa"/>
            </w:tcMar>
            <w:vAlign w:val="center"/>
          </w:tcPr>
          <w:p w14:paraId="2B3FC336">
            <w:pPr>
              <w:keepNext w:val="0"/>
              <w:keepLines w:val="0"/>
              <w:widowControl/>
              <w:suppressLineNumbers w:val="0"/>
              <w:spacing w:before="0" w:beforeAutospacing="0" w:after="0" w:afterAutospacing="0"/>
              <w:ind w:left="0" w:right="0" w:firstLine="0"/>
              <w:jc w:val="center"/>
              <w:rPr>
                <w:rFonts w:hint="eastAsia" w:ascii="仿宋" w:hAnsi="仿宋" w:eastAsia="仿宋" w:cs="仿宋"/>
                <w:kern w:val="0"/>
                <w:sz w:val="24"/>
                <w:szCs w:val="24"/>
                <w:lang w:val="en-US" w:eastAsia="zh-CN" w:bidi="ar"/>
              </w:rPr>
            </w:pPr>
            <w:r>
              <w:rPr>
                <w:rFonts w:hint="eastAsia" w:ascii="仿宋" w:hAnsi="仿宋" w:eastAsia="仿宋" w:cs="仿宋"/>
                <w:spacing w:val="0"/>
                <w:kern w:val="0"/>
                <w:sz w:val="24"/>
                <w:szCs w:val="24"/>
                <w:lang w:val="en-US" w:eastAsia="zh-CN" w:bidi="ar"/>
              </w:rPr>
              <w:t>网络可用率</w:t>
            </w:r>
          </w:p>
        </w:tc>
        <w:tc>
          <w:tcPr>
            <w:tcW w:w="3278" w:type="dxa"/>
            <w:shd w:val="clear" w:color="auto" w:fill="auto"/>
            <w:tcMar>
              <w:top w:w="0" w:type="dxa"/>
              <w:left w:w="105" w:type="dxa"/>
              <w:bottom w:w="0" w:type="dxa"/>
              <w:right w:w="105" w:type="dxa"/>
            </w:tcMar>
            <w:vAlign w:val="center"/>
          </w:tcPr>
          <w:p w14:paraId="2F368F09">
            <w:pPr>
              <w:keepNext w:val="0"/>
              <w:keepLines w:val="0"/>
              <w:widowControl/>
              <w:suppressLineNumbers w:val="0"/>
              <w:spacing w:before="0" w:beforeAutospacing="0" w:after="0" w:afterAutospacing="0"/>
              <w:ind w:left="0" w:right="0" w:firstLine="0"/>
              <w:jc w:val="center"/>
              <w:rPr>
                <w:rFonts w:hint="eastAsia" w:ascii="仿宋" w:hAnsi="仿宋" w:eastAsia="仿宋" w:cs="仿宋"/>
                <w:kern w:val="0"/>
                <w:sz w:val="24"/>
                <w:szCs w:val="24"/>
                <w:lang w:val="en-US" w:eastAsia="zh-CN" w:bidi="ar"/>
              </w:rPr>
            </w:pPr>
            <w:r>
              <w:rPr>
                <w:rFonts w:hint="eastAsia" w:ascii="仿宋" w:hAnsi="仿宋" w:eastAsia="仿宋" w:cs="仿宋"/>
                <w:spacing w:val="0"/>
                <w:kern w:val="0"/>
                <w:sz w:val="24"/>
                <w:szCs w:val="24"/>
                <w:lang w:val="en-US" w:eastAsia="zh-CN" w:bidi="ar"/>
              </w:rPr>
              <w:t>≥99.90%</w:t>
            </w:r>
          </w:p>
        </w:tc>
      </w:tr>
      <w:tr w14:paraId="531A0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1654" w:type="dxa"/>
            <w:vMerge w:val="continue"/>
            <w:shd w:val="clear" w:color="auto" w:fill="auto"/>
            <w:tcMar>
              <w:top w:w="0" w:type="dxa"/>
              <w:left w:w="105" w:type="dxa"/>
              <w:bottom w:w="0" w:type="dxa"/>
              <w:right w:w="105" w:type="dxa"/>
            </w:tcMar>
            <w:vAlign w:val="center"/>
          </w:tcPr>
          <w:p w14:paraId="5CEB739A">
            <w:pPr>
              <w:widowControl/>
              <w:jc w:val="left"/>
              <w:rPr>
                <w:rFonts w:hint="eastAsia" w:ascii="仿宋" w:hAnsi="仿宋" w:eastAsia="仿宋" w:cs="仿宋"/>
                <w:kern w:val="0"/>
                <w:sz w:val="24"/>
                <w:szCs w:val="24"/>
                <w:lang w:bidi="ar"/>
              </w:rPr>
            </w:pPr>
          </w:p>
        </w:tc>
        <w:tc>
          <w:tcPr>
            <w:tcW w:w="2207" w:type="dxa"/>
            <w:shd w:val="clear" w:color="auto" w:fill="auto"/>
            <w:tcMar>
              <w:top w:w="0" w:type="dxa"/>
              <w:left w:w="105" w:type="dxa"/>
              <w:bottom w:w="0" w:type="dxa"/>
              <w:right w:w="105" w:type="dxa"/>
            </w:tcMar>
            <w:vAlign w:val="center"/>
          </w:tcPr>
          <w:p w14:paraId="3F942C6E">
            <w:pPr>
              <w:keepNext w:val="0"/>
              <w:keepLines w:val="0"/>
              <w:widowControl/>
              <w:suppressLineNumbers w:val="0"/>
              <w:spacing w:before="0" w:beforeAutospacing="0" w:after="0" w:afterAutospacing="0"/>
              <w:ind w:left="0" w:right="0" w:firstLine="0"/>
              <w:jc w:val="center"/>
              <w:rPr>
                <w:rFonts w:hint="eastAsia" w:ascii="仿宋" w:hAnsi="仿宋" w:eastAsia="仿宋" w:cs="仿宋"/>
                <w:kern w:val="0"/>
                <w:sz w:val="24"/>
                <w:szCs w:val="24"/>
                <w:lang w:val="en-US" w:eastAsia="zh-CN" w:bidi="ar"/>
              </w:rPr>
            </w:pPr>
            <w:r>
              <w:rPr>
                <w:rFonts w:hint="eastAsia" w:ascii="仿宋" w:hAnsi="仿宋" w:eastAsia="仿宋" w:cs="仿宋"/>
                <w:spacing w:val="0"/>
                <w:kern w:val="0"/>
                <w:sz w:val="24"/>
                <w:szCs w:val="24"/>
                <w:lang w:val="en-US" w:eastAsia="zh-CN" w:bidi="ar"/>
              </w:rPr>
              <w:t>小时</w:t>
            </w:r>
          </w:p>
        </w:tc>
        <w:tc>
          <w:tcPr>
            <w:tcW w:w="2708" w:type="dxa"/>
            <w:shd w:val="clear" w:color="auto" w:fill="auto"/>
            <w:tcMar>
              <w:top w:w="0" w:type="dxa"/>
              <w:left w:w="105" w:type="dxa"/>
              <w:bottom w:w="0" w:type="dxa"/>
              <w:right w:w="105" w:type="dxa"/>
            </w:tcMar>
            <w:vAlign w:val="center"/>
          </w:tcPr>
          <w:p w14:paraId="6F89167A">
            <w:pPr>
              <w:keepNext w:val="0"/>
              <w:keepLines w:val="0"/>
              <w:widowControl/>
              <w:suppressLineNumbers w:val="0"/>
              <w:spacing w:before="0" w:beforeAutospacing="0" w:after="0" w:afterAutospacing="0"/>
              <w:ind w:left="0" w:right="0" w:firstLine="0"/>
              <w:jc w:val="center"/>
              <w:rPr>
                <w:rFonts w:hint="eastAsia" w:ascii="仿宋" w:hAnsi="仿宋" w:eastAsia="仿宋" w:cs="仿宋"/>
                <w:kern w:val="0"/>
                <w:sz w:val="24"/>
                <w:szCs w:val="24"/>
                <w:lang w:val="en-US" w:eastAsia="zh-CN" w:bidi="ar"/>
              </w:rPr>
            </w:pPr>
            <w:r>
              <w:rPr>
                <w:rFonts w:hint="eastAsia" w:ascii="仿宋" w:hAnsi="仿宋" w:eastAsia="仿宋" w:cs="仿宋"/>
                <w:spacing w:val="0"/>
                <w:kern w:val="0"/>
                <w:sz w:val="24"/>
                <w:szCs w:val="24"/>
                <w:lang w:val="en-US" w:eastAsia="zh-CN" w:bidi="ar"/>
              </w:rPr>
              <w:t>年故障历时</w:t>
            </w:r>
          </w:p>
        </w:tc>
        <w:tc>
          <w:tcPr>
            <w:tcW w:w="3278" w:type="dxa"/>
            <w:shd w:val="clear" w:color="auto" w:fill="auto"/>
            <w:tcMar>
              <w:top w:w="0" w:type="dxa"/>
              <w:left w:w="105" w:type="dxa"/>
              <w:bottom w:w="0" w:type="dxa"/>
              <w:right w:w="105" w:type="dxa"/>
            </w:tcMar>
            <w:vAlign w:val="center"/>
          </w:tcPr>
          <w:p w14:paraId="29BF1A30">
            <w:pPr>
              <w:keepNext w:val="0"/>
              <w:keepLines w:val="0"/>
              <w:widowControl/>
              <w:suppressLineNumbers w:val="0"/>
              <w:spacing w:before="0" w:beforeAutospacing="0" w:after="0" w:afterAutospacing="0"/>
              <w:ind w:left="0" w:right="0" w:firstLine="0"/>
              <w:jc w:val="center"/>
              <w:rPr>
                <w:rFonts w:hint="eastAsia" w:ascii="仿宋" w:hAnsi="仿宋" w:eastAsia="仿宋" w:cs="仿宋"/>
                <w:kern w:val="0"/>
                <w:sz w:val="24"/>
                <w:szCs w:val="24"/>
                <w:lang w:val="en-US" w:eastAsia="zh-CN" w:bidi="ar"/>
              </w:rPr>
            </w:pPr>
            <w:r>
              <w:rPr>
                <w:rFonts w:hint="eastAsia" w:ascii="仿宋" w:hAnsi="仿宋" w:eastAsia="仿宋" w:cs="仿宋"/>
                <w:spacing w:val="0"/>
                <w:kern w:val="0"/>
                <w:sz w:val="24"/>
                <w:szCs w:val="24"/>
                <w:lang w:val="en-US" w:eastAsia="zh-CN" w:bidi="ar"/>
              </w:rPr>
              <w:t>≤3小时</w:t>
            </w:r>
          </w:p>
        </w:tc>
      </w:tr>
    </w:tbl>
    <w:p w14:paraId="0CC52D17">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1.2提供传输线路监控管理平台，支持故障预警、实时显示、历史查询、线路质量分析等；</w:t>
      </w:r>
    </w:p>
    <w:p w14:paraId="4BCE20D1">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1.3每个院区双物理节点接入，走不同管线，不同进出口，降低事故发生概率；</w:t>
      </w:r>
    </w:p>
    <w:p w14:paraId="2253AD14">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1.4院区间任一点位，需按照物理双路由建设；</w:t>
      </w:r>
    </w:p>
    <w:p w14:paraId="2DFBAC65">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1.5每个院区的落地设备需避免单点故障，避免同一板卡或同一设备故障导致的链路中断；</w:t>
      </w:r>
    </w:p>
    <w:p w14:paraId="42CA9870">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1.6供应商所提供链路为非裸纤链路，要求与互联网、其他单位传输网络隔离，不得以 VPN 方式组网，链路类型采取OTN或SPN类型；</w:t>
      </w:r>
    </w:p>
    <w:p w14:paraId="457FD8A7">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1.7</w:t>
      </w:r>
      <w:bookmarkStart w:id="106" w:name="_GoBack"/>
      <w:bookmarkEnd w:id="106"/>
      <w:r>
        <w:rPr>
          <w:rFonts w:hint="eastAsia" w:ascii="仿宋" w:hAnsi="仿宋" w:eastAsia="仿宋" w:cs="仿宋"/>
          <w:sz w:val="24"/>
          <w:szCs w:val="24"/>
          <w:lang w:val="en-US" w:eastAsia="zh-CN"/>
        </w:rPr>
        <w:t>应急通信保障的能力：供应商（可由供应商的上级机构或分支机构实施）应具备应急抢险及应急通信保障的能力（如响应，须提供承诺函，格式自拟，并加盖供应商公章）。</w:t>
      </w:r>
    </w:p>
    <w:p w14:paraId="5AC0E0F7">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1.8其他要求</w:t>
      </w:r>
    </w:p>
    <w:p w14:paraId="1357E496">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(1)安全责任：供应商承诺在项目建设过程中产生的安全责任问题由供应商自行负责；</w:t>
      </w:r>
    </w:p>
    <w:p w14:paraId="0B45612B">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lang w:val="en-US" w:eastAsia="zh-CN"/>
        </w:rPr>
        <w:t>(2)</w:t>
      </w:r>
      <w:r>
        <w:rPr>
          <w:rFonts w:hint="eastAsia" w:ascii="仿宋" w:hAnsi="仿宋" w:eastAsia="仿宋" w:cs="仿宋"/>
          <w:sz w:val="24"/>
          <w:szCs w:val="24"/>
          <w:highlight w:val="none"/>
          <w:lang w:val="en-US" w:eastAsia="zh-CN"/>
        </w:rPr>
        <w:t>待进行项目实施时，需与采购人沟通确认，制定详细的实施方案，保障采购人业务稳定运行；</w:t>
      </w:r>
    </w:p>
    <w:p w14:paraId="3BA8E331">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(3)服务标准需按照采购人意见执行；</w:t>
      </w:r>
    </w:p>
    <w:p w14:paraId="21415323">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highlight w:val="none"/>
          <w:lang w:val="en-US" w:eastAsia="zh-CN"/>
        </w:rPr>
        <w:t>(4)项目实施过程中，所涉及到的施工费（</w:t>
      </w:r>
      <w:r>
        <w:rPr>
          <w:rFonts w:hint="eastAsia" w:ascii="仿宋" w:hAnsi="仿宋" w:eastAsia="仿宋" w:cs="仿宋"/>
          <w:sz w:val="24"/>
          <w:szCs w:val="24"/>
          <w:lang w:val="en-US" w:eastAsia="zh-CN"/>
        </w:rPr>
        <w:t>如穿管、线槽、土建、铭牌等）由供应商承担。</w:t>
      </w:r>
    </w:p>
    <w:p w14:paraId="0EC0C21B">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kern w:val="2"/>
          <w:sz w:val="24"/>
          <w:szCs w:val="24"/>
        </w:rPr>
        <w:t>服务要求</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75"/>
        <w:gridCol w:w="1527"/>
        <w:gridCol w:w="6110"/>
        <w:gridCol w:w="1436"/>
      </w:tblGrid>
      <w:tr w14:paraId="64C7B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775" w:type="dxa"/>
            <w:shd w:val="clear" w:color="auto" w:fill="auto"/>
            <w:tcMar>
              <w:top w:w="0" w:type="dxa"/>
              <w:left w:w="105" w:type="dxa"/>
              <w:bottom w:w="0" w:type="dxa"/>
              <w:right w:w="105" w:type="dxa"/>
            </w:tcMar>
            <w:vAlign w:val="top"/>
          </w:tcPr>
          <w:p w14:paraId="6A8E079E">
            <w:pPr>
              <w:keepNext w:val="0"/>
              <w:keepLines w:val="0"/>
              <w:pageBreakBefore w:val="0"/>
              <w:widowControl/>
              <w:suppressLineNumbers w:val="0"/>
              <w:kinsoku/>
              <w:wordWrap/>
              <w:overflowPunct/>
              <w:topLinePunct w:val="0"/>
              <w:autoSpaceDN/>
              <w:bidi w:val="0"/>
              <w:adjustRightInd/>
              <w:snapToGrid/>
              <w:spacing w:beforeAutospacing="0" w:afterAutospacing="0" w:line="240" w:lineRule="auto"/>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b/>
                <w:bCs/>
                <w:kern w:val="0"/>
                <w:sz w:val="24"/>
                <w:szCs w:val="24"/>
                <w:lang w:val="en-US" w:eastAsia="zh-CN" w:bidi="ar"/>
              </w:rPr>
              <w:t>序号</w:t>
            </w:r>
          </w:p>
        </w:tc>
        <w:tc>
          <w:tcPr>
            <w:tcW w:w="1527" w:type="dxa"/>
            <w:shd w:val="clear" w:color="auto" w:fill="auto"/>
            <w:tcMar>
              <w:top w:w="0" w:type="dxa"/>
              <w:left w:w="105" w:type="dxa"/>
              <w:bottom w:w="0" w:type="dxa"/>
              <w:right w:w="105" w:type="dxa"/>
            </w:tcMar>
            <w:vAlign w:val="top"/>
          </w:tcPr>
          <w:p w14:paraId="4EB732FB">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服务类型</w:t>
            </w:r>
          </w:p>
        </w:tc>
        <w:tc>
          <w:tcPr>
            <w:tcW w:w="6109" w:type="dxa"/>
            <w:shd w:val="clear" w:color="auto" w:fill="auto"/>
            <w:tcMar>
              <w:top w:w="0" w:type="dxa"/>
              <w:left w:w="105" w:type="dxa"/>
              <w:bottom w:w="0" w:type="dxa"/>
              <w:right w:w="105" w:type="dxa"/>
            </w:tcMar>
            <w:vAlign w:val="top"/>
          </w:tcPr>
          <w:p w14:paraId="295FB8AF">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服务内容</w:t>
            </w:r>
          </w:p>
        </w:tc>
        <w:tc>
          <w:tcPr>
            <w:tcW w:w="1436" w:type="dxa"/>
            <w:shd w:val="clear" w:color="auto" w:fill="auto"/>
            <w:tcMar>
              <w:top w:w="0" w:type="dxa"/>
              <w:left w:w="105" w:type="dxa"/>
              <w:bottom w:w="0" w:type="dxa"/>
              <w:right w:w="105" w:type="dxa"/>
            </w:tcMar>
            <w:vAlign w:val="top"/>
          </w:tcPr>
          <w:p w14:paraId="07AFEC8C">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服务期</w:t>
            </w:r>
          </w:p>
        </w:tc>
      </w:tr>
      <w:tr w14:paraId="3F974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75" w:type="dxa"/>
            <w:shd w:val="clear" w:color="auto" w:fill="auto"/>
            <w:tcMar>
              <w:top w:w="0" w:type="dxa"/>
              <w:left w:w="105" w:type="dxa"/>
              <w:bottom w:w="0" w:type="dxa"/>
              <w:right w:w="105" w:type="dxa"/>
            </w:tcMar>
            <w:vAlign w:val="center"/>
          </w:tcPr>
          <w:p w14:paraId="33FE5C85">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1</w:t>
            </w:r>
          </w:p>
        </w:tc>
        <w:tc>
          <w:tcPr>
            <w:tcW w:w="1527" w:type="dxa"/>
            <w:shd w:val="clear" w:color="auto" w:fill="auto"/>
            <w:tcMar>
              <w:top w:w="0" w:type="dxa"/>
              <w:left w:w="105" w:type="dxa"/>
              <w:bottom w:w="0" w:type="dxa"/>
              <w:right w:w="105" w:type="dxa"/>
            </w:tcMar>
            <w:vAlign w:val="center"/>
          </w:tcPr>
          <w:p w14:paraId="557A074E">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基本服务</w:t>
            </w:r>
          </w:p>
        </w:tc>
        <w:tc>
          <w:tcPr>
            <w:tcW w:w="6109" w:type="dxa"/>
            <w:shd w:val="clear" w:color="auto" w:fill="auto"/>
            <w:tcMar>
              <w:top w:w="0" w:type="dxa"/>
              <w:left w:w="105" w:type="dxa"/>
              <w:bottom w:w="0" w:type="dxa"/>
              <w:right w:w="105" w:type="dxa"/>
            </w:tcMar>
            <w:vAlign w:val="top"/>
          </w:tcPr>
          <w:p w14:paraId="70DDEF03">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基本服务至少满足以下内容：</w:t>
            </w:r>
          </w:p>
          <w:p w14:paraId="4AC91E2E">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1、稳定性：</w:t>
            </w:r>
            <w:r>
              <w:rPr>
                <w:rFonts w:hint="eastAsia" w:ascii="仿宋" w:hAnsi="仿宋" w:eastAsia="仿宋" w:cs="仿宋"/>
                <w:kern w:val="0"/>
                <w:sz w:val="24"/>
                <w:szCs w:val="24"/>
                <w:lang w:val="en-US" w:eastAsia="zh-CN" w:bidi="ar"/>
              </w:rPr>
              <w:t>服务期内需保障业务稳定，不无故出现崩溃或宕机现象；</w:t>
            </w:r>
          </w:p>
          <w:p w14:paraId="6442A426">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2、安全性：</w:t>
            </w:r>
            <w:r>
              <w:rPr>
                <w:rFonts w:hint="eastAsia" w:ascii="仿宋" w:hAnsi="仿宋" w:eastAsia="仿宋" w:cs="仿宋"/>
                <w:kern w:val="0"/>
                <w:sz w:val="24"/>
                <w:szCs w:val="24"/>
                <w:lang w:val="en-US" w:eastAsia="zh-CN" w:bidi="ar"/>
              </w:rPr>
              <w:t>具备完善的安全防护机制，做好数据备份，在合同签订后15个工作日内提交《安全事件应急响应手册》，重大安全事件（数据泄露、勒索病毒等）30 分钟内电话通报、2小时内到场、4小时内出具初步处置报告；</w:t>
            </w:r>
          </w:p>
          <w:p w14:paraId="67C1E1FD">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3、数据质量：</w:t>
            </w:r>
            <w:r>
              <w:rPr>
                <w:rFonts w:hint="eastAsia" w:ascii="仿宋" w:hAnsi="仿宋" w:eastAsia="仿宋" w:cs="仿宋"/>
                <w:kern w:val="0"/>
                <w:sz w:val="24"/>
                <w:szCs w:val="24"/>
                <w:lang w:val="en-US" w:eastAsia="zh-CN" w:bidi="ar"/>
              </w:rPr>
              <w:t>供应商收到异议后，成交供应商应在5个工作日内对数据质量问题进行原因查找和反馈，30个工作日内对数据质量问题进行数据清洗；</w:t>
            </w:r>
          </w:p>
          <w:p w14:paraId="2EFE3FB8">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4、响应速度：</w:t>
            </w:r>
            <w:r>
              <w:rPr>
                <w:rFonts w:hint="eastAsia" w:ascii="仿宋" w:hAnsi="仿宋" w:eastAsia="仿宋" w:cs="仿宋"/>
                <w:kern w:val="0"/>
                <w:sz w:val="24"/>
                <w:szCs w:val="24"/>
                <w:lang w:val="en-US" w:eastAsia="zh-CN" w:bidi="ar"/>
              </w:rPr>
              <w:t>服务期内，采购人通过电话、微信、现场提出的支持需求，供应商须在需求提出的当日完成响应；</w:t>
            </w:r>
          </w:p>
          <w:p w14:paraId="696D3402">
            <w:pPr>
              <w:keepNext w:val="0"/>
              <w:keepLines w:val="0"/>
              <w:pageBreakBefore w:val="0"/>
              <w:widowControl/>
              <w:suppressLineNumbers w:val="0"/>
              <w:shd w:val="clear"/>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color w:val="auto"/>
                <w:kern w:val="0"/>
                <w:sz w:val="24"/>
                <w:szCs w:val="24"/>
                <w:shd w:val="clear" w:color="auto" w:fill="auto"/>
                <w:lang w:val="en-US" w:eastAsia="zh-CN" w:bidi="ar"/>
              </w:rPr>
              <w:t>5、备件供应：</w:t>
            </w:r>
            <w:r>
              <w:rPr>
                <w:rFonts w:hint="eastAsia" w:ascii="仿宋" w:hAnsi="仿宋" w:eastAsia="仿宋" w:cs="仿宋"/>
                <w:color w:val="auto"/>
                <w:kern w:val="0"/>
                <w:sz w:val="24"/>
                <w:szCs w:val="24"/>
                <w:shd w:val="clear" w:color="auto" w:fill="auto"/>
                <w:lang w:val="en-US" w:eastAsia="zh-CN" w:bidi="ar"/>
              </w:rPr>
              <w:t>服务期内设备故障并经排查，明确2小时内无法恢复，应当在4小时内提供相同类型和性能的可用机器恢复业务工作，直至故障排除；</w:t>
            </w:r>
          </w:p>
          <w:p w14:paraId="49BE153F">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6、定期巡检：</w:t>
            </w:r>
            <w:r>
              <w:rPr>
                <w:rFonts w:hint="eastAsia" w:ascii="仿宋" w:hAnsi="仿宋" w:eastAsia="仿宋" w:cs="仿宋"/>
                <w:kern w:val="0"/>
                <w:sz w:val="24"/>
                <w:szCs w:val="24"/>
                <w:lang w:val="en-US" w:eastAsia="zh-CN" w:bidi="ar"/>
              </w:rPr>
              <w:t>服务期内每月提供至少1次软硬件服务期巡检报告；</w:t>
            </w:r>
          </w:p>
          <w:p w14:paraId="763E2D0A">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7、培训服务：</w:t>
            </w:r>
            <w:r>
              <w:rPr>
                <w:rFonts w:hint="eastAsia" w:ascii="仿宋" w:hAnsi="仿宋" w:eastAsia="仿宋" w:cs="仿宋"/>
                <w:kern w:val="0"/>
                <w:sz w:val="24"/>
                <w:szCs w:val="24"/>
                <w:lang w:val="en-US" w:eastAsia="zh-CN" w:bidi="ar"/>
              </w:rPr>
              <w:t>无</w:t>
            </w:r>
          </w:p>
          <w:p w14:paraId="79C93DA8">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8、文档服务：</w:t>
            </w:r>
            <w:r>
              <w:rPr>
                <w:rFonts w:hint="eastAsia" w:ascii="仿宋" w:hAnsi="仿宋" w:eastAsia="仿宋" w:cs="仿宋"/>
                <w:kern w:val="0"/>
                <w:sz w:val="24"/>
                <w:szCs w:val="24"/>
                <w:lang w:val="en-US" w:eastAsia="zh-CN" w:bidi="ar"/>
              </w:rPr>
              <w:t>无</w:t>
            </w:r>
          </w:p>
          <w:p w14:paraId="72E7B18F">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b/>
                <w:bCs/>
                <w:kern w:val="0"/>
                <w:sz w:val="24"/>
                <w:szCs w:val="24"/>
                <w:lang w:val="en-US" w:eastAsia="zh-CN" w:bidi="ar"/>
              </w:rPr>
              <w:t>9、</w:t>
            </w:r>
            <w:r>
              <w:rPr>
                <w:rStyle w:val="21"/>
                <w:rFonts w:hint="eastAsia" w:ascii="仿宋" w:hAnsi="仿宋" w:eastAsia="仿宋" w:cs="仿宋"/>
                <w:kern w:val="0"/>
                <w:sz w:val="24"/>
                <w:szCs w:val="24"/>
                <w:lang w:val="en-US" w:eastAsia="zh-CN" w:bidi="ar"/>
              </w:rPr>
              <w:t>人员服务：</w:t>
            </w:r>
            <w:r>
              <w:rPr>
                <w:rFonts w:hint="eastAsia" w:ascii="仿宋" w:hAnsi="仿宋" w:eastAsia="仿宋" w:cs="仿宋"/>
                <w:kern w:val="0"/>
                <w:sz w:val="24"/>
                <w:szCs w:val="24"/>
                <w:lang w:val="en-US" w:eastAsia="zh-CN" w:bidi="ar"/>
              </w:rPr>
              <w:t>无</w:t>
            </w:r>
          </w:p>
          <w:p w14:paraId="6F1E54C9">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right="0" w:firstLine="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b/>
                <w:bCs/>
                <w:kern w:val="0"/>
                <w:sz w:val="24"/>
                <w:szCs w:val="24"/>
                <w:lang w:val="en-US" w:eastAsia="zh-CN" w:bidi="ar"/>
              </w:rPr>
              <w:t>10、</w:t>
            </w:r>
            <w:r>
              <w:rPr>
                <w:rStyle w:val="21"/>
                <w:rFonts w:hint="eastAsia" w:ascii="仿宋" w:hAnsi="仿宋" w:eastAsia="仿宋" w:cs="仿宋"/>
                <w:kern w:val="0"/>
                <w:sz w:val="24"/>
                <w:szCs w:val="24"/>
                <w:lang w:val="en-US" w:eastAsia="zh-CN" w:bidi="ar"/>
              </w:rPr>
              <w:t>其他：</w:t>
            </w:r>
          </w:p>
          <w:p w14:paraId="1B78792A">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1）成交供应商应当与本项目相关的第三方保持有痕的沟通，明确项目的具体要求和功能等方面的细节。采购人负责组织、监督和验收，以确保项目的顺利完成。</w:t>
            </w:r>
          </w:p>
          <w:p w14:paraId="1B008AFE">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2）如涉及因本项目开发的系统原因造成采购人的经济损失，由成交供应商负责向采购人进行赔偿。</w:t>
            </w:r>
          </w:p>
        </w:tc>
        <w:tc>
          <w:tcPr>
            <w:tcW w:w="1436" w:type="dxa"/>
            <w:shd w:val="clear" w:color="auto" w:fill="auto"/>
            <w:tcMar>
              <w:top w:w="0" w:type="dxa"/>
              <w:left w:w="105" w:type="dxa"/>
              <w:bottom w:w="0" w:type="dxa"/>
              <w:right w:w="105" w:type="dxa"/>
            </w:tcMar>
            <w:vAlign w:val="center"/>
          </w:tcPr>
          <w:p w14:paraId="29D14650">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u w:val="none"/>
                <w:lang w:val="en-US" w:eastAsia="zh-CN" w:bidi="ar"/>
              </w:rPr>
              <w:t>验收合格之日起，提供不低于1年</w:t>
            </w:r>
          </w:p>
        </w:tc>
      </w:tr>
    </w:tbl>
    <w:p w14:paraId="17DE4CE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482" w:leftChars="0" w:hanging="482" w:hangingChars="200"/>
        <w:textAlignment w:val="auto"/>
        <w:rPr>
          <w:rFonts w:hint="eastAsia" w:ascii="仿宋" w:hAnsi="仿宋" w:eastAsia="仿宋" w:cs="仿宋"/>
          <w:b/>
          <w:bCs/>
          <w:sz w:val="24"/>
          <w:szCs w:val="24"/>
        </w:rPr>
      </w:pPr>
      <w:r>
        <w:rPr>
          <w:rFonts w:hint="eastAsia" w:ascii="仿宋" w:hAnsi="仿宋" w:eastAsia="仿宋" w:cs="仿宋"/>
          <w:b/>
          <w:bCs/>
          <w:kern w:val="2"/>
          <w:sz w:val="24"/>
          <w:szCs w:val="24"/>
          <w:lang w:val="en-US" w:eastAsia="zh-CN" w:bidi="ar-SA"/>
        </w:rPr>
        <w:t>四、</w:t>
      </w:r>
      <w:r>
        <w:rPr>
          <w:rFonts w:hint="eastAsia" w:ascii="仿宋" w:hAnsi="仿宋" w:eastAsia="仿宋" w:cs="仿宋"/>
          <w:b/>
          <w:bCs/>
          <w:sz w:val="24"/>
          <w:szCs w:val="24"/>
        </w:rPr>
        <w:t>商务要求</w:t>
      </w:r>
    </w:p>
    <w:p w14:paraId="6E1528B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1.实施时间：本项目合同签订生效后，供应商应在 5 个工作日内开始实施。</w:t>
      </w:r>
    </w:p>
    <w:p w14:paraId="2B07641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2.实施周期：本项目开始实施之日起 60 日内，完成本项目包含的所有采购内容功能的上线运行。未在实施周期内完成，视为供应商违约并自动放弃该项目，采购人有权终止合同，合同所有款项将不予支付（已缴纳的履约保证金，将不予退还），已支付款项，供应商应于7个工作日内退还采购人。</w:t>
      </w:r>
    </w:p>
    <w:p w14:paraId="1C6C618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lang w:val="en-US" w:eastAsia="zh-CN"/>
        </w:rPr>
        <w:t>3</w:t>
      </w:r>
      <w:r>
        <w:rPr>
          <w:rFonts w:hint="eastAsia" w:ascii="仿宋" w:hAnsi="仿宋" w:eastAsia="仿宋" w:cs="仿宋"/>
          <w:sz w:val="24"/>
          <w:szCs w:val="24"/>
          <w:highlight w:val="none"/>
          <w:lang w:val="en-US" w:eastAsia="zh-CN"/>
        </w:rPr>
        <w:t>.服务</w:t>
      </w:r>
      <w:r>
        <w:rPr>
          <w:rFonts w:hint="eastAsia" w:ascii="仿宋" w:hAnsi="仿宋" w:eastAsia="仿宋" w:cs="仿宋"/>
          <w:sz w:val="24"/>
          <w:szCs w:val="24"/>
          <w:highlight w:val="none"/>
        </w:rPr>
        <w:t>地点：</w:t>
      </w:r>
      <w:r>
        <w:rPr>
          <w:rFonts w:hint="eastAsia" w:ascii="仿宋" w:hAnsi="仿宋" w:eastAsia="仿宋" w:cs="仿宋"/>
          <w:sz w:val="24"/>
          <w:szCs w:val="24"/>
          <w:highlight w:val="none"/>
          <w:lang w:val="en-US" w:eastAsia="zh-CN"/>
        </w:rPr>
        <w:t>本项目涉及的四川省人民医院青羊院区及草堂院区。</w:t>
      </w:r>
    </w:p>
    <w:p w14:paraId="54A2462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highlight w:val="none"/>
          <w:lang w:val="en-US" w:eastAsia="zh-CN"/>
        </w:rPr>
        <w:t>4.</w:t>
      </w:r>
      <w:r>
        <w:rPr>
          <w:rFonts w:hint="eastAsia" w:ascii="仿宋" w:hAnsi="仿宋" w:eastAsia="仿宋" w:cs="仿宋"/>
          <w:sz w:val="24"/>
          <w:szCs w:val="24"/>
        </w:rPr>
        <w:t>付款</w:t>
      </w:r>
      <w:r>
        <w:rPr>
          <w:rFonts w:hint="eastAsia" w:ascii="仿宋" w:hAnsi="仿宋" w:eastAsia="仿宋" w:cs="仿宋"/>
          <w:sz w:val="24"/>
          <w:szCs w:val="24"/>
          <w:lang w:val="en-US" w:eastAsia="zh-CN"/>
        </w:rPr>
        <w:t>条件：总价包干，一次性付款，合同签订生效且项目验收合格后，供应商于5日内向采购人提供合法有效票据及其他相关请款资料，采购人于接到上述票据及资料以后的55日内，向供应商支付合同总价100%的金额（如有因考核等原因产生的扣款，应在支付前予以扣除）。</w:t>
      </w:r>
      <w:bookmarkStart w:id="15" w:name="_Toc18622"/>
      <w:bookmarkEnd w:id="15"/>
      <w:bookmarkStart w:id="16" w:name="_Toc153964904"/>
      <w:bookmarkEnd w:id="16"/>
    </w:p>
    <w:p w14:paraId="4741AFE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5.履约验收方案</w:t>
      </w:r>
    </w:p>
    <w:p w14:paraId="38B6A9C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（1）验收主体：采购人</w:t>
      </w:r>
    </w:p>
    <w:p w14:paraId="57A51DC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（2）验收组织方式：自行验收</w:t>
      </w:r>
    </w:p>
    <w:p w14:paraId="6F002EC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（3）验收程序：一次性验收</w:t>
      </w:r>
    </w:p>
    <w:p w14:paraId="241065C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（4）验收方式：现场整体验收</w:t>
      </w:r>
    </w:p>
    <w:p w14:paraId="277E01D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（5）履约验收内容：按照基于本项目采购需求编制的采购文件要求及供应商响应文件情况，由供应商向采购人提供的全部服务或货物。</w:t>
      </w:r>
    </w:p>
    <w:p w14:paraId="5778B2C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（6）履约验收时间：供应商完成本项目所有采购内容功能的上线并具备验收条件后10个工作日内采购人组织验收。</w:t>
      </w:r>
    </w:p>
    <w:p w14:paraId="63BC65D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（7）是否邀请本项目的其他供应商:否</w:t>
      </w:r>
    </w:p>
    <w:p w14:paraId="7E9B965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（8）是否邀请专家：否</w:t>
      </w:r>
    </w:p>
    <w:p w14:paraId="73A3D58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（9）是否邀请服务对象：否</w:t>
      </w:r>
    </w:p>
    <w:p w14:paraId="4E709A7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（10）是否邀请第三方检测机构：否</w:t>
      </w:r>
    </w:p>
    <w:p w14:paraId="3B98E2E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（11）验收标准：</w:t>
      </w:r>
    </w:p>
    <w:p w14:paraId="7FD60C8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1）国家相关法律法规、行业标准、技术规范。</w:t>
      </w:r>
    </w:p>
    <w:p w14:paraId="223244A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2）基于本项目采购需求编制的采购文件相关技术、服务要求、供应商响应文件相关响应内容。</w:t>
      </w:r>
    </w:p>
    <w:p w14:paraId="510B4B6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3）产品生产厂家出具的产品说明书、技术白皮书、医疗器械注册证或备案凭证等官方技术资料（如涉及）。</w:t>
      </w:r>
    </w:p>
    <w:p w14:paraId="3FBFD51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4）如验收时，采购人与供应商认为本项目验收标准中的技术指标、质量要求等内容存在相互抵触或对其理解存在异议，应按照其中更严格的要求、标准等进行验收。</w:t>
      </w:r>
    </w:p>
    <w:p w14:paraId="408B22C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5）按照《财政部关于进一步加强政府采购需求和履约验收管理的指导意见》（财库〔2016〕205号）的要求进行验收。（如本项目不涉及政府采购，将参照此条款）</w:t>
      </w:r>
    </w:p>
    <w:p w14:paraId="0E0AA4C3">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6）如本项目验收方式为考核验收，则考核结果须为合格。</w:t>
      </w:r>
    </w:p>
    <w:p w14:paraId="53A596E0">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7）其它标准：无。</w:t>
      </w:r>
    </w:p>
    <w:p w14:paraId="6C7F35F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（12）履约验收其它事项：无。</w:t>
      </w:r>
    </w:p>
    <w:p w14:paraId="25262391">
      <w:pPr>
        <w:keepNext w:val="0"/>
        <w:keepLines w:val="0"/>
        <w:pageBreakBefore w:val="0"/>
        <w:widowControl w:val="0"/>
        <w:kinsoku/>
        <w:wordWrap/>
        <w:overflowPunct/>
        <w:topLinePunct w:val="0"/>
        <w:autoSpaceDE/>
        <w:autoSpaceDN/>
        <w:bidi w:val="0"/>
        <w:adjustRightInd w:val="0"/>
        <w:snapToGrid w:val="0"/>
        <w:spacing w:line="288" w:lineRule="auto"/>
        <w:ind w:left="0" w:firstLine="480" w:firstLineChars="200"/>
        <w:textAlignment w:val="auto"/>
        <w:rPr>
          <w:rFonts w:hint="default" w:ascii="仿宋" w:hAnsi="仿宋" w:eastAsia="仿宋" w:cs="仿宋"/>
          <w:b w:val="0"/>
          <w:bCs w:val="0"/>
          <w:sz w:val="24"/>
          <w:szCs w:val="24"/>
          <w:lang w:val="en-US" w:eastAsia="zh-CN"/>
        </w:rPr>
      </w:pPr>
    </w:p>
    <w:p w14:paraId="69B004DE">
      <w:pPr>
        <w:keepNext w:val="0"/>
        <w:keepLines w:val="0"/>
        <w:pageBreakBefore w:val="0"/>
        <w:widowControl w:val="0"/>
        <w:kinsoku/>
        <w:wordWrap/>
        <w:overflowPunct/>
        <w:topLinePunct w:val="0"/>
        <w:autoSpaceDE/>
        <w:autoSpaceDN/>
        <w:bidi w:val="0"/>
        <w:adjustRightInd w:val="0"/>
        <w:snapToGrid w:val="0"/>
        <w:spacing w:line="288" w:lineRule="auto"/>
        <w:ind w:left="0" w:firstLine="480" w:firstLineChars="200"/>
        <w:textAlignment w:val="auto"/>
        <w:rPr>
          <w:rFonts w:hint="eastAsia" w:ascii="仿宋" w:hAnsi="仿宋" w:eastAsia="仿宋" w:cs="仿宋"/>
          <w:sz w:val="24"/>
          <w:szCs w:val="24"/>
          <w:lang w:val="en-US" w:eastAsia="zh-CN"/>
        </w:rPr>
      </w:pPr>
    </w:p>
    <w:p w14:paraId="73FCAFF2">
      <w:pPr>
        <w:keepNext w:val="0"/>
        <w:keepLines w:val="0"/>
        <w:pageBreakBefore w:val="0"/>
        <w:widowControl w:val="0"/>
        <w:kinsoku/>
        <w:wordWrap/>
        <w:overflowPunct/>
        <w:topLinePunct w:val="0"/>
        <w:autoSpaceDE/>
        <w:autoSpaceDN/>
        <w:bidi w:val="0"/>
        <w:adjustRightInd w:val="0"/>
        <w:snapToGrid w:val="0"/>
        <w:spacing w:line="288" w:lineRule="auto"/>
        <w:ind w:left="0" w:firstLine="480" w:firstLineChars="200"/>
        <w:textAlignment w:val="auto"/>
        <w:rPr>
          <w:rFonts w:hint="eastAsia" w:ascii="仿宋" w:hAnsi="仿宋" w:eastAsia="仿宋" w:cs="仿宋"/>
          <w:sz w:val="24"/>
          <w:szCs w:val="24"/>
        </w:rPr>
      </w:pPr>
    </w:p>
    <w:p w14:paraId="2576330B">
      <w:pPr>
        <w:rPr>
          <w:rFonts w:hint="eastAsia" w:ascii="仿宋" w:hAnsi="仿宋" w:eastAsia="仿宋" w:cs="仿宋"/>
          <w:sz w:val="24"/>
          <w:szCs w:val="24"/>
        </w:rPr>
      </w:pPr>
    </w:p>
    <w:p w14:paraId="0B8E3053">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3A4517FA">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44FFBB3F">
      <w:pPr>
        <w:pStyle w:val="16"/>
        <w:keepNext w:val="0"/>
        <w:keepLines w:val="0"/>
        <w:pageBreakBefore w:val="0"/>
        <w:numPr>
          <w:ilvl w:val="0"/>
          <w:numId w:val="0"/>
        </w:numPr>
        <w:kinsoku/>
        <w:wordWrap/>
        <w:overflowPunct/>
        <w:topLinePunct w:val="0"/>
        <w:bidi w:val="0"/>
        <w:adjustRightInd w:val="0"/>
        <w:snapToGrid w:val="0"/>
        <w:spacing w:before="0" w:beforeAutospacing="0" w:after="0" w:afterAutospacing="0" w:line="288" w:lineRule="auto"/>
        <w:ind w:left="0" w:leftChars="0"/>
        <w:textAlignment w:val="auto"/>
        <w:rPr>
          <w:rFonts w:hint="eastAsia" w:ascii="仿宋" w:hAnsi="仿宋" w:eastAsia="仿宋" w:cs="仿宋"/>
          <w:sz w:val="24"/>
          <w:szCs w:val="24"/>
        </w:rPr>
      </w:pPr>
      <w:r>
        <w:rPr>
          <w:rFonts w:hint="eastAsia" w:ascii="仿宋" w:hAnsi="仿宋" w:eastAsia="仿宋" w:cs="仿宋"/>
          <w:sz w:val="24"/>
          <w:szCs w:val="24"/>
        </w:rPr>
        <w:t>注：本章中</w:t>
      </w:r>
      <w:r>
        <w:rPr>
          <w:rFonts w:hint="eastAsia" w:ascii="仿宋" w:hAnsi="仿宋" w:eastAsia="仿宋" w:cs="仿宋"/>
          <w:sz w:val="24"/>
          <w:szCs w:val="24"/>
          <w:lang w:val="en-US" w:eastAsia="zh-CN"/>
        </w:rPr>
        <w:t>所有</w:t>
      </w:r>
      <w:r>
        <w:rPr>
          <w:rFonts w:hint="eastAsia" w:ascii="仿宋" w:hAnsi="仿宋" w:eastAsia="仿宋" w:cs="仿宋"/>
          <w:sz w:val="24"/>
          <w:szCs w:val="24"/>
        </w:rPr>
        <w:t>的条款</w:t>
      </w:r>
      <w:r>
        <w:rPr>
          <w:rFonts w:hint="eastAsia" w:ascii="仿宋" w:hAnsi="仿宋" w:eastAsia="仿宋" w:cs="仿宋"/>
          <w:sz w:val="24"/>
          <w:szCs w:val="24"/>
          <w:lang w:val="en-US" w:eastAsia="zh-CN"/>
        </w:rPr>
        <w:t>均</w:t>
      </w:r>
      <w:r>
        <w:rPr>
          <w:rFonts w:hint="eastAsia" w:ascii="仿宋" w:hAnsi="仿宋" w:eastAsia="仿宋" w:cs="仿宋"/>
          <w:sz w:val="24"/>
          <w:szCs w:val="24"/>
        </w:rPr>
        <w:t>为实质性要求，不满足将被作为无效响应处理。</w:t>
      </w:r>
    </w:p>
    <w:p w14:paraId="7C85EA0A">
      <w:pPr>
        <w:pStyle w:val="16"/>
        <w:keepNext w:val="0"/>
        <w:keepLines w:val="0"/>
        <w:pageBreakBefore w:val="0"/>
        <w:kinsoku/>
        <w:wordWrap/>
        <w:overflowPunct/>
        <w:topLinePunct w:val="0"/>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39CDDE8F">
      <w:pPr>
        <w:rPr>
          <w:rFonts w:ascii="Times New Roman" w:hAnsi="Times New Roman" w:cs="Times New Roman"/>
        </w:rPr>
      </w:pPr>
      <w:r>
        <w:rPr>
          <w:rFonts w:ascii="Times New Roman" w:hAnsi="Times New Roman" w:cs="Times New Roman"/>
        </w:rPr>
        <w:br w:type="page"/>
      </w:r>
    </w:p>
    <w:p w14:paraId="29DFF5BB">
      <w:pPr>
        <w:pStyle w:val="2"/>
        <w:numPr>
          <w:ilvl w:val="0"/>
          <w:numId w:val="0"/>
        </w:numPr>
        <w:ind w:left="0" w:leftChars="0" w:firstLine="0" w:firstLineChars="0"/>
        <w:rPr>
          <w:rFonts w:ascii="Times New Roman" w:hAnsi="Times New Roman" w:cs="Times New Roman"/>
        </w:rPr>
      </w:pPr>
      <w:bookmarkStart w:id="17" w:name="_Toc22588"/>
      <w:bookmarkStart w:id="18" w:name="_Toc13768"/>
      <w:bookmarkStart w:id="19" w:name="_Toc28789"/>
      <w:r>
        <w:rPr>
          <w:rFonts w:hint="eastAsia" w:ascii="Times New Roman" w:hAnsi="Times New Roman" w:eastAsia="黑体" w:cs="Times New Roman"/>
          <w:b/>
          <w:kern w:val="44"/>
          <w:sz w:val="36"/>
          <w:lang w:val="zh-CN" w:eastAsia="zh-CN" w:bidi="ar-SA"/>
        </w:rPr>
        <w:t xml:space="preserve">第五章 </w:t>
      </w:r>
      <w:r>
        <w:rPr>
          <w:rFonts w:ascii="Times New Roman" w:hAnsi="Times New Roman" w:cs="Times New Roman"/>
        </w:rPr>
        <w:t>评分标准</w:t>
      </w:r>
      <w:bookmarkEnd w:id="17"/>
      <w:bookmarkEnd w:id="18"/>
      <w:bookmarkEnd w:id="19"/>
    </w:p>
    <w:p w14:paraId="22CC6F6D">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采用最低评审价法。</w:t>
      </w:r>
    </w:p>
    <w:p w14:paraId="76AB8000">
      <w:pPr>
        <w:rPr>
          <w:lang w:val="zh-CN"/>
        </w:rPr>
      </w:pPr>
    </w:p>
    <w:p w14:paraId="25FC0BAF">
      <w:pPr>
        <w:rPr>
          <w:lang w:val="zh-CN"/>
        </w:rPr>
      </w:pPr>
    </w:p>
    <w:p w14:paraId="1E53B04C">
      <w:pPr>
        <w:rPr>
          <w:rFonts w:ascii="Times New Roman" w:hAnsi="Times New Roman" w:cs="Times New Roman"/>
        </w:rPr>
      </w:pPr>
      <w:r>
        <w:rPr>
          <w:rFonts w:ascii="Times New Roman" w:hAnsi="Times New Roman" w:cs="Times New Roman"/>
        </w:rPr>
        <w:br w:type="page"/>
      </w:r>
    </w:p>
    <w:p w14:paraId="0B9F1C4B">
      <w:pPr>
        <w:pStyle w:val="2"/>
        <w:numPr>
          <w:ilvl w:val="0"/>
          <w:numId w:val="0"/>
        </w:numPr>
        <w:ind w:left="0" w:leftChars="0" w:firstLine="0" w:firstLineChars="0"/>
        <w:rPr>
          <w:rFonts w:ascii="Times New Roman" w:hAnsi="Times New Roman" w:cs="Times New Roman"/>
        </w:rPr>
      </w:pPr>
      <w:bookmarkStart w:id="20" w:name="_Toc3094"/>
      <w:bookmarkStart w:id="21" w:name="_Toc28171"/>
      <w:bookmarkStart w:id="22" w:name="_Toc22827"/>
      <w:r>
        <w:rPr>
          <w:rFonts w:hint="eastAsia" w:ascii="Times New Roman" w:hAnsi="Times New Roman" w:eastAsia="黑体" w:cs="Times New Roman"/>
          <w:b/>
          <w:kern w:val="44"/>
          <w:sz w:val="36"/>
          <w:lang w:val="zh-CN" w:eastAsia="zh-CN" w:bidi="ar-SA"/>
        </w:rPr>
        <w:t xml:space="preserve">第六章 </w:t>
      </w:r>
      <w:r>
        <w:rPr>
          <w:rFonts w:ascii="Times New Roman" w:hAnsi="Times New Roman" w:cs="Times New Roman"/>
        </w:rPr>
        <w:t>响应文件格式</w:t>
      </w:r>
      <w:bookmarkEnd w:id="20"/>
      <w:bookmarkEnd w:id="21"/>
      <w:bookmarkEnd w:id="22"/>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3" w:name="_Toc29819"/>
      <w:bookmarkStart w:id="24" w:name="_Toc4960"/>
      <w:bookmarkStart w:id="25" w:name="_Toc5913"/>
      <w:r>
        <w:rPr>
          <w:rFonts w:ascii="Times New Roman" w:hAnsi="Times New Roman" w:eastAsia="仿宋" w:cs="Times New Roman"/>
          <w:sz w:val="28"/>
          <w:szCs w:val="24"/>
        </w:rPr>
        <w:t>（响应文件封面）</w:t>
      </w:r>
      <w:bookmarkEnd w:id="23"/>
      <w:bookmarkEnd w:id="24"/>
      <w:bookmarkEnd w:id="25"/>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6" w:name="_Toc30609"/>
      <w:bookmarkStart w:id="27" w:name="_Toc9428"/>
      <w:bookmarkStart w:id="28" w:name="_Toc19851"/>
      <w:r>
        <w:rPr>
          <w:rFonts w:ascii="Times New Roman" w:hAnsi="Times New Roman" w:eastAsia="仿宋" w:cs="Times New Roman"/>
          <w:sz w:val="24"/>
          <w:szCs w:val="24"/>
        </w:rPr>
        <w:t>项目名称：</w:t>
      </w:r>
      <w:bookmarkEnd w:id="26"/>
      <w:bookmarkEnd w:id="27"/>
      <w:bookmarkEnd w:id="28"/>
    </w:p>
    <w:p w14:paraId="58CC82C4">
      <w:pPr>
        <w:jc w:val="left"/>
        <w:rPr>
          <w:rFonts w:ascii="Times New Roman" w:hAnsi="Times New Roman" w:eastAsia="仿宋" w:cs="Times New Roman"/>
          <w:sz w:val="24"/>
          <w:szCs w:val="24"/>
        </w:rPr>
      </w:pPr>
      <w:bookmarkStart w:id="29" w:name="_Toc32352"/>
      <w:bookmarkStart w:id="30" w:name="_Toc9041"/>
      <w:bookmarkStart w:id="31" w:name="_Toc1544"/>
      <w:r>
        <w:rPr>
          <w:rFonts w:ascii="Times New Roman" w:hAnsi="Times New Roman" w:eastAsia="仿宋" w:cs="Times New Roman"/>
          <w:sz w:val="24"/>
          <w:szCs w:val="24"/>
        </w:rPr>
        <w:t>项目编号：</w:t>
      </w:r>
      <w:bookmarkEnd w:id="29"/>
      <w:bookmarkEnd w:id="30"/>
      <w:bookmarkEnd w:id="31"/>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2" w:name="_Toc24097"/>
      <w:bookmarkStart w:id="33" w:name="_Toc21472"/>
    </w:p>
    <w:bookmarkEnd w:id="32"/>
    <w:bookmarkEnd w:id="33"/>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4" w:name="_Toc24859"/>
      <w:bookmarkStart w:id="35" w:name="_Toc17163"/>
      <w:bookmarkStart w:id="36" w:name="_Toc1690"/>
      <w:bookmarkStart w:id="37" w:name="_Toc32749"/>
      <w:r>
        <w:rPr>
          <w:rFonts w:ascii="Times New Roman" w:hAnsi="Times New Roman" w:eastAsia="仿宋" w:cs="Times New Roman"/>
          <w:sz w:val="28"/>
          <w:szCs w:val="24"/>
        </w:rPr>
        <w:t>供应商名称（公章）：</w:t>
      </w:r>
      <w:bookmarkEnd w:id="34"/>
      <w:bookmarkEnd w:id="35"/>
      <w:bookmarkEnd w:id="36"/>
      <w:bookmarkEnd w:id="37"/>
    </w:p>
    <w:p w14:paraId="2B941835">
      <w:pPr>
        <w:jc w:val="left"/>
        <w:rPr>
          <w:rFonts w:ascii="Times New Roman" w:hAnsi="Times New Roman" w:eastAsia="仿宋" w:cs="Times New Roman"/>
          <w:sz w:val="28"/>
          <w:szCs w:val="24"/>
        </w:rPr>
      </w:pPr>
      <w:bookmarkStart w:id="38" w:name="_Toc17905"/>
      <w:bookmarkStart w:id="39" w:name="_Toc3558"/>
      <w:bookmarkStart w:id="40" w:name="_Toc24123"/>
      <w:bookmarkStart w:id="41" w:name="_Toc6803"/>
      <w:r>
        <w:rPr>
          <w:rFonts w:ascii="Times New Roman" w:hAnsi="Times New Roman" w:eastAsia="仿宋" w:cs="Times New Roman"/>
          <w:sz w:val="28"/>
          <w:szCs w:val="24"/>
        </w:rPr>
        <w:t>法定代表人或授权代理人（签字）：</w:t>
      </w:r>
      <w:bookmarkEnd w:id="38"/>
      <w:bookmarkEnd w:id="39"/>
      <w:bookmarkEnd w:id="40"/>
      <w:bookmarkEnd w:id="41"/>
    </w:p>
    <w:p w14:paraId="6B7162F2">
      <w:pPr>
        <w:jc w:val="left"/>
        <w:rPr>
          <w:rFonts w:ascii="Times New Roman" w:hAnsi="Times New Roman" w:eastAsia="仿宋" w:cs="Times New Roman"/>
          <w:sz w:val="28"/>
          <w:szCs w:val="24"/>
        </w:rPr>
      </w:pPr>
      <w:bookmarkStart w:id="42" w:name="_Toc2989"/>
      <w:bookmarkStart w:id="43" w:name="_Toc27526"/>
      <w:bookmarkStart w:id="44" w:name="_Toc5996"/>
      <w:bookmarkStart w:id="45" w:name="_Toc27135"/>
      <w:r>
        <w:rPr>
          <w:rFonts w:ascii="Times New Roman" w:hAnsi="Times New Roman" w:eastAsia="仿宋" w:cs="Times New Roman"/>
          <w:sz w:val="28"/>
          <w:szCs w:val="24"/>
        </w:rPr>
        <w:t>联系方式（移动电话）：</w:t>
      </w:r>
      <w:bookmarkEnd w:id="42"/>
      <w:bookmarkEnd w:id="43"/>
      <w:bookmarkEnd w:id="44"/>
      <w:bookmarkEnd w:id="45"/>
    </w:p>
    <w:p w14:paraId="77EDD8DE">
      <w:pPr>
        <w:jc w:val="left"/>
        <w:rPr>
          <w:rFonts w:ascii="Times New Roman" w:hAnsi="Times New Roman" w:eastAsia="仿宋" w:cs="Times New Roman"/>
          <w:sz w:val="28"/>
          <w:szCs w:val="24"/>
        </w:rPr>
      </w:pPr>
      <w:bookmarkStart w:id="46" w:name="_Toc19987"/>
      <w:bookmarkStart w:id="47" w:name="_Toc5056"/>
      <w:bookmarkStart w:id="48" w:name="_Toc2031"/>
      <w:bookmarkStart w:id="49" w:name="_Toc7233"/>
      <w:r>
        <w:rPr>
          <w:rFonts w:ascii="Times New Roman" w:hAnsi="Times New Roman" w:eastAsia="仿宋" w:cs="Times New Roman"/>
          <w:sz w:val="28"/>
          <w:szCs w:val="24"/>
        </w:rPr>
        <w:t>日期：     年    月     日</w:t>
      </w:r>
      <w:bookmarkEnd w:id="46"/>
      <w:bookmarkEnd w:id="47"/>
      <w:bookmarkEnd w:id="48"/>
      <w:bookmarkEnd w:id="49"/>
    </w:p>
    <w:p w14:paraId="7AA5BFB2">
      <w:pPr>
        <w:jc w:val="center"/>
        <w:rPr>
          <w:rFonts w:ascii="Times New Roman" w:hAnsi="Times New Roman" w:eastAsia="仿宋" w:cs="Times New Roman"/>
          <w:sz w:val="32"/>
          <w:szCs w:val="40"/>
        </w:rPr>
      </w:pPr>
      <w:bookmarkStart w:id="50" w:name="_Toc16029"/>
      <w:bookmarkStart w:id="51" w:name="_Toc6482"/>
      <w:bookmarkStart w:id="52" w:name="_Toc3023"/>
      <w:bookmarkStart w:id="53" w:name="_Toc11352"/>
      <w:bookmarkStart w:id="54" w:name="_Toc14829"/>
      <w:bookmarkStart w:id="55" w:name="_Toc21519"/>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3"/>
        <w:ind w:firstLine="0"/>
      </w:pPr>
      <w:r>
        <w:t>承诺函</w:t>
      </w:r>
      <w:bookmarkEnd w:id="50"/>
      <w:bookmarkEnd w:id="51"/>
      <w:bookmarkEnd w:id="52"/>
      <w:bookmarkEnd w:id="53"/>
      <w:bookmarkEnd w:id="54"/>
      <w:bookmarkEnd w:id="55"/>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6" w:name="_Toc31838"/>
      <w:bookmarkStart w:id="57" w:name="_Toc22676"/>
      <w:bookmarkStart w:id="58" w:name="_Toc30971"/>
      <w:bookmarkStart w:id="59" w:name="_Toc17857"/>
      <w:bookmarkStart w:id="60" w:name="_Toc4305"/>
      <w:r>
        <w:rPr>
          <w:rFonts w:ascii="Times New Roman" w:hAnsi="Times New Roman" w:cs="Times New Roman"/>
        </w:rPr>
        <w:br w:type="page"/>
      </w:r>
    </w:p>
    <w:p w14:paraId="72845348">
      <w:pPr>
        <w:pStyle w:val="3"/>
        <w:ind w:firstLine="0"/>
      </w:pPr>
      <w:r>
        <w:t>具有独立承担民事责任的能力</w:t>
      </w:r>
      <w:bookmarkEnd w:id="56"/>
      <w:bookmarkEnd w:id="57"/>
      <w:bookmarkEnd w:id="58"/>
      <w:bookmarkEnd w:id="59"/>
      <w:bookmarkEnd w:id="60"/>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2"/>
          <w:szCs w:val="28"/>
        </w:rPr>
      </w:pPr>
      <w:r>
        <w:rPr>
          <w:bCs/>
        </w:rPr>
        <w:br w:type="page"/>
      </w:r>
      <w:bookmarkStart w:id="61" w:name="_Toc15613"/>
      <w:bookmarkStart w:id="62" w:name="_Toc27186"/>
      <w:bookmarkStart w:id="63"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1"/>
      <w:bookmarkEnd w:id="62"/>
      <w:bookmarkStart w:id="64" w:name="_Toc13706"/>
      <w:bookmarkStart w:id="65" w:name="_Toc13904"/>
      <w:bookmarkStart w:id="66" w:name="_Toc25357"/>
    </w:p>
    <w:p w14:paraId="76B8A196">
      <w:pPr>
        <w:pStyle w:val="3"/>
        <w:ind w:firstLine="0"/>
        <w:rPr>
          <w:szCs w:val="32"/>
        </w:rPr>
      </w:pPr>
      <w:bookmarkStart w:id="67" w:name="_Toc23146"/>
      <w:bookmarkStart w:id="68" w:name="_Toc15508"/>
      <w:r>
        <w:t>本项目其他资格条件提供的证明材料</w:t>
      </w:r>
      <w:bookmarkEnd w:id="63"/>
      <w:bookmarkEnd w:id="64"/>
      <w:bookmarkEnd w:id="65"/>
      <w:bookmarkEnd w:id="66"/>
      <w:bookmarkEnd w:id="67"/>
      <w:bookmarkEnd w:id="68"/>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9" w:name="_Toc20589"/>
      <w:bookmarkStart w:id="70" w:name="_Toc12015"/>
      <w:bookmarkStart w:id="71" w:name="_Toc25638"/>
      <w:bookmarkStart w:id="72" w:name="_Toc11351"/>
      <w:bookmarkStart w:id="73" w:name="_Toc27661"/>
      <w:bookmarkStart w:id="74" w:name="_Toc15526"/>
      <w:r>
        <w:rPr>
          <w:rStyle w:val="40"/>
          <w:b/>
        </w:rPr>
        <w:t>法定代表人身份证明书</w:t>
      </w:r>
      <w:bookmarkEnd w:id="69"/>
      <w:bookmarkEnd w:id="70"/>
      <w:bookmarkEnd w:id="71"/>
      <w:bookmarkEnd w:id="72"/>
      <w:bookmarkEnd w:id="73"/>
      <w:bookmarkEnd w:id="74"/>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5" w:name="_Toc16435"/>
      <w:bookmarkStart w:id="76" w:name="_Toc2041"/>
      <w:bookmarkStart w:id="77" w:name="_Toc12967"/>
      <w:bookmarkStart w:id="78" w:name="_Toc26969"/>
      <w:bookmarkStart w:id="79" w:name="_Toc1074"/>
      <w:bookmarkStart w:id="80" w:name="_Toc23967"/>
      <w:r>
        <w:rPr>
          <w:rStyle w:val="40"/>
          <w:b/>
        </w:rPr>
        <w:t>采购需求偏离表</w:t>
      </w:r>
      <w:bookmarkEnd w:id="75"/>
      <w:bookmarkEnd w:id="76"/>
      <w:bookmarkEnd w:id="77"/>
      <w:bookmarkEnd w:id="78"/>
      <w:bookmarkEnd w:id="79"/>
      <w:bookmarkEnd w:id="80"/>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81" w:name="_Toc31686"/>
      <w:bookmarkStart w:id="82" w:name="_Toc28634"/>
      <w:bookmarkStart w:id="83" w:name="_Toc24806"/>
      <w:bookmarkStart w:id="84" w:name="_Toc21082"/>
      <w:bookmarkStart w:id="85" w:name="_Toc26839"/>
      <w:bookmarkStart w:id="86" w:name="_Toc1369"/>
      <w:r>
        <w:rPr>
          <w:rStyle w:val="40"/>
          <w:b/>
        </w:rPr>
        <w:t>评分需要提供的证明材料</w:t>
      </w:r>
      <w:bookmarkEnd w:id="81"/>
      <w:bookmarkEnd w:id="82"/>
      <w:bookmarkEnd w:id="83"/>
      <w:bookmarkEnd w:id="84"/>
      <w:bookmarkEnd w:id="85"/>
      <w:bookmarkEnd w:id="86"/>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7" w:name="_Toc24494"/>
      <w:bookmarkStart w:id="88" w:name="_Toc3871"/>
      <w:bookmarkStart w:id="89" w:name="_Toc32605"/>
    </w:p>
    <w:p w14:paraId="1483D64D">
      <w:pPr>
        <w:pStyle w:val="3"/>
        <w:ind w:firstLine="0"/>
        <w:rPr>
          <w:highlight w:val="none"/>
        </w:rPr>
      </w:pPr>
      <w:bookmarkStart w:id="90" w:name="_Toc15065"/>
      <w:r>
        <w:rPr>
          <w:highlight w:val="none"/>
        </w:rPr>
        <w:t>报价单</w:t>
      </w:r>
      <w:bookmarkEnd w:id="90"/>
    </w:p>
    <w:p w14:paraId="20C0FE73">
      <w:pPr>
        <w:ind w:firstLine="660"/>
        <w:rPr>
          <w:rFonts w:ascii="Times New Roman" w:hAnsi="Times New Roman" w:eastAsia="仿宋" w:cs="Times New Roman"/>
          <w:sz w:val="24"/>
          <w:szCs w:val="24"/>
          <w:highlight w:val="none"/>
          <w:lang w:val="zh-TW" w:eastAsia="zh-TW"/>
        </w:rPr>
      </w:pPr>
      <w:r>
        <w:rPr>
          <w:rFonts w:ascii="Times New Roman" w:hAnsi="Times New Roman" w:eastAsia="仿宋" w:cs="Times New Roman"/>
          <w:sz w:val="24"/>
          <w:szCs w:val="24"/>
          <w:highlight w:val="none"/>
          <w:lang w:val="zh-TW" w:eastAsia="zh-TW"/>
        </w:rPr>
        <w:t>我单位作为</w:t>
      </w:r>
      <w:r>
        <w:rPr>
          <w:rFonts w:ascii="Times New Roman" w:hAnsi="Times New Roman" w:eastAsia="仿宋" w:cs="Times New Roman"/>
          <w:sz w:val="24"/>
          <w:szCs w:val="24"/>
          <w:highlight w:val="none"/>
          <w:lang w:val="zh-TW"/>
        </w:rPr>
        <w:t>供应商</w:t>
      </w:r>
      <w:r>
        <w:rPr>
          <w:rFonts w:hint="eastAsia" w:ascii="Times New Roman" w:hAnsi="Times New Roman" w:eastAsia="仿宋" w:cs="Times New Roman"/>
          <w:sz w:val="24"/>
          <w:szCs w:val="24"/>
          <w:highlight w:val="none"/>
          <w:lang w:val="zh-TW" w:eastAsia="zh-CN"/>
        </w:rPr>
        <w:t>，</w:t>
      </w:r>
      <w:r>
        <w:rPr>
          <w:rFonts w:ascii="Times New Roman" w:hAnsi="Times New Roman" w:eastAsia="仿宋" w:cs="Times New Roman"/>
          <w:sz w:val="24"/>
          <w:szCs w:val="24"/>
          <w:highlight w:val="none"/>
          <w:lang w:val="zh-TW" w:eastAsia="zh-TW"/>
        </w:rPr>
        <w:t>对</w:t>
      </w:r>
      <w:r>
        <w:rPr>
          <w:rFonts w:hint="eastAsia" w:ascii="Times New Roman" w:hAnsi="Times New Roman" w:eastAsia="仿宋" w:cs="Times New Roman"/>
          <w:sz w:val="24"/>
          <w:szCs w:val="24"/>
          <w:highlight w:val="none"/>
          <w:lang w:val="zh-TW" w:eastAsia="zh-TW"/>
        </w:rPr>
        <w:t>本次谈判</w:t>
      </w:r>
      <w:r>
        <w:rPr>
          <w:rFonts w:ascii="Times New Roman" w:hAnsi="Times New Roman" w:eastAsia="仿宋" w:cs="Times New Roman"/>
          <w:sz w:val="24"/>
          <w:szCs w:val="24"/>
          <w:highlight w:val="none"/>
          <w:lang w:val="zh-TW" w:eastAsia="zh-TW"/>
        </w:rPr>
        <w:t>中我方所承诺的条款已经完全明确</w:t>
      </w:r>
      <w:r>
        <w:rPr>
          <w:rFonts w:hint="eastAsia" w:ascii="Times New Roman" w:hAnsi="Times New Roman" w:eastAsia="仿宋" w:cs="Times New Roman"/>
          <w:sz w:val="24"/>
          <w:szCs w:val="24"/>
          <w:highlight w:val="none"/>
          <w:lang w:val="zh-TW" w:eastAsia="zh-CN"/>
        </w:rPr>
        <w:t>，</w:t>
      </w:r>
      <w:r>
        <w:rPr>
          <w:rFonts w:ascii="Times New Roman" w:hAnsi="Times New Roman" w:eastAsia="仿宋" w:cs="Times New Roman"/>
          <w:sz w:val="24"/>
          <w:szCs w:val="24"/>
          <w:highlight w:val="none"/>
          <w:lang w:val="zh-TW" w:eastAsia="zh-TW"/>
        </w:rPr>
        <w:t>也</w:t>
      </w:r>
      <w:r>
        <w:rPr>
          <w:rFonts w:hint="eastAsia" w:ascii="Times New Roman" w:hAnsi="Times New Roman" w:eastAsia="仿宋" w:cs="Times New Roman"/>
          <w:sz w:val="24"/>
          <w:szCs w:val="24"/>
          <w:highlight w:val="none"/>
          <w:lang w:val="zh-TW" w:eastAsia="zh-TW"/>
        </w:rPr>
        <w:t>知晓</w:t>
      </w:r>
      <w:r>
        <w:rPr>
          <w:rFonts w:ascii="Times New Roman" w:hAnsi="Times New Roman" w:eastAsia="仿宋" w:cs="Times New Roman"/>
          <w:sz w:val="24"/>
          <w:szCs w:val="24"/>
          <w:highlight w:val="none"/>
          <w:lang w:val="zh-TW" w:eastAsia="zh-TW"/>
        </w:rPr>
        <w:t>所承诺的事项和作出的报价可能给我方带来的风险和后果。如果我方在</w:t>
      </w:r>
      <w:r>
        <w:rPr>
          <w:rFonts w:hint="eastAsia" w:ascii="Times New Roman" w:hAnsi="Times New Roman" w:eastAsia="仿宋" w:cs="Times New Roman"/>
          <w:sz w:val="24"/>
          <w:szCs w:val="24"/>
          <w:highlight w:val="none"/>
          <w:lang w:val="zh-TW" w:eastAsia="zh-TW"/>
        </w:rPr>
        <w:t>谈判</w:t>
      </w:r>
      <w:r>
        <w:rPr>
          <w:rFonts w:ascii="Times New Roman" w:hAnsi="Times New Roman" w:eastAsia="仿宋" w:cs="Times New Roman"/>
          <w:sz w:val="24"/>
          <w:szCs w:val="24"/>
          <w:highlight w:val="none"/>
          <w:lang w:val="zh-TW" w:eastAsia="zh-TW"/>
        </w:rPr>
        <w:t>中有弄虚作假等违法违规行为，以及</w:t>
      </w:r>
      <w:r>
        <w:rPr>
          <w:rFonts w:hint="eastAsia" w:ascii="Times New Roman" w:hAnsi="Times New Roman" w:eastAsia="仿宋" w:cs="Times New Roman"/>
          <w:sz w:val="24"/>
          <w:szCs w:val="24"/>
          <w:highlight w:val="none"/>
          <w:lang w:val="zh-TW"/>
        </w:rPr>
        <w:t>成交</w:t>
      </w:r>
      <w:r>
        <w:rPr>
          <w:rFonts w:ascii="Times New Roman" w:hAnsi="Times New Roman" w:eastAsia="仿宋" w:cs="Times New Roman"/>
          <w:sz w:val="24"/>
          <w:szCs w:val="24"/>
          <w:highlight w:val="none"/>
          <w:lang w:val="zh-TW" w:eastAsia="zh-TW"/>
        </w:rPr>
        <w:t>后因报价低或不执行承诺条款而不履约</w:t>
      </w:r>
      <w:r>
        <w:rPr>
          <w:rFonts w:hint="eastAsia" w:ascii="Times New Roman" w:hAnsi="Times New Roman" w:eastAsia="仿宋" w:cs="Times New Roman"/>
          <w:sz w:val="24"/>
          <w:szCs w:val="24"/>
          <w:highlight w:val="none"/>
          <w:lang w:val="zh-TW" w:eastAsia="zh-CN"/>
        </w:rPr>
        <w:t>，</w:t>
      </w:r>
      <w:r>
        <w:rPr>
          <w:rFonts w:hint="eastAsia" w:ascii="Times New Roman" w:hAnsi="Times New Roman" w:eastAsia="仿宋" w:cs="Times New Roman"/>
          <w:sz w:val="24"/>
          <w:szCs w:val="24"/>
          <w:highlight w:val="none"/>
        </w:rPr>
        <w:t>我方</w:t>
      </w:r>
      <w:r>
        <w:rPr>
          <w:rFonts w:ascii="Times New Roman" w:hAnsi="Times New Roman" w:eastAsia="仿宋" w:cs="Times New Roman"/>
          <w:sz w:val="24"/>
          <w:szCs w:val="24"/>
          <w:highlight w:val="none"/>
          <w:lang w:val="zh-TW" w:eastAsia="zh-TW"/>
        </w:rPr>
        <w:t>愿承担一切责任（包括赔偿损失、取消</w:t>
      </w:r>
      <w:r>
        <w:rPr>
          <w:rFonts w:hint="eastAsia" w:ascii="Times New Roman" w:hAnsi="Times New Roman" w:eastAsia="仿宋" w:cs="Times New Roman"/>
          <w:sz w:val="24"/>
          <w:szCs w:val="24"/>
          <w:highlight w:val="none"/>
          <w:lang w:val="zh-TW" w:eastAsia="zh-TW"/>
        </w:rPr>
        <w:t>谈判</w:t>
      </w:r>
      <w:r>
        <w:rPr>
          <w:rFonts w:ascii="Times New Roman" w:hAnsi="Times New Roman" w:eastAsia="仿宋" w:cs="Times New Roman"/>
          <w:sz w:val="24"/>
          <w:szCs w:val="24"/>
          <w:highlight w:val="none"/>
          <w:lang w:val="zh-TW" w:eastAsia="zh-TW"/>
        </w:rPr>
        <w:t>及</w:t>
      </w:r>
      <w:r>
        <w:rPr>
          <w:rFonts w:hint="eastAsia" w:ascii="Times New Roman" w:hAnsi="Times New Roman" w:eastAsia="仿宋" w:cs="Times New Roman"/>
          <w:sz w:val="24"/>
          <w:szCs w:val="24"/>
          <w:highlight w:val="none"/>
          <w:lang w:val="zh-TW"/>
        </w:rPr>
        <w:t>成交</w:t>
      </w:r>
      <w:r>
        <w:rPr>
          <w:rFonts w:ascii="Times New Roman" w:hAnsi="Times New Roman" w:eastAsia="仿宋" w:cs="Times New Roman"/>
          <w:sz w:val="24"/>
          <w:szCs w:val="24"/>
          <w:highlight w:val="none"/>
          <w:lang w:val="zh-TW" w:eastAsia="zh-TW"/>
        </w:rPr>
        <w:t>资格等），我</w:t>
      </w:r>
      <w:r>
        <w:rPr>
          <w:rFonts w:hint="eastAsia" w:ascii="Times New Roman" w:hAnsi="Times New Roman" w:eastAsia="仿宋" w:cs="Times New Roman"/>
          <w:sz w:val="24"/>
          <w:szCs w:val="24"/>
          <w:highlight w:val="none"/>
          <w:lang w:val="zh-TW" w:eastAsia="zh-TW"/>
        </w:rPr>
        <w:t>方</w:t>
      </w:r>
      <w:r>
        <w:rPr>
          <w:rFonts w:ascii="Times New Roman" w:hAnsi="Times New Roman" w:eastAsia="仿宋" w:cs="Times New Roman"/>
          <w:sz w:val="24"/>
          <w:szCs w:val="24"/>
          <w:highlight w:val="none"/>
          <w:lang w:val="zh-TW" w:eastAsia="zh-TW"/>
        </w:rPr>
        <w:t>本次报价为：</w:t>
      </w:r>
    </w:p>
    <w:p w14:paraId="26EE3747">
      <w:pPr>
        <w:pStyle w:val="7"/>
        <w:rPr>
          <w:rFonts w:ascii="宋体" w:hAnsi="宋体" w:eastAsia="宋体" w:cs="Times New Roman"/>
          <w:b/>
          <w:bCs/>
          <w:szCs w:val="21"/>
          <w:highlight w:val="none"/>
          <w:lang w:val="zh-TW"/>
        </w:rPr>
      </w:pPr>
      <w:r>
        <w:rPr>
          <w:rFonts w:ascii="宋体" w:hAnsi="宋体" w:eastAsia="宋体" w:cs="Times New Roman"/>
          <w:b/>
          <w:bCs/>
          <w:szCs w:val="21"/>
          <w:highlight w:val="none"/>
          <w:lang w:val="zh-TW" w:eastAsia="zh-TW"/>
        </w:rPr>
        <w:t>注意事项</w:t>
      </w:r>
      <w:r>
        <w:rPr>
          <w:rFonts w:ascii="宋体" w:hAnsi="宋体" w:eastAsia="宋体" w:cs="Times New Roman"/>
          <w:b/>
          <w:bCs/>
          <w:szCs w:val="21"/>
          <w:highlight w:val="none"/>
          <w:lang w:val="zh-TW"/>
        </w:rPr>
        <w:t>：</w:t>
      </w:r>
    </w:p>
    <w:p w14:paraId="1BCB6CCC">
      <w:pPr>
        <w:pStyle w:val="7"/>
        <w:rPr>
          <w:rFonts w:ascii="宋体" w:hAnsi="宋体" w:eastAsia="宋体" w:cs="Times New Roman"/>
          <w:b/>
          <w:bCs/>
          <w:szCs w:val="21"/>
          <w:highlight w:val="none"/>
          <w:lang w:val="zh-TW"/>
        </w:rPr>
      </w:pPr>
      <w:r>
        <w:rPr>
          <w:rFonts w:ascii="宋体" w:hAnsi="宋体" w:eastAsia="宋体" w:cs="Times New Roman"/>
          <w:b/>
          <w:bCs/>
          <w:szCs w:val="21"/>
          <w:highlight w:val="none"/>
          <w:lang w:val="zh-TW"/>
        </w:rPr>
        <w:t>1</w:t>
      </w:r>
      <w:r>
        <w:rPr>
          <w:rFonts w:ascii="宋体" w:hAnsi="宋体" w:eastAsia="宋体" w:cs="Times New Roman"/>
          <w:b/>
          <w:bCs/>
          <w:szCs w:val="21"/>
          <w:highlight w:val="none"/>
          <w:lang w:val="zh-TW" w:eastAsia="zh-TW"/>
        </w:rPr>
        <w:t>.</w:t>
      </w:r>
      <w:r>
        <w:rPr>
          <w:rFonts w:hint="eastAsia" w:ascii="宋体" w:hAnsi="宋体" w:eastAsia="宋体" w:cs="Times New Roman"/>
          <w:b/>
          <w:bCs/>
          <w:szCs w:val="21"/>
          <w:highlight w:val="none"/>
          <w:lang w:val="zh-TW" w:eastAsia="zh-TW"/>
        </w:rPr>
        <w:t>如本次采购标的为货物</w:t>
      </w:r>
      <w:r>
        <w:rPr>
          <w:rFonts w:hint="eastAsia" w:ascii="宋体" w:hAnsi="宋体" w:eastAsia="宋体" w:cs="Times New Roman"/>
          <w:b/>
          <w:bCs/>
          <w:szCs w:val="21"/>
          <w:highlight w:val="none"/>
          <w:lang w:val="zh-TW"/>
        </w:rPr>
        <w:t>，</w:t>
      </w:r>
      <w:r>
        <w:rPr>
          <w:rFonts w:ascii="宋体" w:hAnsi="宋体" w:eastAsia="宋体" w:cs="Times New Roman"/>
          <w:b/>
          <w:bCs/>
          <w:szCs w:val="21"/>
          <w:highlight w:val="none"/>
          <w:lang w:val="zh-TW"/>
        </w:rPr>
        <w:t>下表中</w:t>
      </w:r>
      <w:r>
        <w:rPr>
          <w:rFonts w:hint="eastAsia" w:ascii="宋体" w:hAnsi="宋体" w:eastAsia="宋体" w:cs="Times New Roman"/>
          <w:b/>
          <w:bCs/>
          <w:szCs w:val="21"/>
          <w:highlight w:val="none"/>
          <w:lang w:val="zh-TW"/>
        </w:rPr>
        <w:t>响应的</w:t>
      </w:r>
      <w:r>
        <w:rPr>
          <w:rFonts w:ascii="宋体" w:hAnsi="宋体" w:eastAsia="宋体" w:cs="Times New Roman"/>
          <w:b/>
          <w:bCs/>
          <w:szCs w:val="21"/>
          <w:highlight w:val="none"/>
          <w:lang w:val="zh-TW"/>
        </w:rPr>
        <w:t>产品名称、生产厂家、规格型号等信息</w:t>
      </w:r>
      <w:r>
        <w:rPr>
          <w:rFonts w:hint="eastAsia" w:ascii="宋体" w:hAnsi="宋体" w:eastAsia="宋体" w:cs="Times New Roman"/>
          <w:b/>
          <w:bCs/>
          <w:szCs w:val="21"/>
          <w:highlight w:val="none"/>
          <w:lang w:val="zh-TW"/>
        </w:rPr>
        <w:t>应</w:t>
      </w:r>
      <w:r>
        <w:rPr>
          <w:rFonts w:ascii="宋体" w:hAnsi="宋体" w:eastAsia="宋体" w:cs="Times New Roman"/>
          <w:b/>
          <w:bCs/>
          <w:szCs w:val="21"/>
          <w:highlight w:val="none"/>
          <w:lang w:val="zh-TW"/>
        </w:rPr>
        <w:t>与产品医疗器械注册证或备案凭证对应信息保持一致</w:t>
      </w:r>
      <w:r>
        <w:rPr>
          <w:rFonts w:hint="eastAsia" w:ascii="宋体" w:hAnsi="宋体" w:eastAsia="宋体" w:cs="Times New Roman"/>
          <w:b/>
          <w:bCs/>
          <w:szCs w:val="21"/>
          <w:highlight w:val="none"/>
          <w:lang w:val="zh-TW"/>
        </w:rPr>
        <w:t>，不作为医疗器械管理的，应与货物的说明书等官方技术文档对应信息保持一致</w:t>
      </w:r>
      <w:r>
        <w:rPr>
          <w:rFonts w:ascii="宋体" w:hAnsi="宋体" w:eastAsia="宋体" w:cs="Times New Roman"/>
          <w:b/>
          <w:bCs/>
          <w:szCs w:val="21"/>
          <w:highlight w:val="none"/>
          <w:lang w:val="zh-TW"/>
        </w:rPr>
        <w:t>。</w:t>
      </w:r>
    </w:p>
    <w:p w14:paraId="661984F4">
      <w:pPr>
        <w:pStyle w:val="7"/>
        <w:rPr>
          <w:rFonts w:ascii="宋体" w:hAnsi="宋体" w:eastAsia="宋体" w:cs="Times New Roman"/>
          <w:b/>
          <w:bCs/>
          <w:szCs w:val="21"/>
          <w:highlight w:val="none"/>
          <w:lang w:val="zh-TW"/>
        </w:rPr>
      </w:pPr>
      <w:r>
        <w:rPr>
          <w:rFonts w:hint="eastAsia" w:ascii="宋体" w:hAnsi="宋体" w:eastAsia="宋体" w:cs="Times New Roman"/>
          <w:b/>
          <w:bCs/>
          <w:szCs w:val="21"/>
          <w:highlight w:val="none"/>
          <w:lang w:val="zh-TW"/>
        </w:rPr>
        <w:t>2</w:t>
      </w:r>
      <w:r>
        <w:rPr>
          <w:rFonts w:ascii="宋体" w:hAnsi="宋体" w:eastAsia="宋体" w:cs="Times New Roman"/>
          <w:b/>
          <w:bCs/>
          <w:szCs w:val="21"/>
          <w:highlight w:val="none"/>
          <w:lang w:val="zh-TW" w:eastAsia="zh-TW"/>
        </w:rPr>
        <w:t>.所有报价均用人民币表示。运输、安装、调试、检验、培训、调换、税金和保险等费用以及采购文件规定的其他费用均应包含在报价中。</w:t>
      </w:r>
    </w:p>
    <w:p w14:paraId="7C0E8357">
      <w:pPr>
        <w:rPr>
          <w:lang w:val="zh-TW"/>
        </w:rPr>
      </w:pPr>
    </w:p>
    <w:p w14:paraId="53D1A6BA">
      <w:pPr>
        <w:pStyle w:val="7"/>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19"/>
        <w:tblW w:w="500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88"/>
        <w:gridCol w:w="1154"/>
        <w:gridCol w:w="3526"/>
        <w:gridCol w:w="934"/>
        <w:gridCol w:w="1042"/>
        <w:gridCol w:w="1388"/>
        <w:gridCol w:w="831"/>
      </w:tblGrid>
      <w:tr w14:paraId="1C00F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atLeast"/>
          <w:jc w:val="center"/>
        </w:trPr>
        <w:tc>
          <w:tcPr>
            <w:tcW w:w="408" w:type="pct"/>
            <w:vAlign w:val="center"/>
          </w:tcPr>
          <w:p w14:paraId="17A2EF30">
            <w:pPr>
              <w:spacing w:line="240" w:lineRule="auto"/>
              <w:jc w:val="center"/>
              <w:rPr>
                <w:rFonts w:hint="eastAsia" w:ascii="仿宋" w:hAnsi="仿宋" w:eastAsia="仿宋" w:cs="仿宋"/>
                <w:b/>
                <w:bCs/>
                <w:kern w:val="0"/>
                <w:sz w:val="24"/>
                <w:szCs w:val="24"/>
                <w:highlight w:val="none"/>
                <w:lang w:val="zh-TW" w:eastAsia="zh-TW"/>
              </w:rPr>
            </w:pPr>
            <w:r>
              <w:rPr>
                <w:rFonts w:hint="eastAsia" w:ascii="仿宋" w:hAnsi="仿宋" w:eastAsia="仿宋" w:cs="仿宋"/>
                <w:b/>
                <w:bCs/>
                <w:kern w:val="0"/>
                <w:sz w:val="24"/>
                <w:szCs w:val="24"/>
                <w:highlight w:val="none"/>
                <w:lang w:val="zh-TW" w:eastAsia="zh-TW"/>
              </w:rPr>
              <w:t>序号</w:t>
            </w:r>
          </w:p>
        </w:tc>
        <w:tc>
          <w:tcPr>
            <w:tcW w:w="597" w:type="pct"/>
            <w:vAlign w:val="center"/>
          </w:tcPr>
          <w:p w14:paraId="43FFAF6E">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bCs/>
                <w:kern w:val="0"/>
                <w:sz w:val="24"/>
                <w:szCs w:val="24"/>
                <w:highlight w:val="none"/>
                <w:lang w:val="zh-TW" w:eastAsia="zh-TW"/>
              </w:rPr>
            </w:pPr>
            <w:r>
              <w:rPr>
                <w:rStyle w:val="21"/>
                <w:rFonts w:hint="eastAsia" w:ascii="仿宋" w:hAnsi="仿宋" w:eastAsia="仿宋" w:cs="仿宋"/>
                <w:b/>
                <w:bCs/>
                <w:sz w:val="24"/>
                <w:szCs w:val="24"/>
                <w:highlight w:val="none"/>
              </w:rPr>
              <w:t>品名</w:t>
            </w:r>
          </w:p>
        </w:tc>
        <w:tc>
          <w:tcPr>
            <w:tcW w:w="1824" w:type="pct"/>
            <w:vAlign w:val="center"/>
          </w:tcPr>
          <w:p w14:paraId="331F72E2">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kern w:val="0"/>
                <w:sz w:val="24"/>
                <w:szCs w:val="24"/>
                <w:highlight w:val="none"/>
                <w:lang w:val="zh-TW" w:eastAsia="zh-TW"/>
              </w:rPr>
            </w:pPr>
            <w:r>
              <w:rPr>
                <w:rStyle w:val="21"/>
                <w:rFonts w:hint="eastAsia" w:ascii="仿宋" w:hAnsi="仿宋" w:eastAsia="仿宋" w:cs="仿宋"/>
                <w:sz w:val="24"/>
                <w:szCs w:val="24"/>
                <w:highlight w:val="none"/>
              </w:rPr>
              <w:t>详细描述</w:t>
            </w:r>
          </w:p>
        </w:tc>
        <w:tc>
          <w:tcPr>
            <w:tcW w:w="483" w:type="pct"/>
            <w:vAlign w:val="center"/>
          </w:tcPr>
          <w:p w14:paraId="67A62FE6">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kern w:val="0"/>
                <w:sz w:val="24"/>
                <w:szCs w:val="24"/>
                <w:highlight w:val="none"/>
                <w:lang w:val="en-US" w:eastAsia="zh-CN"/>
              </w:rPr>
            </w:pPr>
            <w:r>
              <w:rPr>
                <w:rStyle w:val="21"/>
                <w:rFonts w:hint="eastAsia" w:ascii="仿宋" w:hAnsi="仿宋" w:eastAsia="仿宋" w:cs="仿宋"/>
                <w:sz w:val="24"/>
                <w:szCs w:val="24"/>
                <w:highlight w:val="none"/>
              </w:rPr>
              <w:t>数量</w:t>
            </w:r>
          </w:p>
        </w:tc>
        <w:tc>
          <w:tcPr>
            <w:tcW w:w="539" w:type="pct"/>
            <w:vAlign w:val="center"/>
          </w:tcPr>
          <w:p w14:paraId="429D4B2F">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kern w:val="0"/>
                <w:sz w:val="24"/>
                <w:szCs w:val="24"/>
                <w:highlight w:val="none"/>
                <w:lang w:val="en-US" w:eastAsia="zh-CN"/>
              </w:rPr>
            </w:pPr>
            <w:r>
              <w:rPr>
                <w:rStyle w:val="21"/>
                <w:rFonts w:hint="eastAsia" w:ascii="仿宋" w:hAnsi="仿宋" w:eastAsia="仿宋" w:cs="仿宋"/>
                <w:sz w:val="24"/>
                <w:szCs w:val="24"/>
                <w:highlight w:val="none"/>
              </w:rPr>
              <w:t>单位</w:t>
            </w:r>
          </w:p>
        </w:tc>
        <w:tc>
          <w:tcPr>
            <w:tcW w:w="718" w:type="pct"/>
            <w:vAlign w:val="center"/>
          </w:tcPr>
          <w:p w14:paraId="4A1E15CA">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kern w:val="0"/>
                <w:sz w:val="24"/>
                <w:szCs w:val="24"/>
                <w:highlight w:val="none"/>
                <w:lang w:val="en-US" w:eastAsia="zh-CN"/>
              </w:rPr>
            </w:pPr>
            <w:r>
              <w:rPr>
                <w:rStyle w:val="21"/>
                <w:rFonts w:hint="eastAsia" w:ascii="仿宋" w:hAnsi="仿宋" w:eastAsia="仿宋" w:cs="仿宋"/>
                <w:sz w:val="24"/>
                <w:szCs w:val="24"/>
                <w:highlight w:val="none"/>
                <w:lang w:val="en-US" w:eastAsia="zh-CN"/>
              </w:rPr>
              <w:t>报价</w:t>
            </w:r>
            <w:r>
              <w:rPr>
                <w:rStyle w:val="21"/>
                <w:rFonts w:hint="eastAsia" w:ascii="仿宋" w:hAnsi="仿宋" w:eastAsia="仿宋" w:cs="仿宋"/>
                <w:sz w:val="24"/>
                <w:szCs w:val="24"/>
                <w:highlight w:val="none"/>
              </w:rPr>
              <w:t>（元）</w:t>
            </w:r>
          </w:p>
        </w:tc>
        <w:tc>
          <w:tcPr>
            <w:tcW w:w="427" w:type="pct"/>
            <w:vAlign w:val="center"/>
          </w:tcPr>
          <w:p w14:paraId="486EEB5B">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Style w:val="21"/>
                <w:rFonts w:hint="eastAsia" w:ascii="仿宋" w:hAnsi="仿宋" w:eastAsia="仿宋" w:cs="仿宋"/>
                <w:sz w:val="24"/>
                <w:szCs w:val="24"/>
                <w:highlight w:val="none"/>
                <w:lang w:val="en-US" w:eastAsia="zh-CN"/>
              </w:rPr>
            </w:pPr>
            <w:r>
              <w:rPr>
                <w:rStyle w:val="21"/>
                <w:rFonts w:hint="eastAsia" w:ascii="仿宋" w:hAnsi="仿宋" w:eastAsia="仿宋" w:cs="仿宋"/>
                <w:sz w:val="24"/>
                <w:szCs w:val="24"/>
                <w:highlight w:val="none"/>
                <w:lang w:val="en-US" w:eastAsia="zh-CN"/>
              </w:rPr>
              <w:t>备注</w:t>
            </w:r>
          </w:p>
        </w:tc>
      </w:tr>
      <w:tr w14:paraId="7D654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atLeast"/>
          <w:jc w:val="center"/>
        </w:trPr>
        <w:tc>
          <w:tcPr>
            <w:tcW w:w="408" w:type="pct"/>
            <w:vAlign w:val="center"/>
          </w:tcPr>
          <w:p w14:paraId="45E5E8F7">
            <w:pPr>
              <w:pStyle w:val="7"/>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w:t>
            </w:r>
          </w:p>
        </w:tc>
        <w:tc>
          <w:tcPr>
            <w:tcW w:w="597" w:type="pct"/>
            <w:vAlign w:val="center"/>
          </w:tcPr>
          <w:p w14:paraId="60505A55">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光纤传输线路专线</w:t>
            </w:r>
          </w:p>
        </w:tc>
        <w:tc>
          <w:tcPr>
            <w:tcW w:w="1824" w:type="pct"/>
            <w:vAlign w:val="center"/>
          </w:tcPr>
          <w:p w14:paraId="0ACA9CE3">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青羊院区机房到草堂机房医院内网网络专线，带宽≥6G</w:t>
            </w:r>
          </w:p>
        </w:tc>
        <w:tc>
          <w:tcPr>
            <w:tcW w:w="483" w:type="pct"/>
            <w:vAlign w:val="center"/>
          </w:tcPr>
          <w:p w14:paraId="7F83E5F2">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w:t>
            </w:r>
          </w:p>
        </w:tc>
        <w:tc>
          <w:tcPr>
            <w:tcW w:w="539" w:type="pct"/>
            <w:vAlign w:val="center"/>
          </w:tcPr>
          <w:p w14:paraId="65B2C2A0">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条</w:t>
            </w:r>
          </w:p>
        </w:tc>
        <w:tc>
          <w:tcPr>
            <w:tcW w:w="718" w:type="pct"/>
            <w:vAlign w:val="center"/>
          </w:tcPr>
          <w:p w14:paraId="4748C363">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c>
          <w:tcPr>
            <w:tcW w:w="427" w:type="pct"/>
            <w:vAlign w:val="center"/>
          </w:tcPr>
          <w:p w14:paraId="524976E6">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r>
      <w:tr w14:paraId="50DD3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atLeast"/>
          <w:jc w:val="center"/>
        </w:trPr>
        <w:tc>
          <w:tcPr>
            <w:tcW w:w="1005" w:type="pct"/>
            <w:gridSpan w:val="2"/>
            <w:vAlign w:val="center"/>
          </w:tcPr>
          <w:p w14:paraId="1EEC05BA">
            <w:pPr>
              <w:spacing w:line="240" w:lineRule="auto"/>
              <w:jc w:val="center"/>
              <w:rPr>
                <w:rFonts w:hint="eastAsia" w:ascii="仿宋" w:hAnsi="仿宋" w:eastAsia="仿宋" w:cs="仿宋"/>
                <w:kern w:val="0"/>
                <w:sz w:val="24"/>
                <w:szCs w:val="24"/>
                <w:highlight w:val="none"/>
                <w:lang w:val="zh-TW" w:eastAsia="zh-TW"/>
              </w:rPr>
            </w:pPr>
            <w:r>
              <w:rPr>
                <w:rFonts w:hint="eastAsia" w:ascii="仿宋" w:hAnsi="仿宋" w:eastAsia="仿宋" w:cs="仿宋"/>
                <w:kern w:val="0"/>
                <w:sz w:val="24"/>
                <w:szCs w:val="24"/>
                <w:highlight w:val="none"/>
                <w:lang w:val="zh-TW" w:eastAsia="zh-TW"/>
              </w:rPr>
              <w:t>报价合计</w:t>
            </w:r>
          </w:p>
        </w:tc>
        <w:tc>
          <w:tcPr>
            <w:tcW w:w="3994" w:type="pct"/>
            <w:gridSpan w:val="5"/>
            <w:vAlign w:val="center"/>
          </w:tcPr>
          <w:p w14:paraId="1CCF3910">
            <w:pPr>
              <w:spacing w:line="240" w:lineRule="auto"/>
              <w:ind w:firstLine="120" w:firstLineChars="50"/>
              <w:jc w:val="left"/>
              <w:rPr>
                <w:rFonts w:hint="eastAsia" w:ascii="仿宋" w:hAnsi="仿宋" w:eastAsia="仿宋" w:cs="仿宋"/>
                <w:kern w:val="0"/>
                <w:sz w:val="24"/>
                <w:szCs w:val="24"/>
                <w:highlight w:val="none"/>
                <w:lang w:val="zh-TW" w:eastAsia="zh-TW"/>
              </w:rPr>
            </w:pPr>
            <w:r>
              <w:rPr>
                <w:rFonts w:hint="eastAsia" w:ascii="仿宋" w:hAnsi="仿宋" w:eastAsia="仿宋" w:cs="仿宋"/>
                <w:kern w:val="0"/>
                <w:sz w:val="24"/>
                <w:szCs w:val="24"/>
                <w:highlight w:val="none"/>
                <w:lang w:val="zh-TW" w:eastAsia="zh-TW"/>
              </w:rPr>
              <w:t xml:space="preserve">大写：       </w:t>
            </w:r>
            <w:r>
              <w:rPr>
                <w:rFonts w:hint="eastAsia" w:ascii="仿宋" w:hAnsi="仿宋" w:eastAsia="仿宋" w:cs="仿宋"/>
                <w:kern w:val="0"/>
                <w:sz w:val="24"/>
                <w:szCs w:val="24"/>
                <w:highlight w:val="none"/>
                <w:lang w:val="zh-TW"/>
              </w:rPr>
              <w:t xml:space="preserve">    </w:t>
            </w:r>
            <w:r>
              <w:rPr>
                <w:rFonts w:hint="eastAsia" w:ascii="仿宋" w:hAnsi="仿宋" w:eastAsia="仿宋" w:cs="仿宋"/>
                <w:kern w:val="0"/>
                <w:sz w:val="24"/>
                <w:szCs w:val="24"/>
                <w:highlight w:val="none"/>
                <w:lang w:val="zh-TW" w:eastAsia="zh-TW"/>
              </w:rPr>
              <w:t>小写：</w:t>
            </w:r>
          </w:p>
        </w:tc>
      </w:tr>
    </w:tbl>
    <w:p w14:paraId="4E9E21F8">
      <w:pPr>
        <w:pStyle w:val="7"/>
        <w:rPr>
          <w:rFonts w:ascii="Times New Roman" w:hAnsi="Times New Roman" w:eastAsia="仿宋" w:cs="Times New Roman"/>
          <w:szCs w:val="21"/>
        </w:rPr>
      </w:pPr>
    </w:p>
    <w:p w14:paraId="6A59F5E0">
      <w:pPr>
        <w:widowControl/>
        <w:jc w:val="left"/>
        <w:rPr>
          <w:rFonts w:hint="default" w:ascii="Times New Roman" w:hAnsi="Times New Roman" w:eastAsia="仿宋" w:cs="Times New Roman"/>
          <w:b/>
          <w:bCs/>
          <w:szCs w:val="21"/>
          <w:lang w:val="en-US" w:eastAsia="zh-CN"/>
        </w:rPr>
      </w:pPr>
      <w:r>
        <w:rPr>
          <w:rFonts w:hint="eastAsia" w:ascii="Times New Roman" w:hAnsi="Times New Roman" w:eastAsia="仿宋" w:cs="Times New Roman"/>
          <w:b/>
          <w:bCs/>
          <w:szCs w:val="21"/>
          <w:lang w:val="en-US" w:eastAsia="zh-CN"/>
        </w:rPr>
        <w:t>2.服务期：验收合格之日起，提供</w:t>
      </w:r>
      <w:r>
        <w:rPr>
          <w:rFonts w:hint="eastAsia" w:ascii="Times New Roman" w:hAnsi="Times New Roman" w:eastAsia="仿宋" w:cs="Times New Roman"/>
          <w:b/>
          <w:bCs/>
          <w:szCs w:val="21"/>
          <w:u w:val="single"/>
          <w:lang w:val="en-US" w:eastAsia="zh-CN"/>
        </w:rPr>
        <w:t xml:space="preserve">      </w:t>
      </w:r>
      <w:r>
        <w:rPr>
          <w:rFonts w:hint="eastAsia" w:ascii="Times New Roman" w:hAnsi="Times New Roman" w:eastAsia="仿宋" w:cs="Times New Roman"/>
          <w:b/>
          <w:bCs/>
          <w:szCs w:val="21"/>
          <w:lang w:val="en-US" w:eastAsia="zh-CN"/>
        </w:rPr>
        <w:t>年。</w:t>
      </w:r>
    </w:p>
    <w:p w14:paraId="310B9A27">
      <w:pPr>
        <w:widowControl/>
        <w:jc w:val="left"/>
        <w:rPr>
          <w:rFonts w:ascii="Times New Roman" w:hAnsi="Times New Roman" w:eastAsia="仿宋" w:cs="Times New Roman"/>
          <w:szCs w:val="21"/>
          <w:lang w:val="zh-TW"/>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7"/>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zh-TW" w:eastAsia="zh-CN"/>
        </w:rPr>
        <w:t>表人</w:t>
      </w:r>
      <w:r>
        <w:rPr>
          <w:rFonts w:ascii="Times New Roman" w:hAnsi="Times New Roman" w:eastAsia="仿宋" w:cs="Times New Roman"/>
          <w:szCs w:val="21"/>
          <w:lang w:val="zh-TW" w:eastAsia="zh-TW"/>
        </w:rPr>
        <w:t>（负责人）或授权代表人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hint="eastAsia" w:ascii="Times New Roman" w:hAnsi="Times New Roman" w:eastAsia="仿宋" w:cs="Times New Roman"/>
          <w:sz w:val="24"/>
          <w:szCs w:val="24"/>
          <w:u w:val="single"/>
          <w:lang w:val="en-US" w:eastAsia="zh-CN"/>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hint="eastAsia" w:ascii="Times New Roman" w:hAnsi="Times New Roman" w:eastAsia="仿宋" w:cs="Times New Roman"/>
          <w:sz w:val="24"/>
          <w:szCs w:val="24"/>
          <w:u w:val="single"/>
          <w:lang w:val="en-US" w:eastAsia="zh-CN"/>
        </w:rPr>
        <w:t xml:space="preserve"> </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r>
        <w:rPr>
          <w:rFonts w:hint="eastAsia" w:ascii="Times New Roman" w:hAnsi="Times New Roman" w:eastAsia="仿宋" w:cs="Times New Roman"/>
          <w:sz w:val="24"/>
          <w:szCs w:val="24"/>
          <w:u w:val="single"/>
          <w:lang w:val="en-US" w:eastAsia="zh-CN"/>
        </w:rPr>
        <w:t xml:space="preserve"> </w:t>
      </w:r>
      <w:r>
        <w:rPr>
          <w:rFonts w:ascii="Times New Roman" w:hAnsi="Times New Roman" w:eastAsia="仿宋" w:cs="Times New Roman"/>
          <w:sz w:val="24"/>
          <w:szCs w:val="24"/>
          <w:u w:val="single"/>
        </w:rPr>
        <w:t xml:space="preserve"> </w:t>
      </w:r>
      <w:bookmarkStart w:id="91" w:name="_Toc29032"/>
      <w:bookmarkStart w:id="92" w:name="_Toc30002"/>
      <w:bookmarkStart w:id="93" w:name="_Toc14685"/>
      <w:r>
        <w:rPr>
          <w:rFonts w:hint="eastAsia" w:ascii="Times New Roman" w:hAnsi="Times New Roman" w:eastAsia="仿宋" w:cs="Times New Roman"/>
          <w:sz w:val="24"/>
          <w:szCs w:val="24"/>
          <w:u w:val="none"/>
          <w:lang w:val="en-US" w:eastAsia="zh-CN"/>
        </w:rPr>
        <w:t>日</w:t>
      </w:r>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3"/>
        <w:ind w:firstLine="0"/>
      </w:pPr>
      <w:r>
        <w:t>供应商认为需要提供的其他材料</w:t>
      </w:r>
      <w:bookmarkEnd w:id="87"/>
      <w:bookmarkEnd w:id="88"/>
      <w:bookmarkEnd w:id="89"/>
      <w:bookmarkEnd w:id="91"/>
      <w:bookmarkEnd w:id="92"/>
      <w:bookmarkEnd w:id="93"/>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4" w:name="_Toc20691"/>
      <w:bookmarkStart w:id="95" w:name="_Toc5447"/>
      <w:r>
        <w:rPr>
          <w:rFonts w:ascii="Times New Roman" w:hAnsi="Times New Roman" w:eastAsia="黑体" w:cs="Times New Roman"/>
          <w:b/>
          <w:sz w:val="36"/>
          <w:szCs w:val="32"/>
        </w:rPr>
        <w:br w:type="page"/>
      </w:r>
    </w:p>
    <w:p w14:paraId="2C1171E3">
      <w:pPr>
        <w:pStyle w:val="2"/>
        <w:numPr>
          <w:ilvl w:val="0"/>
          <w:numId w:val="0"/>
        </w:numPr>
        <w:ind w:left="0" w:leftChars="0" w:firstLine="0" w:firstLineChars="0"/>
        <w:rPr>
          <w:rFonts w:ascii="Times New Roman" w:hAnsi="Times New Roman" w:cs="Times New Roman"/>
        </w:rPr>
      </w:pPr>
      <w:bookmarkStart w:id="96" w:name="_Toc10625"/>
      <w:r>
        <w:rPr>
          <w:rFonts w:hint="eastAsia" w:ascii="Times New Roman" w:hAnsi="Times New Roman" w:eastAsia="黑体" w:cs="Times New Roman"/>
          <w:b/>
          <w:kern w:val="44"/>
          <w:sz w:val="36"/>
          <w:lang w:val="zh-CN" w:eastAsia="zh-CN" w:bidi="ar-SA"/>
        </w:rPr>
        <w:t xml:space="preserve">第七章 </w:t>
      </w:r>
      <w:r>
        <w:rPr>
          <w:rFonts w:ascii="Times New Roman" w:hAnsi="Times New Roman" w:cs="Times New Roman"/>
        </w:rPr>
        <w:t>合同条款（仅成交后使用）</w:t>
      </w:r>
      <w:bookmarkEnd w:id="94"/>
      <w:bookmarkEnd w:id="95"/>
      <w:bookmarkEnd w:id="96"/>
    </w:p>
    <w:p w14:paraId="344AE8C2">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5DDD40AB">
      <w:pPr>
        <w:widowControl w:val="0"/>
        <w:jc w:val="center"/>
        <w:rPr>
          <w:rFonts w:ascii="Times New Roman" w:hAnsi="Times New Roman" w:eastAsia="黑体" w:cs="Times New Roman"/>
          <w:b/>
          <w:kern w:val="2"/>
          <w:sz w:val="48"/>
          <w:szCs w:val="48"/>
          <w:lang w:val="en-US" w:eastAsia="zh-CN" w:bidi="ar-SA"/>
        </w:rPr>
      </w:pPr>
      <w:r>
        <w:rPr>
          <w:rFonts w:hint="eastAsia" w:ascii="Times New Roman" w:hAnsi="Times New Roman" w:eastAsia="黑体" w:cs="Times New Roman"/>
          <w:b/>
          <w:kern w:val="2"/>
          <w:sz w:val="48"/>
          <w:szCs w:val="48"/>
          <w:lang w:val="en-US" w:eastAsia="zh-CN" w:bidi="ar-SA"/>
        </w:rPr>
        <w:t>*</w:t>
      </w:r>
      <w:r>
        <w:rPr>
          <w:rFonts w:ascii="Times New Roman" w:hAnsi="Times New Roman" w:eastAsia="黑体" w:cs="Times New Roman"/>
          <w:b/>
          <w:kern w:val="2"/>
          <w:sz w:val="48"/>
          <w:szCs w:val="48"/>
          <w:lang w:val="en-US" w:eastAsia="zh-CN" w:bidi="ar-SA"/>
        </w:rPr>
        <w:t>**</w:t>
      </w:r>
      <w:r>
        <w:rPr>
          <w:rFonts w:hint="eastAsia" w:ascii="Times New Roman" w:hAnsi="Times New Roman" w:eastAsia="黑体" w:cs="Times New Roman"/>
          <w:b/>
          <w:kern w:val="2"/>
          <w:sz w:val="48"/>
          <w:szCs w:val="48"/>
          <w:lang w:val="en-US" w:eastAsia="zh-CN" w:bidi="ar-SA"/>
        </w:rPr>
        <w:t>服务项目</w:t>
      </w:r>
    </w:p>
    <w:p w14:paraId="22384D69">
      <w:pPr>
        <w:widowControl w:val="0"/>
        <w:jc w:val="center"/>
        <w:rPr>
          <w:rFonts w:ascii="Times New Roman" w:hAnsi="Times New Roman" w:eastAsia="黑体" w:cs="Times New Roman"/>
          <w:b/>
          <w:kern w:val="2"/>
          <w:sz w:val="48"/>
          <w:szCs w:val="48"/>
          <w:lang w:val="en-US" w:eastAsia="zh-CN" w:bidi="ar-SA"/>
        </w:rPr>
      </w:pPr>
      <w:r>
        <w:rPr>
          <w:rFonts w:hint="eastAsia" w:ascii="Times New Roman" w:hAnsi="Times New Roman" w:eastAsia="黑体" w:cs="Times New Roman"/>
          <w:b/>
          <w:kern w:val="2"/>
          <w:sz w:val="48"/>
          <w:szCs w:val="48"/>
          <w:lang w:val="en-US" w:eastAsia="zh-CN" w:bidi="ar-SA"/>
        </w:rPr>
        <w:t>采购</w:t>
      </w:r>
      <w:r>
        <w:rPr>
          <w:rFonts w:ascii="Times New Roman" w:hAnsi="Times New Roman" w:eastAsia="黑体" w:cs="Times New Roman"/>
          <w:b/>
          <w:kern w:val="2"/>
          <w:sz w:val="48"/>
          <w:szCs w:val="48"/>
          <w:lang w:val="en-US" w:eastAsia="zh-CN" w:bidi="ar-SA"/>
        </w:rPr>
        <w:t>合同</w:t>
      </w:r>
    </w:p>
    <w:p w14:paraId="295EB783">
      <w:pPr>
        <w:adjustRightInd w:val="0"/>
        <w:ind w:firstLine="420" w:firstLineChars="200"/>
        <w:contextualSpacing/>
        <w:jc w:val="left"/>
        <w:rPr>
          <w:rFonts w:ascii="Times New Roman" w:hAnsi="Times New Roman" w:eastAsia="宋体" w:cs="Times New Roman"/>
          <w:color w:val="000000"/>
          <w:szCs w:val="21"/>
        </w:rPr>
      </w:pPr>
    </w:p>
    <w:tbl>
      <w:tblPr>
        <w:tblStyle w:val="18"/>
        <w:tblW w:w="5000" w:type="pct"/>
        <w:jc w:val="center"/>
        <w:tblLayout w:type="autofit"/>
        <w:tblCellMar>
          <w:top w:w="0" w:type="dxa"/>
          <w:left w:w="0" w:type="dxa"/>
          <w:bottom w:w="0" w:type="dxa"/>
          <w:right w:w="0" w:type="dxa"/>
        </w:tblCellMar>
      </w:tblPr>
      <w:tblGrid>
        <w:gridCol w:w="4688"/>
        <w:gridCol w:w="4950"/>
      </w:tblGrid>
      <w:tr w14:paraId="20F9D391">
        <w:tblPrEx>
          <w:tblCellMar>
            <w:top w:w="0" w:type="dxa"/>
            <w:left w:w="0" w:type="dxa"/>
            <w:bottom w:w="0" w:type="dxa"/>
            <w:right w:w="0" w:type="dxa"/>
          </w:tblCellMar>
        </w:tblPrEx>
        <w:trPr>
          <w:trHeight w:val="767" w:hRule="atLeast"/>
          <w:jc w:val="center"/>
        </w:trPr>
        <w:tc>
          <w:tcPr>
            <w:tcW w:w="10204" w:type="dxa"/>
            <w:gridSpan w:val="2"/>
          </w:tcPr>
          <w:p w14:paraId="7C6E7AB2">
            <w:pPr>
              <w:contextualSpacing/>
              <w:rPr>
                <w:rFonts w:ascii="Times New Roman" w:hAnsi="Times New Roman" w:eastAsia="宋体" w:cs="Times New Roman"/>
                <w:color w:val="000000"/>
                <w:szCs w:val="21"/>
              </w:rPr>
            </w:pPr>
            <w:r>
              <w:rPr>
                <w:rFonts w:ascii="Times New Roman" w:hAnsi="Times New Roman" w:eastAsia="宋体" w:cs="Times New Roman"/>
                <w:b/>
                <w:bCs/>
                <w:color w:val="000000"/>
                <w:szCs w:val="21"/>
              </w:rPr>
              <w:t>合同编号</w:t>
            </w:r>
            <w:r>
              <w:rPr>
                <w:rFonts w:ascii="Times New Roman" w:hAnsi="Times New Roman" w:eastAsia="宋体" w:cs="Times New Roman"/>
                <w:color w:val="000000"/>
                <w:szCs w:val="21"/>
              </w:rPr>
              <w:t>：CGZX-***</w:t>
            </w:r>
          </w:p>
          <w:p w14:paraId="570125A0">
            <w:pPr>
              <w:contextualSpacing/>
              <w:rPr>
                <w:rFonts w:ascii="Times New Roman" w:hAnsi="Times New Roman" w:eastAsia="宋体" w:cs="Times New Roman"/>
                <w:color w:val="000000"/>
                <w:szCs w:val="21"/>
              </w:rPr>
            </w:pPr>
            <w:r>
              <w:rPr>
                <w:rFonts w:ascii="Times New Roman" w:hAnsi="Times New Roman" w:eastAsia="宋体" w:cs="Times New Roman"/>
                <w:b/>
                <w:bCs/>
                <w:color w:val="000000"/>
                <w:szCs w:val="21"/>
              </w:rPr>
              <w:t>签订地点</w:t>
            </w:r>
            <w:r>
              <w:rPr>
                <w:rFonts w:ascii="Times New Roman" w:hAnsi="Times New Roman" w:eastAsia="宋体" w:cs="Times New Roman"/>
                <w:color w:val="000000"/>
                <w:szCs w:val="21"/>
              </w:rPr>
              <w:t>：四川省人民医院</w:t>
            </w:r>
          </w:p>
        </w:tc>
      </w:tr>
      <w:tr w14:paraId="1D3AFD1E">
        <w:tblPrEx>
          <w:tblCellMar>
            <w:top w:w="0" w:type="dxa"/>
            <w:left w:w="0" w:type="dxa"/>
            <w:bottom w:w="0" w:type="dxa"/>
            <w:right w:w="0" w:type="dxa"/>
          </w:tblCellMar>
        </w:tblPrEx>
        <w:trPr>
          <w:jc w:val="center"/>
        </w:trPr>
        <w:tc>
          <w:tcPr>
            <w:tcW w:w="4962" w:type="dxa"/>
          </w:tcPr>
          <w:p w14:paraId="3748A108">
            <w:pPr>
              <w:rPr>
                <w:rFonts w:ascii="Times New Roman" w:hAnsi="Times New Roman" w:eastAsia="宋体" w:cs="Times New Roman"/>
                <w:szCs w:val="21"/>
              </w:rPr>
            </w:pPr>
            <w:r>
              <w:rPr>
                <w:rFonts w:ascii="Times New Roman" w:hAnsi="Times New Roman" w:eastAsia="宋体" w:cs="Times New Roman"/>
                <w:b/>
                <w:bCs/>
                <w:szCs w:val="21"/>
              </w:rPr>
              <w:t>采购人（以下简称甲方）</w:t>
            </w:r>
            <w:r>
              <w:rPr>
                <w:rFonts w:ascii="Times New Roman" w:hAnsi="Times New Roman" w:eastAsia="宋体" w:cs="Times New Roman"/>
                <w:szCs w:val="21"/>
              </w:rPr>
              <w:t>：四川省人民医院</w:t>
            </w:r>
          </w:p>
          <w:p w14:paraId="2BC1E6DA">
            <w:pPr>
              <w:rPr>
                <w:rFonts w:ascii="Times New Roman" w:hAnsi="Times New Roman" w:eastAsia="宋体" w:cs="Times New Roman"/>
                <w:szCs w:val="21"/>
              </w:rPr>
            </w:pPr>
            <w:r>
              <w:rPr>
                <w:rFonts w:ascii="Times New Roman" w:hAnsi="Times New Roman" w:eastAsia="宋体" w:cs="Times New Roman"/>
                <w:b/>
                <w:bCs/>
                <w:szCs w:val="21"/>
              </w:rPr>
              <w:t>地址</w:t>
            </w:r>
            <w:r>
              <w:rPr>
                <w:rFonts w:ascii="Times New Roman" w:hAnsi="Times New Roman" w:eastAsia="宋体" w:cs="Times New Roman"/>
                <w:szCs w:val="21"/>
              </w:rPr>
              <w:t>：四川省成都市一环路西二段32号</w:t>
            </w:r>
          </w:p>
          <w:p w14:paraId="6279055B">
            <w:pPr>
              <w:rPr>
                <w:rFonts w:ascii="Times New Roman" w:hAnsi="Times New Roman" w:eastAsia="宋体" w:cs="Times New Roman"/>
                <w:szCs w:val="21"/>
              </w:rPr>
            </w:pPr>
            <w:r>
              <w:rPr>
                <w:rFonts w:ascii="Times New Roman" w:hAnsi="Times New Roman" w:eastAsia="宋体" w:cs="Times New Roman"/>
                <w:b/>
                <w:bCs/>
                <w:szCs w:val="21"/>
              </w:rPr>
              <w:t>项目联系人</w:t>
            </w:r>
            <w:r>
              <w:rPr>
                <w:rFonts w:ascii="Times New Roman" w:hAnsi="Times New Roman" w:eastAsia="宋体" w:cs="Times New Roman"/>
                <w:szCs w:val="21"/>
              </w:rPr>
              <w:t xml:space="preserve">：*** </w:t>
            </w:r>
            <w:r>
              <w:rPr>
                <w:rFonts w:ascii="Times New Roman" w:hAnsi="Times New Roman" w:eastAsia="宋体" w:cs="Times New Roman"/>
                <w:b/>
                <w:bCs/>
                <w:szCs w:val="21"/>
              </w:rPr>
              <w:t>电话</w:t>
            </w:r>
            <w:r>
              <w:rPr>
                <w:rFonts w:ascii="Times New Roman" w:hAnsi="Times New Roman" w:eastAsia="宋体" w:cs="Times New Roman"/>
                <w:szCs w:val="21"/>
              </w:rPr>
              <w:t>：***</w:t>
            </w:r>
          </w:p>
          <w:p w14:paraId="1C89AAF8">
            <w:pPr>
              <w:rPr>
                <w:rFonts w:ascii="Times New Roman" w:hAnsi="Times New Roman" w:eastAsia="宋体" w:cs="Times New Roman"/>
                <w:szCs w:val="20"/>
              </w:rPr>
            </w:pPr>
            <w:r>
              <w:rPr>
                <w:rFonts w:hint="eastAsia" w:ascii="Times New Roman" w:hAnsi="Times New Roman" w:eastAsia="宋体" w:cs="Times New Roman"/>
                <w:b/>
                <w:bCs/>
                <w:szCs w:val="21"/>
              </w:rPr>
              <w:t>电子邮件：</w:t>
            </w:r>
            <w:r>
              <w:rPr>
                <w:rFonts w:hint="eastAsia" w:ascii="Times New Roman" w:hAnsi="Times New Roman" w:eastAsia="宋体" w:cs="Times New Roman"/>
                <w:szCs w:val="21"/>
              </w:rPr>
              <w:t>*</w:t>
            </w:r>
            <w:r>
              <w:rPr>
                <w:rFonts w:ascii="Times New Roman" w:hAnsi="Times New Roman" w:eastAsia="宋体" w:cs="Times New Roman"/>
                <w:szCs w:val="21"/>
              </w:rPr>
              <w:t>**</w:t>
            </w:r>
          </w:p>
        </w:tc>
        <w:tc>
          <w:tcPr>
            <w:tcW w:w="5242" w:type="dxa"/>
          </w:tcPr>
          <w:p w14:paraId="63DEC74E">
            <w:pPr>
              <w:rPr>
                <w:rFonts w:ascii="Times New Roman" w:hAnsi="Times New Roman" w:eastAsia="宋体" w:cs="Times New Roman"/>
                <w:b/>
                <w:bCs/>
                <w:szCs w:val="21"/>
              </w:rPr>
            </w:pPr>
            <w:r>
              <w:rPr>
                <w:rFonts w:ascii="Times New Roman" w:hAnsi="Times New Roman" w:eastAsia="宋体" w:cs="Times New Roman"/>
                <w:b/>
                <w:bCs/>
                <w:szCs w:val="21"/>
              </w:rPr>
              <w:t>供应商（以下简称乙方）：***</w:t>
            </w:r>
          </w:p>
          <w:p w14:paraId="10D0AE4D">
            <w:pPr>
              <w:rPr>
                <w:rFonts w:ascii="Times New Roman" w:hAnsi="Times New Roman" w:eastAsia="宋体" w:cs="Times New Roman"/>
                <w:b/>
                <w:bCs/>
                <w:szCs w:val="21"/>
              </w:rPr>
            </w:pPr>
            <w:r>
              <w:rPr>
                <w:rFonts w:ascii="Times New Roman" w:hAnsi="Times New Roman" w:eastAsia="宋体" w:cs="Times New Roman"/>
                <w:b/>
                <w:bCs/>
                <w:szCs w:val="21"/>
              </w:rPr>
              <w:t>地址：***</w:t>
            </w:r>
          </w:p>
          <w:p w14:paraId="23231556">
            <w:pPr>
              <w:rPr>
                <w:rFonts w:ascii="Times New Roman" w:hAnsi="Times New Roman" w:eastAsia="宋体" w:cs="Times New Roman"/>
                <w:b/>
                <w:bCs/>
                <w:szCs w:val="21"/>
              </w:rPr>
            </w:pPr>
            <w:r>
              <w:rPr>
                <w:rFonts w:ascii="Times New Roman" w:hAnsi="Times New Roman" w:eastAsia="宋体" w:cs="Times New Roman"/>
                <w:b/>
                <w:bCs/>
                <w:szCs w:val="21"/>
              </w:rPr>
              <w:t>移动电话：***</w:t>
            </w:r>
          </w:p>
          <w:p w14:paraId="044E7C54">
            <w:pPr>
              <w:contextualSpacing/>
              <w:rPr>
                <w:rFonts w:ascii="Times New Roman" w:hAnsi="Times New Roman" w:eastAsia="宋体" w:cs="Times New Roman"/>
                <w:b/>
                <w:bCs/>
                <w:szCs w:val="21"/>
              </w:rPr>
            </w:pPr>
            <w:r>
              <w:rPr>
                <w:rFonts w:ascii="Times New Roman" w:hAnsi="Times New Roman" w:eastAsia="宋体" w:cs="Times New Roman"/>
                <w:b/>
                <w:bCs/>
                <w:szCs w:val="21"/>
              </w:rPr>
              <w:t>联系人：***</w:t>
            </w:r>
          </w:p>
          <w:p w14:paraId="2DA39357">
            <w:pPr>
              <w:rPr>
                <w:rFonts w:ascii="Times New Roman" w:hAnsi="Times New Roman" w:eastAsia="宋体" w:cs="Times New Roman"/>
                <w:bCs/>
                <w:szCs w:val="21"/>
              </w:rPr>
            </w:pPr>
            <w:r>
              <w:rPr>
                <w:rFonts w:hint="eastAsia" w:ascii="Times New Roman" w:hAnsi="Times New Roman" w:eastAsia="宋体" w:cs="Times New Roman"/>
                <w:b/>
                <w:bCs/>
                <w:szCs w:val="21"/>
              </w:rPr>
              <w:t>电子邮件：</w:t>
            </w:r>
            <w:r>
              <w:rPr>
                <w:rFonts w:hint="eastAsia" w:ascii="Times New Roman" w:hAnsi="Times New Roman" w:eastAsia="宋体" w:cs="Times New Roman"/>
                <w:szCs w:val="21"/>
              </w:rPr>
              <w:t>*</w:t>
            </w:r>
            <w:r>
              <w:rPr>
                <w:rFonts w:ascii="Times New Roman" w:hAnsi="Times New Roman" w:eastAsia="宋体" w:cs="Times New Roman"/>
                <w:szCs w:val="21"/>
              </w:rPr>
              <w:t>**</w:t>
            </w:r>
          </w:p>
        </w:tc>
      </w:tr>
    </w:tbl>
    <w:p w14:paraId="00C1AB64">
      <w:pPr>
        <w:ind w:firstLine="420" w:firstLineChars="200"/>
        <w:contextualSpacing/>
        <w:jc w:val="left"/>
        <w:rPr>
          <w:rFonts w:ascii="Times New Roman" w:hAnsi="Times New Roman" w:eastAsia="宋体" w:cs="Times New Roman"/>
          <w:color w:val="000000"/>
          <w:szCs w:val="21"/>
        </w:rPr>
      </w:pPr>
    </w:p>
    <w:p w14:paraId="35A4B6D9">
      <w:pPr>
        <w:adjustRightInd w:val="0"/>
        <w:ind w:firstLine="420" w:firstLineChars="200"/>
        <w:contextualSpacing/>
        <w:jc w:val="left"/>
        <w:rPr>
          <w:rFonts w:ascii="Times New Roman" w:hAnsi="Times New Roman" w:eastAsia="宋体" w:cs="Times New Roman"/>
          <w:b/>
          <w:szCs w:val="21"/>
          <w:highlight w:val="none"/>
        </w:rPr>
      </w:pPr>
      <w:r>
        <w:rPr>
          <w:rFonts w:hint="eastAsia" w:ascii="Times New Roman" w:hAnsi="Times New Roman" w:eastAsia="宋体" w:cs="Times New Roman"/>
          <w:color w:val="000000"/>
          <w:szCs w:val="21"/>
        </w:rPr>
        <w:t>根</w:t>
      </w:r>
      <w:r>
        <w:rPr>
          <w:rFonts w:ascii="Times New Roman" w:hAnsi="Times New Roman" w:eastAsia="宋体" w:cs="Times New Roman"/>
          <w:color w:val="000000"/>
          <w:szCs w:val="21"/>
        </w:rPr>
        <w:t>据《中华人民共和国民法典》及甲方发布的***项目（项目编号</w:t>
      </w:r>
      <w:permStart w:id="0" w:edGrp="everyone"/>
      <w:r>
        <w:rPr>
          <w:rFonts w:ascii="Times New Roman" w:hAnsi="Times New Roman" w:eastAsia="宋体" w:cs="Times New Roman"/>
          <w:color w:val="000000"/>
          <w:szCs w:val="21"/>
        </w:rPr>
        <w:t>：</w:t>
      </w:r>
      <w:r>
        <w:rPr>
          <w:rFonts w:ascii="Times New Roman" w:hAnsi="Times New Roman" w:eastAsia="宋体" w:cs="Times New Roman"/>
          <w:szCs w:val="21"/>
        </w:rPr>
        <w:t>***</w:t>
      </w:r>
      <w:permEnd w:id="0"/>
      <w:r>
        <w:rPr>
          <w:rFonts w:ascii="Times New Roman" w:hAnsi="Times New Roman" w:eastAsia="宋体" w:cs="Times New Roman"/>
          <w:color w:val="000000"/>
          <w:szCs w:val="21"/>
        </w:rPr>
        <w:t>）《采购文件》、乙方的《</w:t>
      </w:r>
      <w:r>
        <w:rPr>
          <w:rFonts w:hint="eastAsia" w:ascii="Times New Roman" w:hAnsi="Times New Roman" w:eastAsia="宋体" w:cs="Times New Roman"/>
          <w:color w:val="000000"/>
          <w:szCs w:val="21"/>
        </w:rPr>
        <w:t>响应</w:t>
      </w:r>
      <w:r>
        <w:rPr>
          <w:rFonts w:ascii="Times New Roman" w:hAnsi="Times New Roman" w:eastAsia="宋体" w:cs="Times New Roman"/>
          <w:color w:val="000000"/>
          <w:szCs w:val="21"/>
        </w:rPr>
        <w:t>文件》，甲、乙双方同意</w:t>
      </w:r>
      <w:r>
        <w:rPr>
          <w:rFonts w:ascii="Times New Roman" w:hAnsi="Times New Roman" w:eastAsia="宋体" w:cs="Times New Roman"/>
          <w:color w:val="000000"/>
          <w:szCs w:val="21"/>
          <w:highlight w:val="none"/>
        </w:rPr>
        <w:t>签订本合同。详细技术说明及其他有关合同项目的特定信息可由合同附件予以说明，合同附件及本项目的《采购文件》、《</w:t>
      </w:r>
      <w:r>
        <w:rPr>
          <w:rFonts w:hint="eastAsia" w:ascii="Times New Roman" w:hAnsi="Times New Roman" w:eastAsia="宋体" w:cs="Times New Roman"/>
          <w:color w:val="000000"/>
          <w:szCs w:val="21"/>
          <w:highlight w:val="none"/>
        </w:rPr>
        <w:t>响应</w:t>
      </w:r>
      <w:r>
        <w:rPr>
          <w:rFonts w:ascii="Times New Roman" w:hAnsi="Times New Roman" w:eastAsia="宋体" w:cs="Times New Roman"/>
          <w:color w:val="000000"/>
          <w:szCs w:val="21"/>
          <w:highlight w:val="none"/>
        </w:rPr>
        <w:t>文件》等均为本合同不可分割的部分。双方同意共同遵守以下条款：</w:t>
      </w:r>
    </w:p>
    <w:p w14:paraId="1BBA8D42">
      <w:pPr>
        <w:contextualSpacing/>
        <w:jc w:val="left"/>
        <w:rPr>
          <w:rFonts w:ascii="Times New Roman" w:hAnsi="Times New Roman" w:eastAsia="宋体" w:cs="Times New Roman"/>
          <w:b/>
          <w:szCs w:val="21"/>
          <w:highlight w:val="none"/>
        </w:rPr>
      </w:pPr>
    </w:p>
    <w:p w14:paraId="0058008F">
      <w:pPr>
        <w:widowControl w:val="0"/>
        <w:numPr>
          <w:ilvl w:val="0"/>
          <w:numId w:val="12"/>
        </w:numPr>
        <w:ind w:left="480" w:hanging="480" w:firstLineChars="0"/>
        <w:contextualSpacing/>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合同标的</w:t>
      </w:r>
    </w:p>
    <w:p w14:paraId="37FF0859">
      <w:pPr>
        <w:widowControl w:val="0"/>
        <w:numPr>
          <w:ilvl w:val="0"/>
          <w:numId w:val="13"/>
        </w:numPr>
        <w:spacing w:after="0" w:line="240" w:lineRule="auto"/>
        <w:ind w:left="210" w:leftChars="0" w:hanging="210" w:hangingChars="10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标的名称：</w:t>
      </w:r>
      <w:permStart w:id="1" w:edGrp="everyone"/>
      <w:r>
        <w:rPr>
          <w:rFonts w:ascii="Times New Roman" w:hAnsi="Times New Roman" w:eastAsia="宋体" w:cs="Times New Roman"/>
          <w:kern w:val="2"/>
          <w:sz w:val="21"/>
          <w:szCs w:val="21"/>
          <w:highlight w:val="none"/>
          <w:lang w:val="en-US" w:eastAsia="zh-CN" w:bidi="ar-SA"/>
        </w:rPr>
        <w:t>***</w:t>
      </w:r>
      <w:permEnd w:id="1"/>
      <w:r>
        <w:rPr>
          <w:rFonts w:ascii="Times New Roman" w:hAnsi="Times New Roman" w:eastAsia="宋体" w:cs="Times New Roman"/>
          <w:kern w:val="2"/>
          <w:sz w:val="21"/>
          <w:szCs w:val="21"/>
          <w:highlight w:val="none"/>
          <w:lang w:val="en-US" w:eastAsia="zh-CN" w:bidi="ar-SA"/>
        </w:rPr>
        <w:t>。</w:t>
      </w:r>
    </w:p>
    <w:p w14:paraId="082FB18D">
      <w:pPr>
        <w:widowControl w:val="0"/>
        <w:numPr>
          <w:ilvl w:val="0"/>
          <w:numId w:val="13"/>
        </w:numPr>
        <w:spacing w:after="0" w:line="240" w:lineRule="auto"/>
        <w:ind w:left="210" w:leftChars="0" w:hanging="210" w:hangingChars="100"/>
        <w:contextualSpacing/>
        <w:jc w:val="left"/>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乙方向甲方提供服务的主要内容：*</w:t>
      </w:r>
      <w:r>
        <w:rPr>
          <w:rFonts w:ascii="Times New Roman" w:hAnsi="Times New Roman" w:eastAsia="宋体" w:cs="Times New Roman"/>
          <w:kern w:val="2"/>
          <w:sz w:val="21"/>
          <w:szCs w:val="21"/>
          <w:highlight w:val="none"/>
          <w:lang w:val="en-US" w:eastAsia="zh-CN" w:bidi="ar-SA"/>
        </w:rPr>
        <w:t>**</w:t>
      </w:r>
      <w:r>
        <w:rPr>
          <w:rFonts w:hint="eastAsia" w:ascii="Times New Roman" w:hAnsi="Times New Roman" w:eastAsia="宋体" w:cs="Times New Roman"/>
          <w:kern w:val="2"/>
          <w:sz w:val="21"/>
          <w:szCs w:val="21"/>
          <w:highlight w:val="none"/>
          <w:lang w:val="en-US" w:eastAsia="zh-CN" w:bidi="ar-SA"/>
        </w:rPr>
        <w:t>。</w:t>
      </w:r>
    </w:p>
    <w:p w14:paraId="1963DA1D">
      <w:pPr>
        <w:widowControl w:val="0"/>
        <w:numPr>
          <w:ilvl w:val="0"/>
          <w:numId w:val="13"/>
        </w:numPr>
        <w:spacing w:after="0" w:line="240" w:lineRule="auto"/>
        <w:ind w:left="210" w:leftChars="0" w:hanging="210" w:hangingChars="100"/>
        <w:contextualSpacing/>
        <w:jc w:val="left"/>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服务分项明细：</w:t>
      </w:r>
      <w:r>
        <w:rPr>
          <w:rFonts w:hint="eastAsia" w:ascii="Times New Roman" w:hAnsi="Times New Roman" w:eastAsia="宋体" w:cs="Times New Roman"/>
          <w:i/>
          <w:iCs/>
          <w:color w:val="000000"/>
          <w:kern w:val="2"/>
          <w:sz w:val="21"/>
          <w:szCs w:val="21"/>
          <w:highlight w:val="none"/>
          <w:lang w:val="zh-CN" w:eastAsia="zh-CN" w:bidi="ar-SA"/>
        </w:rPr>
        <w:t>&lt;本条款如不涉及请删除；按实结算项目的单价，请在第二条及附件1中进行编制说明。&gt;</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49"/>
        <w:gridCol w:w="2802"/>
        <w:gridCol w:w="3466"/>
        <w:gridCol w:w="929"/>
        <w:gridCol w:w="1902"/>
      </w:tblGrid>
      <w:tr w14:paraId="50F88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002ED52F">
            <w:pPr>
              <w:widowControl w:val="0"/>
              <w:ind w:firstLine="0" w:firstLineChars="0"/>
              <w:jc w:val="center"/>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t>序号</w:t>
            </w:r>
          </w:p>
        </w:tc>
        <w:tc>
          <w:tcPr>
            <w:tcW w:w="2977" w:type="dxa"/>
            <w:vAlign w:val="center"/>
          </w:tcPr>
          <w:p w14:paraId="51EDE300">
            <w:pPr>
              <w:widowControl w:val="0"/>
              <w:ind w:firstLine="0" w:firstLineChars="0"/>
              <w:jc w:val="center"/>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t>分项</w:t>
            </w:r>
            <w:r>
              <w:rPr>
                <w:rFonts w:hint="eastAsia" w:ascii="Times New Roman" w:hAnsi="Times New Roman" w:eastAsia="宋体" w:cs="Times New Roman"/>
                <w:color w:val="000000"/>
                <w:kern w:val="2"/>
                <w:sz w:val="21"/>
                <w:szCs w:val="21"/>
                <w:highlight w:val="none"/>
                <w:lang w:val="en-US" w:eastAsia="zh-CN" w:bidi="ar-SA"/>
              </w:rPr>
              <w:t>服务</w:t>
            </w:r>
            <w:r>
              <w:rPr>
                <w:rFonts w:ascii="Times New Roman" w:hAnsi="Times New Roman" w:eastAsia="宋体" w:cs="Times New Roman"/>
                <w:color w:val="000000"/>
                <w:kern w:val="2"/>
                <w:sz w:val="21"/>
                <w:szCs w:val="21"/>
                <w:highlight w:val="none"/>
                <w:lang w:val="en-US" w:eastAsia="zh-CN" w:bidi="ar-SA"/>
              </w:rPr>
              <w:t>名称</w:t>
            </w:r>
          </w:p>
        </w:tc>
        <w:tc>
          <w:tcPr>
            <w:tcW w:w="3686" w:type="dxa"/>
            <w:vAlign w:val="center"/>
          </w:tcPr>
          <w:p w14:paraId="43D6EA91">
            <w:pPr>
              <w:widowControl w:val="0"/>
              <w:ind w:firstLine="0" w:firstLineChars="0"/>
              <w:jc w:val="center"/>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t>具体内容</w:t>
            </w:r>
          </w:p>
        </w:tc>
        <w:tc>
          <w:tcPr>
            <w:tcW w:w="963" w:type="dxa"/>
            <w:vAlign w:val="center"/>
          </w:tcPr>
          <w:p w14:paraId="5CF4376B">
            <w:pPr>
              <w:widowControl w:val="0"/>
              <w:ind w:firstLine="0" w:firstLineChars="0"/>
              <w:jc w:val="center"/>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t>分项价格（万元）</w:t>
            </w:r>
          </w:p>
        </w:tc>
        <w:tc>
          <w:tcPr>
            <w:tcW w:w="2016" w:type="dxa"/>
          </w:tcPr>
          <w:p w14:paraId="55F8BB18">
            <w:pPr>
              <w:widowControl w:val="0"/>
              <w:ind w:firstLine="0" w:firstLineChars="0"/>
              <w:jc w:val="center"/>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t>备注</w:t>
            </w:r>
          </w:p>
        </w:tc>
      </w:tr>
      <w:tr w14:paraId="6897A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7E52151D">
            <w:pPr>
              <w:widowControl w:val="0"/>
              <w:ind w:firstLine="0" w:firstLineChars="0"/>
              <w:jc w:val="center"/>
              <w:rPr>
                <w:rFonts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kern w:val="2"/>
                <w:sz w:val="21"/>
                <w:szCs w:val="21"/>
                <w:highlight w:val="none"/>
                <w:lang w:val="en-US" w:eastAsia="zh-CN" w:bidi="ar-SA"/>
              </w:rPr>
              <w:t>1</w:t>
            </w:r>
          </w:p>
        </w:tc>
        <w:tc>
          <w:tcPr>
            <w:tcW w:w="2977" w:type="dxa"/>
            <w:vAlign w:val="center"/>
          </w:tcPr>
          <w:p w14:paraId="0E7D728D">
            <w:pPr>
              <w:widowControl w:val="0"/>
              <w:ind w:firstLine="0" w:firstLineChars="0"/>
              <w:jc w:val="both"/>
              <w:rPr>
                <w:rFonts w:ascii="Times New Roman" w:hAnsi="Times New Roman" w:eastAsia="宋体" w:cs="Times New Roman"/>
                <w:color w:val="000000"/>
                <w:kern w:val="2"/>
                <w:sz w:val="21"/>
                <w:szCs w:val="21"/>
                <w:highlight w:val="none"/>
                <w:lang w:val="en-US" w:eastAsia="zh-CN" w:bidi="ar-SA"/>
              </w:rPr>
            </w:pPr>
          </w:p>
        </w:tc>
        <w:tc>
          <w:tcPr>
            <w:tcW w:w="3686" w:type="dxa"/>
            <w:vAlign w:val="center"/>
          </w:tcPr>
          <w:p w14:paraId="42593CE4">
            <w:pPr>
              <w:widowControl w:val="0"/>
              <w:ind w:firstLine="0" w:firstLineChars="0"/>
              <w:jc w:val="both"/>
              <w:rPr>
                <w:rFonts w:ascii="Times New Roman" w:hAnsi="Times New Roman" w:eastAsia="宋体" w:cs="Times New Roman"/>
                <w:color w:val="000000"/>
                <w:kern w:val="2"/>
                <w:sz w:val="21"/>
                <w:szCs w:val="21"/>
                <w:highlight w:val="none"/>
                <w:lang w:val="en-US" w:eastAsia="zh-CN" w:bidi="ar-SA"/>
              </w:rPr>
            </w:pPr>
          </w:p>
        </w:tc>
        <w:tc>
          <w:tcPr>
            <w:tcW w:w="963" w:type="dxa"/>
            <w:vAlign w:val="center"/>
          </w:tcPr>
          <w:p w14:paraId="22178B9F">
            <w:pPr>
              <w:widowControl w:val="0"/>
              <w:ind w:firstLine="0" w:firstLineChars="0"/>
              <w:jc w:val="center"/>
              <w:rPr>
                <w:rFonts w:ascii="Times New Roman" w:hAnsi="Times New Roman" w:eastAsia="宋体" w:cs="Times New Roman"/>
                <w:color w:val="000000"/>
                <w:kern w:val="2"/>
                <w:sz w:val="21"/>
                <w:szCs w:val="21"/>
                <w:highlight w:val="none"/>
                <w:lang w:val="en-US" w:eastAsia="zh-CN" w:bidi="ar-SA"/>
              </w:rPr>
            </w:pPr>
          </w:p>
        </w:tc>
        <w:tc>
          <w:tcPr>
            <w:tcW w:w="2016" w:type="dxa"/>
          </w:tcPr>
          <w:p w14:paraId="3DE10FE1">
            <w:pPr>
              <w:widowControl w:val="0"/>
              <w:ind w:firstLine="0" w:firstLineChars="0"/>
              <w:jc w:val="both"/>
              <w:rPr>
                <w:rFonts w:ascii="Times New Roman" w:hAnsi="Times New Roman" w:eastAsia="宋体" w:cs="Times New Roman"/>
                <w:color w:val="000000"/>
                <w:kern w:val="2"/>
                <w:sz w:val="21"/>
                <w:szCs w:val="21"/>
                <w:highlight w:val="none"/>
                <w:lang w:val="en-US" w:eastAsia="zh-CN" w:bidi="ar-SA"/>
              </w:rPr>
            </w:pPr>
          </w:p>
        </w:tc>
      </w:tr>
      <w:tr w14:paraId="4891C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7B391AC0">
            <w:pPr>
              <w:widowControl w:val="0"/>
              <w:ind w:firstLine="0" w:firstLineChars="0"/>
              <w:jc w:val="center"/>
              <w:rPr>
                <w:rFonts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kern w:val="2"/>
                <w:sz w:val="21"/>
                <w:szCs w:val="21"/>
                <w:highlight w:val="none"/>
                <w:lang w:val="en-US" w:eastAsia="zh-CN" w:bidi="ar-SA"/>
              </w:rPr>
              <w:t>2</w:t>
            </w:r>
          </w:p>
        </w:tc>
        <w:tc>
          <w:tcPr>
            <w:tcW w:w="2977" w:type="dxa"/>
            <w:vAlign w:val="center"/>
          </w:tcPr>
          <w:p w14:paraId="734E9B92">
            <w:pPr>
              <w:widowControl w:val="0"/>
              <w:ind w:firstLine="0" w:firstLineChars="0"/>
              <w:jc w:val="both"/>
              <w:rPr>
                <w:rFonts w:ascii="Times New Roman" w:hAnsi="Times New Roman" w:eastAsia="宋体" w:cs="Times New Roman"/>
                <w:color w:val="000000"/>
                <w:kern w:val="2"/>
                <w:sz w:val="21"/>
                <w:szCs w:val="21"/>
                <w:highlight w:val="none"/>
                <w:lang w:val="en-US" w:eastAsia="zh-CN" w:bidi="ar-SA"/>
              </w:rPr>
            </w:pPr>
          </w:p>
        </w:tc>
        <w:tc>
          <w:tcPr>
            <w:tcW w:w="3686" w:type="dxa"/>
            <w:vAlign w:val="center"/>
          </w:tcPr>
          <w:p w14:paraId="78C74E95">
            <w:pPr>
              <w:widowControl w:val="0"/>
              <w:ind w:firstLine="0" w:firstLineChars="0"/>
              <w:jc w:val="both"/>
              <w:rPr>
                <w:rFonts w:ascii="Times New Roman" w:hAnsi="Times New Roman" w:eastAsia="宋体" w:cs="Times New Roman"/>
                <w:color w:val="000000"/>
                <w:kern w:val="2"/>
                <w:sz w:val="21"/>
                <w:szCs w:val="21"/>
                <w:highlight w:val="none"/>
                <w:lang w:val="en-US" w:eastAsia="zh-CN" w:bidi="ar-SA"/>
              </w:rPr>
            </w:pPr>
          </w:p>
        </w:tc>
        <w:tc>
          <w:tcPr>
            <w:tcW w:w="963" w:type="dxa"/>
            <w:vAlign w:val="center"/>
          </w:tcPr>
          <w:p w14:paraId="20FFDAC9">
            <w:pPr>
              <w:widowControl w:val="0"/>
              <w:ind w:firstLine="0" w:firstLineChars="0"/>
              <w:jc w:val="center"/>
              <w:rPr>
                <w:rFonts w:ascii="Times New Roman" w:hAnsi="Times New Roman" w:eastAsia="宋体" w:cs="Times New Roman"/>
                <w:color w:val="000000"/>
                <w:kern w:val="2"/>
                <w:sz w:val="21"/>
                <w:szCs w:val="21"/>
                <w:highlight w:val="none"/>
                <w:lang w:val="en-US" w:eastAsia="zh-CN" w:bidi="ar-SA"/>
              </w:rPr>
            </w:pPr>
          </w:p>
        </w:tc>
        <w:tc>
          <w:tcPr>
            <w:tcW w:w="2016" w:type="dxa"/>
          </w:tcPr>
          <w:p w14:paraId="6F85E491">
            <w:pPr>
              <w:widowControl w:val="0"/>
              <w:ind w:firstLine="0" w:firstLineChars="0"/>
              <w:jc w:val="both"/>
              <w:rPr>
                <w:rFonts w:ascii="Times New Roman" w:hAnsi="Times New Roman" w:eastAsia="宋体" w:cs="Times New Roman"/>
                <w:color w:val="000000"/>
                <w:kern w:val="2"/>
                <w:sz w:val="21"/>
                <w:szCs w:val="21"/>
                <w:highlight w:val="none"/>
                <w:lang w:val="en-US" w:eastAsia="zh-CN" w:bidi="ar-SA"/>
              </w:rPr>
            </w:pPr>
          </w:p>
        </w:tc>
      </w:tr>
      <w:tr w14:paraId="7F1F6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002F89DA">
            <w:pPr>
              <w:widowControl w:val="0"/>
              <w:ind w:firstLine="0" w:firstLineChars="0"/>
              <w:jc w:val="center"/>
              <w:rPr>
                <w:rFonts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kern w:val="2"/>
                <w:sz w:val="21"/>
                <w:szCs w:val="21"/>
                <w:highlight w:val="none"/>
                <w:lang w:val="en-US" w:eastAsia="zh-CN" w:bidi="ar-SA"/>
              </w:rPr>
              <w:t>3</w:t>
            </w:r>
          </w:p>
        </w:tc>
        <w:tc>
          <w:tcPr>
            <w:tcW w:w="2977" w:type="dxa"/>
            <w:vAlign w:val="center"/>
          </w:tcPr>
          <w:p w14:paraId="08EC374E">
            <w:pPr>
              <w:widowControl w:val="0"/>
              <w:ind w:firstLine="0" w:firstLineChars="0"/>
              <w:jc w:val="both"/>
              <w:rPr>
                <w:rFonts w:ascii="Times New Roman" w:hAnsi="Times New Roman" w:eastAsia="宋体" w:cs="Times New Roman"/>
                <w:color w:val="000000"/>
                <w:kern w:val="2"/>
                <w:sz w:val="21"/>
                <w:szCs w:val="21"/>
                <w:highlight w:val="none"/>
                <w:lang w:val="en-US" w:eastAsia="zh-CN" w:bidi="ar-SA"/>
              </w:rPr>
            </w:pPr>
          </w:p>
        </w:tc>
        <w:tc>
          <w:tcPr>
            <w:tcW w:w="3686" w:type="dxa"/>
            <w:vAlign w:val="center"/>
          </w:tcPr>
          <w:p w14:paraId="6B018CE1">
            <w:pPr>
              <w:widowControl w:val="0"/>
              <w:ind w:firstLine="0" w:firstLineChars="0"/>
              <w:jc w:val="both"/>
              <w:rPr>
                <w:rFonts w:ascii="Times New Roman" w:hAnsi="Times New Roman" w:eastAsia="宋体" w:cs="Times New Roman"/>
                <w:color w:val="000000"/>
                <w:kern w:val="2"/>
                <w:sz w:val="21"/>
                <w:szCs w:val="21"/>
                <w:highlight w:val="none"/>
                <w:lang w:val="en-US" w:eastAsia="zh-CN" w:bidi="ar-SA"/>
              </w:rPr>
            </w:pPr>
          </w:p>
        </w:tc>
        <w:tc>
          <w:tcPr>
            <w:tcW w:w="963" w:type="dxa"/>
            <w:vAlign w:val="center"/>
          </w:tcPr>
          <w:p w14:paraId="26B388CB">
            <w:pPr>
              <w:widowControl w:val="0"/>
              <w:ind w:firstLine="0" w:firstLineChars="0"/>
              <w:jc w:val="center"/>
              <w:rPr>
                <w:rFonts w:ascii="Times New Roman" w:hAnsi="Times New Roman" w:eastAsia="宋体" w:cs="Times New Roman"/>
                <w:color w:val="000000"/>
                <w:kern w:val="2"/>
                <w:sz w:val="21"/>
                <w:szCs w:val="21"/>
                <w:highlight w:val="none"/>
                <w:lang w:val="en-US" w:eastAsia="zh-CN" w:bidi="ar-SA"/>
              </w:rPr>
            </w:pPr>
          </w:p>
        </w:tc>
        <w:tc>
          <w:tcPr>
            <w:tcW w:w="2016" w:type="dxa"/>
          </w:tcPr>
          <w:p w14:paraId="5668E040">
            <w:pPr>
              <w:widowControl w:val="0"/>
              <w:ind w:firstLine="0" w:firstLineChars="0"/>
              <w:jc w:val="both"/>
              <w:rPr>
                <w:rFonts w:ascii="Times New Roman" w:hAnsi="Times New Roman" w:eastAsia="宋体" w:cs="Times New Roman"/>
                <w:color w:val="000000"/>
                <w:kern w:val="2"/>
                <w:sz w:val="21"/>
                <w:szCs w:val="21"/>
                <w:highlight w:val="none"/>
                <w:lang w:val="en-US" w:eastAsia="zh-CN" w:bidi="ar-SA"/>
              </w:rPr>
            </w:pPr>
          </w:p>
        </w:tc>
      </w:tr>
      <w:tr w14:paraId="10636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6FD55513">
            <w:pPr>
              <w:widowControl w:val="0"/>
              <w:ind w:firstLine="0" w:firstLineChars="0"/>
              <w:jc w:val="center"/>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t>…</w:t>
            </w:r>
          </w:p>
        </w:tc>
        <w:tc>
          <w:tcPr>
            <w:tcW w:w="2977" w:type="dxa"/>
            <w:vAlign w:val="center"/>
          </w:tcPr>
          <w:p w14:paraId="1FA57664">
            <w:pPr>
              <w:widowControl w:val="0"/>
              <w:ind w:firstLine="0" w:firstLineChars="0"/>
              <w:jc w:val="both"/>
              <w:rPr>
                <w:rFonts w:ascii="Times New Roman" w:hAnsi="Times New Roman" w:eastAsia="宋体" w:cs="Times New Roman"/>
                <w:color w:val="000000"/>
                <w:kern w:val="2"/>
                <w:sz w:val="21"/>
                <w:szCs w:val="21"/>
                <w:highlight w:val="none"/>
                <w:lang w:val="en-US" w:eastAsia="zh-CN" w:bidi="ar-SA"/>
              </w:rPr>
            </w:pPr>
          </w:p>
        </w:tc>
        <w:tc>
          <w:tcPr>
            <w:tcW w:w="3686" w:type="dxa"/>
            <w:vAlign w:val="center"/>
          </w:tcPr>
          <w:p w14:paraId="75559644">
            <w:pPr>
              <w:widowControl w:val="0"/>
              <w:ind w:firstLine="0" w:firstLineChars="0"/>
              <w:jc w:val="both"/>
              <w:rPr>
                <w:rFonts w:ascii="Times New Roman" w:hAnsi="Times New Roman" w:eastAsia="宋体" w:cs="Times New Roman"/>
                <w:color w:val="000000"/>
                <w:kern w:val="2"/>
                <w:sz w:val="21"/>
                <w:szCs w:val="21"/>
                <w:highlight w:val="none"/>
                <w:lang w:val="en-US" w:eastAsia="zh-CN" w:bidi="ar-SA"/>
              </w:rPr>
            </w:pPr>
          </w:p>
        </w:tc>
        <w:tc>
          <w:tcPr>
            <w:tcW w:w="963" w:type="dxa"/>
            <w:vAlign w:val="center"/>
          </w:tcPr>
          <w:p w14:paraId="6795E5E3">
            <w:pPr>
              <w:widowControl w:val="0"/>
              <w:ind w:firstLine="0" w:firstLineChars="0"/>
              <w:jc w:val="center"/>
              <w:rPr>
                <w:rFonts w:ascii="Times New Roman" w:hAnsi="Times New Roman" w:eastAsia="宋体" w:cs="Times New Roman"/>
                <w:color w:val="000000"/>
                <w:kern w:val="2"/>
                <w:sz w:val="21"/>
                <w:szCs w:val="21"/>
                <w:highlight w:val="none"/>
                <w:lang w:val="en-US" w:eastAsia="zh-CN" w:bidi="ar-SA"/>
              </w:rPr>
            </w:pPr>
          </w:p>
        </w:tc>
        <w:tc>
          <w:tcPr>
            <w:tcW w:w="2016" w:type="dxa"/>
          </w:tcPr>
          <w:p w14:paraId="77999242">
            <w:pPr>
              <w:widowControl w:val="0"/>
              <w:ind w:firstLine="0" w:firstLineChars="0"/>
              <w:jc w:val="both"/>
              <w:rPr>
                <w:rFonts w:ascii="Times New Roman" w:hAnsi="Times New Roman" w:eastAsia="宋体" w:cs="Times New Roman"/>
                <w:color w:val="000000"/>
                <w:kern w:val="2"/>
                <w:sz w:val="21"/>
                <w:szCs w:val="21"/>
                <w:highlight w:val="none"/>
                <w:lang w:val="en-US" w:eastAsia="zh-CN" w:bidi="ar-SA"/>
              </w:rPr>
            </w:pPr>
          </w:p>
        </w:tc>
      </w:tr>
    </w:tbl>
    <w:p w14:paraId="78C48B03">
      <w:pPr>
        <w:widowControl w:val="0"/>
        <w:numPr>
          <w:ilvl w:val="0"/>
          <w:numId w:val="12"/>
        </w:numPr>
        <w:ind w:left="480" w:hanging="480" w:firstLineChars="0"/>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合同</w:t>
      </w:r>
      <w:r>
        <w:rPr>
          <w:rFonts w:hint="eastAsia" w:ascii="Times New Roman" w:hAnsi="Times New Roman" w:eastAsia="宋体" w:cs="Times New Roman"/>
          <w:b/>
          <w:kern w:val="2"/>
          <w:sz w:val="21"/>
          <w:szCs w:val="21"/>
          <w:highlight w:val="none"/>
          <w:lang w:val="en-US" w:eastAsia="zh-CN" w:bidi="ar-SA"/>
        </w:rPr>
        <w:t>价款</w:t>
      </w:r>
    </w:p>
    <w:p w14:paraId="491236FE">
      <w:pPr>
        <w:ind w:firstLine="480"/>
        <w:contextualSpacing/>
        <w:jc w:val="left"/>
        <w:rPr>
          <w:rFonts w:ascii="Times New Roman" w:hAnsi="Times New Roman" w:eastAsia="宋体" w:cs="Times New Roman"/>
          <w:szCs w:val="21"/>
          <w:highlight w:val="none"/>
        </w:rPr>
      </w:pPr>
      <w:bookmarkStart w:id="97" w:name="OLE_LINK2"/>
      <w:bookmarkStart w:id="98" w:name="OLE_LINK1"/>
      <w:r>
        <w:rPr>
          <w:rFonts w:ascii="Times New Roman" w:hAnsi="Times New Roman" w:eastAsia="宋体" w:cs="Times New Roman"/>
          <w:color w:val="000000"/>
          <w:szCs w:val="21"/>
          <w:highlight w:val="none"/>
        </w:rPr>
        <w:sym w:font="Wingdings 2" w:char="F052"/>
      </w:r>
      <w:r>
        <w:rPr>
          <w:rFonts w:hint="eastAsia" w:ascii="Times New Roman" w:hAnsi="Times New Roman" w:eastAsia="宋体" w:cs="Times New Roman"/>
          <w:szCs w:val="21"/>
          <w:highlight w:val="none"/>
        </w:rPr>
        <w:t>全包服务</w:t>
      </w:r>
    </w:p>
    <w:p w14:paraId="4B1D82D5">
      <w:pPr>
        <w:ind w:left="420" w:leftChars="200" w:firstLine="420" w:firstLineChars="200"/>
        <w:contextualSpacing/>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合同总价（含税）为人民币大写：*** 圆整，即RMB *** 元</w:t>
      </w:r>
      <w:r>
        <w:rPr>
          <w:rFonts w:hint="eastAsia" w:ascii="Times New Roman" w:hAnsi="Times New Roman" w:eastAsia="宋体" w:cs="Times New Roman"/>
          <w:szCs w:val="21"/>
          <w:highlight w:val="none"/>
        </w:rPr>
        <w:t>，</w:t>
      </w:r>
      <w:r>
        <w:rPr>
          <w:rFonts w:ascii="Times New Roman" w:hAnsi="Times New Roman" w:eastAsia="宋体" w:cs="Times New Roman"/>
          <w:szCs w:val="21"/>
          <w:highlight w:val="none"/>
        </w:rPr>
        <w:t>该合同总价已包括本合同标的所涉及的所有相关费用（包括但不限于技术服务、差旅</w:t>
      </w:r>
      <w:r>
        <w:rPr>
          <w:rFonts w:hint="eastAsia" w:ascii="Times New Roman" w:hAnsi="Times New Roman" w:eastAsia="宋体" w:cs="Times New Roman"/>
          <w:szCs w:val="21"/>
          <w:highlight w:val="none"/>
        </w:rPr>
        <w:t>交通</w:t>
      </w:r>
      <w:r>
        <w:rPr>
          <w:rFonts w:ascii="Times New Roman" w:hAnsi="Times New Roman" w:eastAsia="宋体" w:cs="Times New Roman"/>
          <w:szCs w:val="21"/>
          <w:highlight w:val="none"/>
        </w:rPr>
        <w:t>、</w:t>
      </w:r>
      <w:r>
        <w:rPr>
          <w:rFonts w:hint="eastAsia" w:ascii="Times New Roman" w:hAnsi="Times New Roman" w:eastAsia="宋体" w:cs="Times New Roman"/>
          <w:szCs w:val="21"/>
          <w:highlight w:val="none"/>
        </w:rPr>
        <w:t>原材料、备品备件及</w:t>
      </w:r>
      <w:r>
        <w:rPr>
          <w:rFonts w:ascii="Times New Roman" w:hAnsi="Times New Roman" w:eastAsia="宋体" w:cs="Times New Roman"/>
          <w:szCs w:val="21"/>
          <w:highlight w:val="none"/>
        </w:rPr>
        <w:t>税费</w:t>
      </w:r>
      <w:r>
        <w:rPr>
          <w:rFonts w:hint="eastAsia" w:ascii="Times New Roman" w:hAnsi="Times New Roman" w:eastAsia="宋体" w:cs="Times New Roman"/>
          <w:szCs w:val="21"/>
          <w:highlight w:val="none"/>
        </w:rPr>
        <w:t>等在内</w:t>
      </w:r>
      <w:r>
        <w:rPr>
          <w:rFonts w:ascii="Times New Roman" w:hAnsi="Times New Roman" w:eastAsia="宋体" w:cs="Times New Roman"/>
          <w:szCs w:val="21"/>
          <w:highlight w:val="none"/>
        </w:rPr>
        <w:t>的全部含税费用）。本合同执行期间合同总价不变，甲方无须另向乙方支付本合同规定之外的其他任何费用。</w:t>
      </w:r>
    </w:p>
    <w:p w14:paraId="4FE2B4A5">
      <w:pPr>
        <w:ind w:firstLine="480"/>
        <w:contextualSpacing/>
        <w:jc w:val="left"/>
        <w:rPr>
          <w:rFonts w:ascii="Times New Roman" w:hAnsi="Times New Roman" w:eastAsia="宋体" w:cs="Times New Roman"/>
          <w:szCs w:val="20"/>
          <w:highlight w:val="none"/>
        </w:rPr>
      </w:pPr>
      <w:r>
        <w:rPr>
          <w:rFonts w:ascii="Times New Roman" w:hAnsi="Times New Roman" w:eastAsia="宋体" w:cs="Times New Roman"/>
          <w:color w:val="000000"/>
          <w:szCs w:val="21"/>
          <w:highlight w:val="none"/>
          <w:shd w:val="clear" w:color="auto" w:fill="FFFFFF"/>
        </w:rPr>
        <w:sym w:font="Wingdings" w:char="F0A8"/>
      </w:r>
      <w:r>
        <w:rPr>
          <w:rFonts w:hint="eastAsia" w:ascii="Times New Roman" w:hAnsi="Times New Roman" w:eastAsia="宋体" w:cs="Times New Roman"/>
          <w:szCs w:val="20"/>
          <w:highlight w:val="none"/>
        </w:rPr>
        <w:t>半包服务</w:t>
      </w:r>
    </w:p>
    <w:p w14:paraId="6AF58127">
      <w:pPr>
        <w:ind w:left="420" w:leftChars="200" w:firstLine="420" w:firstLineChars="200"/>
        <w:contextualSpacing/>
        <w:jc w:val="lef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1</w:t>
      </w:r>
      <w:r>
        <w:rPr>
          <w:rFonts w:ascii="Times New Roman" w:hAnsi="Times New Roman" w:eastAsia="宋体" w:cs="Times New Roman"/>
          <w:szCs w:val="21"/>
          <w:highlight w:val="none"/>
        </w:rPr>
        <w:t>.</w:t>
      </w:r>
      <w:r>
        <w:rPr>
          <w:rFonts w:hint="eastAsia" w:ascii="Times New Roman" w:hAnsi="Times New Roman" w:eastAsia="宋体" w:cs="Times New Roman"/>
          <w:szCs w:val="21"/>
          <w:highlight w:val="none"/>
        </w:rPr>
        <w:t>本合同固定部分价款为</w:t>
      </w:r>
      <w:bookmarkStart w:id="99" w:name="OLE_LINK28"/>
      <w:r>
        <w:rPr>
          <w:rFonts w:ascii="Times New Roman" w:hAnsi="Times New Roman" w:eastAsia="宋体" w:cs="Times New Roman"/>
          <w:szCs w:val="21"/>
          <w:highlight w:val="none"/>
        </w:rPr>
        <w:t>人民币大写：*** 圆整，即RMB *** 元</w:t>
      </w:r>
      <w:bookmarkEnd w:id="99"/>
      <w:r>
        <w:rPr>
          <w:rFonts w:hint="eastAsia" w:ascii="Times New Roman" w:hAnsi="Times New Roman" w:eastAsia="宋体" w:cs="Times New Roman"/>
          <w:szCs w:val="21"/>
          <w:highlight w:val="none"/>
        </w:rPr>
        <w:t>，</w:t>
      </w:r>
      <w:r>
        <w:rPr>
          <w:rFonts w:ascii="Times New Roman" w:hAnsi="Times New Roman" w:eastAsia="宋体" w:cs="Times New Roman"/>
          <w:szCs w:val="21"/>
          <w:highlight w:val="none"/>
        </w:rPr>
        <w:t>该</w:t>
      </w:r>
      <w:r>
        <w:rPr>
          <w:rFonts w:hint="eastAsia" w:ascii="Times New Roman" w:hAnsi="Times New Roman" w:eastAsia="宋体" w:cs="Times New Roman"/>
          <w:szCs w:val="21"/>
          <w:highlight w:val="none"/>
        </w:rPr>
        <w:t>部分价款</w:t>
      </w:r>
      <w:r>
        <w:rPr>
          <w:rFonts w:ascii="Times New Roman" w:hAnsi="Times New Roman" w:eastAsia="宋体" w:cs="Times New Roman"/>
          <w:szCs w:val="21"/>
          <w:highlight w:val="none"/>
        </w:rPr>
        <w:t>已包括</w:t>
      </w:r>
      <w:r>
        <w:rPr>
          <w:rFonts w:hint="eastAsia" w:ascii="Times New Roman" w:hAnsi="Times New Roman" w:eastAsia="宋体" w:cs="Times New Roman"/>
          <w:szCs w:val="21"/>
          <w:highlight w:val="none"/>
        </w:rPr>
        <w:t>*</w:t>
      </w:r>
      <w:r>
        <w:rPr>
          <w:rFonts w:ascii="Times New Roman" w:hAnsi="Times New Roman" w:eastAsia="宋体" w:cs="Times New Roman"/>
          <w:szCs w:val="21"/>
          <w:highlight w:val="none"/>
        </w:rPr>
        <w:t>**</w:t>
      </w:r>
      <w:r>
        <w:rPr>
          <w:rFonts w:hint="eastAsia" w:ascii="Times New Roman" w:hAnsi="Times New Roman" w:eastAsia="宋体" w:cs="Times New Roman"/>
          <w:szCs w:val="21"/>
          <w:highlight w:val="none"/>
        </w:rPr>
        <w:t>及</w:t>
      </w:r>
      <w:r>
        <w:rPr>
          <w:rFonts w:ascii="Times New Roman" w:hAnsi="Times New Roman" w:eastAsia="宋体" w:cs="Times New Roman"/>
          <w:szCs w:val="21"/>
          <w:highlight w:val="none"/>
        </w:rPr>
        <w:t>税费</w:t>
      </w:r>
      <w:r>
        <w:rPr>
          <w:rFonts w:hint="eastAsia" w:ascii="Times New Roman" w:hAnsi="Times New Roman" w:eastAsia="宋体" w:cs="Times New Roman"/>
          <w:szCs w:val="21"/>
          <w:highlight w:val="none"/>
        </w:rPr>
        <w:t>在内</w:t>
      </w:r>
      <w:r>
        <w:rPr>
          <w:rFonts w:ascii="Times New Roman" w:hAnsi="Times New Roman" w:eastAsia="宋体" w:cs="Times New Roman"/>
          <w:szCs w:val="21"/>
          <w:highlight w:val="none"/>
        </w:rPr>
        <w:t>的全部含税费用。本合同执行期间</w:t>
      </w:r>
      <w:r>
        <w:rPr>
          <w:rFonts w:hint="eastAsia" w:ascii="Times New Roman" w:hAnsi="Times New Roman" w:eastAsia="宋体" w:cs="Times New Roman"/>
          <w:szCs w:val="21"/>
          <w:highlight w:val="none"/>
        </w:rPr>
        <w:t>该部分</w:t>
      </w:r>
      <w:r>
        <w:rPr>
          <w:rFonts w:ascii="Times New Roman" w:hAnsi="Times New Roman" w:eastAsia="宋体" w:cs="Times New Roman"/>
          <w:szCs w:val="21"/>
          <w:highlight w:val="none"/>
        </w:rPr>
        <w:t>合同</w:t>
      </w:r>
      <w:r>
        <w:rPr>
          <w:rFonts w:hint="eastAsia" w:ascii="Times New Roman" w:hAnsi="Times New Roman" w:eastAsia="宋体" w:cs="Times New Roman"/>
          <w:szCs w:val="21"/>
          <w:highlight w:val="none"/>
        </w:rPr>
        <w:t>价款</w:t>
      </w:r>
      <w:r>
        <w:rPr>
          <w:rFonts w:ascii="Times New Roman" w:hAnsi="Times New Roman" w:eastAsia="宋体" w:cs="Times New Roman"/>
          <w:szCs w:val="21"/>
          <w:highlight w:val="none"/>
        </w:rPr>
        <w:t>不变，甲方无须向乙方支付本合同规定之外的其他任何费用。</w:t>
      </w:r>
    </w:p>
    <w:p w14:paraId="6177573E">
      <w:pPr>
        <w:ind w:left="420" w:leftChars="200" w:firstLine="420" w:firstLineChars="200"/>
        <w:contextualSpacing/>
        <w:jc w:val="lef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2</w:t>
      </w:r>
      <w:r>
        <w:rPr>
          <w:rFonts w:ascii="Times New Roman" w:hAnsi="Times New Roman" w:eastAsia="宋体" w:cs="Times New Roman"/>
          <w:szCs w:val="21"/>
          <w:highlight w:val="none"/>
        </w:rPr>
        <w:t>.</w:t>
      </w:r>
      <w:r>
        <w:rPr>
          <w:rFonts w:hint="eastAsia" w:ascii="Times New Roman" w:hAnsi="Times New Roman" w:eastAsia="宋体" w:cs="Times New Roman"/>
          <w:szCs w:val="21"/>
          <w:highlight w:val="none"/>
        </w:rPr>
        <w:t>本合同按实结算部分支付总额不超过</w:t>
      </w:r>
      <w:r>
        <w:rPr>
          <w:rFonts w:ascii="Times New Roman" w:hAnsi="Times New Roman" w:eastAsia="宋体" w:cs="Times New Roman"/>
          <w:szCs w:val="21"/>
          <w:highlight w:val="none"/>
        </w:rPr>
        <w:t>人民币大写：*** 圆整，即RMB *** 元</w:t>
      </w:r>
      <w:r>
        <w:rPr>
          <w:rFonts w:hint="eastAsia" w:ascii="Times New Roman" w:hAnsi="Times New Roman" w:eastAsia="宋体" w:cs="Times New Roman"/>
          <w:szCs w:val="21"/>
          <w:highlight w:val="none"/>
        </w:rPr>
        <w:t>，依据本合同单价进行结算，结算依据及标准为：*</w:t>
      </w:r>
      <w:r>
        <w:rPr>
          <w:rFonts w:ascii="Times New Roman" w:hAnsi="Times New Roman" w:eastAsia="宋体" w:cs="Times New Roman"/>
          <w:szCs w:val="21"/>
          <w:highlight w:val="none"/>
        </w:rPr>
        <w:t>**</w:t>
      </w:r>
      <w:r>
        <w:rPr>
          <w:rFonts w:hint="eastAsia" w:ascii="Times New Roman" w:hAnsi="Times New Roman" w:eastAsia="宋体" w:cs="Times New Roman"/>
          <w:szCs w:val="21"/>
          <w:highlight w:val="none"/>
        </w:rPr>
        <w:t>，结算单价详见附件1《结算单价清单》。</w:t>
      </w:r>
      <w:r>
        <w:rPr>
          <w:rFonts w:ascii="Times New Roman" w:hAnsi="Times New Roman" w:eastAsia="宋体" w:cs="Times New Roman"/>
          <w:i/>
          <w:iCs/>
          <w:szCs w:val="21"/>
          <w:highlight w:val="none"/>
        </w:rPr>
        <w:t>&lt;根据项目实际情况</w:t>
      </w:r>
      <w:r>
        <w:rPr>
          <w:rFonts w:hint="eastAsia" w:ascii="Times New Roman" w:hAnsi="Times New Roman" w:eastAsia="宋体" w:cs="Times New Roman"/>
          <w:i/>
          <w:iCs/>
          <w:szCs w:val="21"/>
          <w:highlight w:val="none"/>
        </w:rPr>
        <w:t>编制结算依据、标准等必要内容</w:t>
      </w:r>
      <w:r>
        <w:rPr>
          <w:rFonts w:ascii="Times New Roman" w:hAnsi="Times New Roman" w:eastAsia="宋体" w:cs="Times New Roman"/>
          <w:i/>
          <w:iCs/>
          <w:szCs w:val="21"/>
          <w:highlight w:val="none"/>
        </w:rPr>
        <w:t>&gt;</w:t>
      </w:r>
    </w:p>
    <w:p w14:paraId="54A1CE88">
      <w:pPr>
        <w:ind w:firstLine="480"/>
        <w:contextualSpacing/>
        <w:jc w:val="left"/>
        <w:rPr>
          <w:rFonts w:ascii="Times New Roman" w:hAnsi="Times New Roman" w:eastAsia="宋体" w:cs="Times New Roman"/>
          <w:szCs w:val="20"/>
          <w:highlight w:val="none"/>
        </w:rPr>
      </w:pPr>
      <w:r>
        <w:rPr>
          <w:rFonts w:ascii="Times New Roman" w:hAnsi="Times New Roman" w:eastAsia="宋体" w:cs="Times New Roman"/>
          <w:color w:val="000000"/>
          <w:szCs w:val="21"/>
          <w:highlight w:val="none"/>
          <w:shd w:val="clear" w:color="auto" w:fill="FFFFFF"/>
        </w:rPr>
        <w:sym w:font="Wingdings" w:char="F0A8"/>
      </w:r>
      <w:r>
        <w:rPr>
          <w:rFonts w:hint="eastAsia" w:ascii="Times New Roman" w:hAnsi="Times New Roman" w:eastAsia="宋体" w:cs="Times New Roman"/>
          <w:szCs w:val="20"/>
          <w:highlight w:val="none"/>
        </w:rPr>
        <w:t>按实结算</w:t>
      </w:r>
    </w:p>
    <w:p w14:paraId="72614771">
      <w:pPr>
        <w:ind w:left="420" w:leftChars="200" w:firstLine="420" w:firstLineChars="200"/>
        <w:contextualSpacing/>
        <w:jc w:val="lef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本合同支付总额不超过</w:t>
      </w:r>
      <w:r>
        <w:rPr>
          <w:rFonts w:ascii="Times New Roman" w:hAnsi="Times New Roman" w:eastAsia="宋体" w:cs="Times New Roman"/>
          <w:szCs w:val="21"/>
          <w:highlight w:val="none"/>
        </w:rPr>
        <w:t>人民币大写：*** 圆整，即RMB *** 元</w:t>
      </w:r>
      <w:r>
        <w:rPr>
          <w:rFonts w:hint="eastAsia" w:ascii="Times New Roman" w:hAnsi="Times New Roman" w:eastAsia="宋体" w:cs="Times New Roman"/>
          <w:szCs w:val="21"/>
          <w:highlight w:val="none"/>
        </w:rPr>
        <w:t>，依据本合同单价进行结算，结算单价详见附件1《结算单价清单》。</w:t>
      </w:r>
    </w:p>
    <w:bookmarkEnd w:id="97"/>
    <w:bookmarkEnd w:id="98"/>
    <w:p w14:paraId="23E64AEB">
      <w:pPr>
        <w:widowControl w:val="0"/>
        <w:numPr>
          <w:ilvl w:val="0"/>
          <w:numId w:val="12"/>
        </w:numPr>
        <w:ind w:left="480" w:hanging="480" w:firstLineChars="0"/>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服务期限</w:t>
      </w:r>
      <w:r>
        <w:rPr>
          <w:rFonts w:ascii="Times New Roman" w:hAnsi="Times New Roman" w:eastAsia="宋体" w:cs="Times New Roman"/>
          <w:i/>
          <w:iCs/>
          <w:kern w:val="2"/>
          <w:sz w:val="21"/>
          <w:szCs w:val="21"/>
          <w:highlight w:val="none"/>
          <w:lang w:val="en-US" w:eastAsia="zh-CN" w:bidi="ar-SA"/>
        </w:rPr>
        <w:t>&lt;根据项目实际情况选择&gt;</w:t>
      </w:r>
    </w:p>
    <w:p w14:paraId="5668C968">
      <w:pPr>
        <w:widowControl w:val="0"/>
        <w:ind w:firstLine="420" w:firstLineChars="200"/>
        <w:jc w:val="left"/>
        <w:rPr>
          <w:rFonts w:ascii="Times New Roman" w:hAnsi="Times New Roman" w:eastAsia="宋体" w:cs="Times New Roman"/>
          <w:bCs/>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2" w:char="F052"/>
      </w:r>
      <w:r>
        <w:rPr>
          <w:rFonts w:hint="eastAsia" w:ascii="Times New Roman" w:hAnsi="Times New Roman" w:eastAsia="宋体" w:cs="Times New Roman"/>
          <w:color w:val="000000"/>
          <w:kern w:val="2"/>
          <w:sz w:val="21"/>
          <w:szCs w:val="21"/>
          <w:highlight w:val="none"/>
          <w:lang w:val="en-US" w:eastAsia="zh-CN" w:bidi="ar-SA"/>
        </w:rPr>
        <w:t>本</w:t>
      </w:r>
      <w:r>
        <w:rPr>
          <w:rFonts w:ascii="Times New Roman" w:hAnsi="Times New Roman" w:eastAsia="宋体" w:cs="Times New Roman"/>
          <w:bCs/>
          <w:kern w:val="2"/>
          <w:sz w:val="21"/>
          <w:szCs w:val="21"/>
          <w:highlight w:val="none"/>
          <w:lang w:val="en-US" w:eastAsia="zh-CN" w:bidi="ar-SA"/>
        </w:rPr>
        <w:t>合同服务期限为 *** 年，自 202* 年 *** 月 *** 日起至 202* 年 *** 月 *** 日。</w:t>
      </w:r>
    </w:p>
    <w:p w14:paraId="0FABE6CB">
      <w:pPr>
        <w:widowControl w:val="0"/>
        <w:ind w:firstLine="420" w:firstLineChars="200"/>
        <w:jc w:val="left"/>
        <w:rPr>
          <w:rFonts w:ascii="Times New Roman" w:hAnsi="Times New Roman" w:eastAsia="宋体" w:cs="Times New Roman"/>
          <w:bCs/>
          <w:kern w:val="2"/>
          <w:sz w:val="21"/>
          <w:szCs w:val="21"/>
          <w:highlight w:val="none"/>
          <w:lang w:val="en-US" w:eastAsia="zh-CN" w:bidi="ar-SA"/>
        </w:rPr>
      </w:pPr>
    </w:p>
    <w:p w14:paraId="796C0849">
      <w:pPr>
        <w:widowControl w:val="0"/>
        <w:ind w:firstLine="420" w:firstLineChars="200"/>
        <w:jc w:val="left"/>
        <w:rPr>
          <w:rFonts w:ascii="Times New Roman" w:hAnsi="Times New Roman" w:eastAsia="宋体" w:cs="Times New Roman"/>
          <w:bCs/>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2" w:char="F052"/>
      </w:r>
      <w:r>
        <w:rPr>
          <w:rFonts w:ascii="Times New Roman" w:hAnsi="Times New Roman" w:eastAsia="宋体" w:cs="Times New Roman"/>
          <w:bCs/>
          <w:kern w:val="2"/>
          <w:sz w:val="21"/>
          <w:szCs w:val="21"/>
          <w:highlight w:val="none"/>
          <w:lang w:val="en-US" w:eastAsia="zh-CN" w:bidi="ar-SA"/>
        </w:rPr>
        <w:t>本合同服务期限为</w:t>
      </w:r>
      <w:r>
        <w:rPr>
          <w:rFonts w:hint="eastAsia" w:ascii="Times New Roman" w:hAnsi="Times New Roman" w:eastAsia="宋体" w:cs="Times New Roman"/>
          <w:bCs/>
          <w:kern w:val="2"/>
          <w:sz w:val="21"/>
          <w:szCs w:val="21"/>
          <w:highlight w:val="none"/>
          <w:lang w:val="en-US" w:eastAsia="zh-CN" w:bidi="ar-SA"/>
        </w:rPr>
        <w:t xml:space="preserve">双方签字盖章生效之日起 </w:t>
      </w:r>
      <w:r>
        <w:rPr>
          <w:rFonts w:ascii="Times New Roman" w:hAnsi="Times New Roman" w:eastAsia="宋体" w:cs="Times New Roman"/>
          <w:bCs/>
          <w:kern w:val="2"/>
          <w:sz w:val="21"/>
          <w:szCs w:val="21"/>
          <w:highlight w:val="none"/>
          <w:lang w:val="en-US" w:eastAsia="zh-CN" w:bidi="ar-SA"/>
        </w:rPr>
        <w:t>*** 年，</w:t>
      </w:r>
      <w:r>
        <w:rPr>
          <w:rFonts w:hint="eastAsia" w:ascii="Times New Roman" w:hAnsi="Times New Roman" w:eastAsia="宋体" w:cs="Times New Roman"/>
          <w:bCs/>
          <w:kern w:val="2"/>
          <w:sz w:val="21"/>
          <w:szCs w:val="21"/>
          <w:highlight w:val="none"/>
          <w:lang w:val="en-US" w:eastAsia="zh-CN" w:bidi="ar-SA"/>
        </w:rPr>
        <w:t>即</w:t>
      </w:r>
      <w:r>
        <w:rPr>
          <w:rFonts w:ascii="Times New Roman" w:hAnsi="Times New Roman" w:eastAsia="宋体" w:cs="Times New Roman"/>
          <w:bCs/>
          <w:kern w:val="2"/>
          <w:sz w:val="21"/>
          <w:szCs w:val="21"/>
          <w:highlight w:val="none"/>
          <w:lang w:val="en-US" w:eastAsia="zh-CN" w:bidi="ar-SA"/>
        </w:rPr>
        <w:t>自 202* 年 *** 月 *** 日起至 202* 年 *** 月 *** 日。</w:t>
      </w:r>
    </w:p>
    <w:p w14:paraId="457775C7">
      <w:pPr>
        <w:widowControl w:val="0"/>
        <w:ind w:firstLine="420" w:firstLineChars="200"/>
        <w:jc w:val="left"/>
        <w:rPr>
          <w:rFonts w:ascii="Times New Roman" w:hAnsi="Times New Roman" w:eastAsia="宋体" w:cs="Times New Roman"/>
          <w:bCs/>
          <w:kern w:val="2"/>
          <w:sz w:val="21"/>
          <w:szCs w:val="21"/>
          <w:highlight w:val="none"/>
          <w:lang w:val="en-US" w:eastAsia="zh-CN" w:bidi="ar-SA"/>
        </w:rPr>
      </w:pPr>
    </w:p>
    <w:p w14:paraId="5EF7A96E">
      <w:pPr>
        <w:widowControl w:val="0"/>
        <w:ind w:left="105" w:leftChars="50" w:firstLine="315" w:firstLineChars="150"/>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2" w:char="F052"/>
      </w:r>
      <w:r>
        <w:rPr>
          <w:rFonts w:ascii="Times New Roman" w:hAnsi="Times New Roman" w:eastAsia="宋体" w:cs="Times New Roman"/>
          <w:bCs/>
          <w:kern w:val="2"/>
          <w:sz w:val="21"/>
          <w:szCs w:val="21"/>
          <w:highlight w:val="none"/>
          <w:lang w:val="en-US" w:eastAsia="zh-CN" w:bidi="ar-SA"/>
        </w:rPr>
        <w:t>本项目服务期为</w:t>
      </w:r>
      <w:r>
        <w:rPr>
          <w:rFonts w:ascii="Times New Roman" w:hAnsi="Times New Roman" w:eastAsia="宋体" w:cs="Times New Roman"/>
          <w:bCs/>
          <w:kern w:val="2"/>
          <w:sz w:val="21"/>
          <w:szCs w:val="21"/>
          <w:highlight w:val="none"/>
          <w:u w:val="single"/>
          <w:lang w:val="en-US" w:eastAsia="zh-CN" w:bidi="ar-SA"/>
        </w:rPr>
        <w:t>叁</w:t>
      </w:r>
      <w:r>
        <w:rPr>
          <w:rFonts w:ascii="Times New Roman" w:hAnsi="Times New Roman" w:eastAsia="宋体" w:cs="Times New Roman"/>
          <w:bCs/>
          <w:kern w:val="2"/>
          <w:sz w:val="21"/>
          <w:szCs w:val="21"/>
          <w:highlight w:val="none"/>
          <w:lang w:val="en-US" w:eastAsia="zh-CN" w:bidi="ar-SA"/>
        </w:rPr>
        <w:t>年（自202*年**月**日到202*年**月**日），合同一年一签，每年服务费为人民币 *** 元（大写：*** 圆整）。本合同为第***期，服务期为自202*年***月***日至202*年**月**日</w:t>
      </w:r>
      <w:r>
        <w:rPr>
          <w:rFonts w:ascii="Times New Roman" w:hAnsi="Times New Roman" w:eastAsia="宋体" w:cs="Times New Roman"/>
          <w:bCs/>
          <w:kern w:val="2"/>
          <w:sz w:val="21"/>
          <w:szCs w:val="21"/>
          <w:highlight w:val="none"/>
          <w:u w:val="single"/>
          <w:lang w:val="en-US" w:eastAsia="zh-CN" w:bidi="ar-SA"/>
        </w:rPr>
        <w:t>，经甲方考核合格后续签下一年合同</w:t>
      </w:r>
      <w:bookmarkStart w:id="100" w:name="OLE_LINK29"/>
      <w:r>
        <w:rPr>
          <w:rFonts w:hint="eastAsia" w:ascii="Times New Roman" w:hAnsi="Times New Roman" w:eastAsia="宋体" w:cs="Times New Roman"/>
          <w:bCs/>
          <w:kern w:val="2"/>
          <w:sz w:val="21"/>
          <w:szCs w:val="21"/>
          <w:highlight w:val="none"/>
          <w:lang w:val="en-US" w:eastAsia="zh-CN" w:bidi="ar-SA"/>
        </w:rPr>
        <w:t>，考核标准详见附件</w:t>
      </w:r>
      <w:r>
        <w:rPr>
          <w:rFonts w:hint="eastAsia" w:ascii="Times New Roman" w:hAnsi="Times New Roman" w:eastAsia="宋体" w:cs="Times New Roman"/>
          <w:bCs/>
          <w:kern w:val="2"/>
          <w:sz w:val="21"/>
          <w:szCs w:val="21"/>
          <w:highlight w:val="none"/>
          <w:u w:val="single"/>
          <w:lang w:val="en-US" w:eastAsia="zh-CN" w:bidi="ar-SA"/>
        </w:rPr>
        <w:t>2</w:t>
      </w:r>
      <w:r>
        <w:rPr>
          <w:rFonts w:hint="eastAsia" w:ascii="Times New Roman" w:hAnsi="Times New Roman" w:eastAsia="宋体" w:cs="Times New Roman"/>
          <w:bCs/>
          <w:kern w:val="2"/>
          <w:sz w:val="21"/>
          <w:szCs w:val="21"/>
          <w:highlight w:val="none"/>
          <w:lang w:val="en-US" w:eastAsia="zh-CN" w:bidi="ar-SA"/>
        </w:rPr>
        <w:t>《考核标准》</w:t>
      </w:r>
      <w:bookmarkEnd w:id="100"/>
      <w:r>
        <w:rPr>
          <w:rFonts w:ascii="Times New Roman" w:hAnsi="Times New Roman" w:eastAsia="宋体" w:cs="Times New Roman"/>
          <w:bCs/>
          <w:kern w:val="2"/>
          <w:sz w:val="21"/>
          <w:szCs w:val="21"/>
          <w:highlight w:val="none"/>
          <w:lang w:val="en-US" w:eastAsia="zh-CN" w:bidi="ar-SA"/>
        </w:rPr>
        <w:t>。</w:t>
      </w:r>
    </w:p>
    <w:p w14:paraId="2DB222C6">
      <w:pPr>
        <w:widowControl w:val="0"/>
        <w:numPr>
          <w:ilvl w:val="0"/>
          <w:numId w:val="12"/>
        </w:numPr>
        <w:ind w:left="480" w:hanging="480" w:firstLineChars="0"/>
        <w:contextualSpacing/>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服务</w:t>
      </w:r>
      <w:r>
        <w:rPr>
          <w:rFonts w:hint="eastAsia" w:ascii="Times New Roman" w:hAnsi="Times New Roman" w:eastAsia="宋体" w:cs="Times New Roman"/>
          <w:b/>
          <w:kern w:val="2"/>
          <w:sz w:val="21"/>
          <w:szCs w:val="21"/>
          <w:highlight w:val="none"/>
          <w:lang w:val="en-US" w:eastAsia="zh-CN" w:bidi="ar-SA"/>
        </w:rPr>
        <w:t>方案</w:t>
      </w:r>
    </w:p>
    <w:p w14:paraId="3AF48723">
      <w:pPr>
        <w:ind w:firstLine="420" w:firstLineChars="200"/>
        <w:contextualSpacing/>
        <w:jc w:val="left"/>
        <w:rPr>
          <w:rFonts w:ascii="Times New Roman" w:hAnsi="Times New Roman" w:eastAsia="宋体" w:cs="Times New Roman"/>
          <w:szCs w:val="21"/>
          <w:highlight w:val="none"/>
        </w:rPr>
      </w:pPr>
      <w:r>
        <w:rPr>
          <w:rFonts w:hint="eastAsia" w:ascii="Times New Roman" w:hAnsi="Times New Roman" w:eastAsia="宋体" w:cs="Times New Roman"/>
          <w:bCs/>
          <w:szCs w:val="21"/>
          <w:highlight w:val="none"/>
        </w:rPr>
        <w:t>乙方应严格按照本合同服务方案和甲方要求提供服务，服务方案</w:t>
      </w:r>
      <w:r>
        <w:rPr>
          <w:rFonts w:ascii="Times New Roman" w:hAnsi="Times New Roman" w:eastAsia="宋体" w:cs="Times New Roman"/>
          <w:bCs/>
          <w:szCs w:val="21"/>
          <w:highlight w:val="none"/>
        </w:rPr>
        <w:t>详见附件3《服务</w:t>
      </w:r>
      <w:r>
        <w:rPr>
          <w:rFonts w:hint="eastAsia" w:ascii="Times New Roman" w:hAnsi="Times New Roman" w:eastAsia="宋体" w:cs="Times New Roman"/>
          <w:bCs/>
          <w:szCs w:val="21"/>
          <w:highlight w:val="none"/>
        </w:rPr>
        <w:t>方案</w:t>
      </w:r>
      <w:r>
        <w:rPr>
          <w:rFonts w:ascii="Times New Roman" w:hAnsi="Times New Roman" w:eastAsia="宋体" w:cs="Times New Roman"/>
          <w:bCs/>
          <w:szCs w:val="21"/>
          <w:highlight w:val="none"/>
        </w:rPr>
        <w:t>》</w:t>
      </w:r>
      <w:r>
        <w:rPr>
          <w:rFonts w:hint="eastAsia" w:ascii="Times New Roman" w:hAnsi="Times New Roman" w:eastAsia="宋体" w:cs="Times New Roman"/>
          <w:bCs/>
          <w:szCs w:val="21"/>
          <w:highlight w:val="none"/>
        </w:rPr>
        <w:t>。</w:t>
      </w:r>
    </w:p>
    <w:p w14:paraId="35EC92D5">
      <w:pPr>
        <w:widowControl w:val="0"/>
        <w:numPr>
          <w:ilvl w:val="0"/>
          <w:numId w:val="12"/>
        </w:numPr>
        <w:ind w:left="480" w:hanging="480" w:firstLineChars="0"/>
        <w:contextualSpacing/>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验收</w:t>
      </w:r>
    </w:p>
    <w:p w14:paraId="4FE94635">
      <w:pPr>
        <w:widowControl w:val="0"/>
        <w:numPr>
          <w:ilvl w:val="0"/>
          <w:numId w:val="14"/>
        </w:numPr>
        <w:ind w:left="420" w:hanging="420" w:firstLineChars="0"/>
        <w:contextualSpacing/>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甲、乙双方确定，按照本合同约定的验收方案对乙方按本合同约定所提供的服务进行验收。</w:t>
      </w:r>
    </w:p>
    <w:p w14:paraId="14677986">
      <w:pPr>
        <w:widowControl w:val="0"/>
        <w:numPr>
          <w:ilvl w:val="0"/>
          <w:numId w:val="14"/>
        </w:numPr>
        <w:ind w:left="420" w:hanging="420" w:firstLineChars="0"/>
        <w:contextualSpacing/>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验收方案：</w:t>
      </w:r>
    </w:p>
    <w:p w14:paraId="1DC14EBB">
      <w:pPr>
        <w:widowControl w:val="0"/>
        <w:numPr>
          <w:ilvl w:val="0"/>
          <w:numId w:val="15"/>
        </w:numPr>
        <w:ind w:left="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kern w:val="2"/>
          <w:sz w:val="21"/>
          <w:szCs w:val="21"/>
          <w:highlight w:val="none"/>
          <w:lang w:val="en-US" w:eastAsia="zh-CN" w:bidi="ar-SA"/>
        </w:rPr>
        <w:t>验收主体：甲方</w:t>
      </w:r>
    </w:p>
    <w:p w14:paraId="714AAB74">
      <w:pPr>
        <w:widowControl w:val="0"/>
        <w:numPr>
          <w:ilvl w:val="0"/>
          <w:numId w:val="15"/>
        </w:numPr>
        <w:ind w:left="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kern w:val="2"/>
          <w:sz w:val="21"/>
          <w:szCs w:val="21"/>
          <w:highlight w:val="none"/>
          <w:lang w:val="en-US" w:eastAsia="zh-CN" w:bidi="ar-SA"/>
        </w:rPr>
        <w:t>验收组织方式：自行验收</w:t>
      </w:r>
    </w:p>
    <w:p w14:paraId="5492C11A">
      <w:pPr>
        <w:widowControl w:val="0"/>
        <w:numPr>
          <w:ilvl w:val="0"/>
          <w:numId w:val="15"/>
        </w:numPr>
        <w:ind w:left="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t>验收程序：</w:t>
      </w:r>
      <w:r>
        <w:rPr>
          <w:rFonts w:ascii="Times New Roman" w:hAnsi="Times New Roman" w:eastAsia="宋体" w:cs="Times New Roman"/>
          <w:kern w:val="2"/>
          <w:sz w:val="21"/>
          <w:szCs w:val="20"/>
          <w:highlight w:val="none"/>
          <w:lang w:val="en-US" w:eastAsia="zh-CN" w:bidi="ar-SA"/>
        </w:rPr>
        <w:sym w:font="Wingdings 2" w:char="F052"/>
      </w:r>
      <w:r>
        <w:rPr>
          <w:rFonts w:hint="eastAsia" w:ascii="Times New Roman" w:hAnsi="Times New Roman" w:eastAsia="宋体" w:cs="Times New Roman"/>
          <w:color w:val="000000"/>
          <w:kern w:val="2"/>
          <w:sz w:val="21"/>
          <w:szCs w:val="21"/>
          <w:highlight w:val="none"/>
          <w:lang w:val="en-US" w:eastAsia="zh-CN" w:bidi="ar-SA"/>
        </w:rPr>
        <w:t>一次性验收</w:t>
      </w:r>
      <w:r>
        <w:rPr>
          <w:rFonts w:ascii="Times New Roman" w:hAnsi="Times New Roman" w:eastAsia="宋体" w:cs="Times New Roman"/>
          <w:color w:val="000000"/>
          <w:kern w:val="2"/>
          <w:sz w:val="21"/>
          <w:szCs w:val="21"/>
          <w:highlight w:val="none"/>
          <w:lang w:val="en-US" w:eastAsia="zh-CN" w:bidi="ar-SA"/>
        </w:rPr>
        <w:t xml:space="preserve">   </w:t>
      </w:r>
      <w:r>
        <w:rPr>
          <w:rFonts w:ascii="Times New Roman" w:hAnsi="Times New Roman" w:eastAsia="宋体" w:cs="Times New Roman"/>
          <w:kern w:val="2"/>
          <w:sz w:val="21"/>
          <w:szCs w:val="20"/>
          <w:highlight w:val="none"/>
          <w:lang w:val="en-US" w:eastAsia="zh-CN" w:bidi="ar-SA"/>
        </w:rPr>
        <w:sym w:font="Wingdings" w:char="F0A8"/>
      </w:r>
      <w:r>
        <w:rPr>
          <w:rFonts w:hint="eastAsia" w:ascii="Times New Roman" w:hAnsi="Times New Roman" w:eastAsia="宋体" w:cs="Times New Roman"/>
          <w:color w:val="000000"/>
          <w:kern w:val="2"/>
          <w:sz w:val="21"/>
          <w:szCs w:val="21"/>
          <w:highlight w:val="none"/>
          <w:lang w:val="en-US" w:eastAsia="zh-CN" w:bidi="ar-SA"/>
        </w:rPr>
        <w:t>分段</w:t>
      </w:r>
      <w:r>
        <w:rPr>
          <w:rFonts w:ascii="Times New Roman" w:hAnsi="Times New Roman" w:eastAsia="宋体" w:cs="Times New Roman"/>
          <w:color w:val="000000"/>
          <w:kern w:val="2"/>
          <w:sz w:val="21"/>
          <w:szCs w:val="21"/>
          <w:highlight w:val="none"/>
          <w:lang w:val="en-US" w:eastAsia="zh-CN" w:bidi="ar-SA"/>
        </w:rPr>
        <w:t>/</w:t>
      </w:r>
      <w:r>
        <w:rPr>
          <w:rFonts w:hint="eastAsia" w:ascii="Times New Roman" w:hAnsi="Times New Roman" w:eastAsia="宋体" w:cs="Times New Roman"/>
          <w:color w:val="000000"/>
          <w:kern w:val="2"/>
          <w:sz w:val="21"/>
          <w:szCs w:val="21"/>
          <w:highlight w:val="none"/>
          <w:lang w:val="en-US" w:eastAsia="zh-CN" w:bidi="ar-SA"/>
        </w:rPr>
        <w:t>分期验收</w:t>
      </w:r>
    </w:p>
    <w:p w14:paraId="3E410B23">
      <w:pPr>
        <w:widowControl w:val="0"/>
        <w:numPr>
          <w:ilvl w:val="0"/>
          <w:numId w:val="15"/>
        </w:numPr>
        <w:ind w:left="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t>验收方式：</w:t>
      </w:r>
      <w:r>
        <w:rPr>
          <w:rFonts w:ascii="Times New Roman" w:hAnsi="Times New Roman" w:eastAsia="宋体" w:cs="Times New Roman"/>
          <w:color w:val="000000"/>
          <w:kern w:val="2"/>
          <w:sz w:val="21"/>
          <w:szCs w:val="20"/>
          <w:highlight w:val="none"/>
          <w:lang w:val="en-US" w:eastAsia="zh-CN" w:bidi="ar-SA"/>
        </w:rPr>
        <w:sym w:font="Wingdings 2" w:char="F052"/>
      </w:r>
      <w:r>
        <w:rPr>
          <w:rFonts w:hint="eastAsia" w:ascii="Times New Roman" w:hAnsi="Times New Roman" w:eastAsia="宋体" w:cs="Times New Roman"/>
          <w:color w:val="000000"/>
          <w:kern w:val="2"/>
          <w:sz w:val="21"/>
          <w:szCs w:val="20"/>
          <w:highlight w:val="none"/>
          <w:lang w:val="en-US" w:eastAsia="zh-CN" w:bidi="ar-SA"/>
        </w:rPr>
        <w:t>现场整体验收</w:t>
      </w:r>
      <w:r>
        <w:rPr>
          <w:rFonts w:ascii="Times New Roman" w:hAnsi="Times New Roman" w:eastAsia="宋体" w:cs="Times New Roman"/>
          <w:color w:val="000000"/>
          <w:kern w:val="0"/>
          <w:sz w:val="21"/>
          <w:szCs w:val="21"/>
          <w:highlight w:val="none"/>
          <w:shd w:val="clear" w:color="auto" w:fill="FFFFFF"/>
          <w:lang w:val="en-US" w:eastAsia="zh-CN" w:bidi="ar-SA"/>
        </w:rPr>
        <w:t xml:space="preserve">   </w:t>
      </w:r>
      <w:r>
        <w:rPr>
          <w:rFonts w:ascii="Times New Roman" w:hAnsi="Times New Roman" w:eastAsia="宋体" w:cs="Times New Roman"/>
          <w:color w:val="000000"/>
          <w:kern w:val="2"/>
          <w:sz w:val="21"/>
          <w:szCs w:val="20"/>
          <w:highlight w:val="none"/>
          <w:shd w:val="clear" w:color="auto" w:fill="FFFFFF"/>
          <w:lang w:val="en-US" w:eastAsia="zh-CN" w:bidi="ar-SA"/>
        </w:rPr>
        <w:sym w:font="Wingdings" w:char="F0A8"/>
      </w:r>
      <w:r>
        <w:rPr>
          <w:rFonts w:hint="eastAsia" w:ascii="Times New Roman" w:hAnsi="Times New Roman" w:eastAsia="宋体" w:cs="Times New Roman"/>
          <w:color w:val="000000"/>
          <w:kern w:val="2"/>
          <w:sz w:val="21"/>
          <w:szCs w:val="20"/>
          <w:highlight w:val="none"/>
          <w:shd w:val="clear" w:color="auto" w:fill="FFFFFF"/>
          <w:lang w:val="en-US" w:eastAsia="zh-CN" w:bidi="ar-SA"/>
        </w:rPr>
        <w:t>考核验收</w:t>
      </w:r>
      <w:r>
        <w:rPr>
          <w:rFonts w:ascii="Times New Roman" w:hAnsi="Times New Roman" w:eastAsia="宋体" w:cs="Times New Roman"/>
          <w:color w:val="000000"/>
          <w:kern w:val="0"/>
          <w:sz w:val="21"/>
          <w:szCs w:val="21"/>
          <w:highlight w:val="none"/>
          <w:shd w:val="clear" w:color="auto" w:fill="FFFFFF"/>
          <w:lang w:val="en-US" w:eastAsia="zh-CN" w:bidi="ar-SA"/>
        </w:rPr>
        <w:t xml:space="preserve">   </w:t>
      </w:r>
      <w:r>
        <w:rPr>
          <w:rFonts w:ascii="Times New Roman" w:hAnsi="Times New Roman" w:eastAsia="宋体" w:cs="Times New Roman"/>
          <w:color w:val="000000"/>
          <w:kern w:val="2"/>
          <w:sz w:val="21"/>
          <w:szCs w:val="20"/>
          <w:highlight w:val="none"/>
          <w:shd w:val="clear" w:color="auto" w:fill="FFFFFF"/>
          <w:lang w:val="en-US" w:eastAsia="zh-CN" w:bidi="ar-SA"/>
        </w:rPr>
        <w:sym w:font="Wingdings" w:char="F0A8"/>
      </w:r>
      <w:r>
        <w:rPr>
          <w:rFonts w:hint="eastAsia" w:ascii="Times New Roman" w:hAnsi="Times New Roman" w:eastAsia="宋体" w:cs="Times New Roman"/>
          <w:color w:val="000000"/>
          <w:kern w:val="2"/>
          <w:sz w:val="21"/>
          <w:szCs w:val="20"/>
          <w:highlight w:val="none"/>
          <w:shd w:val="clear" w:color="auto" w:fill="FFFFFF"/>
          <w:lang w:val="en-US" w:eastAsia="zh-CN" w:bidi="ar-SA"/>
        </w:rPr>
        <w:t>其它验收方式：</w:t>
      </w:r>
      <w:r>
        <w:rPr>
          <w:rFonts w:ascii="Times New Roman" w:hAnsi="Times New Roman" w:eastAsia="宋体" w:cs="Times New Roman"/>
          <w:color w:val="000000"/>
          <w:kern w:val="2"/>
          <w:sz w:val="21"/>
          <w:szCs w:val="20"/>
          <w:highlight w:val="none"/>
          <w:u w:val="single"/>
          <w:shd w:val="clear" w:color="auto" w:fill="FFFFFF"/>
          <w:lang w:val="en-US" w:eastAsia="zh-CN" w:bidi="ar-SA"/>
        </w:rPr>
        <w:t>***</w:t>
      </w:r>
    </w:p>
    <w:p w14:paraId="25B0C526">
      <w:pPr>
        <w:widowControl w:val="0"/>
        <w:numPr>
          <w:ilvl w:val="0"/>
          <w:numId w:val="15"/>
        </w:numPr>
        <w:ind w:left="0" w:firstLine="0" w:firstLineChars="0"/>
        <w:contextualSpacing/>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履约</w:t>
      </w:r>
      <w:r>
        <w:rPr>
          <w:rFonts w:ascii="Times New Roman" w:hAnsi="Times New Roman" w:eastAsia="宋体" w:cs="Times New Roman"/>
          <w:kern w:val="2"/>
          <w:sz w:val="21"/>
          <w:szCs w:val="21"/>
          <w:highlight w:val="none"/>
          <w:lang w:val="en-US" w:eastAsia="zh-CN" w:bidi="ar-SA"/>
        </w:rPr>
        <w:t>验收内容：</w:t>
      </w:r>
      <w:r>
        <w:rPr>
          <w:rFonts w:hint="eastAsia" w:ascii="Times New Roman" w:hAnsi="Times New Roman" w:eastAsia="宋体" w:cs="Times New Roman"/>
          <w:kern w:val="2"/>
          <w:sz w:val="21"/>
          <w:szCs w:val="21"/>
          <w:highlight w:val="none"/>
          <w:lang w:val="en-US" w:eastAsia="zh-CN" w:bidi="ar-SA"/>
        </w:rPr>
        <w:t>按照甲方的采购文件要求及乙方响应文件响应情况，由乙方向甲方提供的</w:t>
      </w:r>
      <w:r>
        <w:rPr>
          <w:rFonts w:hint="eastAsia" w:ascii="Times New Roman" w:hAnsi="Times New Roman" w:eastAsia="宋体" w:cs="Times New Roman"/>
          <w:kern w:val="2"/>
          <w:sz w:val="21"/>
          <w:szCs w:val="21"/>
          <w:highlight w:val="none"/>
          <w:u w:val="single"/>
          <w:lang w:val="en-US" w:eastAsia="zh-CN" w:bidi="ar-SA"/>
        </w:rPr>
        <w:t>全部服务</w:t>
      </w:r>
      <w:r>
        <w:rPr>
          <w:rFonts w:hint="eastAsia" w:ascii="Times New Roman" w:hAnsi="Times New Roman" w:eastAsia="宋体" w:cs="Times New Roman"/>
          <w:kern w:val="2"/>
          <w:sz w:val="21"/>
          <w:szCs w:val="21"/>
          <w:highlight w:val="none"/>
          <w:lang w:val="en-US" w:eastAsia="zh-CN" w:bidi="ar-SA"/>
        </w:rPr>
        <w:t>的履约情况。</w:t>
      </w:r>
    </w:p>
    <w:p w14:paraId="37BB84EB">
      <w:pPr>
        <w:widowControl w:val="0"/>
        <w:numPr>
          <w:ilvl w:val="0"/>
          <w:numId w:val="15"/>
        </w:numPr>
        <w:ind w:left="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kern w:val="2"/>
          <w:sz w:val="21"/>
          <w:szCs w:val="21"/>
          <w:highlight w:val="none"/>
          <w:lang w:val="en-US" w:eastAsia="zh-CN" w:bidi="ar-SA"/>
        </w:rPr>
        <w:t>履约</w:t>
      </w:r>
      <w:r>
        <w:rPr>
          <w:rFonts w:ascii="Times New Roman" w:hAnsi="Times New Roman" w:eastAsia="宋体" w:cs="Times New Roman"/>
          <w:color w:val="000000"/>
          <w:kern w:val="2"/>
          <w:sz w:val="21"/>
          <w:szCs w:val="21"/>
          <w:highlight w:val="none"/>
          <w:lang w:val="en-US" w:eastAsia="zh-CN" w:bidi="ar-SA"/>
        </w:rPr>
        <w:t>验收时间：</w:t>
      </w:r>
    </w:p>
    <w:p w14:paraId="5DCDE81A">
      <w:pPr>
        <w:widowControl w:val="0"/>
        <w:spacing w:after="0"/>
        <w:ind w:left="420" w:leftChars="20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2" w:char="F052"/>
      </w:r>
      <w:r>
        <w:rPr>
          <w:rFonts w:ascii="Times New Roman" w:hAnsi="Times New Roman" w:eastAsia="宋体" w:cs="Times New Roman"/>
          <w:color w:val="000000"/>
          <w:kern w:val="2"/>
          <w:sz w:val="21"/>
          <w:szCs w:val="21"/>
          <w:highlight w:val="none"/>
          <w:lang w:val="en-US" w:eastAsia="zh-CN" w:bidi="ar-SA"/>
        </w:rPr>
        <w:t>服务期满且</w:t>
      </w:r>
      <w:r>
        <w:rPr>
          <w:rFonts w:hint="eastAsia" w:ascii="Times New Roman" w:hAnsi="Times New Roman" w:eastAsia="宋体" w:cs="Times New Roman"/>
          <w:color w:val="000000"/>
          <w:kern w:val="2"/>
          <w:sz w:val="21"/>
          <w:szCs w:val="21"/>
          <w:highlight w:val="none"/>
          <w:lang w:val="en-US" w:eastAsia="zh-CN" w:bidi="ar-SA"/>
        </w:rPr>
        <w:t>乙方</w:t>
      </w:r>
      <w:r>
        <w:rPr>
          <w:rFonts w:ascii="Times New Roman" w:hAnsi="Times New Roman" w:eastAsia="宋体" w:cs="Times New Roman"/>
          <w:color w:val="000000"/>
          <w:kern w:val="2"/>
          <w:sz w:val="21"/>
          <w:szCs w:val="21"/>
          <w:highlight w:val="none"/>
          <w:lang w:val="en-US" w:eastAsia="zh-CN" w:bidi="ar-SA"/>
        </w:rPr>
        <w:t>完成所有服务内容后X日内通知</w:t>
      </w:r>
      <w:r>
        <w:rPr>
          <w:rFonts w:hint="eastAsia" w:ascii="Times New Roman" w:hAnsi="Times New Roman" w:eastAsia="宋体" w:cs="Times New Roman"/>
          <w:color w:val="000000"/>
          <w:kern w:val="2"/>
          <w:sz w:val="21"/>
          <w:szCs w:val="21"/>
          <w:highlight w:val="none"/>
          <w:lang w:val="en-US" w:eastAsia="zh-CN" w:bidi="ar-SA"/>
        </w:rPr>
        <w:t>甲方</w:t>
      </w:r>
      <w:r>
        <w:rPr>
          <w:rFonts w:ascii="Times New Roman" w:hAnsi="Times New Roman" w:eastAsia="宋体" w:cs="Times New Roman"/>
          <w:color w:val="000000"/>
          <w:kern w:val="2"/>
          <w:sz w:val="21"/>
          <w:szCs w:val="21"/>
          <w:highlight w:val="none"/>
          <w:lang w:val="en-US" w:eastAsia="zh-CN" w:bidi="ar-SA"/>
        </w:rPr>
        <w:t>验收，</w:t>
      </w:r>
      <w:r>
        <w:rPr>
          <w:rFonts w:hint="eastAsia" w:ascii="Times New Roman" w:hAnsi="Times New Roman" w:eastAsia="宋体" w:cs="Times New Roman"/>
          <w:color w:val="000000"/>
          <w:kern w:val="2"/>
          <w:sz w:val="21"/>
          <w:szCs w:val="21"/>
          <w:highlight w:val="none"/>
          <w:lang w:val="en-US" w:eastAsia="zh-CN" w:bidi="ar-SA"/>
        </w:rPr>
        <w:t>甲方</w:t>
      </w:r>
      <w:r>
        <w:rPr>
          <w:rFonts w:ascii="Times New Roman" w:hAnsi="Times New Roman" w:eastAsia="宋体" w:cs="Times New Roman"/>
          <w:color w:val="000000"/>
          <w:kern w:val="2"/>
          <w:sz w:val="21"/>
          <w:szCs w:val="21"/>
          <w:highlight w:val="none"/>
          <w:lang w:val="en-US" w:eastAsia="zh-CN" w:bidi="ar-SA"/>
        </w:rPr>
        <w:t>接</w:t>
      </w:r>
      <w:r>
        <w:rPr>
          <w:rFonts w:hint="eastAsia" w:ascii="Times New Roman" w:hAnsi="Times New Roman" w:eastAsia="宋体" w:cs="Times New Roman"/>
          <w:color w:val="000000"/>
          <w:kern w:val="2"/>
          <w:sz w:val="21"/>
          <w:szCs w:val="21"/>
          <w:highlight w:val="none"/>
          <w:lang w:val="en-US" w:eastAsia="zh-CN" w:bidi="ar-SA"/>
        </w:rPr>
        <w:t>乙方</w:t>
      </w:r>
      <w:r>
        <w:rPr>
          <w:rFonts w:ascii="Times New Roman" w:hAnsi="Times New Roman" w:eastAsia="宋体" w:cs="Times New Roman"/>
          <w:color w:val="000000"/>
          <w:kern w:val="2"/>
          <w:sz w:val="21"/>
          <w:szCs w:val="21"/>
          <w:highlight w:val="none"/>
          <w:lang w:val="en-US" w:eastAsia="zh-CN" w:bidi="ar-SA"/>
        </w:rPr>
        <w:t>通知后X日内组织验收</w:t>
      </w:r>
    </w:p>
    <w:p w14:paraId="4F3A661E">
      <w:pPr>
        <w:widowControl w:val="0"/>
        <w:spacing w:after="0"/>
        <w:ind w:left="420" w:leftChars="20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w:char="F0A8"/>
      </w:r>
      <w:r>
        <w:rPr>
          <w:rFonts w:hint="eastAsia" w:ascii="Times New Roman" w:hAnsi="Times New Roman" w:eastAsia="宋体" w:cs="Times New Roman"/>
          <w:color w:val="000000"/>
          <w:kern w:val="2"/>
          <w:sz w:val="21"/>
          <w:szCs w:val="21"/>
          <w:highlight w:val="none"/>
          <w:lang w:val="en-US" w:eastAsia="zh-CN" w:bidi="ar-SA"/>
        </w:rPr>
        <w:t>乙方</w:t>
      </w:r>
      <w:r>
        <w:rPr>
          <w:rFonts w:ascii="Times New Roman" w:hAnsi="Times New Roman" w:eastAsia="宋体" w:cs="Times New Roman"/>
          <w:color w:val="000000"/>
          <w:kern w:val="2"/>
          <w:sz w:val="21"/>
          <w:szCs w:val="21"/>
          <w:highlight w:val="none"/>
          <w:lang w:val="en-US" w:eastAsia="zh-CN" w:bidi="ar-SA"/>
        </w:rPr>
        <w:t>完成每一阶段或轮次服务内容后X日内通知</w:t>
      </w:r>
      <w:r>
        <w:rPr>
          <w:rFonts w:hint="eastAsia" w:ascii="Times New Roman" w:hAnsi="Times New Roman" w:eastAsia="宋体" w:cs="Times New Roman"/>
          <w:color w:val="000000"/>
          <w:kern w:val="2"/>
          <w:sz w:val="21"/>
          <w:szCs w:val="21"/>
          <w:highlight w:val="none"/>
          <w:lang w:val="en-US" w:eastAsia="zh-CN" w:bidi="ar-SA"/>
        </w:rPr>
        <w:t>甲方</w:t>
      </w:r>
      <w:r>
        <w:rPr>
          <w:rFonts w:ascii="Times New Roman" w:hAnsi="Times New Roman" w:eastAsia="宋体" w:cs="Times New Roman"/>
          <w:color w:val="000000"/>
          <w:kern w:val="2"/>
          <w:sz w:val="21"/>
          <w:szCs w:val="21"/>
          <w:highlight w:val="none"/>
          <w:lang w:val="en-US" w:eastAsia="zh-CN" w:bidi="ar-SA"/>
        </w:rPr>
        <w:t>验收，</w:t>
      </w:r>
      <w:r>
        <w:rPr>
          <w:rFonts w:hint="eastAsia" w:ascii="Times New Roman" w:hAnsi="Times New Roman" w:eastAsia="宋体" w:cs="Times New Roman"/>
          <w:color w:val="000000"/>
          <w:kern w:val="2"/>
          <w:sz w:val="21"/>
          <w:szCs w:val="21"/>
          <w:highlight w:val="none"/>
          <w:lang w:val="en-US" w:eastAsia="zh-CN" w:bidi="ar-SA"/>
        </w:rPr>
        <w:t>甲方</w:t>
      </w:r>
      <w:r>
        <w:rPr>
          <w:rFonts w:ascii="Times New Roman" w:hAnsi="Times New Roman" w:eastAsia="宋体" w:cs="Times New Roman"/>
          <w:color w:val="000000"/>
          <w:kern w:val="2"/>
          <w:sz w:val="21"/>
          <w:szCs w:val="21"/>
          <w:highlight w:val="none"/>
          <w:lang w:val="en-US" w:eastAsia="zh-CN" w:bidi="ar-SA"/>
        </w:rPr>
        <w:t>接</w:t>
      </w:r>
      <w:r>
        <w:rPr>
          <w:rFonts w:hint="eastAsia" w:ascii="Times New Roman" w:hAnsi="Times New Roman" w:eastAsia="宋体" w:cs="Times New Roman"/>
          <w:color w:val="000000"/>
          <w:kern w:val="2"/>
          <w:sz w:val="21"/>
          <w:szCs w:val="21"/>
          <w:highlight w:val="none"/>
          <w:lang w:val="en-US" w:eastAsia="zh-CN" w:bidi="ar-SA"/>
        </w:rPr>
        <w:t>乙方</w:t>
      </w:r>
      <w:r>
        <w:rPr>
          <w:rFonts w:ascii="Times New Roman" w:hAnsi="Times New Roman" w:eastAsia="宋体" w:cs="Times New Roman"/>
          <w:color w:val="000000"/>
          <w:kern w:val="2"/>
          <w:sz w:val="21"/>
          <w:szCs w:val="21"/>
          <w:highlight w:val="none"/>
          <w:lang w:val="en-US" w:eastAsia="zh-CN" w:bidi="ar-SA"/>
        </w:rPr>
        <w:t>通知后X日内组织验收</w:t>
      </w:r>
    </w:p>
    <w:p w14:paraId="7E94B385">
      <w:pPr>
        <w:widowControl w:val="0"/>
        <w:spacing w:after="0"/>
        <w:ind w:left="420" w:leftChars="20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w:char="F0A8"/>
      </w:r>
      <w:r>
        <w:rPr>
          <w:rFonts w:ascii="Times New Roman" w:hAnsi="Times New Roman" w:eastAsia="宋体" w:cs="Times New Roman"/>
          <w:color w:val="000000"/>
          <w:kern w:val="2"/>
          <w:sz w:val="21"/>
          <w:szCs w:val="21"/>
          <w:highlight w:val="none"/>
          <w:lang w:val="en-US" w:eastAsia="zh-CN" w:bidi="ar-SA"/>
        </w:rPr>
        <w:t>甲</w:t>
      </w:r>
      <w:r>
        <w:rPr>
          <w:rFonts w:hint="eastAsia" w:ascii="Times New Roman" w:hAnsi="Times New Roman" w:eastAsia="宋体" w:cs="Times New Roman"/>
          <w:color w:val="000000"/>
          <w:kern w:val="2"/>
          <w:sz w:val="21"/>
          <w:szCs w:val="21"/>
          <w:highlight w:val="none"/>
          <w:lang w:val="en-US" w:eastAsia="zh-CN" w:bidi="ar-SA"/>
        </w:rPr>
        <w:t>方</w:t>
      </w:r>
      <w:r>
        <w:rPr>
          <w:rFonts w:ascii="Times New Roman" w:hAnsi="Times New Roman" w:eastAsia="宋体" w:cs="Times New Roman"/>
          <w:color w:val="000000"/>
          <w:kern w:val="2"/>
          <w:sz w:val="21"/>
          <w:szCs w:val="21"/>
          <w:highlight w:val="none"/>
          <w:lang w:val="en-US" w:eastAsia="zh-CN" w:bidi="ar-SA"/>
        </w:rPr>
        <w:t>完成考核后X日内组织验收</w:t>
      </w:r>
    </w:p>
    <w:p w14:paraId="0BA7373D">
      <w:pPr>
        <w:widowControl w:val="0"/>
        <w:spacing w:after="0"/>
        <w:ind w:left="420" w:leftChars="200" w:firstLine="0" w:firstLineChars="0"/>
        <w:contextualSpacing/>
        <w:jc w:val="both"/>
        <w:rPr>
          <w:rFonts w:ascii="Times New Roman" w:hAnsi="Times New Roman" w:eastAsia="宋体" w:cs="Times New Roman"/>
          <w:color w:val="000000"/>
          <w:kern w:val="2"/>
          <w:sz w:val="21"/>
          <w:szCs w:val="21"/>
          <w:highlight w:val="none"/>
          <w:shd w:val="clear" w:color="auto" w:fill="FFFFFF"/>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w:char="F0A8"/>
      </w:r>
      <w:r>
        <w:rPr>
          <w:rFonts w:ascii="Times New Roman" w:hAnsi="Times New Roman" w:eastAsia="宋体" w:cs="Times New Roman"/>
          <w:color w:val="000000"/>
          <w:kern w:val="2"/>
          <w:sz w:val="21"/>
          <w:szCs w:val="21"/>
          <w:highlight w:val="none"/>
          <w:lang w:val="en-US" w:eastAsia="zh-CN" w:bidi="ar-SA"/>
        </w:rPr>
        <w:t xml:space="preserve">其它验收时间：            </w:t>
      </w:r>
    </w:p>
    <w:p w14:paraId="6ECD1502">
      <w:pPr>
        <w:widowControl w:val="0"/>
        <w:numPr>
          <w:ilvl w:val="0"/>
          <w:numId w:val="15"/>
        </w:numPr>
        <w:ind w:left="0" w:firstLine="0" w:firstLineChars="0"/>
        <w:contextualSpacing/>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 xml:space="preserve">是否邀请本项目的其他供应商： </w:t>
      </w:r>
      <w:r>
        <w:rPr>
          <w:rFonts w:ascii="Times New Roman" w:hAnsi="Times New Roman" w:eastAsia="宋体" w:cs="Times New Roman"/>
          <w:kern w:val="0"/>
          <w:sz w:val="21"/>
          <w:szCs w:val="20"/>
          <w:highlight w:val="none"/>
          <w:shd w:val="clear" w:color="auto" w:fill="FFFFFF"/>
          <w:lang w:val="en-US" w:eastAsia="zh-CN" w:bidi="ar-SA"/>
        </w:rPr>
        <w:sym w:font="Wingdings" w:char="F0A8"/>
      </w:r>
      <w:r>
        <w:rPr>
          <w:rFonts w:ascii="Times New Roman" w:hAnsi="Times New Roman" w:eastAsia="宋体" w:cs="Times New Roman"/>
          <w:kern w:val="2"/>
          <w:sz w:val="21"/>
          <w:szCs w:val="21"/>
          <w:highlight w:val="none"/>
          <w:shd w:val="clear" w:color="auto" w:fill="FFFFFF"/>
          <w:lang w:val="en-US" w:eastAsia="zh-CN" w:bidi="ar-SA"/>
        </w:rPr>
        <w:t xml:space="preserve">是   </w:t>
      </w:r>
      <w:r>
        <w:rPr>
          <w:rFonts w:ascii="Times New Roman" w:hAnsi="Times New Roman" w:eastAsia="宋体" w:cs="Times New Roman"/>
          <w:kern w:val="0"/>
          <w:sz w:val="21"/>
          <w:szCs w:val="20"/>
          <w:highlight w:val="none"/>
          <w:lang w:val="en-US" w:eastAsia="zh-CN" w:bidi="ar-SA"/>
        </w:rPr>
        <w:sym w:font="Wingdings 2" w:char="F052"/>
      </w:r>
      <w:r>
        <w:rPr>
          <w:rFonts w:ascii="Times New Roman" w:hAnsi="Times New Roman" w:eastAsia="宋体" w:cs="Times New Roman"/>
          <w:kern w:val="2"/>
          <w:sz w:val="21"/>
          <w:szCs w:val="21"/>
          <w:highlight w:val="none"/>
          <w:shd w:val="clear" w:color="auto" w:fill="FFFFFF"/>
          <w:lang w:val="en-US" w:eastAsia="zh-CN" w:bidi="ar-SA"/>
        </w:rPr>
        <w:t>否</w:t>
      </w:r>
    </w:p>
    <w:p w14:paraId="138ECF90">
      <w:pPr>
        <w:widowControl w:val="0"/>
        <w:numPr>
          <w:ilvl w:val="0"/>
          <w:numId w:val="15"/>
        </w:numPr>
        <w:ind w:left="0" w:firstLine="0" w:firstLineChars="0"/>
        <w:contextualSpacing/>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 xml:space="preserve">是否邀请专家： </w:t>
      </w:r>
      <w:r>
        <w:rPr>
          <w:rFonts w:ascii="Times New Roman" w:hAnsi="Times New Roman" w:eastAsia="宋体" w:cs="Times New Roman"/>
          <w:kern w:val="0"/>
          <w:sz w:val="21"/>
          <w:szCs w:val="20"/>
          <w:highlight w:val="none"/>
          <w:shd w:val="clear" w:color="auto" w:fill="FFFFFF"/>
          <w:lang w:val="en-US" w:eastAsia="zh-CN" w:bidi="ar-SA"/>
        </w:rPr>
        <w:sym w:font="Wingdings" w:char="F0A8"/>
      </w:r>
      <w:r>
        <w:rPr>
          <w:rFonts w:ascii="Times New Roman" w:hAnsi="Times New Roman" w:eastAsia="宋体" w:cs="Times New Roman"/>
          <w:kern w:val="2"/>
          <w:sz w:val="21"/>
          <w:szCs w:val="21"/>
          <w:highlight w:val="none"/>
          <w:shd w:val="clear" w:color="auto" w:fill="FFFFFF"/>
          <w:lang w:val="en-US" w:eastAsia="zh-CN" w:bidi="ar-SA"/>
        </w:rPr>
        <w:t xml:space="preserve">是   </w:t>
      </w:r>
      <w:r>
        <w:rPr>
          <w:rFonts w:ascii="Times New Roman" w:hAnsi="Times New Roman" w:eastAsia="宋体" w:cs="Times New Roman"/>
          <w:kern w:val="0"/>
          <w:sz w:val="21"/>
          <w:szCs w:val="20"/>
          <w:highlight w:val="none"/>
          <w:lang w:val="en-US" w:eastAsia="zh-CN" w:bidi="ar-SA"/>
        </w:rPr>
        <w:sym w:font="Wingdings 2" w:char="F052"/>
      </w:r>
      <w:r>
        <w:rPr>
          <w:rFonts w:ascii="Times New Roman" w:hAnsi="Times New Roman" w:eastAsia="宋体" w:cs="Times New Roman"/>
          <w:kern w:val="2"/>
          <w:sz w:val="21"/>
          <w:szCs w:val="21"/>
          <w:highlight w:val="none"/>
          <w:shd w:val="clear" w:color="auto" w:fill="FFFFFF"/>
          <w:lang w:val="en-US" w:eastAsia="zh-CN" w:bidi="ar-SA"/>
        </w:rPr>
        <w:t>否</w:t>
      </w:r>
    </w:p>
    <w:p w14:paraId="718538BD">
      <w:pPr>
        <w:widowControl w:val="0"/>
        <w:numPr>
          <w:ilvl w:val="0"/>
          <w:numId w:val="15"/>
        </w:numPr>
        <w:ind w:left="0" w:firstLine="0" w:firstLineChars="0"/>
        <w:contextualSpacing/>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 xml:space="preserve">是否邀请服务对象： </w:t>
      </w:r>
      <w:r>
        <w:rPr>
          <w:rFonts w:ascii="Times New Roman" w:hAnsi="Times New Roman" w:eastAsia="宋体" w:cs="Times New Roman"/>
          <w:kern w:val="0"/>
          <w:sz w:val="21"/>
          <w:szCs w:val="20"/>
          <w:highlight w:val="none"/>
          <w:shd w:val="clear" w:color="auto" w:fill="FFFFFF"/>
          <w:lang w:val="en-US" w:eastAsia="zh-CN" w:bidi="ar-SA"/>
        </w:rPr>
        <w:sym w:font="Wingdings" w:char="F0A8"/>
      </w:r>
      <w:r>
        <w:rPr>
          <w:rFonts w:ascii="Times New Roman" w:hAnsi="Times New Roman" w:eastAsia="宋体" w:cs="Times New Roman"/>
          <w:kern w:val="2"/>
          <w:sz w:val="21"/>
          <w:szCs w:val="21"/>
          <w:highlight w:val="none"/>
          <w:shd w:val="clear" w:color="auto" w:fill="FFFFFF"/>
          <w:lang w:val="en-US" w:eastAsia="zh-CN" w:bidi="ar-SA"/>
        </w:rPr>
        <w:t xml:space="preserve">是   </w:t>
      </w:r>
      <w:r>
        <w:rPr>
          <w:rFonts w:ascii="Times New Roman" w:hAnsi="Times New Roman" w:eastAsia="宋体" w:cs="Times New Roman"/>
          <w:kern w:val="0"/>
          <w:sz w:val="21"/>
          <w:szCs w:val="20"/>
          <w:highlight w:val="none"/>
          <w:lang w:val="en-US" w:eastAsia="zh-CN" w:bidi="ar-SA"/>
        </w:rPr>
        <w:sym w:font="Wingdings 2" w:char="F052"/>
      </w:r>
      <w:r>
        <w:rPr>
          <w:rFonts w:ascii="Times New Roman" w:hAnsi="Times New Roman" w:eastAsia="宋体" w:cs="Times New Roman"/>
          <w:kern w:val="2"/>
          <w:sz w:val="21"/>
          <w:szCs w:val="21"/>
          <w:highlight w:val="none"/>
          <w:shd w:val="clear" w:color="auto" w:fill="FFFFFF"/>
          <w:lang w:val="en-US" w:eastAsia="zh-CN" w:bidi="ar-SA"/>
        </w:rPr>
        <w:t>否</w:t>
      </w:r>
    </w:p>
    <w:p w14:paraId="2AFAA955">
      <w:pPr>
        <w:widowControl w:val="0"/>
        <w:numPr>
          <w:ilvl w:val="0"/>
          <w:numId w:val="15"/>
        </w:numPr>
        <w:ind w:left="0" w:firstLine="0" w:firstLineChars="0"/>
        <w:contextualSpacing/>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是否</w:t>
      </w:r>
      <w:r>
        <w:rPr>
          <w:rFonts w:hint="eastAsia" w:ascii="Times New Roman" w:hAnsi="Times New Roman" w:eastAsia="宋体" w:cs="Times New Roman"/>
          <w:kern w:val="2"/>
          <w:sz w:val="21"/>
          <w:szCs w:val="21"/>
          <w:highlight w:val="none"/>
          <w:lang w:val="en-US" w:eastAsia="zh-CN" w:bidi="ar-SA"/>
        </w:rPr>
        <w:t>邀请</w:t>
      </w:r>
      <w:r>
        <w:rPr>
          <w:rFonts w:ascii="Times New Roman" w:hAnsi="Times New Roman" w:eastAsia="宋体" w:cs="Times New Roman"/>
          <w:kern w:val="2"/>
          <w:sz w:val="21"/>
          <w:szCs w:val="21"/>
          <w:highlight w:val="none"/>
          <w:lang w:val="en-US" w:eastAsia="zh-CN" w:bidi="ar-SA"/>
        </w:rPr>
        <w:t>第三方检测机构：</w:t>
      </w:r>
      <w:r>
        <w:rPr>
          <w:rFonts w:ascii="Times New Roman" w:hAnsi="Times New Roman" w:eastAsia="宋体" w:cs="Times New Roman"/>
          <w:kern w:val="0"/>
          <w:sz w:val="21"/>
          <w:szCs w:val="20"/>
          <w:highlight w:val="none"/>
          <w:shd w:val="clear" w:color="auto" w:fill="FFFFFF"/>
          <w:lang w:val="en-US" w:eastAsia="zh-CN" w:bidi="ar-SA"/>
        </w:rPr>
        <w:t xml:space="preserve"> </w:t>
      </w:r>
      <w:r>
        <w:rPr>
          <w:rFonts w:ascii="Times New Roman" w:hAnsi="Times New Roman" w:eastAsia="宋体" w:cs="Times New Roman"/>
          <w:kern w:val="0"/>
          <w:sz w:val="21"/>
          <w:szCs w:val="20"/>
          <w:highlight w:val="none"/>
          <w:shd w:val="clear" w:color="auto" w:fill="FFFFFF"/>
          <w:lang w:val="en-US" w:eastAsia="zh-CN" w:bidi="ar-SA"/>
        </w:rPr>
        <w:sym w:font="Wingdings" w:char="F0A8"/>
      </w:r>
      <w:r>
        <w:rPr>
          <w:rFonts w:ascii="Times New Roman" w:hAnsi="Times New Roman" w:eastAsia="宋体" w:cs="Times New Roman"/>
          <w:kern w:val="2"/>
          <w:sz w:val="21"/>
          <w:szCs w:val="21"/>
          <w:highlight w:val="none"/>
          <w:shd w:val="clear" w:color="auto" w:fill="FFFFFF"/>
          <w:lang w:val="en-US" w:eastAsia="zh-CN" w:bidi="ar-SA"/>
        </w:rPr>
        <w:t xml:space="preserve">是   </w:t>
      </w:r>
      <w:r>
        <w:rPr>
          <w:rFonts w:ascii="Times New Roman" w:hAnsi="Times New Roman" w:eastAsia="宋体" w:cs="Times New Roman"/>
          <w:kern w:val="0"/>
          <w:sz w:val="21"/>
          <w:szCs w:val="20"/>
          <w:highlight w:val="none"/>
          <w:lang w:val="en-US" w:eastAsia="zh-CN" w:bidi="ar-SA"/>
        </w:rPr>
        <w:sym w:font="Wingdings 2" w:char="F052"/>
      </w:r>
      <w:r>
        <w:rPr>
          <w:rFonts w:ascii="Times New Roman" w:hAnsi="Times New Roman" w:eastAsia="宋体" w:cs="Times New Roman"/>
          <w:kern w:val="2"/>
          <w:sz w:val="21"/>
          <w:szCs w:val="21"/>
          <w:highlight w:val="none"/>
          <w:shd w:val="clear" w:color="auto" w:fill="FFFFFF"/>
          <w:lang w:val="en-US" w:eastAsia="zh-CN" w:bidi="ar-SA"/>
        </w:rPr>
        <w:t>否</w:t>
      </w:r>
    </w:p>
    <w:p w14:paraId="1227C5E0">
      <w:pPr>
        <w:widowControl w:val="0"/>
        <w:numPr>
          <w:ilvl w:val="0"/>
          <w:numId w:val="15"/>
        </w:numPr>
        <w:ind w:left="0" w:firstLine="0" w:firstLineChars="0"/>
        <w:contextualSpacing/>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验收标准：</w:t>
      </w:r>
    </w:p>
    <w:p w14:paraId="7D5E531A">
      <w:pPr>
        <w:widowControl w:val="0"/>
        <w:numPr>
          <w:ilvl w:val="0"/>
          <w:numId w:val="16"/>
        </w:numPr>
        <w:spacing w:after="0"/>
        <w:ind w:left="454" w:firstLine="0" w:firstLineChars="0"/>
        <w:contextualSpacing/>
        <w:jc w:val="both"/>
        <w:rPr>
          <w:rFonts w:ascii="Times New Roman" w:hAnsi="Times New Roman" w:eastAsia="宋体" w:cs="Times New Roman"/>
          <w:kern w:val="2"/>
          <w:sz w:val="21"/>
          <w:szCs w:val="21"/>
          <w:highlight w:val="none"/>
          <w:lang w:val="en-US" w:eastAsia="zh-CN" w:bidi="ar-SA"/>
        </w:rPr>
      </w:pPr>
      <w:bookmarkStart w:id="101" w:name="OLE_LINK4"/>
      <w:r>
        <w:rPr>
          <w:rFonts w:ascii="Times New Roman" w:hAnsi="Times New Roman" w:eastAsia="宋体" w:cs="Times New Roman"/>
          <w:kern w:val="2"/>
          <w:sz w:val="21"/>
          <w:szCs w:val="21"/>
          <w:highlight w:val="none"/>
          <w:shd w:val="clear" w:color="auto" w:fill="FFFFFF"/>
          <w:lang w:val="en-US" w:eastAsia="zh-CN" w:bidi="ar-SA"/>
        </w:rPr>
        <w:t>国家相关法律法规、行业标准、技术规范。</w:t>
      </w:r>
    </w:p>
    <w:p w14:paraId="0B30FCDE">
      <w:pPr>
        <w:widowControl w:val="0"/>
        <w:numPr>
          <w:ilvl w:val="0"/>
          <w:numId w:val="16"/>
        </w:numPr>
        <w:spacing w:after="0"/>
        <w:ind w:left="454" w:firstLine="0" w:firstLineChars="0"/>
        <w:contextualSpacing/>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甲方采购</w:t>
      </w:r>
      <w:r>
        <w:rPr>
          <w:rFonts w:ascii="Times New Roman" w:hAnsi="Times New Roman" w:eastAsia="宋体" w:cs="Times New Roman"/>
          <w:kern w:val="2"/>
          <w:sz w:val="21"/>
          <w:szCs w:val="21"/>
          <w:highlight w:val="none"/>
          <w:lang w:val="en-US" w:eastAsia="zh-CN" w:bidi="ar-SA"/>
        </w:rPr>
        <w:t>文件相关技术、服务要求、</w:t>
      </w:r>
      <w:r>
        <w:rPr>
          <w:rFonts w:hint="eastAsia" w:ascii="Times New Roman" w:hAnsi="Times New Roman" w:eastAsia="宋体" w:cs="Times New Roman"/>
          <w:kern w:val="2"/>
          <w:sz w:val="21"/>
          <w:szCs w:val="21"/>
          <w:highlight w:val="none"/>
          <w:lang w:val="en-US" w:eastAsia="zh-CN" w:bidi="ar-SA"/>
        </w:rPr>
        <w:t>乙方响应</w:t>
      </w:r>
      <w:r>
        <w:rPr>
          <w:rFonts w:ascii="Times New Roman" w:hAnsi="Times New Roman" w:eastAsia="宋体" w:cs="Times New Roman"/>
          <w:kern w:val="2"/>
          <w:sz w:val="21"/>
          <w:szCs w:val="21"/>
          <w:highlight w:val="none"/>
          <w:lang w:val="en-US" w:eastAsia="zh-CN" w:bidi="ar-SA"/>
        </w:rPr>
        <w:t>文件相关响应内容。</w:t>
      </w:r>
    </w:p>
    <w:p w14:paraId="445F062E">
      <w:pPr>
        <w:widowControl w:val="0"/>
        <w:numPr>
          <w:ilvl w:val="0"/>
          <w:numId w:val="16"/>
        </w:numPr>
        <w:spacing w:after="0"/>
        <w:ind w:left="454" w:firstLine="0" w:firstLineChars="0"/>
        <w:contextualSpacing/>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如本项目验收方式为考核验收，则考核结果须为合格。</w:t>
      </w:r>
    </w:p>
    <w:bookmarkEnd w:id="101"/>
    <w:p w14:paraId="2BF5099E">
      <w:pPr>
        <w:widowControl w:val="0"/>
        <w:numPr>
          <w:ilvl w:val="0"/>
          <w:numId w:val="16"/>
        </w:numPr>
        <w:spacing w:after="0"/>
        <w:ind w:left="454" w:firstLine="0" w:firstLineChars="0"/>
        <w:contextualSpacing/>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如验收时，</w:t>
      </w:r>
      <w:r>
        <w:rPr>
          <w:rFonts w:hint="eastAsia" w:ascii="Times New Roman" w:hAnsi="Times New Roman" w:eastAsia="宋体" w:cs="Times New Roman"/>
          <w:kern w:val="2"/>
          <w:sz w:val="21"/>
          <w:szCs w:val="21"/>
          <w:highlight w:val="none"/>
          <w:lang w:val="en-US" w:eastAsia="zh-CN" w:bidi="ar-SA"/>
        </w:rPr>
        <w:t>甲方</w:t>
      </w:r>
      <w:r>
        <w:rPr>
          <w:rFonts w:ascii="Times New Roman" w:hAnsi="Times New Roman" w:eastAsia="宋体" w:cs="Times New Roman"/>
          <w:kern w:val="2"/>
          <w:sz w:val="21"/>
          <w:szCs w:val="21"/>
          <w:highlight w:val="none"/>
          <w:lang w:val="en-US" w:eastAsia="zh-CN" w:bidi="ar-SA"/>
        </w:rPr>
        <w:t>与</w:t>
      </w:r>
      <w:r>
        <w:rPr>
          <w:rFonts w:hint="eastAsia" w:ascii="Times New Roman" w:hAnsi="Times New Roman" w:eastAsia="宋体" w:cs="Times New Roman"/>
          <w:kern w:val="2"/>
          <w:sz w:val="21"/>
          <w:szCs w:val="21"/>
          <w:highlight w:val="none"/>
          <w:lang w:val="en-US" w:eastAsia="zh-CN" w:bidi="ar-SA"/>
        </w:rPr>
        <w:t>乙方</w:t>
      </w:r>
      <w:r>
        <w:rPr>
          <w:rFonts w:ascii="Times New Roman" w:hAnsi="Times New Roman" w:eastAsia="宋体" w:cs="Times New Roman"/>
          <w:kern w:val="2"/>
          <w:sz w:val="21"/>
          <w:szCs w:val="21"/>
          <w:highlight w:val="none"/>
          <w:lang w:val="en-US" w:eastAsia="zh-CN" w:bidi="ar-SA"/>
        </w:rPr>
        <w:t>认为本项目验收标准中的技术指标、质量要求等内容存在相互抵触或对其理解存在异议，应按照其中更严格的要求、标准等进行验收。</w:t>
      </w:r>
    </w:p>
    <w:p w14:paraId="2EA92781">
      <w:pPr>
        <w:widowControl w:val="0"/>
        <w:numPr>
          <w:ilvl w:val="0"/>
          <w:numId w:val="16"/>
        </w:numPr>
        <w:spacing w:after="0"/>
        <w:ind w:left="454" w:firstLine="0" w:firstLineChars="0"/>
        <w:contextualSpacing/>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参照</w:t>
      </w:r>
      <w:r>
        <w:rPr>
          <w:rFonts w:ascii="Times New Roman" w:hAnsi="Times New Roman" w:eastAsia="宋体" w:cs="Times New Roman"/>
          <w:kern w:val="2"/>
          <w:sz w:val="21"/>
          <w:szCs w:val="21"/>
          <w:highlight w:val="none"/>
          <w:lang w:val="en-US" w:eastAsia="zh-CN" w:bidi="ar-SA"/>
        </w:rPr>
        <w:t>《财政部关于进一步加强政府采购需求和履约验收管理的指导意见》（财库〔2016〕205号）的要求进行验收。</w:t>
      </w:r>
    </w:p>
    <w:p w14:paraId="46E83554">
      <w:pPr>
        <w:widowControl w:val="0"/>
        <w:numPr>
          <w:ilvl w:val="0"/>
          <w:numId w:val="16"/>
        </w:numPr>
        <w:spacing w:after="0"/>
        <w:ind w:left="454" w:firstLine="0" w:firstLineChars="0"/>
        <w:contextualSpacing/>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其它标准：</w:t>
      </w:r>
      <w:r>
        <w:rPr>
          <w:rFonts w:hint="eastAsia" w:ascii="Times New Roman" w:hAnsi="Times New Roman" w:eastAsia="宋体" w:cs="Times New Roman"/>
          <w:kern w:val="2"/>
          <w:sz w:val="21"/>
          <w:szCs w:val="21"/>
          <w:highlight w:val="none"/>
          <w:u w:val="single"/>
          <w:lang w:val="en-US" w:eastAsia="zh-CN" w:bidi="ar-SA"/>
        </w:rPr>
        <w:t>无。</w:t>
      </w:r>
    </w:p>
    <w:p w14:paraId="7AA3C2E6">
      <w:pPr>
        <w:widowControl w:val="0"/>
        <w:numPr>
          <w:ilvl w:val="0"/>
          <w:numId w:val="15"/>
        </w:numPr>
        <w:ind w:left="0" w:firstLine="0" w:firstLineChars="0"/>
        <w:contextualSpacing/>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其它验收要求：</w:t>
      </w:r>
      <w:r>
        <w:rPr>
          <w:rFonts w:ascii="Times New Roman" w:hAnsi="Times New Roman" w:eastAsia="宋体" w:cs="Times New Roman"/>
          <w:color w:val="000000"/>
          <w:kern w:val="0"/>
          <w:sz w:val="21"/>
          <w:szCs w:val="21"/>
          <w:highlight w:val="none"/>
          <w:u w:val="single"/>
          <w:lang w:val="en-US" w:eastAsia="zh-CN" w:bidi="ar-SA"/>
        </w:rPr>
        <w:t>无</w:t>
      </w:r>
      <w:r>
        <w:rPr>
          <w:rFonts w:ascii="Times New Roman" w:hAnsi="Times New Roman" w:eastAsia="宋体" w:cs="Times New Roman"/>
          <w:i/>
          <w:iCs/>
          <w:color w:val="000000"/>
          <w:kern w:val="0"/>
          <w:sz w:val="21"/>
          <w:szCs w:val="21"/>
          <w:highlight w:val="none"/>
          <w:lang w:val="en-US" w:eastAsia="zh-CN" w:bidi="ar-SA"/>
        </w:rPr>
        <w:t>&lt;如有请填写&gt;</w:t>
      </w:r>
    </w:p>
    <w:p w14:paraId="69EC9474">
      <w:pPr>
        <w:widowControl w:val="0"/>
        <w:numPr>
          <w:ilvl w:val="0"/>
          <w:numId w:val="14"/>
        </w:numPr>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w:t>
      </w:r>
      <w:r>
        <w:rPr>
          <w:rFonts w:hint="eastAsia" w:ascii="Times New Roman" w:hAnsi="Times New Roman" w:eastAsia="宋体" w:cs="Times New Roman"/>
          <w:kern w:val="2"/>
          <w:sz w:val="21"/>
          <w:szCs w:val="21"/>
          <w:highlight w:val="none"/>
          <w:lang w:val="en-US" w:eastAsia="zh-CN" w:bidi="ar-SA"/>
        </w:rPr>
        <w:t>10</w:t>
      </w:r>
      <w:r>
        <w:rPr>
          <w:rFonts w:ascii="Times New Roman" w:hAnsi="Times New Roman" w:eastAsia="宋体" w:cs="Times New Roman"/>
          <w:kern w:val="2"/>
          <w:sz w:val="21"/>
          <w:szCs w:val="21"/>
          <w:highlight w:val="none"/>
          <w:lang w:val="en-US" w:eastAsia="zh-CN" w:bidi="ar-SA"/>
        </w:rPr>
        <w:t>%的违约金给甲方，违约金不能弥补甲方损失的，乙方应全额赔偿。</w:t>
      </w:r>
    </w:p>
    <w:p w14:paraId="6F5E7AB2">
      <w:pPr>
        <w:widowControl w:val="0"/>
        <w:numPr>
          <w:ilvl w:val="0"/>
          <w:numId w:val="12"/>
        </w:numPr>
        <w:ind w:left="480" w:hanging="480" w:firstLineChars="0"/>
        <w:contextualSpacing/>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付款方式</w:t>
      </w:r>
    </w:p>
    <w:p w14:paraId="2061FD20">
      <w:pPr>
        <w:widowControl w:val="0"/>
        <w:numPr>
          <w:ilvl w:val="0"/>
          <w:numId w:val="17"/>
        </w:numPr>
        <w:spacing w:after="0" w:line="240" w:lineRule="auto"/>
        <w:ind w:left="227" w:leftChars="0" w:hanging="227"/>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履约保证金：</w:t>
      </w:r>
    </w:p>
    <w:p w14:paraId="7EECC19F">
      <w:pPr>
        <w:widowControl w:val="0"/>
        <w:spacing w:after="0"/>
        <w:ind w:left="420" w:leftChars="20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2" w:char="F052"/>
      </w:r>
      <w:r>
        <w:rPr>
          <w:rFonts w:ascii="Times New Roman" w:hAnsi="Times New Roman" w:eastAsia="宋体" w:cs="Times New Roman"/>
          <w:color w:val="000000"/>
          <w:kern w:val="2"/>
          <w:sz w:val="21"/>
          <w:szCs w:val="21"/>
          <w:highlight w:val="none"/>
          <w:lang w:val="en-US" w:eastAsia="zh-CN" w:bidi="ar-SA"/>
        </w:rPr>
        <w:t>乙方在合同签订生效之日起的</w:t>
      </w:r>
      <w:r>
        <w:rPr>
          <w:rFonts w:ascii="Times New Roman" w:hAnsi="Times New Roman" w:eastAsia="宋体" w:cs="Times New Roman"/>
          <w:color w:val="000000"/>
          <w:kern w:val="2"/>
          <w:sz w:val="21"/>
          <w:szCs w:val="21"/>
          <w:highlight w:val="none"/>
          <w:u w:val="single"/>
          <w:lang w:val="en-US" w:eastAsia="zh-CN" w:bidi="ar-SA"/>
        </w:rPr>
        <w:t>***</w:t>
      </w:r>
      <w:r>
        <w:rPr>
          <w:rFonts w:ascii="Times New Roman" w:hAnsi="Times New Roman" w:eastAsia="宋体" w:cs="Times New Roman"/>
          <w:color w:val="000000"/>
          <w:kern w:val="2"/>
          <w:sz w:val="21"/>
          <w:szCs w:val="21"/>
          <w:highlight w:val="none"/>
          <w:lang w:val="en-US" w:eastAsia="zh-CN" w:bidi="ar-SA"/>
        </w:rPr>
        <w:t>个工作日内，按合同总价</w:t>
      </w:r>
      <w:r>
        <w:rPr>
          <w:rFonts w:ascii="Times New Roman" w:hAnsi="Times New Roman" w:eastAsia="宋体" w:cs="Times New Roman"/>
          <w:color w:val="000000"/>
          <w:kern w:val="2"/>
          <w:sz w:val="21"/>
          <w:szCs w:val="21"/>
          <w:highlight w:val="none"/>
          <w:u w:val="single"/>
          <w:lang w:val="en-US" w:eastAsia="zh-CN" w:bidi="ar-SA"/>
        </w:rPr>
        <w:t>***</w:t>
      </w:r>
      <w:r>
        <w:rPr>
          <w:rFonts w:ascii="Times New Roman" w:hAnsi="Times New Roman" w:eastAsia="宋体" w:cs="Times New Roman"/>
          <w:color w:val="000000"/>
          <w:kern w:val="2"/>
          <w:sz w:val="21"/>
          <w:szCs w:val="21"/>
          <w:highlight w:val="none"/>
          <w:lang w:val="en-US" w:eastAsia="zh-CN" w:bidi="ar-SA"/>
        </w:rPr>
        <w:t>%支付履约保证金；本合同</w:t>
      </w:r>
      <w:r>
        <w:rPr>
          <w:rFonts w:hint="eastAsia" w:ascii="Times New Roman" w:hAnsi="Times New Roman" w:eastAsia="宋体" w:cs="Times New Roman"/>
          <w:color w:val="000000"/>
          <w:kern w:val="2"/>
          <w:sz w:val="21"/>
          <w:szCs w:val="21"/>
          <w:highlight w:val="none"/>
          <w:lang w:val="en-US" w:eastAsia="zh-CN" w:bidi="ar-SA"/>
        </w:rPr>
        <w:t>服务期满且验收合格</w:t>
      </w:r>
      <w:r>
        <w:rPr>
          <w:rFonts w:ascii="Times New Roman" w:hAnsi="Times New Roman" w:eastAsia="宋体" w:cs="Times New Roman"/>
          <w:color w:val="000000"/>
          <w:kern w:val="2"/>
          <w:sz w:val="21"/>
          <w:szCs w:val="21"/>
          <w:highlight w:val="none"/>
          <w:lang w:val="en-US" w:eastAsia="zh-CN" w:bidi="ar-SA"/>
        </w:rPr>
        <w:t>后，甲方接到乙方付款申请后</w:t>
      </w:r>
      <w:r>
        <w:rPr>
          <w:rFonts w:ascii="Times New Roman" w:hAnsi="Times New Roman" w:eastAsia="宋体" w:cs="Times New Roman"/>
          <w:color w:val="000000"/>
          <w:kern w:val="2"/>
          <w:sz w:val="21"/>
          <w:szCs w:val="21"/>
          <w:highlight w:val="none"/>
          <w:u w:val="single"/>
          <w:lang w:val="en-US" w:eastAsia="zh-CN" w:bidi="ar-SA"/>
        </w:rPr>
        <w:t>30</w:t>
      </w:r>
      <w:r>
        <w:rPr>
          <w:rFonts w:ascii="Times New Roman" w:hAnsi="Times New Roman" w:eastAsia="宋体" w:cs="Times New Roman"/>
          <w:color w:val="000000"/>
          <w:kern w:val="2"/>
          <w:sz w:val="21"/>
          <w:szCs w:val="21"/>
          <w:highlight w:val="none"/>
          <w:lang w:val="en-US" w:eastAsia="zh-CN" w:bidi="ar-SA"/>
        </w:rPr>
        <w:t>个工作日内，甲方一次性无息退还乙方的履约保证金；经验收后乙方履约不合格的，履约保证金不予退还。</w:t>
      </w:r>
    </w:p>
    <w:p w14:paraId="2669ADBA">
      <w:pPr>
        <w:widowControl w:val="0"/>
        <w:spacing w:after="0"/>
        <w:ind w:left="420" w:leftChars="20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w:char="F0A8"/>
      </w:r>
      <w:r>
        <w:rPr>
          <w:rFonts w:ascii="Times New Roman" w:hAnsi="Times New Roman" w:eastAsia="宋体" w:cs="Times New Roman"/>
          <w:color w:val="000000"/>
          <w:kern w:val="2"/>
          <w:sz w:val="21"/>
          <w:szCs w:val="21"/>
          <w:highlight w:val="none"/>
          <w:lang w:val="en-US" w:eastAsia="zh-CN" w:bidi="ar-SA"/>
        </w:rPr>
        <w:t>本合同不涉及履约保证金。</w:t>
      </w:r>
    </w:p>
    <w:p w14:paraId="0975372E">
      <w:pPr>
        <w:widowControl w:val="0"/>
        <w:numPr>
          <w:ilvl w:val="0"/>
          <w:numId w:val="17"/>
        </w:numPr>
        <w:spacing w:after="0" w:line="240" w:lineRule="auto"/>
        <w:ind w:left="227" w:leftChars="0" w:hanging="227"/>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本</w:t>
      </w:r>
      <w:r>
        <w:rPr>
          <w:rFonts w:hint="eastAsia" w:ascii="Times New Roman" w:hAnsi="Times New Roman" w:eastAsia="宋体" w:cs="Times New Roman"/>
          <w:kern w:val="2"/>
          <w:sz w:val="21"/>
          <w:szCs w:val="21"/>
          <w:highlight w:val="none"/>
          <w:lang w:val="en-US" w:eastAsia="zh-CN" w:bidi="ar-SA"/>
        </w:rPr>
        <w:t>合同</w:t>
      </w:r>
      <w:r>
        <w:rPr>
          <w:rFonts w:ascii="Times New Roman" w:hAnsi="Times New Roman" w:eastAsia="宋体" w:cs="Times New Roman"/>
          <w:kern w:val="2"/>
          <w:sz w:val="21"/>
          <w:szCs w:val="21"/>
          <w:highlight w:val="none"/>
          <w:lang w:val="en-US" w:eastAsia="zh-CN" w:bidi="ar-SA"/>
        </w:rPr>
        <w:t>价款采用以下方式支付，以人民币结算：</w:t>
      </w:r>
    </w:p>
    <w:p w14:paraId="5F8CF900">
      <w:pPr>
        <w:widowControl w:val="0"/>
        <w:spacing w:after="0"/>
        <w:ind w:left="420" w:leftChars="20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2" w:char="F052"/>
      </w:r>
      <w:r>
        <w:rPr>
          <w:rFonts w:ascii="Times New Roman" w:hAnsi="Times New Roman" w:eastAsia="宋体" w:cs="Times New Roman"/>
          <w:color w:val="000000"/>
          <w:kern w:val="2"/>
          <w:sz w:val="21"/>
          <w:szCs w:val="21"/>
          <w:highlight w:val="none"/>
          <w:lang w:val="en-US" w:eastAsia="zh-CN" w:bidi="ar-SA"/>
        </w:rPr>
        <w:t>一次性支付：</w:t>
      </w:r>
    </w:p>
    <w:p w14:paraId="60788FD9">
      <w:pPr>
        <w:widowControl w:val="0"/>
        <w:spacing w:after="0"/>
        <w:ind w:left="840" w:leftChars="400" w:firstLine="420" w:firstLineChars="200"/>
        <w:contextualSpacing/>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本合同</w:t>
      </w:r>
      <w:r>
        <w:rPr>
          <w:rFonts w:hint="eastAsia" w:ascii="Times New Roman" w:hAnsi="Times New Roman" w:eastAsia="宋体" w:cs="Times New Roman"/>
          <w:kern w:val="2"/>
          <w:sz w:val="21"/>
          <w:szCs w:val="21"/>
          <w:highlight w:val="none"/>
          <w:lang w:val="en-US" w:eastAsia="zh-CN" w:bidi="ar-SA"/>
        </w:rPr>
        <w:t>服务期满且经甲方验收合格后</w:t>
      </w:r>
      <w:r>
        <w:rPr>
          <w:rFonts w:ascii="Times New Roman" w:hAnsi="Times New Roman" w:eastAsia="宋体" w:cs="Times New Roman"/>
          <w:kern w:val="2"/>
          <w:sz w:val="21"/>
          <w:szCs w:val="21"/>
          <w:highlight w:val="none"/>
          <w:u w:val="single"/>
          <w:lang w:val="en-US" w:eastAsia="zh-CN" w:bidi="ar-SA"/>
        </w:rPr>
        <w:t>5</w:t>
      </w:r>
      <w:r>
        <w:rPr>
          <w:rFonts w:ascii="Times New Roman" w:hAnsi="Times New Roman" w:eastAsia="宋体" w:cs="Times New Roman"/>
          <w:kern w:val="2"/>
          <w:sz w:val="21"/>
          <w:szCs w:val="21"/>
          <w:highlight w:val="none"/>
          <w:lang w:val="en-US" w:eastAsia="zh-CN" w:bidi="ar-SA"/>
        </w:rPr>
        <w:t>日内</w:t>
      </w:r>
      <w:r>
        <w:rPr>
          <w:rFonts w:ascii="Times New Roman" w:hAnsi="Times New Roman" w:eastAsia="宋体" w:cs="Times New Roman"/>
          <w:color w:val="000000"/>
          <w:kern w:val="2"/>
          <w:sz w:val="21"/>
          <w:szCs w:val="21"/>
          <w:highlight w:val="none"/>
          <w:lang w:val="en-US" w:eastAsia="zh-CN" w:bidi="ar-SA"/>
        </w:rPr>
        <w:t>，乙方须向甲方</w:t>
      </w:r>
      <w:r>
        <w:rPr>
          <w:rFonts w:hint="eastAsia" w:ascii="Times New Roman" w:hAnsi="Times New Roman" w:eastAsia="宋体" w:cs="Times New Roman"/>
          <w:color w:val="000000"/>
          <w:kern w:val="2"/>
          <w:sz w:val="21"/>
          <w:szCs w:val="21"/>
          <w:highlight w:val="none"/>
          <w:lang w:val="en-US" w:eastAsia="zh-CN" w:bidi="ar-SA"/>
        </w:rPr>
        <w:t>提供合法有效票据及其他相关请款资料</w:t>
      </w:r>
      <w:r>
        <w:rPr>
          <w:rFonts w:ascii="Times New Roman" w:hAnsi="Times New Roman" w:eastAsia="宋体" w:cs="Times New Roman"/>
          <w:color w:val="000000"/>
          <w:kern w:val="2"/>
          <w:sz w:val="21"/>
          <w:szCs w:val="21"/>
          <w:highlight w:val="none"/>
          <w:lang w:val="en-US" w:eastAsia="zh-CN" w:bidi="ar-SA"/>
        </w:rPr>
        <w:t>，甲方自收到</w:t>
      </w:r>
      <w:r>
        <w:rPr>
          <w:rFonts w:hint="eastAsia" w:ascii="Times New Roman" w:hAnsi="Times New Roman" w:eastAsia="宋体" w:cs="Times New Roman"/>
          <w:color w:val="000000"/>
          <w:kern w:val="2"/>
          <w:sz w:val="21"/>
          <w:szCs w:val="21"/>
          <w:highlight w:val="none"/>
          <w:lang w:val="en-US" w:eastAsia="zh-CN" w:bidi="ar-SA"/>
        </w:rPr>
        <w:t>乙方请款</w:t>
      </w:r>
      <w:r>
        <w:rPr>
          <w:rFonts w:ascii="Times New Roman" w:hAnsi="Times New Roman" w:eastAsia="宋体" w:cs="Times New Roman"/>
          <w:color w:val="000000"/>
          <w:kern w:val="2"/>
          <w:sz w:val="21"/>
          <w:szCs w:val="21"/>
          <w:highlight w:val="none"/>
          <w:lang w:val="en-US" w:eastAsia="zh-CN" w:bidi="ar-SA"/>
        </w:rPr>
        <w:t>资料后</w:t>
      </w:r>
      <w:r>
        <w:rPr>
          <w:rFonts w:ascii="Times New Roman" w:hAnsi="Times New Roman" w:eastAsia="宋体" w:cs="Times New Roman"/>
          <w:color w:val="000000"/>
          <w:kern w:val="2"/>
          <w:sz w:val="21"/>
          <w:szCs w:val="21"/>
          <w:highlight w:val="none"/>
          <w:u w:val="single"/>
          <w:lang w:val="en-US" w:eastAsia="zh-CN" w:bidi="ar-SA"/>
        </w:rPr>
        <w:t>55</w:t>
      </w:r>
      <w:r>
        <w:rPr>
          <w:rFonts w:ascii="Times New Roman" w:hAnsi="Times New Roman" w:eastAsia="宋体" w:cs="Times New Roman"/>
          <w:color w:val="000000"/>
          <w:kern w:val="2"/>
          <w:sz w:val="21"/>
          <w:szCs w:val="21"/>
          <w:highlight w:val="none"/>
          <w:lang w:val="en-US" w:eastAsia="zh-CN" w:bidi="ar-SA"/>
        </w:rPr>
        <w:t>日内支付合同总价100%的</w:t>
      </w:r>
      <w:r>
        <w:rPr>
          <w:rFonts w:hint="eastAsia" w:ascii="Times New Roman" w:hAnsi="Times New Roman" w:eastAsia="宋体" w:cs="Times New Roman"/>
          <w:color w:val="000000"/>
          <w:kern w:val="2"/>
          <w:sz w:val="21"/>
          <w:szCs w:val="21"/>
          <w:highlight w:val="none"/>
          <w:lang w:val="en-US" w:eastAsia="zh-CN" w:bidi="ar-SA"/>
        </w:rPr>
        <w:t>金额</w:t>
      </w:r>
      <w:r>
        <w:rPr>
          <w:rFonts w:ascii="Times New Roman" w:hAnsi="Times New Roman" w:eastAsia="宋体" w:cs="Times New Roman"/>
          <w:color w:val="000000"/>
          <w:kern w:val="2"/>
          <w:sz w:val="21"/>
          <w:szCs w:val="21"/>
          <w:highlight w:val="none"/>
          <w:lang w:val="en-US" w:eastAsia="zh-CN" w:bidi="ar-SA"/>
        </w:rPr>
        <w:t>给乙方。</w:t>
      </w:r>
    </w:p>
    <w:p w14:paraId="24CABE05">
      <w:pPr>
        <w:widowControl w:val="0"/>
        <w:spacing w:after="0"/>
        <w:ind w:left="420" w:leftChars="20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w:char="F0A8"/>
      </w:r>
      <w:r>
        <w:rPr>
          <w:rFonts w:ascii="Times New Roman" w:hAnsi="Times New Roman" w:eastAsia="宋体" w:cs="Times New Roman"/>
          <w:color w:val="000000"/>
          <w:kern w:val="2"/>
          <w:sz w:val="21"/>
          <w:szCs w:val="21"/>
          <w:highlight w:val="none"/>
          <w:lang w:val="en-US" w:eastAsia="zh-CN" w:bidi="ar-SA"/>
        </w:rPr>
        <w:t>分阶段支付，支付期限</w:t>
      </w:r>
      <w:r>
        <w:rPr>
          <w:rFonts w:hint="eastAsia" w:ascii="Times New Roman" w:hAnsi="Times New Roman" w:eastAsia="宋体" w:cs="Times New Roman"/>
          <w:color w:val="000000"/>
          <w:kern w:val="2"/>
          <w:sz w:val="21"/>
          <w:szCs w:val="21"/>
          <w:highlight w:val="none"/>
          <w:lang w:val="en-US" w:eastAsia="zh-CN" w:bidi="ar-SA"/>
        </w:rPr>
        <w:t>、方式</w:t>
      </w:r>
      <w:r>
        <w:rPr>
          <w:rFonts w:ascii="Times New Roman" w:hAnsi="Times New Roman" w:eastAsia="宋体" w:cs="Times New Roman"/>
          <w:color w:val="000000"/>
          <w:kern w:val="2"/>
          <w:sz w:val="21"/>
          <w:szCs w:val="21"/>
          <w:highlight w:val="none"/>
          <w:lang w:val="en-US" w:eastAsia="zh-CN" w:bidi="ar-SA"/>
        </w:rPr>
        <w:t>及额度如下：</w:t>
      </w:r>
    </w:p>
    <w:p w14:paraId="15088C6E">
      <w:pPr>
        <w:widowControl w:val="0"/>
        <w:spacing w:after="0"/>
        <w:ind w:left="840" w:leftChars="400" w:firstLine="420" w:firstLineChars="200"/>
        <w:contextualSpacing/>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t>（1）</w:t>
      </w:r>
      <w:bookmarkStart w:id="102" w:name="OLE_LINK30"/>
      <w:r>
        <w:rPr>
          <w:rFonts w:hint="eastAsia" w:ascii="Calibri" w:hAnsi="Calibri" w:eastAsia="宋体" w:cs="Times New Roman"/>
          <w:kern w:val="2"/>
          <w:sz w:val="21"/>
          <w:szCs w:val="21"/>
          <w:highlight w:val="none"/>
          <w:lang w:val="en-US" w:eastAsia="zh-CN" w:bidi="ar-SA"/>
        </w:rPr>
        <w:t>固定部分价款</w:t>
      </w:r>
      <w:bookmarkEnd w:id="102"/>
      <w:r>
        <w:rPr>
          <w:rFonts w:ascii="Times New Roman" w:hAnsi="Times New Roman" w:eastAsia="宋体" w:cs="Times New Roman"/>
          <w:color w:val="000000"/>
          <w:kern w:val="2"/>
          <w:sz w:val="21"/>
          <w:szCs w:val="21"/>
          <w:highlight w:val="none"/>
          <w:lang w:val="en-US" w:eastAsia="zh-CN" w:bidi="ar-SA"/>
        </w:rPr>
        <w:t>：</w:t>
      </w:r>
      <w:r>
        <w:rPr>
          <w:rFonts w:ascii="Times New Roman" w:hAnsi="Times New Roman" w:eastAsia="宋体" w:cs="Times New Roman"/>
          <w:kern w:val="2"/>
          <w:sz w:val="21"/>
          <w:szCs w:val="21"/>
          <w:highlight w:val="none"/>
          <w:lang w:val="en-US" w:eastAsia="zh-CN" w:bidi="ar-SA"/>
        </w:rPr>
        <w:t>本合同</w:t>
      </w:r>
      <w:r>
        <w:rPr>
          <w:rFonts w:hint="eastAsia" w:ascii="Times New Roman" w:hAnsi="Times New Roman" w:eastAsia="宋体" w:cs="Times New Roman"/>
          <w:kern w:val="2"/>
          <w:sz w:val="21"/>
          <w:szCs w:val="21"/>
          <w:highlight w:val="none"/>
          <w:lang w:val="en-US" w:eastAsia="zh-CN" w:bidi="ar-SA"/>
        </w:rPr>
        <w:t>服务期满且经甲方验收合格后</w:t>
      </w:r>
      <w:r>
        <w:rPr>
          <w:rFonts w:ascii="Times New Roman" w:hAnsi="Times New Roman" w:eastAsia="宋体" w:cs="Times New Roman"/>
          <w:kern w:val="2"/>
          <w:sz w:val="21"/>
          <w:szCs w:val="21"/>
          <w:highlight w:val="none"/>
          <w:lang w:val="en-US" w:eastAsia="zh-CN" w:bidi="ar-SA"/>
        </w:rPr>
        <w:t>5日内</w:t>
      </w:r>
      <w:r>
        <w:rPr>
          <w:rFonts w:ascii="Times New Roman" w:hAnsi="Times New Roman" w:eastAsia="宋体" w:cs="Times New Roman"/>
          <w:color w:val="000000"/>
          <w:kern w:val="2"/>
          <w:sz w:val="21"/>
          <w:szCs w:val="21"/>
          <w:highlight w:val="none"/>
          <w:lang w:val="en-US" w:eastAsia="zh-CN" w:bidi="ar-SA"/>
        </w:rPr>
        <w:t>，乙方须向甲方</w:t>
      </w:r>
      <w:r>
        <w:rPr>
          <w:rFonts w:hint="eastAsia" w:ascii="Times New Roman" w:hAnsi="Times New Roman" w:eastAsia="宋体" w:cs="Times New Roman"/>
          <w:color w:val="000000"/>
          <w:kern w:val="2"/>
          <w:sz w:val="21"/>
          <w:szCs w:val="21"/>
          <w:highlight w:val="none"/>
          <w:lang w:val="en-US" w:eastAsia="zh-CN" w:bidi="ar-SA"/>
        </w:rPr>
        <w:t>提供合法有效票据及其他相关请款资料</w:t>
      </w:r>
      <w:r>
        <w:rPr>
          <w:rFonts w:ascii="Times New Roman" w:hAnsi="Times New Roman" w:eastAsia="宋体" w:cs="Times New Roman"/>
          <w:color w:val="000000"/>
          <w:kern w:val="2"/>
          <w:sz w:val="21"/>
          <w:szCs w:val="21"/>
          <w:highlight w:val="none"/>
          <w:lang w:val="en-US" w:eastAsia="zh-CN" w:bidi="ar-SA"/>
        </w:rPr>
        <w:t>，甲方自收到</w:t>
      </w:r>
      <w:r>
        <w:rPr>
          <w:rFonts w:hint="eastAsia" w:ascii="Times New Roman" w:hAnsi="Times New Roman" w:eastAsia="宋体" w:cs="Times New Roman"/>
          <w:color w:val="000000"/>
          <w:kern w:val="2"/>
          <w:sz w:val="21"/>
          <w:szCs w:val="21"/>
          <w:highlight w:val="none"/>
          <w:lang w:val="en-US" w:eastAsia="zh-CN" w:bidi="ar-SA"/>
        </w:rPr>
        <w:t>乙方请款</w:t>
      </w:r>
      <w:r>
        <w:rPr>
          <w:rFonts w:ascii="Times New Roman" w:hAnsi="Times New Roman" w:eastAsia="宋体" w:cs="Times New Roman"/>
          <w:color w:val="000000"/>
          <w:kern w:val="2"/>
          <w:sz w:val="21"/>
          <w:szCs w:val="21"/>
          <w:highlight w:val="none"/>
          <w:lang w:val="en-US" w:eastAsia="zh-CN" w:bidi="ar-SA"/>
        </w:rPr>
        <w:t>资料后55日内</w:t>
      </w:r>
      <w:r>
        <w:rPr>
          <w:rFonts w:hint="eastAsia" w:ascii="Times New Roman" w:hAnsi="Times New Roman" w:eastAsia="宋体" w:cs="Times New Roman"/>
          <w:color w:val="000000"/>
          <w:kern w:val="2"/>
          <w:sz w:val="21"/>
          <w:szCs w:val="21"/>
          <w:highlight w:val="none"/>
          <w:lang w:val="en-US" w:eastAsia="zh-CN" w:bidi="ar-SA"/>
        </w:rPr>
        <w:t>向乙方</w:t>
      </w:r>
      <w:r>
        <w:rPr>
          <w:rFonts w:ascii="Times New Roman" w:hAnsi="Times New Roman" w:eastAsia="宋体" w:cs="Times New Roman"/>
          <w:color w:val="000000"/>
          <w:kern w:val="2"/>
          <w:sz w:val="21"/>
          <w:szCs w:val="21"/>
          <w:highlight w:val="none"/>
          <w:lang w:val="en-US" w:eastAsia="zh-CN" w:bidi="ar-SA"/>
        </w:rPr>
        <w:t>支付</w:t>
      </w:r>
      <w:r>
        <w:rPr>
          <w:rFonts w:hint="eastAsia" w:ascii="Times New Roman" w:hAnsi="Times New Roman" w:eastAsia="宋体" w:cs="Times New Roman"/>
          <w:color w:val="000000"/>
          <w:kern w:val="2"/>
          <w:sz w:val="21"/>
          <w:szCs w:val="21"/>
          <w:highlight w:val="none"/>
          <w:lang w:val="en-US" w:eastAsia="zh-CN" w:bidi="ar-SA"/>
        </w:rPr>
        <w:t>本合同</w:t>
      </w:r>
      <w:r>
        <w:rPr>
          <w:rFonts w:hint="eastAsia" w:ascii="Times New Roman" w:hAnsi="Times New Roman" w:eastAsia="宋体" w:cs="Times New Roman"/>
          <w:color w:val="000000"/>
          <w:kern w:val="2"/>
          <w:sz w:val="21"/>
          <w:szCs w:val="21"/>
          <w:highlight w:val="none"/>
          <w:u w:val="single"/>
          <w:lang w:val="en-US" w:eastAsia="zh-CN" w:bidi="ar-SA"/>
        </w:rPr>
        <w:t>第二条</w:t>
      </w:r>
      <w:r>
        <w:rPr>
          <w:rFonts w:hint="eastAsia" w:ascii="Times New Roman" w:hAnsi="Times New Roman" w:eastAsia="宋体" w:cs="Times New Roman"/>
          <w:color w:val="000000"/>
          <w:kern w:val="2"/>
          <w:sz w:val="21"/>
          <w:szCs w:val="21"/>
          <w:highlight w:val="none"/>
          <w:lang w:val="en-US" w:eastAsia="zh-CN" w:bidi="ar-SA"/>
        </w:rPr>
        <w:t>写明的全部</w:t>
      </w:r>
      <w:r>
        <w:rPr>
          <w:rFonts w:hint="eastAsia" w:ascii="Calibri" w:hAnsi="Calibri" w:eastAsia="宋体" w:cs="Times New Roman"/>
          <w:kern w:val="2"/>
          <w:sz w:val="21"/>
          <w:szCs w:val="21"/>
          <w:highlight w:val="none"/>
          <w:lang w:val="en-US" w:eastAsia="zh-CN" w:bidi="ar-SA"/>
        </w:rPr>
        <w:t>固定部分价款</w:t>
      </w:r>
      <w:r>
        <w:rPr>
          <w:rFonts w:ascii="Times New Roman" w:hAnsi="Times New Roman" w:eastAsia="宋体" w:cs="Times New Roman"/>
          <w:color w:val="000000"/>
          <w:kern w:val="2"/>
          <w:sz w:val="21"/>
          <w:szCs w:val="21"/>
          <w:highlight w:val="none"/>
          <w:lang w:val="en-US" w:eastAsia="zh-CN" w:bidi="ar-SA"/>
        </w:rPr>
        <w:t>。</w:t>
      </w:r>
    </w:p>
    <w:p w14:paraId="25F2CBC1">
      <w:pPr>
        <w:widowControl w:val="0"/>
        <w:spacing w:after="0"/>
        <w:ind w:left="840" w:leftChars="400" w:firstLine="420" w:firstLineChars="200"/>
        <w:contextualSpacing/>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t>（2）</w:t>
      </w:r>
      <w:r>
        <w:rPr>
          <w:rFonts w:hint="eastAsia" w:ascii="Times New Roman" w:hAnsi="Times New Roman" w:eastAsia="宋体" w:cs="Times New Roman"/>
          <w:color w:val="000000"/>
          <w:kern w:val="2"/>
          <w:sz w:val="21"/>
          <w:szCs w:val="21"/>
          <w:highlight w:val="none"/>
          <w:lang w:val="en-US" w:eastAsia="zh-CN" w:bidi="ar-SA"/>
        </w:rPr>
        <w:t>按实结算部分：每</w:t>
      </w:r>
      <w:r>
        <w:rPr>
          <w:rFonts w:hint="eastAsia" w:ascii="Times New Roman" w:hAnsi="Times New Roman" w:eastAsia="宋体" w:cs="Times New Roman"/>
          <w:color w:val="000000"/>
          <w:kern w:val="2"/>
          <w:sz w:val="21"/>
          <w:szCs w:val="21"/>
          <w:highlight w:val="none"/>
          <w:u w:val="single"/>
          <w:lang w:val="en-US" w:eastAsia="zh-CN" w:bidi="ar-SA"/>
        </w:rPr>
        <w:t>XX</w:t>
      </w:r>
      <w:r>
        <w:rPr>
          <w:rFonts w:ascii="Times New Roman" w:hAnsi="Times New Roman" w:eastAsia="宋体" w:cs="Times New Roman"/>
          <w:i/>
          <w:iCs/>
          <w:kern w:val="2"/>
          <w:sz w:val="21"/>
          <w:szCs w:val="21"/>
          <w:highlight w:val="none"/>
          <w:lang w:val="en-US" w:eastAsia="zh-CN" w:bidi="ar-SA"/>
        </w:rPr>
        <w:t>&lt;</w:t>
      </w:r>
      <w:r>
        <w:rPr>
          <w:rFonts w:hint="eastAsia" w:ascii="Times New Roman" w:hAnsi="Times New Roman" w:eastAsia="宋体" w:cs="Times New Roman"/>
          <w:i/>
          <w:iCs/>
          <w:kern w:val="2"/>
          <w:sz w:val="21"/>
          <w:szCs w:val="21"/>
          <w:highlight w:val="none"/>
          <w:lang w:val="en-US" w:eastAsia="zh-CN" w:bidi="ar-SA"/>
        </w:rPr>
        <w:t>约定按固定周期支付的（如每季度），</w:t>
      </w:r>
      <w:r>
        <w:rPr>
          <w:rFonts w:ascii="Times New Roman" w:hAnsi="Times New Roman" w:eastAsia="宋体" w:cs="Times New Roman"/>
          <w:i/>
          <w:iCs/>
          <w:kern w:val="2"/>
          <w:sz w:val="21"/>
          <w:szCs w:val="21"/>
          <w:highlight w:val="none"/>
          <w:lang w:val="en-US" w:eastAsia="zh-CN" w:bidi="ar-SA"/>
        </w:rPr>
        <w:t>可根据项目具体情况编制</w:t>
      </w:r>
      <w:r>
        <w:rPr>
          <w:rFonts w:hint="eastAsia" w:ascii="Times New Roman" w:hAnsi="Times New Roman" w:eastAsia="宋体" w:cs="Times New Roman"/>
          <w:i/>
          <w:iCs/>
          <w:kern w:val="2"/>
          <w:sz w:val="21"/>
          <w:szCs w:val="21"/>
          <w:highlight w:val="none"/>
          <w:lang w:val="en-US" w:eastAsia="zh-CN" w:bidi="ar-SA"/>
        </w:rPr>
        <w:t>本条款</w:t>
      </w:r>
      <w:r>
        <w:rPr>
          <w:rFonts w:ascii="Times New Roman" w:hAnsi="Times New Roman" w:eastAsia="宋体" w:cs="Times New Roman"/>
          <w:i/>
          <w:iCs/>
          <w:kern w:val="2"/>
          <w:sz w:val="21"/>
          <w:szCs w:val="21"/>
          <w:highlight w:val="none"/>
          <w:lang w:val="en-US" w:eastAsia="zh-CN" w:bidi="ar-SA"/>
        </w:rPr>
        <w:t>&gt;</w:t>
      </w:r>
      <w:r>
        <w:rPr>
          <w:rFonts w:hint="eastAsia" w:ascii="Times New Roman" w:hAnsi="Times New Roman" w:eastAsia="宋体" w:cs="Times New Roman"/>
          <w:color w:val="000000"/>
          <w:kern w:val="2"/>
          <w:sz w:val="21"/>
          <w:szCs w:val="21"/>
          <w:highlight w:val="none"/>
          <w:lang w:val="en-US" w:eastAsia="zh-CN" w:bidi="ar-SA"/>
        </w:rPr>
        <w:t>结算一次费用，结算单价以</w:t>
      </w:r>
      <w:r>
        <w:rPr>
          <w:rFonts w:hint="eastAsia" w:ascii="Calibri" w:hAnsi="Calibri" w:eastAsia="宋体" w:cs="Times New Roman"/>
          <w:kern w:val="2"/>
          <w:sz w:val="21"/>
          <w:szCs w:val="21"/>
          <w:highlight w:val="none"/>
          <w:lang w:val="en-US" w:eastAsia="zh-CN" w:bidi="ar-SA"/>
        </w:rPr>
        <w:t>《结算单价清单》</w:t>
      </w:r>
      <w:r>
        <w:rPr>
          <w:rFonts w:hint="eastAsia" w:ascii="Times New Roman" w:hAnsi="Times New Roman" w:eastAsia="宋体" w:cs="Times New Roman"/>
          <w:color w:val="000000"/>
          <w:kern w:val="2"/>
          <w:sz w:val="21"/>
          <w:szCs w:val="21"/>
          <w:highlight w:val="none"/>
          <w:lang w:val="en-US" w:eastAsia="zh-CN" w:bidi="ar-SA"/>
        </w:rPr>
        <w:t>为准。</w:t>
      </w:r>
      <w:r>
        <w:rPr>
          <w:rFonts w:hint="eastAsia" w:ascii="Calibri" w:hAnsi="Calibri" w:eastAsia="宋体" w:cs="Times New Roman"/>
          <w:kern w:val="2"/>
          <w:sz w:val="21"/>
          <w:szCs w:val="22"/>
          <w:highlight w:val="none"/>
          <w:lang w:val="en-US" w:eastAsia="zh-CN" w:bidi="ar"/>
        </w:rPr>
        <w:t>结算前，乙方须向甲方提供结算费用清单进行确认，并在确认后 5 日内按清单金额向甲方提供合法有效票据及其他相关请款资料，甲方接到乙方请款资料后的</w:t>
      </w:r>
      <w:r>
        <w:rPr>
          <w:rFonts w:hint="eastAsia" w:ascii="Calibri" w:hAnsi="Calibri" w:eastAsia="宋体" w:cs="Times New Roman"/>
          <w:kern w:val="2"/>
          <w:sz w:val="21"/>
          <w:szCs w:val="22"/>
          <w:highlight w:val="none"/>
          <w:u w:val="single"/>
          <w:lang w:val="en-US" w:eastAsia="zh-CN" w:bidi="ar"/>
        </w:rPr>
        <w:t>55</w:t>
      </w:r>
      <w:r>
        <w:rPr>
          <w:rFonts w:hint="eastAsia" w:ascii="Calibri" w:hAnsi="Calibri" w:eastAsia="宋体" w:cs="Times New Roman"/>
          <w:kern w:val="2"/>
          <w:sz w:val="21"/>
          <w:szCs w:val="22"/>
          <w:highlight w:val="none"/>
          <w:lang w:val="en-US" w:eastAsia="zh-CN" w:bidi="ar"/>
        </w:rPr>
        <w:t>日内，向乙方全额支付上述结算费用。</w:t>
      </w:r>
    </w:p>
    <w:p w14:paraId="61B3B067">
      <w:pPr>
        <w:widowControl w:val="0"/>
        <w:numPr>
          <w:ilvl w:val="0"/>
          <w:numId w:val="17"/>
        </w:numPr>
        <w:spacing w:after="0" w:line="240" w:lineRule="auto"/>
        <w:ind w:left="227" w:leftChars="0" w:hanging="227"/>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甲方付款前，乙方需</w:t>
      </w:r>
      <w:r>
        <w:rPr>
          <w:rFonts w:hint="eastAsia" w:ascii="Times New Roman" w:hAnsi="Times New Roman" w:eastAsia="宋体" w:cs="Times New Roman"/>
          <w:kern w:val="2"/>
          <w:sz w:val="21"/>
          <w:szCs w:val="20"/>
          <w:highlight w:val="none"/>
          <w:lang w:val="en-US" w:eastAsia="zh-CN" w:bidi="ar"/>
        </w:rPr>
        <w:t>提供合法有效票据及其他相关请款资料</w:t>
      </w:r>
      <w:r>
        <w:rPr>
          <w:rFonts w:ascii="Times New Roman" w:hAnsi="Times New Roman" w:eastAsia="宋体" w:cs="Times New Roman"/>
          <w:kern w:val="2"/>
          <w:sz w:val="21"/>
          <w:szCs w:val="21"/>
          <w:highlight w:val="none"/>
          <w:lang w:val="en-US" w:eastAsia="zh-CN" w:bidi="ar-SA"/>
        </w:rPr>
        <w:t>，否则甲方有权拒绝支付且不承担任何违约责任，且乙方不得因此停止</w:t>
      </w:r>
      <w:r>
        <w:rPr>
          <w:rFonts w:hint="eastAsia" w:ascii="Times New Roman" w:hAnsi="Times New Roman" w:eastAsia="宋体" w:cs="Times New Roman"/>
          <w:kern w:val="2"/>
          <w:sz w:val="21"/>
          <w:szCs w:val="21"/>
          <w:highlight w:val="none"/>
          <w:lang w:val="en-US" w:eastAsia="zh-CN" w:bidi="ar-SA"/>
        </w:rPr>
        <w:t>服务</w:t>
      </w:r>
      <w:r>
        <w:rPr>
          <w:rFonts w:ascii="Times New Roman" w:hAnsi="Times New Roman" w:eastAsia="宋体" w:cs="Times New Roman"/>
          <w:kern w:val="2"/>
          <w:sz w:val="21"/>
          <w:szCs w:val="21"/>
          <w:highlight w:val="none"/>
          <w:lang w:val="en-US" w:eastAsia="zh-CN" w:bidi="ar-SA"/>
        </w:rPr>
        <w:t>。</w:t>
      </w:r>
    </w:p>
    <w:p w14:paraId="2E845AAF">
      <w:pPr>
        <w:widowControl w:val="0"/>
        <w:numPr>
          <w:ilvl w:val="0"/>
          <w:numId w:val="17"/>
        </w:numPr>
        <w:spacing w:after="0" w:line="240" w:lineRule="auto"/>
        <w:ind w:left="227" w:leftChars="0" w:hanging="227"/>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乙方开票信息应与合同预留账户信息一致。如有变更，乙方应当在变更后3日内通知甲方。否则，由此造成的损失由乙方自行承担。</w:t>
      </w:r>
    </w:p>
    <w:p w14:paraId="238A7865">
      <w:pPr>
        <w:widowControl w:val="0"/>
        <w:numPr>
          <w:ilvl w:val="0"/>
          <w:numId w:val="12"/>
        </w:numPr>
        <w:ind w:left="480" w:hanging="480" w:firstLineChars="0"/>
        <w:contextualSpacing/>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双方权利与义务</w:t>
      </w:r>
    </w:p>
    <w:p w14:paraId="23737DD2">
      <w:pPr>
        <w:widowControl w:val="0"/>
        <w:numPr>
          <w:ilvl w:val="0"/>
          <w:numId w:val="18"/>
        </w:numPr>
        <w:spacing w:after="0" w:line="240" w:lineRule="auto"/>
        <w:ind w:left="227" w:leftChars="0" w:hanging="227"/>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甲方权利与义务</w:t>
      </w:r>
    </w:p>
    <w:p w14:paraId="33DAB25B">
      <w:pPr>
        <w:widowControl w:val="0"/>
        <w:numPr>
          <w:ilvl w:val="0"/>
          <w:numId w:val="19"/>
        </w:numPr>
        <w:adjustRightInd w:val="0"/>
        <w:ind w:left="525"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按合同约定向乙方支付费用。</w:t>
      </w:r>
    </w:p>
    <w:p w14:paraId="6442612C">
      <w:pPr>
        <w:widowControl w:val="0"/>
        <w:numPr>
          <w:ilvl w:val="0"/>
          <w:numId w:val="19"/>
        </w:numPr>
        <w:adjustRightInd w:val="0"/>
        <w:ind w:left="525"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保证乙方实施服务所必须的外部条件如电源、水源的正常供应及开启、关闭等。</w:t>
      </w:r>
    </w:p>
    <w:p w14:paraId="282F1022">
      <w:pPr>
        <w:widowControl w:val="0"/>
        <w:numPr>
          <w:ilvl w:val="0"/>
          <w:numId w:val="19"/>
        </w:numPr>
        <w:adjustRightInd w:val="0"/>
        <w:ind w:left="525"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对于乙方在提供</w:t>
      </w:r>
      <w:r>
        <w:rPr>
          <w:rFonts w:hint="eastAsia" w:ascii="Times New Roman" w:hAnsi="Times New Roman" w:eastAsia="宋体" w:cs="Times New Roman"/>
          <w:kern w:val="2"/>
          <w:sz w:val="21"/>
          <w:szCs w:val="21"/>
          <w:highlight w:val="none"/>
          <w:lang w:val="en-US" w:eastAsia="zh-CN" w:bidi="ar-SA"/>
        </w:rPr>
        <w:t>服务</w:t>
      </w:r>
      <w:r>
        <w:rPr>
          <w:rFonts w:ascii="Times New Roman" w:hAnsi="Times New Roman" w:eastAsia="宋体" w:cs="Times New Roman"/>
          <w:kern w:val="2"/>
          <w:sz w:val="21"/>
          <w:szCs w:val="21"/>
          <w:highlight w:val="none"/>
          <w:lang w:val="en-US" w:eastAsia="zh-CN" w:bidi="ar-SA"/>
        </w:rPr>
        <w:t>期间所提供的信息，甲方应予保密，未经乙方书面同意，甲方不得擅自使用或透露给第三方。</w:t>
      </w:r>
    </w:p>
    <w:p w14:paraId="5C77AB29">
      <w:pPr>
        <w:widowControl w:val="0"/>
        <w:numPr>
          <w:ilvl w:val="0"/>
          <w:numId w:val="19"/>
        </w:numPr>
        <w:adjustRightInd w:val="0"/>
        <w:ind w:left="525" w:hanging="525" w:hangingChars="250"/>
        <w:contextualSpacing/>
        <w:jc w:val="left"/>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甲方对服务人员不满意的，有权要求乙方在7日内更换相关服务人员。</w:t>
      </w:r>
    </w:p>
    <w:p w14:paraId="784A5C43">
      <w:pPr>
        <w:widowControl w:val="0"/>
        <w:numPr>
          <w:ilvl w:val="0"/>
          <w:numId w:val="18"/>
        </w:numPr>
        <w:spacing w:after="0" w:line="240" w:lineRule="auto"/>
        <w:ind w:left="227" w:leftChars="0" w:hanging="227"/>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乙方权利与义务</w:t>
      </w:r>
    </w:p>
    <w:p w14:paraId="52B3DE81">
      <w:pPr>
        <w:widowControl w:val="0"/>
        <w:numPr>
          <w:ilvl w:val="0"/>
          <w:numId w:val="20"/>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按本合同约定向甲方提供服务</w:t>
      </w:r>
      <w:r>
        <w:rPr>
          <w:rFonts w:hint="eastAsia" w:ascii="Times New Roman" w:hAnsi="Times New Roman" w:eastAsia="宋体" w:cs="Times New Roman"/>
          <w:kern w:val="2"/>
          <w:sz w:val="21"/>
          <w:szCs w:val="21"/>
          <w:highlight w:val="none"/>
          <w:lang w:val="en-US" w:eastAsia="zh-CN" w:bidi="ar-SA"/>
        </w:rPr>
        <w:t>。</w:t>
      </w:r>
    </w:p>
    <w:p w14:paraId="2E3826E8">
      <w:pPr>
        <w:widowControl w:val="0"/>
        <w:numPr>
          <w:ilvl w:val="0"/>
          <w:numId w:val="20"/>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乙方应保证提供的服务人员具备相应的服务能力和服务资质（如涉及）</w:t>
      </w:r>
      <w:r>
        <w:rPr>
          <w:rFonts w:ascii="Times New Roman" w:hAnsi="Times New Roman" w:eastAsia="宋体" w:cs="Times New Roman"/>
          <w:kern w:val="2"/>
          <w:sz w:val="21"/>
          <w:szCs w:val="21"/>
          <w:highlight w:val="none"/>
          <w:lang w:val="en-US" w:eastAsia="zh-CN" w:bidi="ar-SA"/>
        </w:rPr>
        <w:t>。</w:t>
      </w:r>
    </w:p>
    <w:p w14:paraId="39FB6AC7">
      <w:pPr>
        <w:widowControl w:val="0"/>
        <w:numPr>
          <w:ilvl w:val="0"/>
          <w:numId w:val="20"/>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如服务涉及更换备品备件、材料等，</w:t>
      </w:r>
      <w:r>
        <w:rPr>
          <w:rFonts w:ascii="Times New Roman" w:hAnsi="Times New Roman" w:eastAsia="宋体" w:cs="Times New Roman"/>
          <w:kern w:val="2"/>
          <w:sz w:val="21"/>
          <w:szCs w:val="21"/>
          <w:highlight w:val="none"/>
          <w:lang w:val="en-US" w:eastAsia="zh-CN" w:bidi="ar-SA"/>
        </w:rPr>
        <w:t>乙方应保证服务中更换的</w:t>
      </w:r>
      <w:r>
        <w:rPr>
          <w:rFonts w:hint="eastAsia" w:ascii="Times New Roman" w:hAnsi="Times New Roman" w:eastAsia="宋体" w:cs="Times New Roman"/>
          <w:kern w:val="2"/>
          <w:sz w:val="21"/>
          <w:szCs w:val="21"/>
          <w:highlight w:val="none"/>
          <w:lang w:val="en-US" w:eastAsia="zh-CN" w:bidi="ar-SA"/>
        </w:rPr>
        <w:t>备品</w:t>
      </w:r>
      <w:r>
        <w:rPr>
          <w:rFonts w:ascii="Times New Roman" w:hAnsi="Times New Roman" w:eastAsia="宋体" w:cs="Times New Roman"/>
          <w:kern w:val="2"/>
          <w:sz w:val="21"/>
          <w:szCs w:val="21"/>
          <w:highlight w:val="none"/>
          <w:lang w:val="en-US" w:eastAsia="zh-CN" w:bidi="ar-SA"/>
        </w:rPr>
        <w:t>备件、材料</w:t>
      </w:r>
      <w:r>
        <w:rPr>
          <w:rFonts w:hint="eastAsia" w:ascii="Times New Roman" w:hAnsi="Times New Roman" w:eastAsia="宋体" w:cs="Times New Roman"/>
          <w:kern w:val="2"/>
          <w:sz w:val="21"/>
          <w:szCs w:val="21"/>
          <w:highlight w:val="none"/>
          <w:lang w:val="en-US" w:eastAsia="zh-CN" w:bidi="ar-SA"/>
        </w:rPr>
        <w:t>达到本项目采购文件及乙方响应文件中的技术要求和质量标准，</w:t>
      </w:r>
      <w:r>
        <w:rPr>
          <w:rFonts w:ascii="Times New Roman" w:hAnsi="Times New Roman" w:eastAsia="宋体" w:cs="Times New Roman"/>
          <w:kern w:val="2"/>
          <w:sz w:val="21"/>
          <w:szCs w:val="21"/>
          <w:highlight w:val="none"/>
          <w:lang w:val="en-US" w:eastAsia="zh-CN" w:bidi="ar-SA"/>
        </w:rPr>
        <w:t>符合或优于国家（行业）标准，并保证所更换的</w:t>
      </w:r>
      <w:r>
        <w:rPr>
          <w:rFonts w:hint="eastAsia" w:ascii="Times New Roman" w:hAnsi="Times New Roman" w:eastAsia="宋体" w:cs="Times New Roman"/>
          <w:kern w:val="2"/>
          <w:sz w:val="21"/>
          <w:szCs w:val="21"/>
          <w:highlight w:val="none"/>
          <w:lang w:val="en-US" w:eastAsia="zh-CN" w:bidi="ar-SA"/>
        </w:rPr>
        <w:t>备品</w:t>
      </w:r>
      <w:r>
        <w:rPr>
          <w:rFonts w:ascii="Times New Roman" w:hAnsi="Times New Roman" w:eastAsia="宋体" w:cs="Times New Roman"/>
          <w:kern w:val="2"/>
          <w:sz w:val="21"/>
          <w:szCs w:val="21"/>
          <w:highlight w:val="none"/>
          <w:lang w:val="en-US" w:eastAsia="zh-CN" w:bidi="ar-SA"/>
        </w:rPr>
        <w:t>备件、</w:t>
      </w:r>
      <w:r>
        <w:rPr>
          <w:rFonts w:hint="eastAsia" w:ascii="Times New Roman" w:hAnsi="Times New Roman" w:eastAsia="宋体" w:cs="Times New Roman"/>
          <w:kern w:val="2"/>
          <w:sz w:val="21"/>
          <w:szCs w:val="21"/>
          <w:highlight w:val="none"/>
          <w:lang w:val="en-US" w:eastAsia="zh-CN" w:bidi="ar-SA"/>
        </w:rPr>
        <w:t>原</w:t>
      </w:r>
      <w:r>
        <w:rPr>
          <w:rFonts w:ascii="Times New Roman" w:hAnsi="Times New Roman" w:eastAsia="宋体" w:cs="Times New Roman"/>
          <w:kern w:val="2"/>
          <w:sz w:val="21"/>
          <w:szCs w:val="21"/>
          <w:highlight w:val="none"/>
          <w:lang w:val="en-US" w:eastAsia="zh-CN" w:bidi="ar-SA"/>
        </w:rPr>
        <w:t>材料在正确安装及正常使用和保养条件下，于其使用寿命期内性能</w:t>
      </w:r>
      <w:r>
        <w:rPr>
          <w:rFonts w:hint="eastAsia" w:ascii="Times New Roman" w:hAnsi="Times New Roman" w:eastAsia="宋体" w:cs="Times New Roman"/>
          <w:kern w:val="2"/>
          <w:sz w:val="21"/>
          <w:szCs w:val="21"/>
          <w:highlight w:val="none"/>
          <w:lang w:val="en-US" w:eastAsia="zh-CN" w:bidi="ar-SA"/>
        </w:rPr>
        <w:t>满足甲方需求</w:t>
      </w:r>
      <w:r>
        <w:rPr>
          <w:rFonts w:ascii="Times New Roman" w:hAnsi="Times New Roman" w:eastAsia="宋体" w:cs="Times New Roman"/>
          <w:kern w:val="2"/>
          <w:sz w:val="21"/>
          <w:szCs w:val="21"/>
          <w:highlight w:val="none"/>
          <w:lang w:val="en-US" w:eastAsia="zh-CN" w:bidi="ar-SA"/>
        </w:rPr>
        <w:t>。</w:t>
      </w:r>
    </w:p>
    <w:p w14:paraId="54FE578B">
      <w:pPr>
        <w:widowControl w:val="0"/>
        <w:numPr>
          <w:ilvl w:val="0"/>
          <w:numId w:val="20"/>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如服务涉及计算机软件产品的，乙方须承诺在服务中设备安装的软件已获得软件厂商的正规授权。</w:t>
      </w:r>
    </w:p>
    <w:p w14:paraId="63FB8CCB">
      <w:pPr>
        <w:widowControl w:val="0"/>
        <w:numPr>
          <w:ilvl w:val="0"/>
          <w:numId w:val="20"/>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乙方对在按本合同约定向甲方提供服务过程中所获得的所有数据、商业秘密或其它技术及经营信息负有保密的义务，不得向任何第三方透露或泄露。</w:t>
      </w:r>
    </w:p>
    <w:p w14:paraId="7EA513D3">
      <w:pPr>
        <w:widowControl w:val="0"/>
        <w:numPr>
          <w:ilvl w:val="0"/>
          <w:numId w:val="12"/>
        </w:numPr>
        <w:ind w:left="480" w:hanging="480" w:firstLineChars="0"/>
        <w:contextualSpacing/>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违约责任</w:t>
      </w:r>
      <w:r>
        <w:rPr>
          <w:rFonts w:ascii="Times New Roman" w:hAnsi="Times New Roman" w:eastAsia="宋体" w:cs="Times New Roman"/>
          <w:bCs/>
          <w:i/>
          <w:iCs/>
          <w:kern w:val="2"/>
          <w:sz w:val="21"/>
          <w:szCs w:val="21"/>
          <w:highlight w:val="none"/>
          <w:lang w:val="en-US" w:eastAsia="zh-CN" w:bidi="ar-SA"/>
        </w:rPr>
        <w:t>&lt;本条款中违约金比例可根据项目实际情况确定</w:t>
      </w:r>
      <w:r>
        <w:rPr>
          <w:rFonts w:hint="eastAsia" w:ascii="Times New Roman" w:hAnsi="Times New Roman" w:eastAsia="宋体" w:cs="Times New Roman"/>
          <w:bCs/>
          <w:i/>
          <w:iCs/>
          <w:kern w:val="2"/>
          <w:sz w:val="21"/>
          <w:szCs w:val="21"/>
          <w:highlight w:val="none"/>
          <w:lang w:val="en-US" w:eastAsia="zh-CN" w:bidi="ar-SA"/>
        </w:rPr>
        <w:t>，如合同无固定总金额的，请按实际需求调整表述</w:t>
      </w:r>
      <w:r>
        <w:rPr>
          <w:rFonts w:ascii="Times New Roman" w:hAnsi="Times New Roman" w:eastAsia="宋体" w:cs="Times New Roman"/>
          <w:bCs/>
          <w:i/>
          <w:iCs/>
          <w:kern w:val="2"/>
          <w:sz w:val="21"/>
          <w:szCs w:val="21"/>
          <w:highlight w:val="none"/>
          <w:lang w:val="en-US" w:eastAsia="zh-CN" w:bidi="ar-SA"/>
        </w:rPr>
        <w:t>&gt;</w:t>
      </w:r>
    </w:p>
    <w:p w14:paraId="7DFE3FDB">
      <w:pPr>
        <w:widowControl w:val="0"/>
        <w:numPr>
          <w:ilvl w:val="0"/>
          <w:numId w:val="21"/>
        </w:numPr>
        <w:spacing w:after="0" w:line="240" w:lineRule="auto"/>
        <w:ind w:left="227" w:leftChars="0" w:hanging="227"/>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甲方违约责任：甲方无正当理由拒绝乙方按本合同约定提供服务的，甲方应偿付合同总</w:t>
      </w:r>
      <w:r>
        <w:rPr>
          <w:rFonts w:hint="eastAsia" w:ascii="Times New Roman" w:hAnsi="Times New Roman" w:eastAsia="宋体" w:cs="Times New Roman"/>
          <w:kern w:val="2"/>
          <w:sz w:val="21"/>
          <w:szCs w:val="21"/>
          <w:highlight w:val="none"/>
          <w:lang w:val="en-US" w:eastAsia="zh-CN" w:bidi="ar-SA"/>
        </w:rPr>
        <w:t>金额的</w:t>
      </w:r>
      <w:r>
        <w:rPr>
          <w:rFonts w:ascii="Times New Roman" w:hAnsi="Times New Roman" w:eastAsia="宋体" w:cs="Times New Roman"/>
          <w:kern w:val="2"/>
          <w:sz w:val="21"/>
          <w:szCs w:val="21"/>
          <w:highlight w:val="none"/>
          <w:u w:val="single"/>
          <w:lang w:val="en-US" w:eastAsia="zh-CN" w:bidi="ar-SA"/>
        </w:rPr>
        <w:t>10%</w:t>
      </w:r>
      <w:r>
        <w:rPr>
          <w:rFonts w:hint="eastAsia" w:ascii="Times New Roman" w:hAnsi="Times New Roman" w:eastAsia="宋体" w:cs="Times New Roman"/>
          <w:kern w:val="2"/>
          <w:sz w:val="21"/>
          <w:szCs w:val="21"/>
          <w:highlight w:val="none"/>
          <w:lang w:val="en-US" w:eastAsia="zh-CN" w:bidi="ar-SA"/>
        </w:rPr>
        <w:t>作为</w:t>
      </w:r>
      <w:r>
        <w:rPr>
          <w:rFonts w:ascii="Times New Roman" w:hAnsi="Times New Roman" w:eastAsia="宋体" w:cs="Times New Roman"/>
          <w:kern w:val="2"/>
          <w:sz w:val="21"/>
          <w:szCs w:val="21"/>
          <w:highlight w:val="none"/>
          <w:lang w:val="en-US" w:eastAsia="zh-CN" w:bidi="ar-SA"/>
        </w:rPr>
        <w:t>违约金。</w:t>
      </w:r>
    </w:p>
    <w:p w14:paraId="34731608">
      <w:pPr>
        <w:widowControl w:val="0"/>
        <w:numPr>
          <w:ilvl w:val="0"/>
          <w:numId w:val="21"/>
        </w:numPr>
        <w:ind w:left="480" w:hanging="48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乙方违约责任：</w:t>
      </w:r>
    </w:p>
    <w:p w14:paraId="3D3B4510">
      <w:pPr>
        <w:widowControl w:val="0"/>
        <w:numPr>
          <w:ilvl w:val="0"/>
          <w:numId w:val="22"/>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bookmarkStart w:id="103" w:name="OLE_LINK18"/>
      <w:bookmarkStart w:id="104" w:name="OLE_LINK17"/>
      <w:r>
        <w:rPr>
          <w:rFonts w:ascii="Times New Roman" w:hAnsi="Times New Roman" w:eastAsia="宋体" w:cs="Times New Roman"/>
          <w:kern w:val="2"/>
          <w:sz w:val="21"/>
          <w:szCs w:val="21"/>
          <w:highlight w:val="none"/>
          <w:lang w:val="en-US" w:eastAsia="zh-CN" w:bidi="ar-SA"/>
        </w:rPr>
        <w:t>乙方应派遣具备相关资质的技术人员为甲方提供服务，服务过程中，乙方技术人员因操作不当、未采取必要的安全防范措施等原因导致安全责任事故的，由乙方承担由此造成的全部法律责任。</w:t>
      </w:r>
    </w:p>
    <w:p w14:paraId="6236A50E">
      <w:pPr>
        <w:widowControl w:val="0"/>
        <w:numPr>
          <w:ilvl w:val="0"/>
          <w:numId w:val="22"/>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因乙方在服务中更换的</w:t>
      </w:r>
      <w:r>
        <w:rPr>
          <w:rFonts w:hint="eastAsia" w:ascii="Times New Roman" w:hAnsi="Times New Roman" w:eastAsia="宋体" w:cs="Times New Roman"/>
          <w:kern w:val="2"/>
          <w:sz w:val="21"/>
          <w:szCs w:val="21"/>
          <w:highlight w:val="none"/>
          <w:lang w:val="en-US" w:eastAsia="zh-CN" w:bidi="ar-SA"/>
        </w:rPr>
        <w:t>备品</w:t>
      </w:r>
      <w:r>
        <w:rPr>
          <w:rFonts w:ascii="Times New Roman" w:hAnsi="Times New Roman" w:eastAsia="宋体" w:cs="Times New Roman"/>
          <w:kern w:val="2"/>
          <w:sz w:val="21"/>
          <w:szCs w:val="21"/>
          <w:highlight w:val="none"/>
          <w:lang w:val="en-US" w:eastAsia="zh-CN" w:bidi="ar-SA"/>
        </w:rPr>
        <w:t>备件</w:t>
      </w:r>
      <w:r>
        <w:rPr>
          <w:rFonts w:hint="eastAsia" w:ascii="Times New Roman" w:hAnsi="Times New Roman" w:eastAsia="宋体" w:cs="Times New Roman"/>
          <w:kern w:val="2"/>
          <w:sz w:val="21"/>
          <w:szCs w:val="21"/>
          <w:highlight w:val="none"/>
          <w:lang w:val="en-US" w:eastAsia="zh-CN" w:bidi="ar-SA"/>
        </w:rPr>
        <w:t>或原</w:t>
      </w:r>
      <w:r>
        <w:rPr>
          <w:rFonts w:ascii="Times New Roman" w:hAnsi="Times New Roman" w:eastAsia="宋体" w:cs="Times New Roman"/>
          <w:kern w:val="2"/>
          <w:sz w:val="21"/>
          <w:szCs w:val="21"/>
          <w:highlight w:val="none"/>
          <w:lang w:val="en-US" w:eastAsia="zh-CN" w:bidi="ar-SA"/>
        </w:rPr>
        <w:t>材料在质保期内并在正常使用情况下出现质量原因导致甲方或第三方财产或人身损害的，由乙方承担赔偿责任。</w:t>
      </w:r>
    </w:p>
    <w:p w14:paraId="6A14F425">
      <w:pPr>
        <w:widowControl w:val="0"/>
        <w:numPr>
          <w:ilvl w:val="0"/>
          <w:numId w:val="22"/>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在本合同的履行中，</w:t>
      </w:r>
      <w:r>
        <w:rPr>
          <w:rFonts w:hint="eastAsia" w:ascii="Times New Roman" w:hAnsi="Times New Roman" w:eastAsia="宋体" w:cs="Times New Roman"/>
          <w:kern w:val="2"/>
          <w:sz w:val="21"/>
          <w:szCs w:val="21"/>
          <w:highlight w:val="none"/>
          <w:lang w:val="en-US" w:eastAsia="zh-CN" w:bidi="ar-SA"/>
        </w:rPr>
        <w:t>如</w:t>
      </w:r>
      <w:r>
        <w:rPr>
          <w:rFonts w:ascii="Times New Roman" w:hAnsi="Times New Roman" w:eastAsia="宋体" w:cs="Times New Roman"/>
          <w:kern w:val="2"/>
          <w:sz w:val="21"/>
          <w:szCs w:val="21"/>
          <w:highlight w:val="none"/>
          <w:lang w:val="en-US" w:eastAsia="zh-CN" w:bidi="ar-SA"/>
        </w:rPr>
        <w:t>乙方提供的服务存在设计、工艺或材料缺陷（包括潜在缺陷），乙方应当对由于上述缺陷造成的损失负责。</w:t>
      </w:r>
    </w:p>
    <w:p w14:paraId="2B45C6D4">
      <w:pPr>
        <w:widowControl w:val="0"/>
        <w:numPr>
          <w:ilvl w:val="0"/>
          <w:numId w:val="22"/>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在本合同履行中，</w:t>
      </w:r>
      <w:r>
        <w:rPr>
          <w:rFonts w:hint="eastAsia" w:ascii="Times New Roman" w:hAnsi="Times New Roman" w:eastAsia="宋体" w:cs="Times New Roman"/>
          <w:kern w:val="2"/>
          <w:sz w:val="21"/>
          <w:szCs w:val="21"/>
          <w:highlight w:val="none"/>
          <w:lang w:val="en-US" w:eastAsia="zh-CN" w:bidi="ar-SA"/>
        </w:rPr>
        <w:t>如</w:t>
      </w:r>
      <w:r>
        <w:rPr>
          <w:rFonts w:ascii="Times New Roman" w:hAnsi="Times New Roman" w:eastAsia="宋体" w:cs="Times New Roman"/>
          <w:kern w:val="2"/>
          <w:sz w:val="21"/>
          <w:szCs w:val="21"/>
          <w:highlight w:val="none"/>
          <w:lang w:val="en-US" w:eastAsia="zh-CN" w:bidi="ar-SA"/>
        </w:rPr>
        <w:t>乙方</w:t>
      </w:r>
      <w:r>
        <w:rPr>
          <w:rFonts w:hint="eastAsia" w:ascii="Times New Roman" w:hAnsi="Times New Roman" w:eastAsia="宋体" w:cs="Times New Roman"/>
          <w:kern w:val="2"/>
          <w:sz w:val="21"/>
          <w:szCs w:val="21"/>
          <w:highlight w:val="none"/>
          <w:lang w:val="en-US" w:eastAsia="zh-CN" w:bidi="ar-SA"/>
        </w:rPr>
        <w:t>未按本合同约定及时向甲方提供服务</w:t>
      </w:r>
      <w:r>
        <w:rPr>
          <w:rFonts w:ascii="Times New Roman" w:hAnsi="Times New Roman" w:eastAsia="宋体" w:cs="Times New Roman"/>
          <w:kern w:val="2"/>
          <w:sz w:val="21"/>
          <w:szCs w:val="21"/>
          <w:highlight w:val="none"/>
          <w:lang w:val="en-US" w:eastAsia="zh-CN" w:bidi="ar-SA"/>
        </w:rPr>
        <w:t>，每发生一次，乙方应按</w:t>
      </w:r>
      <w:r>
        <w:rPr>
          <w:rFonts w:hint="eastAsia" w:ascii="Times New Roman" w:hAnsi="Times New Roman" w:eastAsia="宋体" w:cs="Times New Roman"/>
          <w:kern w:val="2"/>
          <w:sz w:val="21"/>
          <w:szCs w:val="21"/>
          <w:highlight w:val="none"/>
          <w:u w:val="single"/>
          <w:lang w:val="en-US" w:eastAsia="zh-CN" w:bidi="ar-SA"/>
        </w:rPr>
        <w:t>合同总金额</w:t>
      </w:r>
      <w:r>
        <w:rPr>
          <w:rFonts w:ascii="Times New Roman" w:hAnsi="Times New Roman" w:eastAsia="宋体" w:cs="Times New Roman"/>
          <w:kern w:val="2"/>
          <w:sz w:val="21"/>
          <w:szCs w:val="21"/>
          <w:highlight w:val="none"/>
          <w:lang w:val="en-US" w:eastAsia="zh-CN" w:bidi="ar-SA"/>
        </w:rPr>
        <w:t>的</w:t>
      </w:r>
      <w:r>
        <w:rPr>
          <w:rFonts w:hint="eastAsia" w:ascii="Times New Roman" w:hAnsi="Times New Roman" w:eastAsia="宋体" w:cs="Times New Roman"/>
          <w:kern w:val="2"/>
          <w:sz w:val="21"/>
          <w:szCs w:val="21"/>
          <w:highlight w:val="none"/>
          <w:u w:val="single"/>
          <w:lang w:val="en-US" w:eastAsia="zh-CN" w:bidi="ar-SA"/>
        </w:rPr>
        <w:t>***</w:t>
      </w:r>
      <w:r>
        <w:rPr>
          <w:rFonts w:hint="eastAsia" w:ascii="Times New Roman" w:hAnsi="Times New Roman" w:eastAsia="宋体" w:cs="Times New Roman"/>
          <w:kern w:val="2"/>
          <w:sz w:val="21"/>
          <w:szCs w:val="21"/>
          <w:highlight w:val="none"/>
          <w:lang w:val="en-US" w:eastAsia="zh-CN" w:bidi="ar-SA"/>
        </w:rPr>
        <w:t>‰</w:t>
      </w:r>
      <w:r>
        <w:rPr>
          <w:rFonts w:ascii="Times New Roman" w:hAnsi="Times New Roman" w:eastAsia="宋体" w:cs="Times New Roman"/>
          <w:kern w:val="2"/>
          <w:sz w:val="21"/>
          <w:szCs w:val="21"/>
          <w:highlight w:val="none"/>
          <w:lang w:val="en-US" w:eastAsia="zh-CN" w:bidi="ar-SA"/>
        </w:rPr>
        <w:t>向甲方支付违约金。甲方可采取必要的补救措施，但由此而产生的风险责任和费用将由乙方负担，甲方根据合同规定对乙方行使的其他权利不受影响。</w:t>
      </w:r>
    </w:p>
    <w:p w14:paraId="6E8E77B0">
      <w:pPr>
        <w:widowControl w:val="0"/>
        <w:numPr>
          <w:ilvl w:val="0"/>
          <w:numId w:val="22"/>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乙方在</w:t>
      </w:r>
      <w:r>
        <w:rPr>
          <w:rFonts w:hint="eastAsia" w:ascii="Times New Roman" w:hAnsi="Times New Roman" w:eastAsia="宋体" w:cs="Times New Roman"/>
          <w:kern w:val="2"/>
          <w:sz w:val="21"/>
          <w:szCs w:val="21"/>
          <w:highlight w:val="none"/>
          <w:lang w:val="en-US" w:eastAsia="zh-CN" w:bidi="ar-SA"/>
        </w:rPr>
        <w:t>提供服务</w:t>
      </w:r>
      <w:r>
        <w:rPr>
          <w:rFonts w:ascii="Times New Roman" w:hAnsi="Times New Roman" w:eastAsia="宋体" w:cs="Times New Roman"/>
          <w:kern w:val="2"/>
          <w:sz w:val="21"/>
          <w:szCs w:val="21"/>
          <w:highlight w:val="none"/>
          <w:lang w:val="en-US" w:eastAsia="zh-CN" w:bidi="ar-SA"/>
        </w:rPr>
        <w:t>过程</w:t>
      </w:r>
      <w:r>
        <w:rPr>
          <w:rFonts w:hint="eastAsia" w:ascii="Times New Roman" w:hAnsi="Times New Roman" w:eastAsia="宋体" w:cs="Times New Roman"/>
          <w:kern w:val="2"/>
          <w:sz w:val="21"/>
          <w:szCs w:val="21"/>
          <w:highlight w:val="none"/>
          <w:lang w:val="en-US" w:eastAsia="zh-CN" w:bidi="ar-SA"/>
        </w:rPr>
        <w:t>中</w:t>
      </w:r>
      <w:r>
        <w:rPr>
          <w:rFonts w:ascii="Times New Roman" w:hAnsi="Times New Roman" w:eastAsia="宋体" w:cs="Times New Roman"/>
          <w:kern w:val="2"/>
          <w:sz w:val="21"/>
          <w:szCs w:val="21"/>
          <w:highlight w:val="none"/>
          <w:lang w:val="en-US" w:eastAsia="zh-CN" w:bidi="ar-SA"/>
        </w:rPr>
        <w:t>侵犯他人知识产权，甲方有权单方解除合同，并要求乙方赔偿所造成的损失，同时甲方有权要求对方按照</w:t>
      </w:r>
      <w:r>
        <w:rPr>
          <w:rFonts w:ascii="Times New Roman" w:hAnsi="Times New Roman" w:eastAsia="宋体" w:cs="Times New Roman"/>
          <w:kern w:val="2"/>
          <w:sz w:val="21"/>
          <w:szCs w:val="21"/>
          <w:highlight w:val="none"/>
          <w:u w:val="single"/>
          <w:lang w:val="en-US" w:eastAsia="zh-CN" w:bidi="ar-SA"/>
        </w:rPr>
        <w:t>合同总金额</w:t>
      </w:r>
      <w:r>
        <w:rPr>
          <w:rFonts w:ascii="Times New Roman" w:hAnsi="Times New Roman" w:eastAsia="宋体" w:cs="Times New Roman"/>
          <w:kern w:val="2"/>
          <w:sz w:val="21"/>
          <w:szCs w:val="21"/>
          <w:highlight w:val="none"/>
          <w:lang w:val="en-US" w:eastAsia="zh-CN" w:bidi="ar-SA"/>
        </w:rPr>
        <w:t>的</w:t>
      </w:r>
      <w:r>
        <w:rPr>
          <w:rFonts w:ascii="Times New Roman" w:hAnsi="Times New Roman" w:eastAsia="宋体" w:cs="Times New Roman"/>
          <w:kern w:val="2"/>
          <w:sz w:val="21"/>
          <w:szCs w:val="21"/>
          <w:highlight w:val="none"/>
          <w:u w:val="single"/>
          <w:lang w:val="en-US" w:eastAsia="zh-CN" w:bidi="ar-SA"/>
        </w:rPr>
        <w:t>10</w:t>
      </w:r>
      <w:r>
        <w:rPr>
          <w:rFonts w:ascii="Times New Roman" w:hAnsi="Times New Roman" w:eastAsia="宋体" w:cs="Times New Roman"/>
          <w:kern w:val="2"/>
          <w:sz w:val="21"/>
          <w:szCs w:val="21"/>
          <w:highlight w:val="none"/>
          <w:lang w:val="en-US" w:eastAsia="zh-CN" w:bidi="ar-SA"/>
        </w:rPr>
        <w:t>%</w:t>
      </w:r>
      <w:r>
        <w:rPr>
          <w:rFonts w:hint="eastAsia" w:ascii="Times New Roman" w:hAnsi="Times New Roman" w:eastAsia="宋体" w:cs="Times New Roman"/>
          <w:kern w:val="2"/>
          <w:sz w:val="21"/>
          <w:szCs w:val="21"/>
          <w:highlight w:val="none"/>
          <w:lang w:val="en-US" w:eastAsia="zh-CN" w:bidi="ar-SA"/>
        </w:rPr>
        <w:t>支付</w:t>
      </w:r>
      <w:r>
        <w:rPr>
          <w:rFonts w:ascii="Times New Roman" w:hAnsi="Times New Roman" w:eastAsia="宋体" w:cs="Times New Roman"/>
          <w:kern w:val="2"/>
          <w:sz w:val="21"/>
          <w:szCs w:val="21"/>
          <w:highlight w:val="none"/>
          <w:lang w:val="en-US" w:eastAsia="zh-CN" w:bidi="ar-SA"/>
        </w:rPr>
        <w:t>违约金。</w:t>
      </w:r>
    </w:p>
    <w:p w14:paraId="2AF8BD5E">
      <w:pPr>
        <w:widowControl w:val="0"/>
        <w:numPr>
          <w:ilvl w:val="0"/>
          <w:numId w:val="22"/>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乙方违反保密义务，甲方有权单方解除合同，乙方应按甲方实际损失向甲方进行赔偿并向甲方支付</w:t>
      </w:r>
      <w:r>
        <w:rPr>
          <w:rFonts w:hint="eastAsia" w:ascii="Times New Roman" w:hAnsi="Times New Roman" w:eastAsia="宋体" w:cs="Times New Roman"/>
          <w:kern w:val="2"/>
          <w:sz w:val="21"/>
          <w:szCs w:val="21"/>
          <w:highlight w:val="none"/>
          <w:u w:val="single"/>
          <w:lang w:val="en-US" w:eastAsia="zh-CN" w:bidi="ar-SA"/>
        </w:rPr>
        <w:t>合同总金额</w:t>
      </w:r>
      <w:r>
        <w:rPr>
          <w:rFonts w:hint="eastAsia" w:ascii="Times New Roman" w:hAnsi="Times New Roman" w:eastAsia="宋体" w:cs="Times New Roman"/>
          <w:kern w:val="2"/>
          <w:sz w:val="21"/>
          <w:szCs w:val="21"/>
          <w:highlight w:val="none"/>
          <w:lang w:val="en-US" w:eastAsia="zh-CN" w:bidi="ar-SA"/>
        </w:rPr>
        <w:t>的</w:t>
      </w:r>
      <w:r>
        <w:rPr>
          <w:rFonts w:ascii="Times New Roman" w:hAnsi="Times New Roman" w:eastAsia="宋体" w:cs="Times New Roman"/>
          <w:kern w:val="2"/>
          <w:sz w:val="21"/>
          <w:szCs w:val="21"/>
          <w:highlight w:val="none"/>
          <w:u w:val="single"/>
          <w:lang w:val="en-US" w:eastAsia="zh-CN" w:bidi="ar-SA"/>
        </w:rPr>
        <w:t>10</w:t>
      </w:r>
      <w:r>
        <w:rPr>
          <w:rFonts w:ascii="Times New Roman" w:hAnsi="Times New Roman" w:eastAsia="宋体" w:cs="Times New Roman"/>
          <w:kern w:val="2"/>
          <w:sz w:val="21"/>
          <w:szCs w:val="21"/>
          <w:highlight w:val="none"/>
          <w:lang w:val="en-US" w:eastAsia="zh-CN" w:bidi="ar-SA"/>
        </w:rPr>
        <w:t>%</w:t>
      </w:r>
      <w:r>
        <w:rPr>
          <w:rFonts w:hint="eastAsia" w:ascii="Times New Roman" w:hAnsi="Times New Roman" w:eastAsia="宋体" w:cs="Times New Roman"/>
          <w:kern w:val="2"/>
          <w:sz w:val="21"/>
          <w:szCs w:val="21"/>
          <w:highlight w:val="none"/>
          <w:lang w:val="en-US" w:eastAsia="zh-CN" w:bidi="ar-SA"/>
        </w:rPr>
        <w:t>作为</w:t>
      </w:r>
      <w:r>
        <w:rPr>
          <w:rFonts w:ascii="Times New Roman" w:hAnsi="Times New Roman" w:eastAsia="宋体" w:cs="Times New Roman"/>
          <w:kern w:val="2"/>
          <w:sz w:val="21"/>
          <w:szCs w:val="21"/>
          <w:highlight w:val="none"/>
          <w:lang w:val="en-US" w:eastAsia="zh-CN" w:bidi="ar-SA"/>
        </w:rPr>
        <w:t>违约金。</w:t>
      </w:r>
    </w:p>
    <w:bookmarkEnd w:id="103"/>
    <w:bookmarkEnd w:id="104"/>
    <w:p w14:paraId="5C6C99DE">
      <w:pPr>
        <w:widowControl w:val="0"/>
        <w:numPr>
          <w:ilvl w:val="0"/>
          <w:numId w:val="22"/>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乙方偿付的违约金不足以弥补甲方损失的，还应按甲方损失尚未弥补的部分，支付赔偿金给甲方。</w:t>
      </w:r>
    </w:p>
    <w:p w14:paraId="41D714F8">
      <w:pPr>
        <w:widowControl w:val="0"/>
        <w:numPr>
          <w:ilvl w:val="0"/>
          <w:numId w:val="22"/>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乙方未按照本合同约定的时限提供合法发票或提供发票瑕疵（包括但不限于发票种类有误、发票金额有误等），甲方付款时限相应顺延并不承担任何延期支付的违约责任。</w:t>
      </w:r>
    </w:p>
    <w:p w14:paraId="683CEDE2">
      <w:pPr>
        <w:widowControl w:val="0"/>
        <w:numPr>
          <w:ilvl w:val="0"/>
          <w:numId w:val="22"/>
        </w:numPr>
        <w:snapToGrid w:val="0"/>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如本</w:t>
      </w:r>
      <w:r>
        <w:rPr>
          <w:rFonts w:ascii="宋体" w:hAnsi="宋体" w:eastAsia="宋体" w:cs="微软雅黑"/>
          <w:kern w:val="2"/>
          <w:sz w:val="21"/>
          <w:szCs w:val="21"/>
          <w:highlight w:val="none"/>
          <w:lang w:val="en-US" w:eastAsia="zh-CN" w:bidi="ar-SA"/>
        </w:rPr>
        <w:t>合同</w:t>
      </w:r>
      <w:r>
        <w:rPr>
          <w:rFonts w:hint="cs" w:ascii="宋体" w:hAnsi="宋体" w:eastAsia="宋体" w:cs="Times New Roman"/>
          <w:kern w:val="2"/>
          <w:sz w:val="21"/>
          <w:szCs w:val="21"/>
          <w:highlight w:val="none"/>
          <w:lang w:val="en-US" w:eastAsia="zh-CN" w:bidi="ar-SA"/>
        </w:rPr>
        <w:t>要</w:t>
      </w:r>
      <w:r>
        <w:rPr>
          <w:rFonts w:ascii="Times New Roman" w:hAnsi="Times New Roman" w:eastAsia="宋体" w:cs="Times New Roman"/>
          <w:kern w:val="2"/>
          <w:sz w:val="21"/>
          <w:szCs w:val="21"/>
          <w:highlight w:val="none"/>
          <w:lang w:val="en-US" w:eastAsia="zh-CN" w:bidi="ar-SA"/>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08B421E1">
      <w:pPr>
        <w:widowControl w:val="0"/>
        <w:spacing w:after="0" w:line="240" w:lineRule="auto"/>
        <w:ind w:left="0" w:leftChars="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3.本合同履行中如有任何一方违约，那么守约方为保障自己合法权益而产生的律师费、诉讼费、差旅费、公告费等，均由违约方承担。</w:t>
      </w:r>
    </w:p>
    <w:p w14:paraId="28319FA0">
      <w:pPr>
        <w:widowControl w:val="0"/>
        <w:numPr>
          <w:ilvl w:val="0"/>
          <w:numId w:val="12"/>
        </w:numPr>
        <w:ind w:left="480" w:hanging="480" w:firstLineChars="0"/>
        <w:contextualSpacing/>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不可抗力</w:t>
      </w:r>
    </w:p>
    <w:p w14:paraId="1CD887D7">
      <w:pPr>
        <w:widowControl w:val="0"/>
        <w:snapToGrid w:val="0"/>
        <w:ind w:firstLine="420" w:firstLineChars="200"/>
        <w:jc w:val="both"/>
        <w:rPr>
          <w:rFonts w:ascii="Times New Roman" w:hAnsi="Times New Roman" w:eastAsia="宋体" w:cs="Times New Roman"/>
          <w:bCs/>
          <w:kern w:val="2"/>
          <w:sz w:val="21"/>
          <w:szCs w:val="21"/>
          <w:highlight w:val="none"/>
          <w:lang w:val="en-US" w:eastAsia="zh-CN" w:bidi="ar-SA"/>
        </w:rPr>
      </w:pPr>
      <w:r>
        <w:rPr>
          <w:rFonts w:ascii="Times New Roman" w:hAnsi="Times New Roman" w:eastAsia="宋体" w:cs="Times New Roman"/>
          <w:bCs/>
          <w:kern w:val="2"/>
          <w:sz w:val="21"/>
          <w:szCs w:val="21"/>
          <w:highlight w:val="none"/>
          <w:lang w:val="en-US" w:eastAsia="zh-CN" w:bidi="ar-SA"/>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eastAsia="宋体" w:cs="Times New Roman"/>
          <w:bCs/>
          <w:kern w:val="2"/>
          <w:sz w:val="21"/>
          <w:szCs w:val="21"/>
          <w:highlight w:val="none"/>
          <w:lang w:val="en-US" w:eastAsia="zh-CN" w:bidi="ar-SA"/>
        </w:rPr>
        <w:t>日</w:t>
      </w:r>
      <w:r>
        <w:rPr>
          <w:rFonts w:ascii="Times New Roman" w:hAnsi="Times New Roman" w:eastAsia="宋体" w:cs="Times New Roman"/>
          <w:bCs/>
          <w:kern w:val="2"/>
          <w:sz w:val="21"/>
          <w:szCs w:val="21"/>
          <w:highlight w:val="none"/>
          <w:lang w:val="en-US" w:eastAsia="zh-CN" w:bidi="ar-SA"/>
        </w:rPr>
        <w:t>，甲方有权解除合同，双方互不承担违约责任。</w:t>
      </w:r>
    </w:p>
    <w:p w14:paraId="0809C110">
      <w:pPr>
        <w:widowControl w:val="0"/>
        <w:numPr>
          <w:ilvl w:val="0"/>
          <w:numId w:val="12"/>
        </w:numPr>
        <w:ind w:left="480" w:hanging="480" w:firstLineChars="0"/>
        <w:contextualSpacing/>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合同终止及解除</w:t>
      </w:r>
    </w:p>
    <w:p w14:paraId="573AA577">
      <w:pPr>
        <w:widowControl w:val="0"/>
        <w:numPr>
          <w:ilvl w:val="0"/>
          <w:numId w:val="23"/>
        </w:numPr>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合同一方发现可能致使本合同无法按约定继续履行的情形时，应当及时通知另一方并采取适当措施减少损失；没有及时通知并采取适当措施，致使损失扩大的，应当就扩大的损失承担责任。</w:t>
      </w:r>
    </w:p>
    <w:p w14:paraId="5AC8E70C">
      <w:pPr>
        <w:widowControl w:val="0"/>
        <w:numPr>
          <w:ilvl w:val="0"/>
          <w:numId w:val="23"/>
        </w:numPr>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在甲、乙任何一方有严重违约行为时，另一方有权单方解除合同。</w:t>
      </w:r>
    </w:p>
    <w:p w14:paraId="516DEAB5">
      <w:pPr>
        <w:widowControl w:val="0"/>
        <w:numPr>
          <w:ilvl w:val="0"/>
          <w:numId w:val="12"/>
        </w:numPr>
        <w:ind w:left="480" w:hanging="480" w:firstLineChars="0"/>
        <w:contextualSpacing/>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争议解决办法</w:t>
      </w:r>
    </w:p>
    <w:p w14:paraId="79083425">
      <w:pPr>
        <w:widowControl w:val="0"/>
        <w:numPr>
          <w:ilvl w:val="0"/>
          <w:numId w:val="24"/>
        </w:numPr>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因服务质量问题发生争议，由质量技术监督部门或其指定的质量鉴定机构进行质量鉴定，结果符合标准的，鉴定费由甲方承担；不符合标准的，鉴定费由乙方承担。</w:t>
      </w:r>
    </w:p>
    <w:p w14:paraId="047DBBFB">
      <w:pPr>
        <w:widowControl w:val="0"/>
        <w:numPr>
          <w:ilvl w:val="0"/>
          <w:numId w:val="24"/>
        </w:numPr>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合同履行期间,若双方发生争议，可协商或由有关部门调解解决，协商或调解不成的，任何一方均有权向甲方所在地具有管辖权的人民法院起诉。</w:t>
      </w:r>
    </w:p>
    <w:p w14:paraId="668A9C83">
      <w:pPr>
        <w:widowControl w:val="0"/>
        <w:numPr>
          <w:ilvl w:val="0"/>
          <w:numId w:val="12"/>
        </w:numPr>
        <w:ind w:left="480" w:hanging="480" w:firstLineChars="0"/>
        <w:contextualSpacing/>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送达（送达地址是司法机关、执法机关和仲裁机关将法律文书送达给当事人的收件地址）</w:t>
      </w:r>
    </w:p>
    <w:p w14:paraId="473AD5C8">
      <w:pPr>
        <w:widowControl w:val="0"/>
        <w:numPr>
          <w:ilvl w:val="0"/>
          <w:numId w:val="25"/>
        </w:numPr>
        <w:ind w:left="420" w:hanging="420"/>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甲方送达地址：四川省成都市青羊区一环路西二段32号。</w:t>
      </w:r>
    </w:p>
    <w:p w14:paraId="40087865">
      <w:pPr>
        <w:widowControl w:val="0"/>
        <w:numPr>
          <w:ilvl w:val="0"/>
          <w:numId w:val="25"/>
        </w:numPr>
        <w:ind w:left="420" w:hanging="420"/>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乙方送达地址：***</w:t>
      </w:r>
    </w:p>
    <w:p w14:paraId="59931C4F">
      <w:pPr>
        <w:widowControl w:val="0"/>
        <w:numPr>
          <w:ilvl w:val="0"/>
          <w:numId w:val="25"/>
        </w:numPr>
        <w:ind w:left="420" w:hanging="420"/>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7254E943">
      <w:pPr>
        <w:widowControl w:val="0"/>
        <w:numPr>
          <w:ilvl w:val="0"/>
          <w:numId w:val="12"/>
        </w:numPr>
        <w:ind w:left="480" w:hanging="480" w:firstLineChars="0"/>
        <w:contextualSpacing/>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其他</w:t>
      </w:r>
    </w:p>
    <w:p w14:paraId="2240081C">
      <w:pPr>
        <w:widowControl w:val="0"/>
        <w:numPr>
          <w:ilvl w:val="0"/>
          <w:numId w:val="26"/>
        </w:numPr>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如有未尽事宜，由双方依法订立补充合同。补充合同及本合同附件均为本合同的组成部分，与本合同具有同等法律效力。</w:t>
      </w:r>
    </w:p>
    <w:p w14:paraId="57DAD1C6">
      <w:pPr>
        <w:widowControl w:val="0"/>
        <w:numPr>
          <w:ilvl w:val="0"/>
          <w:numId w:val="26"/>
        </w:numPr>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本合同一式四份，自双方</w:t>
      </w:r>
      <w:r>
        <w:rPr>
          <w:rFonts w:hint="eastAsia" w:ascii="Times New Roman" w:hAnsi="Times New Roman" w:eastAsia="宋体" w:cs="Times New Roman"/>
          <w:kern w:val="2"/>
          <w:sz w:val="21"/>
          <w:szCs w:val="21"/>
          <w:highlight w:val="none"/>
          <w:lang w:val="en-US" w:eastAsia="zh-CN" w:bidi="ar-SA"/>
        </w:rPr>
        <w:t>签字且盖章之</w:t>
      </w:r>
      <w:r>
        <w:rPr>
          <w:rFonts w:ascii="Times New Roman" w:hAnsi="Times New Roman" w:eastAsia="宋体" w:cs="Times New Roman"/>
          <w:kern w:val="2"/>
          <w:sz w:val="21"/>
          <w:szCs w:val="21"/>
          <w:highlight w:val="none"/>
          <w:lang w:val="en-US" w:eastAsia="zh-CN" w:bidi="ar-SA"/>
        </w:rPr>
        <w:t>日起生效。甲方三份，乙方一份。</w:t>
      </w:r>
    </w:p>
    <w:p w14:paraId="0C72BF10">
      <w:pPr>
        <w:widowControl w:val="0"/>
        <w:numPr>
          <w:ilvl w:val="0"/>
          <w:numId w:val="12"/>
        </w:numPr>
        <w:ind w:left="480" w:hanging="480" w:firstLineChars="0"/>
        <w:contextualSpacing/>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合同附件</w:t>
      </w:r>
    </w:p>
    <w:p w14:paraId="0A292CFA">
      <w:pPr>
        <w:rPr>
          <w:rFonts w:ascii="Times New Roman" w:hAnsi="Times New Roman" w:eastAsia="宋体" w:cs="Times New Roman"/>
          <w:szCs w:val="21"/>
          <w:highlight w:val="none"/>
        </w:rPr>
      </w:pPr>
      <w:r>
        <w:rPr>
          <w:rFonts w:ascii="Times New Roman" w:hAnsi="Times New Roman" w:eastAsia="宋体" w:cs="Times New Roman"/>
          <w:szCs w:val="21"/>
          <w:highlight w:val="none"/>
        </w:rPr>
        <w:t>本合同为</w:t>
      </w:r>
      <w:r>
        <w:rPr>
          <w:rFonts w:hint="eastAsia" w:ascii="Times New Roman" w:hAnsi="Times New Roman" w:eastAsia="宋体" w:cs="Times New Roman"/>
          <w:szCs w:val="21"/>
          <w:highlight w:val="none"/>
          <w:u w:val="single"/>
        </w:rPr>
        <w:t>有</w:t>
      </w:r>
      <w:r>
        <w:rPr>
          <w:rFonts w:ascii="Times New Roman" w:hAnsi="Times New Roman" w:eastAsia="宋体" w:cs="Times New Roman"/>
          <w:szCs w:val="21"/>
          <w:highlight w:val="none"/>
        </w:rPr>
        <w:t>附件合同</w:t>
      </w:r>
      <w:r>
        <w:rPr>
          <w:rFonts w:hint="eastAsia" w:ascii="Times New Roman" w:hAnsi="Times New Roman" w:eastAsia="宋体" w:cs="Times New Roman"/>
          <w:szCs w:val="21"/>
          <w:highlight w:val="none"/>
        </w:rPr>
        <w:t>，附件如下：</w:t>
      </w:r>
      <w:r>
        <w:rPr>
          <w:rFonts w:ascii="Times New Roman" w:hAnsi="Times New Roman" w:eastAsia="宋体" w:cs="Times New Roman"/>
          <w:i/>
          <w:iCs/>
          <w:szCs w:val="21"/>
          <w:highlight w:val="none"/>
        </w:rPr>
        <w:t>&lt;根据项目实际情况编制&gt;</w:t>
      </w:r>
    </w:p>
    <w:p w14:paraId="56406C57">
      <w:pPr>
        <w:jc w:val="left"/>
        <w:outlineLvl w:val="0"/>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附件1《</w:t>
      </w:r>
      <w:bookmarkStart w:id="105" w:name="OLE_LINK32"/>
      <w:r>
        <w:rPr>
          <w:rFonts w:hint="eastAsia" w:ascii="Times New Roman" w:hAnsi="Times New Roman" w:eastAsia="宋体" w:cs="Times New Roman"/>
          <w:szCs w:val="21"/>
          <w:highlight w:val="none"/>
        </w:rPr>
        <w:t>结算单价清单</w:t>
      </w:r>
      <w:bookmarkEnd w:id="105"/>
      <w:r>
        <w:rPr>
          <w:rFonts w:hint="eastAsia" w:ascii="Times New Roman" w:hAnsi="Times New Roman" w:eastAsia="宋体" w:cs="Times New Roman"/>
          <w:szCs w:val="21"/>
          <w:highlight w:val="none"/>
        </w:rPr>
        <w:t>》</w:t>
      </w:r>
    </w:p>
    <w:p w14:paraId="6C112F9A">
      <w:pPr>
        <w:jc w:val="left"/>
        <w:outlineLvl w:val="0"/>
        <w:rPr>
          <w:rFonts w:ascii="Times New Roman" w:hAnsi="Times New Roman" w:eastAsia="宋体" w:cs="Times New Roman"/>
          <w:szCs w:val="21"/>
        </w:rPr>
      </w:pPr>
      <w:r>
        <w:rPr>
          <w:rFonts w:hint="eastAsia" w:ascii="Times New Roman" w:hAnsi="Times New Roman" w:eastAsia="宋体" w:cs="Times New Roman"/>
          <w:szCs w:val="21"/>
        </w:rPr>
        <w:t>附件2《考核标准》</w:t>
      </w:r>
    </w:p>
    <w:p w14:paraId="712BFDE3">
      <w:pPr>
        <w:jc w:val="left"/>
        <w:outlineLvl w:val="0"/>
        <w:rPr>
          <w:rFonts w:ascii="Times New Roman" w:hAnsi="Times New Roman" w:eastAsia="宋体" w:cs="Times New Roman"/>
          <w:szCs w:val="21"/>
        </w:rPr>
      </w:pPr>
      <w:r>
        <w:rPr>
          <w:rFonts w:ascii="Times New Roman" w:hAnsi="Times New Roman" w:eastAsia="宋体" w:cs="Times New Roman"/>
          <w:szCs w:val="21"/>
        </w:rPr>
        <w:t>附件3《服务</w:t>
      </w:r>
      <w:r>
        <w:rPr>
          <w:rFonts w:hint="eastAsia" w:ascii="Times New Roman" w:hAnsi="Times New Roman" w:eastAsia="宋体" w:cs="Times New Roman"/>
          <w:szCs w:val="21"/>
        </w:rPr>
        <w:t>方案</w:t>
      </w:r>
      <w:r>
        <w:rPr>
          <w:rFonts w:ascii="Times New Roman" w:hAnsi="Times New Roman" w:eastAsia="宋体" w:cs="Times New Roman"/>
          <w:szCs w:val="21"/>
        </w:rPr>
        <w:t>》</w:t>
      </w:r>
    </w:p>
    <w:p w14:paraId="612BB1C7">
      <w:pPr>
        <w:jc w:val="center"/>
        <w:rPr>
          <w:rFonts w:ascii="Times New Roman" w:hAnsi="Times New Roman" w:eastAsia="宋体" w:cs="Times New Roman"/>
          <w:szCs w:val="21"/>
        </w:rPr>
      </w:pPr>
      <w:r>
        <w:rPr>
          <w:rFonts w:ascii="Times New Roman" w:hAnsi="Times New Roman" w:eastAsia="宋体" w:cs="Times New Roman"/>
          <w:szCs w:val="21"/>
        </w:rPr>
        <w:t>——</w:t>
      </w:r>
      <w:r>
        <w:rPr>
          <w:rFonts w:ascii="Times New Roman" w:hAnsi="Times New Roman" w:eastAsia="宋体" w:cs="Times New Roman"/>
          <w:sz w:val="18"/>
          <w:szCs w:val="18"/>
        </w:rPr>
        <w:t>以下无正文</w:t>
      </w:r>
      <w:r>
        <w:rPr>
          <w:rFonts w:ascii="Times New Roman" w:hAnsi="Times New Roman" w:eastAsia="宋体" w:cs="Times New Roman"/>
          <w:szCs w:val="21"/>
        </w:rPr>
        <w:t>——</w:t>
      </w:r>
    </w:p>
    <w:tbl>
      <w:tblPr>
        <w:tblStyle w:val="18"/>
        <w:tblW w:w="5000" w:type="pct"/>
        <w:jc w:val="center"/>
        <w:tblLayout w:type="autofit"/>
        <w:tblCellMar>
          <w:top w:w="0" w:type="dxa"/>
          <w:left w:w="0" w:type="dxa"/>
          <w:bottom w:w="0" w:type="dxa"/>
          <w:right w:w="0" w:type="dxa"/>
        </w:tblCellMar>
      </w:tblPr>
      <w:tblGrid>
        <w:gridCol w:w="4688"/>
        <w:gridCol w:w="4950"/>
      </w:tblGrid>
      <w:tr w14:paraId="50381645">
        <w:tblPrEx>
          <w:tblCellMar>
            <w:top w:w="0" w:type="dxa"/>
            <w:left w:w="0" w:type="dxa"/>
            <w:bottom w:w="0" w:type="dxa"/>
            <w:right w:w="0" w:type="dxa"/>
          </w:tblCellMar>
        </w:tblPrEx>
        <w:trPr>
          <w:trHeight w:val="519" w:hRule="atLeast"/>
          <w:jc w:val="center"/>
        </w:trPr>
        <w:tc>
          <w:tcPr>
            <w:tcW w:w="10214" w:type="dxa"/>
            <w:gridSpan w:val="2"/>
          </w:tcPr>
          <w:p w14:paraId="140E2016">
            <w:pPr>
              <w:rPr>
                <w:rFonts w:ascii="Times New Roman" w:hAnsi="Times New Roman" w:eastAsia="宋体" w:cs="Times New Roman"/>
                <w:szCs w:val="21"/>
              </w:rPr>
            </w:pPr>
            <w:r>
              <w:rPr>
                <w:rFonts w:ascii="Times New Roman" w:hAnsi="Times New Roman" w:eastAsia="宋体" w:cs="Times New Roman"/>
                <w:szCs w:val="21"/>
              </w:rPr>
              <w:t>签订时间：</w:t>
            </w:r>
            <w:r>
              <w:rPr>
                <w:rFonts w:ascii="Times New Roman" w:hAnsi="Times New Roman" w:eastAsia="宋体" w:cs="Times New Roman"/>
                <w:szCs w:val="20"/>
              </w:rPr>
              <w:t>202*</w:t>
            </w:r>
            <w:r>
              <w:rPr>
                <w:rFonts w:ascii="Times New Roman" w:hAnsi="Times New Roman" w:eastAsia="宋体" w:cs="Times New Roman"/>
                <w:szCs w:val="21"/>
              </w:rPr>
              <w:t>年***月***日</w:t>
            </w:r>
          </w:p>
        </w:tc>
      </w:tr>
      <w:tr w14:paraId="031C6D26">
        <w:tblPrEx>
          <w:tblCellMar>
            <w:top w:w="0" w:type="dxa"/>
            <w:left w:w="0" w:type="dxa"/>
            <w:bottom w:w="0" w:type="dxa"/>
            <w:right w:w="0" w:type="dxa"/>
          </w:tblCellMar>
        </w:tblPrEx>
        <w:trPr>
          <w:jc w:val="center"/>
        </w:trPr>
        <w:tc>
          <w:tcPr>
            <w:tcW w:w="4967" w:type="dxa"/>
          </w:tcPr>
          <w:p w14:paraId="3CCBD83F">
            <w:pPr>
              <w:rPr>
                <w:rFonts w:ascii="Times New Roman" w:hAnsi="Times New Roman" w:eastAsia="宋体" w:cs="Times New Roman"/>
                <w:szCs w:val="21"/>
              </w:rPr>
            </w:pPr>
            <w:r>
              <w:rPr>
                <w:rFonts w:ascii="Times New Roman" w:hAnsi="Times New Roman" w:eastAsia="宋体" w:cs="Times New Roman"/>
                <w:szCs w:val="21"/>
              </w:rPr>
              <w:t>甲方：四川省人民医院（盖章）</w:t>
            </w:r>
          </w:p>
          <w:p w14:paraId="69B1BF19">
            <w:pPr>
              <w:rPr>
                <w:rFonts w:ascii="Times New Roman" w:hAnsi="Times New Roman" w:eastAsia="宋体" w:cs="Times New Roman"/>
                <w:szCs w:val="21"/>
              </w:rPr>
            </w:pPr>
            <w:r>
              <w:rPr>
                <w:rFonts w:ascii="Times New Roman" w:hAnsi="Times New Roman" w:eastAsia="宋体" w:cs="Times New Roman"/>
                <w:szCs w:val="21"/>
              </w:rPr>
              <w:t>法定代表人（授权代表签字）：</w:t>
            </w:r>
          </w:p>
          <w:p w14:paraId="7958D92C">
            <w:pPr>
              <w:rPr>
                <w:rFonts w:ascii="Times New Roman" w:hAnsi="Times New Roman" w:eastAsia="宋体" w:cs="Times New Roman"/>
                <w:szCs w:val="21"/>
              </w:rPr>
            </w:pPr>
            <w:r>
              <w:rPr>
                <w:rFonts w:ascii="Times New Roman" w:hAnsi="Times New Roman" w:eastAsia="宋体" w:cs="Times New Roman"/>
                <w:szCs w:val="21"/>
              </w:rPr>
              <w:t>地    址：四川省成都市一环路西二段32号</w:t>
            </w:r>
          </w:p>
          <w:p w14:paraId="72FF82A7">
            <w:pPr>
              <w:rPr>
                <w:rFonts w:ascii="Times New Roman" w:hAnsi="Times New Roman" w:eastAsia="宋体" w:cs="Times New Roman"/>
                <w:szCs w:val="21"/>
              </w:rPr>
            </w:pPr>
            <w:r>
              <w:rPr>
                <w:rFonts w:ascii="Times New Roman" w:hAnsi="Times New Roman" w:eastAsia="宋体" w:cs="Times New Roman"/>
                <w:szCs w:val="21"/>
              </w:rPr>
              <w:t>开户银行：建设银行成都青羊支行</w:t>
            </w:r>
          </w:p>
          <w:p w14:paraId="1F721341">
            <w:pPr>
              <w:rPr>
                <w:rFonts w:ascii="Times New Roman" w:hAnsi="Times New Roman" w:eastAsia="宋体" w:cs="Times New Roman"/>
                <w:szCs w:val="21"/>
              </w:rPr>
            </w:pPr>
            <w:r>
              <w:rPr>
                <w:rFonts w:ascii="Times New Roman" w:hAnsi="Times New Roman" w:eastAsia="宋体" w:cs="Times New Roman"/>
                <w:szCs w:val="21"/>
              </w:rPr>
              <w:t>账号：5100 1446 4360 5037 4282</w:t>
            </w:r>
          </w:p>
        </w:tc>
        <w:tc>
          <w:tcPr>
            <w:tcW w:w="5247" w:type="dxa"/>
          </w:tcPr>
          <w:p w14:paraId="69D2E615">
            <w:pPr>
              <w:rPr>
                <w:rFonts w:ascii="Times New Roman" w:hAnsi="Times New Roman" w:eastAsia="宋体" w:cs="Times New Roman"/>
                <w:szCs w:val="21"/>
              </w:rPr>
            </w:pPr>
            <w:r>
              <w:rPr>
                <w:rFonts w:ascii="Times New Roman" w:hAnsi="Times New Roman" w:eastAsia="宋体" w:cs="Times New Roman"/>
                <w:szCs w:val="21"/>
              </w:rPr>
              <w:t>乙方：</w:t>
            </w:r>
            <w:permStart w:id="2" w:edGrp="everyone"/>
            <w:r>
              <w:rPr>
                <w:rFonts w:ascii="Times New Roman" w:hAnsi="Times New Roman" w:eastAsia="宋体" w:cs="Times New Roman"/>
                <w:szCs w:val="21"/>
              </w:rPr>
              <w:t>***</w:t>
            </w:r>
            <w:permEnd w:id="2"/>
            <w:r>
              <w:rPr>
                <w:rFonts w:ascii="Times New Roman" w:hAnsi="Times New Roman" w:eastAsia="宋体" w:cs="Times New Roman"/>
                <w:szCs w:val="21"/>
              </w:rPr>
              <w:t>（盖章）</w:t>
            </w:r>
          </w:p>
          <w:p w14:paraId="7EB3BF84">
            <w:pPr>
              <w:rPr>
                <w:rFonts w:ascii="Times New Roman" w:hAnsi="Times New Roman" w:eastAsia="宋体" w:cs="Times New Roman"/>
                <w:szCs w:val="21"/>
              </w:rPr>
            </w:pPr>
            <w:r>
              <w:rPr>
                <w:rFonts w:ascii="Times New Roman" w:hAnsi="Times New Roman" w:eastAsia="宋体" w:cs="Times New Roman"/>
                <w:szCs w:val="21"/>
              </w:rPr>
              <w:t>法定代表人（授权代表签字）：</w:t>
            </w:r>
          </w:p>
          <w:p w14:paraId="22848CD5">
            <w:pPr>
              <w:rPr>
                <w:rFonts w:ascii="Times New Roman" w:hAnsi="Times New Roman" w:eastAsia="宋体" w:cs="Times New Roman"/>
                <w:szCs w:val="21"/>
              </w:rPr>
            </w:pPr>
            <w:r>
              <w:rPr>
                <w:rFonts w:ascii="Times New Roman" w:hAnsi="Times New Roman" w:eastAsia="宋体" w:cs="Times New Roman"/>
                <w:szCs w:val="21"/>
              </w:rPr>
              <w:t>地址：</w:t>
            </w:r>
            <w:permStart w:id="3" w:edGrp="everyone"/>
            <w:r>
              <w:rPr>
                <w:rFonts w:ascii="Times New Roman" w:hAnsi="Times New Roman" w:eastAsia="宋体" w:cs="Times New Roman"/>
                <w:szCs w:val="21"/>
              </w:rPr>
              <w:t>***</w:t>
            </w:r>
            <w:permEnd w:id="3"/>
          </w:p>
          <w:p w14:paraId="19229477">
            <w:pPr>
              <w:rPr>
                <w:rFonts w:ascii="Times New Roman" w:hAnsi="Times New Roman" w:eastAsia="宋体" w:cs="Times New Roman"/>
                <w:szCs w:val="21"/>
              </w:rPr>
            </w:pPr>
            <w:r>
              <w:rPr>
                <w:rFonts w:ascii="Times New Roman" w:hAnsi="Times New Roman" w:eastAsia="宋体" w:cs="Times New Roman"/>
                <w:szCs w:val="21"/>
              </w:rPr>
              <w:t>开户银行：</w:t>
            </w:r>
            <w:permStart w:id="4" w:edGrp="everyone"/>
            <w:r>
              <w:rPr>
                <w:rFonts w:ascii="Times New Roman" w:hAnsi="Times New Roman" w:eastAsia="宋体" w:cs="Times New Roman"/>
                <w:szCs w:val="21"/>
              </w:rPr>
              <w:t>***</w:t>
            </w:r>
          </w:p>
          <w:permEnd w:id="4"/>
          <w:p w14:paraId="5622B341">
            <w:pPr>
              <w:widowControl/>
              <w:jc w:val="left"/>
              <w:rPr>
                <w:rFonts w:ascii="Times New Roman" w:hAnsi="Times New Roman" w:eastAsia="宋体" w:cs="Times New Roman"/>
                <w:szCs w:val="20"/>
              </w:rPr>
            </w:pPr>
            <w:r>
              <w:rPr>
                <w:rFonts w:ascii="Times New Roman" w:hAnsi="Times New Roman" w:eastAsia="宋体" w:cs="Times New Roman"/>
                <w:szCs w:val="21"/>
              </w:rPr>
              <w:t>账号：</w:t>
            </w:r>
            <w:permStart w:id="5" w:edGrp="everyone"/>
            <w:r>
              <w:rPr>
                <w:rFonts w:ascii="Times New Roman" w:hAnsi="Times New Roman" w:eastAsia="宋体" w:cs="Times New Roman"/>
                <w:szCs w:val="21"/>
              </w:rPr>
              <w:t>***</w:t>
            </w:r>
            <w:permEnd w:id="5"/>
          </w:p>
        </w:tc>
      </w:tr>
    </w:tbl>
    <w:p w14:paraId="5905E3FD">
      <w:pPr>
        <w:widowControl/>
        <w:jc w:val="left"/>
        <w:rPr>
          <w:szCs w:val="21"/>
        </w:rPr>
        <w:sectPr>
          <w:footerReference r:id="rId7" w:type="default"/>
          <w:pgSz w:w="11906" w:h="16838"/>
          <w:pgMar w:top="851" w:right="1134" w:bottom="851" w:left="1134" w:header="0" w:footer="567" w:gutter="0"/>
          <w:pgNumType w:fmt="decimal" w:start="1"/>
          <w:cols w:space="425" w:num="1"/>
          <w:docGrid w:linePitch="312" w:charSpace="0"/>
        </w:sectPr>
      </w:pPr>
    </w:p>
    <w:p w14:paraId="1FBD1BB3">
      <w:pPr>
        <w:widowControl/>
        <w:jc w:val="left"/>
        <w:rPr>
          <w:rFonts w:ascii="Times New Roman" w:hAnsi="Times New Roman" w:eastAsia="宋体" w:cs="Times New Roman"/>
          <w:b/>
          <w:bCs/>
          <w:szCs w:val="21"/>
          <w:highlight w:val="none"/>
        </w:rPr>
      </w:pPr>
      <w:r>
        <w:rPr>
          <w:rFonts w:ascii="Times New Roman" w:hAnsi="Times New Roman" w:eastAsia="宋体" w:cs="Times New Roman"/>
          <w:b/>
          <w:bCs/>
          <w:szCs w:val="21"/>
        </w:rPr>
        <w:t>附件</w:t>
      </w:r>
      <w:r>
        <w:rPr>
          <w:rFonts w:hint="eastAsia" w:ascii="Times New Roman" w:hAnsi="Times New Roman" w:eastAsia="宋体" w:cs="Times New Roman"/>
          <w:b/>
          <w:bCs/>
          <w:szCs w:val="21"/>
        </w:rPr>
        <w:t>1</w:t>
      </w:r>
      <w:r>
        <w:rPr>
          <w:rFonts w:ascii="Times New Roman" w:hAnsi="Times New Roman" w:eastAsia="宋体" w:cs="Times New Roman"/>
          <w:b/>
          <w:bCs/>
          <w:szCs w:val="21"/>
        </w:rPr>
        <w:t>：</w:t>
      </w:r>
      <w:r>
        <w:rPr>
          <w:rFonts w:hint="eastAsia" w:ascii="Times New Roman" w:hAnsi="Times New Roman" w:eastAsia="宋体" w:cs="Times New Roman"/>
          <w:b/>
          <w:bCs/>
          <w:szCs w:val="21"/>
        </w:rPr>
        <w:t>结算单价清单（人民币</w:t>
      </w:r>
      <w:r>
        <w:rPr>
          <w:rFonts w:hint="eastAsia" w:ascii="Times New Roman" w:hAnsi="Times New Roman" w:eastAsia="宋体" w:cs="Times New Roman"/>
          <w:b/>
          <w:bCs/>
          <w:szCs w:val="21"/>
          <w:highlight w:val="none"/>
        </w:rPr>
        <w:t>：元）</w:t>
      </w:r>
      <w:r>
        <w:rPr>
          <w:rFonts w:hint="eastAsia" w:ascii="Times New Roman" w:hAnsi="Times New Roman" w:eastAsia="宋体" w:cs="Times New Roman"/>
          <w:b/>
          <w:bCs/>
          <w:i/>
          <w:iCs/>
          <w:szCs w:val="21"/>
          <w:highlight w:val="none"/>
        </w:rPr>
        <w:t>&lt;根据项目实际情况编制</w:t>
      </w:r>
      <w:r>
        <w:rPr>
          <w:rFonts w:ascii="Times New Roman" w:hAnsi="Times New Roman" w:eastAsia="宋体" w:cs="Times New Roman"/>
          <w:b/>
          <w:bCs/>
          <w:i/>
          <w:iCs/>
          <w:szCs w:val="21"/>
          <w:highlight w:val="none"/>
        </w:rPr>
        <w:t>&gt;</w:t>
      </w:r>
    </w:p>
    <w:p w14:paraId="1DC6998E">
      <w:pPr>
        <w:widowControl/>
        <w:jc w:val="left"/>
        <w:rPr>
          <w:rFonts w:ascii="Times New Roman" w:hAnsi="Times New Roman" w:eastAsia="宋体" w:cs="Times New Roman"/>
          <w:szCs w:val="21"/>
          <w:highlight w:val="none"/>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66D7B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5157AE76">
            <w:pPr>
              <w:widowControl/>
              <w:jc w:val="center"/>
              <w:rPr>
                <w:rFonts w:ascii="Times New Roman" w:hAnsi="Times New Roman" w:eastAsia="宋体" w:cs="Times New Roman"/>
                <w:b/>
                <w:bCs/>
                <w:szCs w:val="21"/>
                <w:highlight w:val="none"/>
              </w:rPr>
            </w:pPr>
            <w:r>
              <w:rPr>
                <w:rFonts w:hint="eastAsia" w:ascii="Times New Roman" w:hAnsi="Times New Roman" w:eastAsia="宋体" w:cs="Times New Roman"/>
                <w:b/>
                <w:bCs/>
                <w:szCs w:val="21"/>
                <w:highlight w:val="none"/>
              </w:rPr>
              <w:t>序号</w:t>
            </w:r>
          </w:p>
        </w:tc>
        <w:tc>
          <w:tcPr>
            <w:tcW w:w="3686" w:type="dxa"/>
            <w:vAlign w:val="center"/>
          </w:tcPr>
          <w:p w14:paraId="1AFEFE63">
            <w:pPr>
              <w:widowControl/>
              <w:jc w:val="center"/>
              <w:rPr>
                <w:rFonts w:ascii="Times New Roman" w:hAnsi="Times New Roman" w:eastAsia="宋体" w:cs="Times New Roman"/>
                <w:b/>
                <w:bCs/>
                <w:szCs w:val="21"/>
                <w:highlight w:val="none"/>
              </w:rPr>
            </w:pPr>
            <w:r>
              <w:rPr>
                <w:rFonts w:hint="eastAsia" w:ascii="Times New Roman" w:hAnsi="Times New Roman" w:eastAsia="宋体" w:cs="Times New Roman"/>
                <w:b/>
                <w:bCs/>
                <w:szCs w:val="21"/>
                <w:highlight w:val="none"/>
              </w:rPr>
              <w:t>结算项目名称</w:t>
            </w:r>
          </w:p>
        </w:tc>
        <w:tc>
          <w:tcPr>
            <w:tcW w:w="3402" w:type="dxa"/>
            <w:vAlign w:val="center"/>
          </w:tcPr>
          <w:p w14:paraId="665D2F8B">
            <w:pPr>
              <w:widowControl/>
              <w:jc w:val="center"/>
              <w:rPr>
                <w:rFonts w:ascii="Times New Roman" w:hAnsi="Times New Roman" w:eastAsia="宋体" w:cs="Times New Roman"/>
                <w:b/>
                <w:bCs/>
                <w:i/>
                <w:iCs/>
                <w:szCs w:val="21"/>
                <w:highlight w:val="none"/>
              </w:rPr>
            </w:pPr>
            <w:r>
              <w:rPr>
                <w:rFonts w:hint="eastAsia" w:ascii="Times New Roman" w:hAnsi="Times New Roman" w:eastAsia="宋体" w:cs="Times New Roman"/>
                <w:b/>
                <w:bCs/>
                <w:szCs w:val="21"/>
                <w:highlight w:val="none"/>
              </w:rPr>
              <w:t>项目信息</w:t>
            </w:r>
            <w:r>
              <w:rPr>
                <w:rFonts w:hint="eastAsia" w:ascii="Times New Roman" w:hAnsi="Times New Roman" w:eastAsia="宋体" w:cs="Times New Roman"/>
                <w:b/>
                <w:bCs/>
                <w:i/>
                <w:iCs/>
                <w:szCs w:val="21"/>
                <w:highlight w:val="none"/>
              </w:rPr>
              <w:t>&lt;生产厂商、品牌、型号规格等</w:t>
            </w:r>
            <w:r>
              <w:rPr>
                <w:rFonts w:ascii="Times New Roman" w:hAnsi="Times New Roman" w:eastAsia="宋体" w:cs="Times New Roman"/>
                <w:b/>
                <w:bCs/>
                <w:i/>
                <w:iCs/>
                <w:szCs w:val="21"/>
                <w:highlight w:val="none"/>
              </w:rPr>
              <w:t>&gt;</w:t>
            </w:r>
          </w:p>
        </w:tc>
        <w:tc>
          <w:tcPr>
            <w:tcW w:w="992" w:type="dxa"/>
            <w:vAlign w:val="center"/>
          </w:tcPr>
          <w:p w14:paraId="211578FB">
            <w:pPr>
              <w:widowControl/>
              <w:jc w:val="center"/>
              <w:rPr>
                <w:rFonts w:ascii="Times New Roman" w:hAnsi="Times New Roman" w:eastAsia="宋体" w:cs="Times New Roman"/>
                <w:b/>
                <w:bCs/>
                <w:szCs w:val="21"/>
                <w:highlight w:val="none"/>
              </w:rPr>
            </w:pPr>
            <w:r>
              <w:rPr>
                <w:rFonts w:hint="eastAsia" w:ascii="Times New Roman" w:hAnsi="Times New Roman" w:eastAsia="宋体" w:cs="Times New Roman"/>
                <w:b/>
                <w:bCs/>
                <w:szCs w:val="21"/>
                <w:highlight w:val="none"/>
              </w:rPr>
              <w:t>结算单位</w:t>
            </w:r>
            <w:r>
              <w:rPr>
                <w:rFonts w:hint="eastAsia" w:ascii="Times New Roman" w:hAnsi="Times New Roman" w:eastAsia="宋体" w:cs="Times New Roman"/>
                <w:b/>
                <w:bCs/>
                <w:i/>
                <w:iCs/>
                <w:szCs w:val="21"/>
                <w:highlight w:val="none"/>
              </w:rPr>
              <w:t>&lt;指货物的单位</w:t>
            </w:r>
            <w:r>
              <w:rPr>
                <w:rFonts w:ascii="Times New Roman" w:hAnsi="Times New Roman" w:eastAsia="宋体" w:cs="Times New Roman"/>
                <w:b/>
                <w:bCs/>
                <w:i/>
                <w:iCs/>
                <w:szCs w:val="21"/>
                <w:highlight w:val="none"/>
              </w:rPr>
              <w:t>&gt;</w:t>
            </w:r>
          </w:p>
        </w:tc>
        <w:tc>
          <w:tcPr>
            <w:tcW w:w="986" w:type="dxa"/>
            <w:vAlign w:val="center"/>
          </w:tcPr>
          <w:p w14:paraId="0382A640">
            <w:pPr>
              <w:widowControl/>
              <w:jc w:val="center"/>
              <w:rPr>
                <w:rFonts w:ascii="Times New Roman" w:hAnsi="Times New Roman" w:eastAsia="宋体" w:cs="Times New Roman"/>
                <w:b/>
                <w:bCs/>
                <w:szCs w:val="21"/>
                <w:highlight w:val="none"/>
              </w:rPr>
            </w:pPr>
            <w:r>
              <w:rPr>
                <w:rFonts w:hint="eastAsia" w:ascii="Times New Roman" w:hAnsi="Times New Roman" w:eastAsia="宋体" w:cs="Times New Roman"/>
                <w:b/>
                <w:bCs/>
                <w:szCs w:val="21"/>
                <w:highlight w:val="none"/>
              </w:rPr>
              <w:t>结算单价</w:t>
            </w:r>
          </w:p>
        </w:tc>
      </w:tr>
      <w:tr w14:paraId="5DE7B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210F0062">
            <w:pPr>
              <w:widowControl/>
              <w:jc w:val="cente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1</w:t>
            </w:r>
          </w:p>
        </w:tc>
        <w:tc>
          <w:tcPr>
            <w:tcW w:w="3686" w:type="dxa"/>
            <w:vAlign w:val="center"/>
          </w:tcPr>
          <w:p w14:paraId="68A090C0">
            <w:pPr>
              <w:widowControl/>
              <w:jc w:val="left"/>
              <w:rPr>
                <w:rFonts w:ascii="Times New Roman" w:hAnsi="Times New Roman" w:eastAsia="宋体" w:cs="Times New Roman"/>
                <w:szCs w:val="21"/>
                <w:highlight w:val="none"/>
              </w:rPr>
            </w:pPr>
          </w:p>
        </w:tc>
        <w:tc>
          <w:tcPr>
            <w:tcW w:w="3402" w:type="dxa"/>
            <w:vAlign w:val="center"/>
          </w:tcPr>
          <w:p w14:paraId="728F952D">
            <w:pPr>
              <w:widowControl/>
              <w:jc w:val="left"/>
              <w:rPr>
                <w:rFonts w:ascii="Times New Roman" w:hAnsi="Times New Roman" w:eastAsia="宋体" w:cs="Times New Roman"/>
                <w:szCs w:val="21"/>
                <w:highlight w:val="none"/>
              </w:rPr>
            </w:pPr>
          </w:p>
        </w:tc>
        <w:tc>
          <w:tcPr>
            <w:tcW w:w="992" w:type="dxa"/>
            <w:vAlign w:val="center"/>
          </w:tcPr>
          <w:p w14:paraId="3AE6A195">
            <w:pPr>
              <w:widowControl/>
              <w:jc w:val="center"/>
              <w:rPr>
                <w:rFonts w:ascii="Times New Roman" w:hAnsi="Times New Roman" w:eastAsia="宋体" w:cs="Times New Roman"/>
                <w:szCs w:val="21"/>
                <w:highlight w:val="none"/>
              </w:rPr>
            </w:pPr>
          </w:p>
        </w:tc>
        <w:tc>
          <w:tcPr>
            <w:tcW w:w="986" w:type="dxa"/>
            <w:vAlign w:val="center"/>
          </w:tcPr>
          <w:p w14:paraId="17FBC93D">
            <w:pPr>
              <w:widowControl/>
              <w:jc w:val="center"/>
              <w:rPr>
                <w:rFonts w:ascii="Times New Roman" w:hAnsi="Times New Roman" w:eastAsia="宋体" w:cs="Times New Roman"/>
                <w:szCs w:val="21"/>
                <w:highlight w:val="none"/>
              </w:rPr>
            </w:pPr>
          </w:p>
        </w:tc>
      </w:tr>
      <w:tr w14:paraId="13D2A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11A7895E">
            <w:pPr>
              <w:widowControl/>
              <w:jc w:val="center"/>
              <w:rPr>
                <w:rFonts w:ascii="Times New Roman" w:hAnsi="Times New Roman" w:eastAsia="宋体" w:cs="Times New Roman"/>
                <w:szCs w:val="21"/>
              </w:rPr>
            </w:pPr>
            <w:r>
              <w:rPr>
                <w:rFonts w:hint="eastAsia" w:ascii="Times New Roman" w:hAnsi="Times New Roman" w:eastAsia="宋体" w:cs="Times New Roman"/>
                <w:szCs w:val="21"/>
              </w:rPr>
              <w:t>2</w:t>
            </w:r>
          </w:p>
        </w:tc>
        <w:tc>
          <w:tcPr>
            <w:tcW w:w="3686" w:type="dxa"/>
            <w:vAlign w:val="center"/>
          </w:tcPr>
          <w:p w14:paraId="64E2F52E">
            <w:pPr>
              <w:widowControl/>
              <w:jc w:val="left"/>
              <w:rPr>
                <w:rFonts w:ascii="Times New Roman" w:hAnsi="Times New Roman" w:eastAsia="宋体" w:cs="Times New Roman"/>
                <w:szCs w:val="21"/>
              </w:rPr>
            </w:pPr>
          </w:p>
        </w:tc>
        <w:tc>
          <w:tcPr>
            <w:tcW w:w="3402" w:type="dxa"/>
            <w:vAlign w:val="center"/>
          </w:tcPr>
          <w:p w14:paraId="18F225E7">
            <w:pPr>
              <w:widowControl/>
              <w:jc w:val="left"/>
              <w:rPr>
                <w:rFonts w:ascii="Times New Roman" w:hAnsi="Times New Roman" w:eastAsia="宋体" w:cs="Times New Roman"/>
                <w:szCs w:val="21"/>
              </w:rPr>
            </w:pPr>
          </w:p>
        </w:tc>
        <w:tc>
          <w:tcPr>
            <w:tcW w:w="992" w:type="dxa"/>
            <w:vAlign w:val="center"/>
          </w:tcPr>
          <w:p w14:paraId="727E435D">
            <w:pPr>
              <w:widowControl/>
              <w:jc w:val="center"/>
              <w:rPr>
                <w:rFonts w:ascii="Times New Roman" w:hAnsi="Times New Roman" w:eastAsia="宋体" w:cs="Times New Roman"/>
                <w:szCs w:val="21"/>
              </w:rPr>
            </w:pPr>
          </w:p>
        </w:tc>
        <w:tc>
          <w:tcPr>
            <w:tcW w:w="986" w:type="dxa"/>
            <w:vAlign w:val="center"/>
          </w:tcPr>
          <w:p w14:paraId="40E798F5">
            <w:pPr>
              <w:widowControl/>
              <w:jc w:val="center"/>
              <w:rPr>
                <w:rFonts w:ascii="Times New Roman" w:hAnsi="Times New Roman" w:eastAsia="宋体" w:cs="Times New Roman"/>
                <w:szCs w:val="21"/>
              </w:rPr>
            </w:pPr>
          </w:p>
        </w:tc>
      </w:tr>
      <w:tr w14:paraId="4BEE0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734C1B60">
            <w:pPr>
              <w:widowControl/>
              <w:jc w:val="center"/>
              <w:rPr>
                <w:rFonts w:ascii="Times New Roman" w:hAnsi="Times New Roman" w:eastAsia="宋体" w:cs="Times New Roman"/>
                <w:szCs w:val="21"/>
              </w:rPr>
            </w:pPr>
            <w:r>
              <w:rPr>
                <w:rFonts w:ascii="Times New Roman" w:hAnsi="Times New Roman" w:eastAsia="宋体" w:cs="Times New Roman"/>
                <w:szCs w:val="21"/>
              </w:rPr>
              <w:t>…</w:t>
            </w:r>
          </w:p>
        </w:tc>
        <w:tc>
          <w:tcPr>
            <w:tcW w:w="3686" w:type="dxa"/>
            <w:vAlign w:val="center"/>
          </w:tcPr>
          <w:p w14:paraId="47232115">
            <w:pPr>
              <w:widowControl/>
              <w:jc w:val="left"/>
              <w:rPr>
                <w:rFonts w:ascii="Times New Roman" w:hAnsi="Times New Roman" w:eastAsia="宋体" w:cs="Times New Roman"/>
                <w:szCs w:val="21"/>
              </w:rPr>
            </w:pPr>
          </w:p>
        </w:tc>
        <w:tc>
          <w:tcPr>
            <w:tcW w:w="3402" w:type="dxa"/>
            <w:vAlign w:val="center"/>
          </w:tcPr>
          <w:p w14:paraId="1C1AECBC">
            <w:pPr>
              <w:widowControl/>
              <w:jc w:val="left"/>
              <w:rPr>
                <w:rFonts w:ascii="Times New Roman" w:hAnsi="Times New Roman" w:eastAsia="宋体" w:cs="Times New Roman"/>
                <w:szCs w:val="21"/>
              </w:rPr>
            </w:pPr>
          </w:p>
        </w:tc>
        <w:tc>
          <w:tcPr>
            <w:tcW w:w="992" w:type="dxa"/>
            <w:vAlign w:val="center"/>
          </w:tcPr>
          <w:p w14:paraId="22D6B5D5">
            <w:pPr>
              <w:widowControl/>
              <w:jc w:val="center"/>
              <w:rPr>
                <w:rFonts w:ascii="Times New Roman" w:hAnsi="Times New Roman" w:eastAsia="宋体" w:cs="Times New Roman"/>
                <w:szCs w:val="21"/>
              </w:rPr>
            </w:pPr>
          </w:p>
        </w:tc>
        <w:tc>
          <w:tcPr>
            <w:tcW w:w="986" w:type="dxa"/>
            <w:vAlign w:val="center"/>
          </w:tcPr>
          <w:p w14:paraId="260F33CE">
            <w:pPr>
              <w:widowControl/>
              <w:jc w:val="center"/>
              <w:rPr>
                <w:rFonts w:ascii="Times New Roman" w:hAnsi="Times New Roman" w:eastAsia="宋体" w:cs="Times New Roman"/>
                <w:szCs w:val="21"/>
              </w:rPr>
            </w:pPr>
          </w:p>
        </w:tc>
      </w:tr>
    </w:tbl>
    <w:p w14:paraId="348C99D8">
      <w:pPr>
        <w:rPr>
          <w:rFonts w:hint="eastAsia" w:ascii="宋体" w:hAnsi="宋体" w:eastAsia="宋体" w:cs="Times New Roman"/>
          <w:b/>
          <w:bCs/>
          <w:szCs w:val="21"/>
        </w:rPr>
      </w:pPr>
      <w:r>
        <w:rPr>
          <w:rFonts w:hint="eastAsia" w:ascii="宋体" w:hAnsi="宋体" w:eastAsia="宋体" w:cs="Times New Roman"/>
          <w:b/>
          <w:bCs/>
          <w:szCs w:val="21"/>
        </w:rPr>
        <w:br w:type="page"/>
      </w:r>
    </w:p>
    <w:p w14:paraId="10A284CB">
      <w:pPr>
        <w:widowControl/>
        <w:jc w:val="left"/>
        <w:rPr>
          <w:rFonts w:ascii="宋体" w:hAnsi="宋体" w:eastAsia="宋体" w:cs="Times New Roman"/>
          <w:b/>
          <w:bCs/>
          <w:szCs w:val="21"/>
        </w:rPr>
      </w:pPr>
      <w:r>
        <w:rPr>
          <w:rFonts w:hint="eastAsia" w:ascii="宋体" w:hAnsi="宋体" w:eastAsia="宋体" w:cs="Times New Roman"/>
          <w:b/>
          <w:bCs/>
          <w:szCs w:val="21"/>
        </w:rPr>
        <w:t>附件2：考核标准</w:t>
      </w:r>
    </w:p>
    <w:p w14:paraId="1994039C">
      <w:pPr>
        <w:rPr>
          <w:rFonts w:ascii="Times New Roman" w:hAnsi="Times New Roman" w:eastAsia="宋体" w:cs="Times New Roman"/>
          <w:szCs w:val="20"/>
        </w:rPr>
      </w:pPr>
    </w:p>
    <w:p w14:paraId="18388E04">
      <w:pPr>
        <w:rPr>
          <w:rFonts w:ascii="Times New Roman" w:hAnsi="Times New Roman" w:eastAsia="宋体" w:cs="Times New Roman"/>
          <w:szCs w:val="20"/>
        </w:rPr>
      </w:pPr>
      <w:r>
        <w:rPr>
          <w:rFonts w:hint="eastAsia" w:ascii="Times New Roman" w:hAnsi="Times New Roman" w:eastAsia="宋体" w:cs="Times New Roman"/>
          <w:szCs w:val="20"/>
        </w:rPr>
        <w:t>*</w:t>
      </w:r>
      <w:r>
        <w:rPr>
          <w:rFonts w:ascii="Times New Roman" w:hAnsi="Times New Roman" w:eastAsia="宋体" w:cs="Times New Roman"/>
          <w:szCs w:val="20"/>
        </w:rPr>
        <w:t>**</w:t>
      </w:r>
    </w:p>
    <w:p w14:paraId="27F17594">
      <w:pPr>
        <w:rPr>
          <w:rFonts w:ascii="Times New Roman" w:hAnsi="Times New Roman" w:eastAsia="宋体" w:cs="Times New Roman"/>
          <w:szCs w:val="20"/>
        </w:rPr>
      </w:pPr>
      <w:r>
        <w:rPr>
          <w:rFonts w:ascii="Times New Roman" w:hAnsi="Times New Roman" w:eastAsia="宋体" w:cs="Times New Roman"/>
          <w:szCs w:val="20"/>
        </w:rPr>
        <w:br w:type="page"/>
      </w:r>
    </w:p>
    <w:p w14:paraId="75DBF38A">
      <w:pPr>
        <w:rPr>
          <w:rFonts w:ascii="宋体" w:hAnsi="宋体" w:eastAsia="宋体" w:cs="Times New Roman"/>
          <w:b/>
          <w:bCs/>
          <w:szCs w:val="21"/>
        </w:rPr>
      </w:pPr>
      <w:r>
        <w:rPr>
          <w:rFonts w:hint="eastAsia" w:ascii="宋体" w:hAnsi="宋体" w:eastAsia="宋体" w:cs="Times New Roman"/>
          <w:b/>
          <w:bCs/>
          <w:szCs w:val="21"/>
        </w:rPr>
        <w:t>附件</w:t>
      </w:r>
      <w:r>
        <w:rPr>
          <w:rFonts w:ascii="宋体" w:hAnsi="宋体" w:eastAsia="宋体" w:cs="Times New Roman"/>
          <w:b/>
          <w:bCs/>
          <w:szCs w:val="21"/>
        </w:rPr>
        <w:t>3</w:t>
      </w:r>
      <w:r>
        <w:rPr>
          <w:rFonts w:hint="eastAsia" w:ascii="宋体" w:hAnsi="宋体" w:eastAsia="宋体" w:cs="Times New Roman"/>
          <w:b/>
          <w:bCs/>
          <w:szCs w:val="21"/>
        </w:rPr>
        <w:t>：</w:t>
      </w:r>
      <w:r>
        <w:rPr>
          <w:rFonts w:ascii="宋体" w:hAnsi="宋体" w:eastAsia="宋体" w:cs="Times New Roman"/>
          <w:b/>
          <w:bCs/>
          <w:szCs w:val="21"/>
        </w:rPr>
        <w:t>服务</w:t>
      </w:r>
      <w:r>
        <w:rPr>
          <w:rFonts w:hint="eastAsia" w:ascii="宋体" w:hAnsi="宋体" w:eastAsia="宋体" w:cs="Times New Roman"/>
          <w:b/>
          <w:bCs/>
          <w:szCs w:val="21"/>
        </w:rPr>
        <w:t>方案</w:t>
      </w:r>
    </w:p>
    <w:p w14:paraId="4799C113">
      <w:pPr>
        <w:rPr>
          <w:rFonts w:ascii="Times New Roman" w:hAnsi="Times New Roman" w:eastAsia="宋体" w:cs="Times New Roman"/>
          <w:szCs w:val="20"/>
        </w:rPr>
      </w:pPr>
    </w:p>
    <w:p w14:paraId="32030E6A">
      <w:pPr>
        <w:rPr>
          <w:rFonts w:ascii="Times New Roman" w:hAnsi="Times New Roman" w:eastAsia="宋体" w:cs="Times New Roman"/>
          <w:szCs w:val="20"/>
        </w:rPr>
      </w:pPr>
      <w:r>
        <w:rPr>
          <w:rFonts w:hint="eastAsia" w:ascii="Times New Roman" w:hAnsi="Times New Roman" w:eastAsia="宋体" w:cs="Times New Roman"/>
          <w:szCs w:val="20"/>
        </w:rPr>
        <w:t>*</w:t>
      </w:r>
      <w:r>
        <w:rPr>
          <w:rFonts w:ascii="Times New Roman" w:hAnsi="Times New Roman" w:eastAsia="宋体" w:cs="Times New Roman"/>
          <w:szCs w:val="20"/>
        </w:rPr>
        <w:t>**</w:t>
      </w:r>
    </w:p>
    <w:p w14:paraId="10E4ED33">
      <w:pPr>
        <w:rPr>
          <w:rFonts w:ascii="Times New Roman" w:hAnsi="Times New Roman" w:eastAsia="宋体" w:cs="Times New Roman"/>
          <w:szCs w:val="20"/>
        </w:rPr>
      </w:pPr>
    </w:p>
    <w:p w14:paraId="526D6C70">
      <w:pPr>
        <w:rPr>
          <w:rFonts w:ascii="Times New Roman" w:hAnsi="Times New Roman" w:cs="Times New Roman"/>
          <w:b/>
          <w:bCs/>
          <w:sz w:val="44"/>
          <w:szCs w:val="52"/>
        </w:rPr>
      </w:pPr>
    </w:p>
    <w:p w14:paraId="0CA01D3C">
      <w:pPr>
        <w:rPr>
          <w:rFonts w:ascii="Times New Roman" w:hAnsi="Times New Roman" w:cs="Times New Roman"/>
          <w:b/>
          <w:bCs/>
          <w:sz w:val="44"/>
          <w:szCs w:val="52"/>
        </w:rPr>
      </w:pPr>
      <w:r>
        <w:rPr>
          <w:rFonts w:ascii="Times New Roman" w:hAnsi="Times New Roman" w:cs="Times New Roman"/>
          <w:b/>
          <w:bCs/>
          <w:sz w:val="44"/>
          <w:szCs w:val="52"/>
        </w:rPr>
        <w:br w:type="page"/>
      </w:r>
    </w:p>
    <w:p w14:paraId="758E30D4">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6AF43165">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3517DD9D">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6F9D957E">
      <w:pPr>
        <w:ind w:firstLine="560" w:firstLineChars="200"/>
        <w:rPr>
          <w:rFonts w:ascii="Times New Roman" w:hAnsi="Times New Roman" w:eastAsia="仿宋" w:cs="Times New Roman"/>
          <w:sz w:val="28"/>
          <w:szCs w:val="28"/>
        </w:rPr>
      </w:pPr>
    </w:p>
    <w:p w14:paraId="0B7CEB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预防医药购销领域不正之风</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我院与供应商签订如下协议</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共同遵守</w:t>
      </w:r>
      <w:r>
        <w:rPr>
          <w:rFonts w:hint="eastAsia" w:ascii="Times New Roman" w:hAnsi="Times New Roman" w:eastAsia="仿宋" w:cs="Times New Roman"/>
          <w:sz w:val="28"/>
          <w:szCs w:val="28"/>
          <w:lang w:eastAsia="zh-CN"/>
        </w:rPr>
        <w:t>：</w:t>
      </w:r>
    </w:p>
    <w:p w14:paraId="5258CB7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暗示、索要和收受供应商任何形式的财物、提成、回扣等一切不正当利益。</w:t>
      </w:r>
    </w:p>
    <w:p w14:paraId="338355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一经查实</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按有关规定严肃处理并追究相关人员责任。</w:t>
      </w:r>
    </w:p>
    <w:p w14:paraId="50804A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64ABA2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2792751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8A381B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3B3714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460E05B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归口管理部门、供应商、招标采购中心各执一份。</w:t>
      </w:r>
    </w:p>
    <w:p w14:paraId="22FF060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2C979A6E">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4F0C3DE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3AFE638">
      <w:pPr>
        <w:ind w:firstLine="560" w:firstLineChars="200"/>
        <w:rPr>
          <w:rFonts w:ascii="Times New Roman" w:hAnsi="Times New Roman" w:eastAsia="仿宋" w:cs="Times New Roman"/>
          <w:sz w:val="28"/>
          <w:szCs w:val="28"/>
        </w:rPr>
      </w:pPr>
    </w:p>
    <w:p w14:paraId="2E1FAC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 xml:space="preserve">        乙方：   供应单位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p>
    <w:p w14:paraId="10206FD8">
      <w:pPr>
        <w:ind w:firstLine="560" w:firstLineChars="200"/>
        <w:rPr>
          <w:rFonts w:ascii="Times New Roman" w:hAnsi="Times New Roman" w:eastAsia="仿宋" w:cs="Times New Roman"/>
          <w:sz w:val="28"/>
          <w:szCs w:val="28"/>
        </w:rPr>
      </w:pPr>
    </w:p>
    <w:p w14:paraId="476F5B5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r>
        <w:rPr>
          <w:rFonts w:hint="eastAsia" w:ascii="Times New Roman" w:hAnsi="Times New Roman" w:eastAsia="仿宋" w:cs="Times New Roman"/>
          <w:sz w:val="28"/>
          <w:szCs w:val="28"/>
          <w:lang w:eastAsia="zh-CN"/>
        </w:rPr>
        <w:t>：</w:t>
      </w:r>
    </w:p>
    <w:p w14:paraId="16107A24">
      <w:pPr>
        <w:ind w:firstLine="4200" w:firstLineChars="1500"/>
        <w:rPr>
          <w:rFonts w:ascii="Times New Roman" w:hAnsi="Times New Roman" w:eastAsia="仿宋" w:cs="Times New Roman"/>
          <w:sz w:val="28"/>
          <w:szCs w:val="28"/>
        </w:rPr>
      </w:pPr>
    </w:p>
    <w:p w14:paraId="112A86E1">
      <w:pPr>
        <w:jc w:val="right"/>
        <w:rPr>
          <w:rStyle w:val="33"/>
          <w:rFonts w:ascii="Times New Roman" w:hAnsi="Times New Roman" w:eastAsia="宋体" w:cs="Times New Roman"/>
          <w:b/>
          <w:bCs/>
          <w:sz w:val="32"/>
          <w:szCs w:val="32"/>
        </w:rPr>
      </w:pPr>
      <w:r>
        <w:rPr>
          <w:rFonts w:ascii="Times New Roman" w:hAnsi="Times New Roman" w:cs="Times New Roman"/>
        </w:rPr>
        <w:t>年   月   日</w:t>
      </w:r>
    </w:p>
    <w:p w14:paraId="27852A60">
      <w:pPr>
        <w:pStyle w:val="26"/>
        <w:rPr>
          <w:rFonts w:ascii="Times New Roman" w:hAnsi="Times New Roman"/>
        </w:rPr>
      </w:pPr>
    </w:p>
    <w:sectPr>
      <w:footerReference r:id="rId8"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036713F8-3DDC-48F2-88BD-36048D0DBEA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9C434FD6-114A-47A8-A1C2-7F55DBD1661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258F6232-0DD2-44F2-A0D4-8E8AC5F864F0}"/>
  </w:font>
  <w:font w:name="仿宋">
    <w:panose1 w:val="02010609060101010101"/>
    <w:charset w:val="86"/>
    <w:family w:val="modern"/>
    <w:pitch w:val="default"/>
    <w:sig w:usb0="800002BF" w:usb1="38CF7CFA" w:usb2="00000016" w:usb3="00000000" w:csb0="00040001" w:csb1="00000000"/>
    <w:embedRegular r:id="rId4" w:fontKey="{1D811F18-9D5D-45AD-8048-9D70393B3770}"/>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5" w:fontKey="{5F23AD4E-D4F2-4300-B8D5-E1870A54ECA0}"/>
  </w:font>
  <w:font w:name="Wingdings 2">
    <w:altName w:val="Wingdings"/>
    <w:panose1 w:val="05020102010507070707"/>
    <w:charset w:val="4D"/>
    <w:family w:val="decorative"/>
    <w:pitch w:val="default"/>
    <w:sig w:usb0="00000000" w:usb1="00000000" w:usb2="00000000" w:usb3="00000000" w:csb0="80000001" w:csb1="00000000"/>
    <w:embedRegular r:id="rId6" w:fontKey="{1FD047D8-E69B-4B50-977B-E872E072DFFF}"/>
  </w:font>
  <w:font w:name="微软雅黑">
    <w:panose1 w:val="020B0503020204020204"/>
    <w:charset w:val="86"/>
    <w:family w:val="swiss"/>
    <w:pitch w:val="default"/>
    <w:sig w:usb0="80000287" w:usb1="2ACF3C50" w:usb2="00000016" w:usb3="00000000" w:csb0="0004001F" w:csb1="00000000"/>
    <w:embedRegular r:id="rId7" w:fontKey="{94FD76AC-747E-4760-AE9F-4B6A56BFFC9A}"/>
  </w:font>
  <w:font w:name="Arial">
    <w:panose1 w:val="020B0604020202020204"/>
    <w:charset w:val="00"/>
    <w:family w:val="auto"/>
    <w:pitch w:val="default"/>
    <w:sig w:usb0="E0002EFF" w:usb1="C000785B" w:usb2="00000009" w:usb3="00000000" w:csb0="400001FF" w:csb1="FFFF0000"/>
  </w:font>
  <w:font w:name="Kingsoft UE">
    <w:panose1 w:val="02000100010000000000"/>
    <w:charset w:val="00"/>
    <w:family w:val="auto"/>
    <w:pitch w:val="default"/>
    <w:sig w:usb0="00000001" w:usb1="00004000" w:usb2="00000000" w:usb3="00000000" w:csb0="00000001" w:csb1="00000000"/>
  </w:font>
  <w:font w:name="KSOFE816CA0F">
    <w:panose1 w:val="02020603050405020304"/>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1D476E">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043C32">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6F4378">
                          <w:pPr>
                            <w:pStyle w:val="1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35</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26F4378">
                    <w:pPr>
                      <w:pStyle w:val="1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35</w:t>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19AFD5">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35</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A19AFD5">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35</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tabs>
        <w:tab w:val="left" w:pos="7316"/>
        <w:tab w:val="right" w:pos="9756"/>
      </w:tabs>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DA94D1">
    <w:pPr>
      <w:pStyle w:val="12"/>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7">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8">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9">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1">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2">
    <w:nsid w:val="1F712D09"/>
    <w:multiLevelType w:val="singleLevel"/>
    <w:tmpl w:val="1F712D09"/>
    <w:lvl w:ilvl="0" w:tentative="0">
      <w:start w:val="1"/>
      <w:numFmt w:val="decimal"/>
      <w:lvlText w:val="(%1)"/>
      <w:lvlJc w:val="left"/>
      <w:pPr>
        <w:ind w:left="218" w:hanging="425"/>
      </w:pPr>
      <w:rPr>
        <w:rFonts w:hint="default"/>
      </w:rPr>
    </w:lvl>
  </w:abstractNum>
  <w:abstractNum w:abstractNumId="13">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5">
    <w:nsid w:val="3A69C7D9"/>
    <w:multiLevelType w:val="singleLevel"/>
    <w:tmpl w:val="3A69C7D9"/>
    <w:lvl w:ilvl="0" w:tentative="0">
      <w:start w:val="1"/>
      <w:numFmt w:val="decimal"/>
      <w:lvlText w:val="(%1)"/>
      <w:lvlJc w:val="left"/>
      <w:pPr>
        <w:ind w:left="425" w:hanging="425"/>
      </w:pPr>
      <w:rPr>
        <w:rFonts w:hint="default"/>
      </w:rPr>
    </w:lvl>
  </w:abstractNum>
  <w:abstractNum w:abstractNumId="16">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7">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8">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9">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1">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2">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3">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4">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4"/>
  </w:num>
  <w:num w:numId="2">
    <w:abstractNumId w:val="3"/>
  </w:num>
  <w:num w:numId="3">
    <w:abstractNumId w:val="16"/>
  </w:num>
  <w:num w:numId="4">
    <w:abstractNumId w:val="25"/>
  </w:num>
  <w:num w:numId="5">
    <w:abstractNumId w:val="12"/>
  </w:num>
  <w:num w:numId="6">
    <w:abstractNumId w:val="20"/>
  </w:num>
  <w:num w:numId="7">
    <w:abstractNumId w:val="15"/>
  </w:num>
  <w:num w:numId="8">
    <w:abstractNumId w:val="2"/>
  </w:num>
  <w:num w:numId="9">
    <w:abstractNumId w:val="1"/>
  </w:num>
  <w:num w:numId="10">
    <w:abstractNumId w:val="0"/>
  </w:num>
  <w:num w:numId="11">
    <w:abstractNumId w:val="4"/>
  </w:num>
  <w:num w:numId="12">
    <w:abstractNumId w:val="11"/>
  </w:num>
  <w:num w:numId="13">
    <w:abstractNumId w:val="21"/>
  </w:num>
  <w:num w:numId="14">
    <w:abstractNumId w:val="24"/>
  </w:num>
  <w:num w:numId="15">
    <w:abstractNumId w:val="18"/>
  </w:num>
  <w:num w:numId="16">
    <w:abstractNumId w:val="8"/>
  </w:num>
  <w:num w:numId="17">
    <w:abstractNumId w:val="6"/>
  </w:num>
  <w:num w:numId="18">
    <w:abstractNumId w:val="22"/>
  </w:num>
  <w:num w:numId="19">
    <w:abstractNumId w:val="17"/>
  </w:num>
  <w:num w:numId="20">
    <w:abstractNumId w:val="7"/>
  </w:num>
  <w:num w:numId="21">
    <w:abstractNumId w:val="10"/>
  </w:num>
  <w:num w:numId="22">
    <w:abstractNumId w:val="23"/>
  </w:num>
  <w:num w:numId="23">
    <w:abstractNumId w:val="5"/>
  </w:num>
  <w:num w:numId="24">
    <w:abstractNumId w:val="19"/>
  </w:num>
  <w:num w:numId="25">
    <w:abstractNumId w:val="9"/>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A7208"/>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0770D"/>
    <w:rsid w:val="00E2603E"/>
    <w:rsid w:val="00E535EF"/>
    <w:rsid w:val="00E71156"/>
    <w:rsid w:val="00E769CD"/>
    <w:rsid w:val="00EA700B"/>
    <w:rsid w:val="00EF1292"/>
    <w:rsid w:val="00F3202A"/>
    <w:rsid w:val="00F523A1"/>
    <w:rsid w:val="00F676AD"/>
    <w:rsid w:val="00F90C3B"/>
    <w:rsid w:val="00FF60E3"/>
    <w:rsid w:val="0168325F"/>
    <w:rsid w:val="01A1683A"/>
    <w:rsid w:val="01AC5842"/>
    <w:rsid w:val="01D50A7C"/>
    <w:rsid w:val="01EA636A"/>
    <w:rsid w:val="01FF7230"/>
    <w:rsid w:val="023C235A"/>
    <w:rsid w:val="024C0DD3"/>
    <w:rsid w:val="02A20953"/>
    <w:rsid w:val="032C0B2E"/>
    <w:rsid w:val="03D1158F"/>
    <w:rsid w:val="041F679F"/>
    <w:rsid w:val="043D4E77"/>
    <w:rsid w:val="04BC1856"/>
    <w:rsid w:val="058C78B0"/>
    <w:rsid w:val="05E13064"/>
    <w:rsid w:val="05E51322"/>
    <w:rsid w:val="05FD48BE"/>
    <w:rsid w:val="06897EFF"/>
    <w:rsid w:val="078A573C"/>
    <w:rsid w:val="08103F1A"/>
    <w:rsid w:val="082425D6"/>
    <w:rsid w:val="083251D0"/>
    <w:rsid w:val="08326375"/>
    <w:rsid w:val="0837398B"/>
    <w:rsid w:val="083A1BBD"/>
    <w:rsid w:val="08745B19"/>
    <w:rsid w:val="08E458C1"/>
    <w:rsid w:val="08EE39BE"/>
    <w:rsid w:val="09090CA5"/>
    <w:rsid w:val="093A3733"/>
    <w:rsid w:val="0A220AAD"/>
    <w:rsid w:val="0A27015B"/>
    <w:rsid w:val="0A5151D8"/>
    <w:rsid w:val="0A726EFC"/>
    <w:rsid w:val="0B4508AE"/>
    <w:rsid w:val="0C120997"/>
    <w:rsid w:val="0C190A6A"/>
    <w:rsid w:val="0C774C9E"/>
    <w:rsid w:val="0C965124"/>
    <w:rsid w:val="0CF161C9"/>
    <w:rsid w:val="0D26294C"/>
    <w:rsid w:val="0D5C636E"/>
    <w:rsid w:val="0D7D4536"/>
    <w:rsid w:val="0DF742E8"/>
    <w:rsid w:val="0E0B7FF0"/>
    <w:rsid w:val="0E5B6625"/>
    <w:rsid w:val="0EAC189D"/>
    <w:rsid w:val="0F5D2ECD"/>
    <w:rsid w:val="0FC14BAE"/>
    <w:rsid w:val="101A497B"/>
    <w:rsid w:val="10432B4B"/>
    <w:rsid w:val="108247E3"/>
    <w:rsid w:val="10A15B58"/>
    <w:rsid w:val="10E91ADD"/>
    <w:rsid w:val="110E1F50"/>
    <w:rsid w:val="117A5014"/>
    <w:rsid w:val="127F05A0"/>
    <w:rsid w:val="1299771C"/>
    <w:rsid w:val="12BC165D"/>
    <w:rsid w:val="130A5001"/>
    <w:rsid w:val="136D78F8"/>
    <w:rsid w:val="13806B2E"/>
    <w:rsid w:val="13AC16D1"/>
    <w:rsid w:val="14221993"/>
    <w:rsid w:val="144B0EEA"/>
    <w:rsid w:val="14A32AD4"/>
    <w:rsid w:val="150D7916"/>
    <w:rsid w:val="15567E5A"/>
    <w:rsid w:val="15CC4977"/>
    <w:rsid w:val="16077093"/>
    <w:rsid w:val="162A4F7D"/>
    <w:rsid w:val="16A82A66"/>
    <w:rsid w:val="16DE614F"/>
    <w:rsid w:val="17233056"/>
    <w:rsid w:val="172E5587"/>
    <w:rsid w:val="17826121"/>
    <w:rsid w:val="18316649"/>
    <w:rsid w:val="18733D49"/>
    <w:rsid w:val="18E216F1"/>
    <w:rsid w:val="1954595C"/>
    <w:rsid w:val="1994787E"/>
    <w:rsid w:val="1A82318C"/>
    <w:rsid w:val="1B0B27A2"/>
    <w:rsid w:val="1B634D6B"/>
    <w:rsid w:val="1B642891"/>
    <w:rsid w:val="1BC9751D"/>
    <w:rsid w:val="1C625023"/>
    <w:rsid w:val="1C746B04"/>
    <w:rsid w:val="1D2821E4"/>
    <w:rsid w:val="1D8C2C2E"/>
    <w:rsid w:val="1DB4365C"/>
    <w:rsid w:val="1DC35F95"/>
    <w:rsid w:val="1DD000AF"/>
    <w:rsid w:val="1DDE692B"/>
    <w:rsid w:val="1E09745A"/>
    <w:rsid w:val="1E0D2131"/>
    <w:rsid w:val="1E114F52"/>
    <w:rsid w:val="1E176351"/>
    <w:rsid w:val="1E3E516A"/>
    <w:rsid w:val="1ECD615C"/>
    <w:rsid w:val="1FE21EC2"/>
    <w:rsid w:val="1FF95C9E"/>
    <w:rsid w:val="209239FD"/>
    <w:rsid w:val="20CF13CE"/>
    <w:rsid w:val="215D225D"/>
    <w:rsid w:val="21B53E47"/>
    <w:rsid w:val="22935D1D"/>
    <w:rsid w:val="22D60519"/>
    <w:rsid w:val="2393373D"/>
    <w:rsid w:val="23B24AE2"/>
    <w:rsid w:val="23D4489F"/>
    <w:rsid w:val="23D83E1C"/>
    <w:rsid w:val="24466FD8"/>
    <w:rsid w:val="24727DCD"/>
    <w:rsid w:val="25186BC6"/>
    <w:rsid w:val="252B6033"/>
    <w:rsid w:val="25537BFE"/>
    <w:rsid w:val="25F95EEC"/>
    <w:rsid w:val="262001B9"/>
    <w:rsid w:val="264F486A"/>
    <w:rsid w:val="271635BC"/>
    <w:rsid w:val="27B87AF9"/>
    <w:rsid w:val="27DA0163"/>
    <w:rsid w:val="27E80EA9"/>
    <w:rsid w:val="280414A1"/>
    <w:rsid w:val="28570368"/>
    <w:rsid w:val="28A27020"/>
    <w:rsid w:val="28E14F1E"/>
    <w:rsid w:val="29C5318E"/>
    <w:rsid w:val="2A142F93"/>
    <w:rsid w:val="2A81391B"/>
    <w:rsid w:val="2B502F98"/>
    <w:rsid w:val="2BE05F64"/>
    <w:rsid w:val="2C9A0A9E"/>
    <w:rsid w:val="2D2307FE"/>
    <w:rsid w:val="2D2F2FAF"/>
    <w:rsid w:val="2DA70D65"/>
    <w:rsid w:val="2DBC4548"/>
    <w:rsid w:val="2E156399"/>
    <w:rsid w:val="2E3B56D4"/>
    <w:rsid w:val="2E3D31FA"/>
    <w:rsid w:val="2E693FEF"/>
    <w:rsid w:val="2E9C2616"/>
    <w:rsid w:val="2F575E37"/>
    <w:rsid w:val="2FEF6776"/>
    <w:rsid w:val="30136908"/>
    <w:rsid w:val="30E31FB7"/>
    <w:rsid w:val="31322DBE"/>
    <w:rsid w:val="32165D3B"/>
    <w:rsid w:val="325356E2"/>
    <w:rsid w:val="332B5D17"/>
    <w:rsid w:val="333F7A14"/>
    <w:rsid w:val="33F151B2"/>
    <w:rsid w:val="3427766B"/>
    <w:rsid w:val="343706EB"/>
    <w:rsid w:val="34713BFD"/>
    <w:rsid w:val="34830DA6"/>
    <w:rsid w:val="35154C31"/>
    <w:rsid w:val="351A08D0"/>
    <w:rsid w:val="35805CB0"/>
    <w:rsid w:val="35A26038"/>
    <w:rsid w:val="35A41DB0"/>
    <w:rsid w:val="35BC70FA"/>
    <w:rsid w:val="36334CE5"/>
    <w:rsid w:val="3701395E"/>
    <w:rsid w:val="3756532C"/>
    <w:rsid w:val="37920A5A"/>
    <w:rsid w:val="37BE35FD"/>
    <w:rsid w:val="380A6843"/>
    <w:rsid w:val="382B5F8F"/>
    <w:rsid w:val="391E6AEA"/>
    <w:rsid w:val="393671C3"/>
    <w:rsid w:val="3A3F1B1E"/>
    <w:rsid w:val="3A551407"/>
    <w:rsid w:val="3B033C36"/>
    <w:rsid w:val="3B9C7486"/>
    <w:rsid w:val="3C333E8E"/>
    <w:rsid w:val="3C7C1C4C"/>
    <w:rsid w:val="3C8A61A4"/>
    <w:rsid w:val="3CB90F2D"/>
    <w:rsid w:val="3CD71A19"/>
    <w:rsid w:val="3CE05DC4"/>
    <w:rsid w:val="3CEE6201"/>
    <w:rsid w:val="3D385C00"/>
    <w:rsid w:val="3DBF7BA4"/>
    <w:rsid w:val="3E57579A"/>
    <w:rsid w:val="3E5D4E8E"/>
    <w:rsid w:val="3EF618CF"/>
    <w:rsid w:val="3F7A01A3"/>
    <w:rsid w:val="3FE25336"/>
    <w:rsid w:val="40073668"/>
    <w:rsid w:val="40866C82"/>
    <w:rsid w:val="40C31C84"/>
    <w:rsid w:val="41076015"/>
    <w:rsid w:val="42075FF8"/>
    <w:rsid w:val="422C3859"/>
    <w:rsid w:val="42842020"/>
    <w:rsid w:val="42876CE2"/>
    <w:rsid w:val="42D00689"/>
    <w:rsid w:val="436C730A"/>
    <w:rsid w:val="44150A49"/>
    <w:rsid w:val="444340B2"/>
    <w:rsid w:val="44E81B7F"/>
    <w:rsid w:val="4513485D"/>
    <w:rsid w:val="45E55E03"/>
    <w:rsid w:val="466A1160"/>
    <w:rsid w:val="468567BB"/>
    <w:rsid w:val="4734568A"/>
    <w:rsid w:val="476060E7"/>
    <w:rsid w:val="4782487D"/>
    <w:rsid w:val="47B71E17"/>
    <w:rsid w:val="47FA7BD0"/>
    <w:rsid w:val="49A10689"/>
    <w:rsid w:val="49BF4FB3"/>
    <w:rsid w:val="49D56585"/>
    <w:rsid w:val="49EF2818"/>
    <w:rsid w:val="49FC25C6"/>
    <w:rsid w:val="4A052D2B"/>
    <w:rsid w:val="4A3D2AA8"/>
    <w:rsid w:val="4A475610"/>
    <w:rsid w:val="4ABD5996"/>
    <w:rsid w:val="4B31068E"/>
    <w:rsid w:val="4B410375"/>
    <w:rsid w:val="4BA55220"/>
    <w:rsid w:val="4BAD0151"/>
    <w:rsid w:val="4BCA036B"/>
    <w:rsid w:val="4BCB7C3F"/>
    <w:rsid w:val="4BF453E8"/>
    <w:rsid w:val="4C184E09"/>
    <w:rsid w:val="4C2757BD"/>
    <w:rsid w:val="4C7E73A7"/>
    <w:rsid w:val="4C8F75A2"/>
    <w:rsid w:val="4C900DAB"/>
    <w:rsid w:val="4DAD4403"/>
    <w:rsid w:val="4E0336C0"/>
    <w:rsid w:val="4E6F0D56"/>
    <w:rsid w:val="4E8C008E"/>
    <w:rsid w:val="4E9B1B4B"/>
    <w:rsid w:val="4EA312FE"/>
    <w:rsid w:val="4EDC5ADC"/>
    <w:rsid w:val="4EE002CE"/>
    <w:rsid w:val="4FEF758C"/>
    <w:rsid w:val="501A6E72"/>
    <w:rsid w:val="501C4F0D"/>
    <w:rsid w:val="50201D6B"/>
    <w:rsid w:val="503A2AB3"/>
    <w:rsid w:val="50771A9C"/>
    <w:rsid w:val="51C47F6D"/>
    <w:rsid w:val="51F83758"/>
    <w:rsid w:val="52B256B5"/>
    <w:rsid w:val="52FB52AE"/>
    <w:rsid w:val="54063F0A"/>
    <w:rsid w:val="5455382C"/>
    <w:rsid w:val="547F7727"/>
    <w:rsid w:val="55175CA3"/>
    <w:rsid w:val="55342CF9"/>
    <w:rsid w:val="554674F7"/>
    <w:rsid w:val="560662B2"/>
    <w:rsid w:val="574F5BC8"/>
    <w:rsid w:val="57AE6D93"/>
    <w:rsid w:val="589C07F4"/>
    <w:rsid w:val="59357973"/>
    <w:rsid w:val="59965D30"/>
    <w:rsid w:val="5A3727CC"/>
    <w:rsid w:val="5A6307F6"/>
    <w:rsid w:val="5AA47FD9"/>
    <w:rsid w:val="5BA529F7"/>
    <w:rsid w:val="5C205D85"/>
    <w:rsid w:val="5C6043D4"/>
    <w:rsid w:val="5D0A3490"/>
    <w:rsid w:val="5D0E599D"/>
    <w:rsid w:val="5D7E0D39"/>
    <w:rsid w:val="5DDF2DD1"/>
    <w:rsid w:val="5DE057CC"/>
    <w:rsid w:val="5E2E5CB0"/>
    <w:rsid w:val="5E490A40"/>
    <w:rsid w:val="5E9D3F29"/>
    <w:rsid w:val="5EDF45D6"/>
    <w:rsid w:val="5F353859"/>
    <w:rsid w:val="5F64242D"/>
    <w:rsid w:val="5FB63195"/>
    <w:rsid w:val="60384CD1"/>
    <w:rsid w:val="60557590"/>
    <w:rsid w:val="60655808"/>
    <w:rsid w:val="606C7EF8"/>
    <w:rsid w:val="608E1541"/>
    <w:rsid w:val="60F86CEE"/>
    <w:rsid w:val="617D1584"/>
    <w:rsid w:val="6220263B"/>
    <w:rsid w:val="63A9427A"/>
    <w:rsid w:val="63D462B1"/>
    <w:rsid w:val="63E678B4"/>
    <w:rsid w:val="63FF44D2"/>
    <w:rsid w:val="641A3596"/>
    <w:rsid w:val="64C00105"/>
    <w:rsid w:val="64C36D7E"/>
    <w:rsid w:val="64D96647"/>
    <w:rsid w:val="64F90F01"/>
    <w:rsid w:val="655B51E5"/>
    <w:rsid w:val="65E40ADA"/>
    <w:rsid w:val="66330B86"/>
    <w:rsid w:val="66E22203"/>
    <w:rsid w:val="677B6565"/>
    <w:rsid w:val="67AB0BF9"/>
    <w:rsid w:val="68B812C9"/>
    <w:rsid w:val="694A4441"/>
    <w:rsid w:val="698536CB"/>
    <w:rsid w:val="69BB533F"/>
    <w:rsid w:val="69D50CF4"/>
    <w:rsid w:val="69D73D89"/>
    <w:rsid w:val="69FF522C"/>
    <w:rsid w:val="6A535578"/>
    <w:rsid w:val="6AE34B4E"/>
    <w:rsid w:val="6BBB1173"/>
    <w:rsid w:val="6C0905E4"/>
    <w:rsid w:val="6C487AFD"/>
    <w:rsid w:val="6C8664BC"/>
    <w:rsid w:val="6CB24363"/>
    <w:rsid w:val="6D3E7C18"/>
    <w:rsid w:val="6DBB3A8B"/>
    <w:rsid w:val="6DE573D0"/>
    <w:rsid w:val="6E721F63"/>
    <w:rsid w:val="6EA93466"/>
    <w:rsid w:val="6EBE56B6"/>
    <w:rsid w:val="6EFF37D8"/>
    <w:rsid w:val="6F146151"/>
    <w:rsid w:val="6F276F27"/>
    <w:rsid w:val="6F7D4948"/>
    <w:rsid w:val="6F960C48"/>
    <w:rsid w:val="6FCF0795"/>
    <w:rsid w:val="6FE70C3C"/>
    <w:rsid w:val="700560CB"/>
    <w:rsid w:val="704E574A"/>
    <w:rsid w:val="70643A4D"/>
    <w:rsid w:val="70C90342"/>
    <w:rsid w:val="70F10A19"/>
    <w:rsid w:val="71381023"/>
    <w:rsid w:val="732B6917"/>
    <w:rsid w:val="735465E8"/>
    <w:rsid w:val="73714961"/>
    <w:rsid w:val="74060F7A"/>
    <w:rsid w:val="74D27DA9"/>
    <w:rsid w:val="74D925D0"/>
    <w:rsid w:val="754825D6"/>
    <w:rsid w:val="754D1D92"/>
    <w:rsid w:val="75524DAA"/>
    <w:rsid w:val="75676A2A"/>
    <w:rsid w:val="758350A9"/>
    <w:rsid w:val="75AB44BA"/>
    <w:rsid w:val="75DE488F"/>
    <w:rsid w:val="76EE55AC"/>
    <w:rsid w:val="773521BD"/>
    <w:rsid w:val="77BE6726"/>
    <w:rsid w:val="77EE068E"/>
    <w:rsid w:val="78412EB3"/>
    <w:rsid w:val="788B412F"/>
    <w:rsid w:val="78AA2807"/>
    <w:rsid w:val="79687E1D"/>
    <w:rsid w:val="7B560FD7"/>
    <w:rsid w:val="7B5F74F8"/>
    <w:rsid w:val="7B690630"/>
    <w:rsid w:val="7BC01667"/>
    <w:rsid w:val="7BD0027A"/>
    <w:rsid w:val="7C5123F4"/>
    <w:rsid w:val="7C7E6FA2"/>
    <w:rsid w:val="7D040AB6"/>
    <w:rsid w:val="7D4119E6"/>
    <w:rsid w:val="7DAF162B"/>
    <w:rsid w:val="7DB303AF"/>
    <w:rsid w:val="7DC42B41"/>
    <w:rsid w:val="7DEB7B49"/>
    <w:rsid w:val="7E5971A9"/>
    <w:rsid w:val="7E682F48"/>
    <w:rsid w:val="7F4D1F29"/>
    <w:rsid w:val="7F524A36"/>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basedOn w:val="1"/>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sht标题1"/>
    <w:basedOn w:val="1"/>
    <w:next w:val="2"/>
    <w:qFormat/>
    <w:uiPriority w:val="0"/>
    <w:pPr>
      <w:jc w:val="center"/>
    </w:pPr>
    <w:rPr>
      <w:rFonts w:eastAsia="黑体"/>
      <w:b/>
      <w:sz w:val="52"/>
      <w:szCs w:val="24"/>
    </w:rPr>
  </w:style>
  <w:style w:type="paragraph" w:customStyle="1" w:styleId="42">
    <w:name w:val="列出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37</Pages>
  <Words>1243</Words>
  <Characters>1310</Characters>
  <Lines>72</Lines>
  <Paragraphs>20</Paragraphs>
  <TotalTime>0</TotalTime>
  <ScaleCrop>false</ScaleCrop>
  <LinksUpToDate>false</LinksUpToDate>
  <CharactersWithSpaces>1372</CharactersWithSpaces>
  <Application>WPS Office_12.1.0.28022_F1E327BC-269C-435d-A152-05C5408002CA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CAI</cp:lastModifiedBy>
  <dcterms:modified xsi:type="dcterms:W3CDTF">2026-09-29T02:50:00Z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57EB7A2434744399A951BBFC278C5099_13</vt:lpwstr>
  </property>
  <property fmtid="{D5CDD505-2E9C-101B-9397-08002B2CF9AE}" pid="4" name="KSOTemplateDocerSaveRecord">
    <vt:lpwstr>eyJoZGlkIjoiNDc0MTk5M2JkMmE1NDI4NDczMTFjZTZjODJmMzdhNjkiLCJ1c2VySWQiOiIyMTIzMTcyNzYifQ==</vt:lpwstr>
  </property>
</Properties>
</file>