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BF7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pacing w:val="24"/>
          <w:sz w:val="56"/>
          <w:szCs w:val="56"/>
        </w:rPr>
      </w:pPr>
    </w:p>
    <w:p w14:paraId="644DBB99">
      <w:pPr>
        <w:keepNext w:val="0"/>
        <w:keepLines w:val="0"/>
        <w:pageBreakBefore w:val="0"/>
        <w:widowControl w:val="0"/>
        <w:kinsoku/>
        <w:wordWrap/>
        <w:overflowPunct/>
        <w:topLinePunct w:val="0"/>
        <w:autoSpaceDE/>
        <w:autoSpaceDN/>
        <w:bidi w:val="0"/>
        <w:adjustRightInd/>
        <w:snapToGrid/>
        <w:spacing w:before="318" w:beforeLines="100" w:after="317" w:afterLines="100" w:line="360" w:lineRule="auto"/>
        <w:jc w:val="center"/>
        <w:textAlignment w:val="auto"/>
        <w:rPr>
          <w:rFonts w:hint="default" w:ascii="Times New Roman" w:hAnsi="Times New Roman" w:eastAsia="黑体" w:cs="Times New Roman"/>
          <w:b/>
          <w:spacing w:val="24"/>
          <w:sz w:val="56"/>
          <w:szCs w:val="56"/>
          <w:lang w:val="en-US"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龙泉院区配电系统改造二期工程</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3240"/>
      <w:bookmarkStart w:id="2" w:name="_Toc471310326"/>
      <w:bookmarkStart w:id="3" w:name="_Toc20358"/>
      <w:bookmarkStart w:id="4" w:name="_Toc62832406"/>
      <w:bookmarkStart w:id="5" w:name="_Toc21919"/>
      <w:r>
        <w:rPr>
          <w:rFonts w:ascii="Times New Roman" w:hAnsi="Times New Roman" w:cs="Times New Roman"/>
        </w:rPr>
        <w:t>谈判邀请</w:t>
      </w:r>
      <w:bookmarkEnd w:id="0"/>
      <w:bookmarkEnd w:id="1"/>
      <w:bookmarkEnd w:id="2"/>
      <w:bookmarkEnd w:id="3"/>
      <w:bookmarkEnd w:id="4"/>
      <w:bookmarkEnd w:id="5"/>
    </w:p>
    <w:tbl>
      <w:tblPr>
        <w:tblStyle w:val="19"/>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9"/>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9"/>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龙泉院区配电系统改造二期工程</w:t>
            </w:r>
            <w:r>
              <w:rPr>
                <w:rFonts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CGZX-HQB20261332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lang w:val="en-US" w:eastAsia="zh-CN"/>
              </w:rPr>
              <w:t>人民币958281.39元。（其中：暂列金41644.78元，安全文明施工费32187.28元，规费2099.46元）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1"/>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30"/>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30"/>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default" w:ascii="Times New Roman" w:hAnsi="Times New Roman" w:eastAsia="仿宋" w:cs="Times New Roman"/>
                <w:sz w:val="22"/>
                <w:szCs w:val="22"/>
                <w:lang w:val="zh-CN" w:eastAsia="zh-CN"/>
              </w:rPr>
              <w:t>成交价（扣除暂定部分）的10%（根据实际情况需明确暂定部分为暂列金额和暂估价）</w:t>
            </w:r>
            <w:r>
              <w:rPr>
                <w:rFonts w:hint="eastAsia" w:ascii="Times New Roman" w:hAnsi="Times New Roman" w:eastAsia="仿宋" w:cs="Times New Roman"/>
                <w:sz w:val="22"/>
                <w:szCs w:val="22"/>
                <w:lang w:val="zh-CN" w:eastAsia="zh-CN"/>
              </w:rPr>
              <w:t>（四舍五入保留2位小数）</w:t>
            </w:r>
          </w:p>
          <w:p w14:paraId="00EA646A">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30"/>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30"/>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本项目验收合格后，采购人接到供应商退还申请后30个工作日内，一次性无息退还全部履约保证金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30"/>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30"/>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9"/>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9"/>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623CB87B">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（1）采购部门：招标采购中心</w:t>
            </w:r>
          </w:p>
          <w:p w14:paraId="2DFD87C0">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联系方式：何老师，028-87394783</w:t>
            </w:r>
          </w:p>
          <w:p w14:paraId="1B4231F1">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（2）归口部门：后勤保障部</w:t>
            </w:r>
          </w:p>
          <w:p w14:paraId="5F324A4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联系方式：李老师，028-87393442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30"/>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（028-87394783）并将合同初稿发送至1841331039@qq.com</w:t>
            </w:r>
            <w:r>
              <w:rPr>
                <w:rFonts w:ascii="Times New Roman" w:hAnsi="Times New Roman" w:eastAsia="仿宋" w:cs="Times New Roman"/>
                <w:sz w:val="22"/>
                <w:szCs w:val="22"/>
              </w:rPr>
              <w:t>。</w:t>
            </w:r>
          </w:p>
          <w:p w14:paraId="7D5E8660">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30"/>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30"/>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355E7D0F">
            <w:pPr>
              <w:widowControl/>
              <w:jc w:val="left"/>
              <w:rPr>
                <w:rFonts w:hint="eastAsia" w:ascii="Times New Roman" w:hAnsi="Times New Roman" w:eastAsia="仿宋" w:cs="Times New Roman"/>
                <w:b/>
                <w:bCs/>
                <w:sz w:val="22"/>
              </w:rPr>
            </w:pPr>
            <w:r>
              <w:rPr>
                <w:rFonts w:hint="eastAsia" w:ascii="Times New Roman" w:hAnsi="Times New Roman" w:eastAsia="仿宋" w:cs="Times New Roman"/>
                <w:b/>
                <w:bCs/>
                <w:sz w:val="22"/>
              </w:rPr>
              <w:t>1.具有有效的国家建设行政主管部门颁发的电力工程施工总承包三级及以上资质或输变电工程专业承包三级及以上资质。</w:t>
            </w:r>
          </w:p>
          <w:p w14:paraId="3BB2417D">
            <w:pPr>
              <w:widowControl/>
              <w:jc w:val="left"/>
              <w:rPr>
                <w:rFonts w:hint="eastAsia" w:ascii="Times New Roman" w:hAnsi="Times New Roman" w:eastAsia="仿宋" w:cs="Times New Roman"/>
                <w:b/>
                <w:bCs/>
                <w:sz w:val="22"/>
              </w:rPr>
            </w:pPr>
            <w:r>
              <w:rPr>
                <w:rFonts w:hint="eastAsia" w:ascii="Times New Roman" w:hAnsi="Times New Roman" w:eastAsia="仿宋" w:cs="Times New Roman"/>
                <w:b/>
                <w:bCs/>
                <w:sz w:val="22"/>
              </w:rPr>
              <w:t>2.具有有效的国家能源监管部门颁发的承装（修、试）电力设施许可证（承装类）三级及以上证书。</w:t>
            </w:r>
          </w:p>
          <w:p w14:paraId="406E7506">
            <w:pPr>
              <w:widowControl/>
              <w:jc w:val="left"/>
            </w:pPr>
            <w:r>
              <w:rPr>
                <w:rFonts w:hint="eastAsia" w:ascii="Times New Roman" w:hAnsi="Times New Roman" w:eastAsia="仿宋" w:cs="Times New Roman"/>
                <w:b/>
                <w:bCs/>
                <w:sz w:val="22"/>
              </w:rPr>
              <w:t>3.具有有效的安全生产许可证。</w:t>
            </w:r>
          </w:p>
        </w:tc>
        <w:tc>
          <w:tcPr>
            <w:tcW w:w="2846" w:type="pct"/>
            <w:vAlign w:val="center"/>
          </w:tcPr>
          <w:p w14:paraId="1809C318">
            <w:pPr>
              <w:rPr>
                <w:rFonts w:ascii="Times New Roman" w:hAnsi="Times New Roman" w:eastAsia="仿宋" w:cs="Times New Roman"/>
                <w:sz w:val="22"/>
              </w:rPr>
            </w:pPr>
            <w:r>
              <w:rPr>
                <w:rFonts w:hint="default" w:ascii="Times New Roman" w:hAnsi="Times New Roman" w:eastAsia="仿宋" w:cs="Times New Roman"/>
                <w:sz w:val="22"/>
                <w:lang w:val="en-US" w:eastAsia="zh-CN"/>
              </w:rPr>
              <w:t>提供</w:t>
            </w:r>
            <w:r>
              <w:rPr>
                <w:rFonts w:hint="eastAsia" w:ascii="Times New Roman" w:hAnsi="Times New Roman" w:eastAsia="仿宋" w:cs="Times New Roman"/>
                <w:sz w:val="22"/>
                <w:lang w:val="en-US" w:eastAsia="zh-CN"/>
              </w:rPr>
              <w:t>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297C0A7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kern w:val="0"/>
          <w:sz w:val="24"/>
          <w:szCs w:val="24"/>
          <w:lang w:val="en-US" w:eastAsia="zh-CN" w:bidi="ar"/>
        </w:rPr>
        <w:t>一、</w:t>
      </w:r>
      <w:r>
        <w:rPr>
          <w:rFonts w:hint="eastAsia" w:ascii="仿宋" w:hAnsi="仿宋" w:eastAsia="仿宋" w:cs="仿宋"/>
          <w:b/>
          <w:bCs/>
          <w:color w:val="auto"/>
          <w:sz w:val="24"/>
          <w:szCs w:val="24"/>
        </w:rPr>
        <w:t>项目简介</w:t>
      </w:r>
    </w:p>
    <w:p w14:paraId="1CC260AB">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因采购人实际工作需要，本项目拟</w:t>
      </w:r>
      <w:r>
        <w:rPr>
          <w:rFonts w:hint="eastAsia" w:ascii="仿宋" w:hAnsi="仿宋" w:eastAsia="仿宋" w:cs="仿宋"/>
          <w:bCs/>
          <w:color w:val="auto"/>
          <w:sz w:val="24"/>
          <w:szCs w:val="24"/>
          <w:highlight w:val="none"/>
          <w:lang w:val="en-US" w:eastAsia="zh-CN"/>
        </w:rPr>
        <w:t>确定</w:t>
      </w:r>
      <w:r>
        <w:rPr>
          <w:rFonts w:hint="eastAsia" w:ascii="仿宋" w:hAnsi="仿宋" w:eastAsia="仿宋" w:cs="仿宋"/>
          <w:bCs/>
          <w:color w:val="auto"/>
          <w:sz w:val="24"/>
          <w:szCs w:val="24"/>
          <w:highlight w:val="none"/>
        </w:rPr>
        <w:t>一家供应商</w:t>
      </w:r>
      <w:r>
        <w:rPr>
          <w:rFonts w:hint="eastAsia" w:ascii="仿宋" w:hAnsi="仿宋" w:eastAsia="仿宋" w:cs="仿宋"/>
          <w:bCs/>
          <w:color w:val="auto"/>
          <w:sz w:val="24"/>
          <w:szCs w:val="24"/>
          <w:highlight w:val="none"/>
          <w:lang w:val="en-US" w:eastAsia="zh-CN"/>
        </w:rPr>
        <w:t>完成</w:t>
      </w:r>
      <w:r>
        <w:rPr>
          <w:rFonts w:hint="eastAsia" w:ascii="仿宋" w:hAnsi="仿宋" w:eastAsia="仿宋" w:cs="仿宋"/>
          <w:bCs/>
          <w:color w:val="auto"/>
          <w:sz w:val="24"/>
          <w:szCs w:val="24"/>
          <w:highlight w:val="none"/>
        </w:rPr>
        <w:t>四川省人民医院</w:t>
      </w:r>
      <w:r>
        <w:rPr>
          <w:rFonts w:hint="eastAsia" w:ascii="仿宋" w:hAnsi="仿宋" w:eastAsia="仿宋" w:cs="仿宋"/>
          <w:bCs/>
          <w:color w:val="auto"/>
          <w:sz w:val="24"/>
          <w:szCs w:val="24"/>
          <w:highlight w:val="none"/>
          <w:lang w:val="en-US" w:eastAsia="zh-CN"/>
        </w:rPr>
        <w:t>龙泉院区的配电系统改造二期工程</w:t>
      </w:r>
      <w:r>
        <w:rPr>
          <w:rFonts w:hint="eastAsia" w:ascii="仿宋" w:hAnsi="仿宋" w:eastAsia="仿宋" w:cs="仿宋"/>
          <w:bCs/>
          <w:color w:val="auto"/>
          <w:sz w:val="24"/>
          <w:szCs w:val="24"/>
          <w:highlight w:val="none"/>
        </w:rPr>
        <w:t>。</w:t>
      </w:r>
    </w:p>
    <w:p w14:paraId="13A7D2D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w:t>
      </w:r>
      <w:r>
        <w:rPr>
          <w:rStyle w:val="22"/>
          <w:rFonts w:hint="eastAsia" w:ascii="仿宋" w:hAnsi="仿宋" w:eastAsia="仿宋" w:cs="仿宋"/>
          <w:color w:val="auto"/>
          <w:kern w:val="2"/>
          <w:sz w:val="24"/>
          <w:szCs w:val="24"/>
          <w:lang w:val="en-US" w:eastAsia="zh-CN"/>
        </w:rPr>
        <w:t>二、</w:t>
      </w:r>
      <w:r>
        <w:rPr>
          <w:rStyle w:val="22"/>
          <w:rFonts w:hint="eastAsia" w:ascii="仿宋" w:hAnsi="仿宋" w:eastAsia="仿宋" w:cs="仿宋"/>
          <w:color w:val="auto"/>
          <w:kern w:val="2"/>
          <w:sz w:val="24"/>
          <w:szCs w:val="24"/>
        </w:rPr>
        <w:t>技术服务要求</w:t>
      </w:r>
    </w:p>
    <w:p w14:paraId="4CF018B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w:t>
      </w:r>
      <w:r>
        <w:rPr>
          <w:rFonts w:hint="eastAsia" w:ascii="仿宋" w:hAnsi="仿宋" w:eastAsia="仿宋" w:cs="仿宋"/>
          <w:color w:val="auto"/>
          <w:kern w:val="2"/>
          <w:sz w:val="24"/>
          <w:szCs w:val="24"/>
        </w:rPr>
        <w:t>本项目报价包含相应项目安装、调试费、包装运输费、检测验收费、技术措施费、材料费、人工费等一切费用，结算数量按验收签字确认为准。若出现工程量清单之外材料，供应商须在材料使用之前提交盖章的认质核价申请单</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标明厂家、品牌、规格、型号等重要参数</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，由采购人办理市场询价，若超时提交相关材料，采购人有权按照市场上同类材料的最低价认定。</w:t>
      </w:r>
    </w:p>
    <w:p w14:paraId="336F5CB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2</w:t>
      </w:r>
      <w:r>
        <w:rPr>
          <w:rFonts w:hint="eastAsia" w:ascii="仿宋" w:hAnsi="仿宋" w:eastAsia="仿宋" w:cs="仿宋"/>
          <w:color w:val="auto"/>
          <w:kern w:val="2"/>
          <w:sz w:val="24"/>
          <w:szCs w:val="24"/>
          <w:lang w:val="en-US" w:eastAsia="zh-CN"/>
        </w:rPr>
        <w:t>.</w:t>
      </w:r>
      <w:r>
        <w:rPr>
          <w:rFonts w:hint="eastAsia" w:ascii="仿宋" w:hAnsi="仿宋" w:eastAsia="仿宋" w:cs="仿宋"/>
          <w:color w:val="auto"/>
          <w:kern w:val="2"/>
          <w:sz w:val="24"/>
          <w:szCs w:val="24"/>
        </w:rPr>
        <w:t>施工及质量要求</w:t>
      </w:r>
    </w:p>
    <w:p w14:paraId="2418AA1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（1）用于本项目的货物（含零部件、配件等），表面无划伤、无碰撞痕迹，且权属清楚，不得侵害他人的知识产权。</w:t>
      </w:r>
    </w:p>
    <w:p w14:paraId="3A9BFC7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（2）用于本项目的货物保证质量优异，性能稳定可靠，符合或优于国家（行业标准）。</w:t>
      </w:r>
    </w:p>
    <w:p w14:paraId="42AEEC3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（3）在施工期间，根据采购人要求进行安装，并严格遵守《建筑安装工程安全技术操作规程》、</w:t>
      </w:r>
      <w:r>
        <w:rPr>
          <w:rFonts w:hint="eastAsia" w:ascii="仿宋" w:hAnsi="仿宋" w:eastAsia="仿宋" w:cs="仿宋"/>
          <w:color w:val="auto"/>
          <w:sz w:val="24"/>
          <w:szCs w:val="24"/>
        </w:rPr>
        <w:t>《中华人民共和国消防法》（2021年修正版）</w:t>
      </w:r>
      <w:r>
        <w:rPr>
          <w:rFonts w:hint="eastAsia" w:ascii="仿宋" w:hAnsi="仿宋" w:eastAsia="仿宋" w:cs="仿宋"/>
          <w:color w:val="auto"/>
          <w:sz w:val="24"/>
          <w:szCs w:val="24"/>
          <w:lang w:eastAsia="zh-CN"/>
        </w:rPr>
        <w:t>、</w:t>
      </w:r>
      <w:r>
        <w:rPr>
          <w:rFonts w:hint="eastAsia" w:ascii="仿宋" w:hAnsi="仿宋" w:eastAsia="仿宋" w:cs="仿宋"/>
          <w:color w:val="auto"/>
          <w:kern w:val="2"/>
          <w:sz w:val="24"/>
          <w:szCs w:val="24"/>
        </w:rPr>
        <w:t>国家现行《电气装置安装工程高压电气施工及验收规范》进行施工。</w:t>
      </w:r>
    </w:p>
    <w:p w14:paraId="0268F19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（4）遵守采购人制定的施工现场各项管理制度，确保工期和质量符合合同约定。</w:t>
      </w:r>
    </w:p>
    <w:p w14:paraId="5D3616A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rPr>
        <w:t>（5）严格执行操作规程，</w:t>
      </w:r>
      <w:r>
        <w:rPr>
          <w:rFonts w:hint="eastAsia" w:ascii="仿宋" w:hAnsi="仿宋" w:eastAsia="仿宋" w:cs="仿宋"/>
          <w:color w:val="auto"/>
          <w:kern w:val="2"/>
          <w:sz w:val="24"/>
          <w:szCs w:val="24"/>
          <w:highlight w:val="none"/>
        </w:rPr>
        <w:t>做到清洁文明施工，施工完成后，清洁施工场地。施工过程中造成财产损失，人员伤害、伤亡事件，</w:t>
      </w:r>
      <w:r>
        <w:rPr>
          <w:rFonts w:hint="eastAsia" w:ascii="仿宋" w:hAnsi="仿宋" w:eastAsia="仿宋" w:cs="仿宋"/>
          <w:color w:val="auto"/>
          <w:highlight w:val="none"/>
          <w:lang w:val="en-US" w:eastAsia="zh-CN"/>
        </w:rPr>
        <w:t>供应商须</w:t>
      </w:r>
      <w:r>
        <w:rPr>
          <w:rFonts w:hint="eastAsia" w:ascii="仿宋" w:hAnsi="仿宋" w:eastAsia="仿宋" w:cs="仿宋"/>
          <w:color w:val="auto"/>
          <w:kern w:val="2"/>
          <w:sz w:val="24"/>
          <w:szCs w:val="24"/>
          <w:highlight w:val="none"/>
        </w:rPr>
        <w:t>承担全部责任和因此发生的全部费用。</w:t>
      </w:r>
    </w:p>
    <w:p w14:paraId="29DA46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）施工过程中必须对</w:t>
      </w:r>
      <w:r>
        <w:rPr>
          <w:rFonts w:hint="eastAsia" w:ascii="仿宋" w:hAnsi="仿宋" w:eastAsia="仿宋" w:cs="仿宋"/>
          <w:color w:val="auto"/>
          <w:kern w:val="2"/>
          <w:sz w:val="24"/>
          <w:szCs w:val="24"/>
          <w:highlight w:val="none"/>
          <w:lang w:val="en-US" w:eastAsia="zh-CN"/>
        </w:rPr>
        <w:t>本</w:t>
      </w:r>
      <w:r>
        <w:rPr>
          <w:rFonts w:hint="eastAsia" w:ascii="仿宋" w:hAnsi="仿宋" w:eastAsia="仿宋" w:cs="仿宋"/>
          <w:color w:val="auto"/>
          <w:kern w:val="2"/>
          <w:sz w:val="24"/>
          <w:szCs w:val="24"/>
          <w:highlight w:val="none"/>
        </w:rPr>
        <w:t>项目不涉及部分进行保护，施工完成后进行原样恢复，如因供应商施工过程中损坏，应按照原样进行更换。</w:t>
      </w:r>
    </w:p>
    <w:p w14:paraId="66EFF02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3.拟改造的工作内容详见附件（【工程量清单】龙泉院区配电系统改造项目（二期）、省医院龙泉院区配电改造设计图纸）。</w:t>
      </w:r>
    </w:p>
    <w:p w14:paraId="7E713730">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三、其他要求</w:t>
      </w:r>
    </w:p>
    <w:p w14:paraId="37DA18B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在工程保修期间，如果出现质量问题，应在接到采购人通知后2小时内响应到场，4小时内完成维修或更换有缺陷的货物或部件，工程保修期顺延，由此带来的所有费用由供应商承担。</w:t>
      </w:r>
    </w:p>
    <w:p w14:paraId="212D8BB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供应商应保质保量按期完成所承包范围内的一切工程内容，如若未</w:t>
      </w:r>
      <w:r>
        <w:rPr>
          <w:rFonts w:hint="eastAsia" w:ascii="仿宋" w:hAnsi="仿宋" w:eastAsia="仿宋" w:cs="仿宋"/>
          <w:color w:val="auto"/>
          <w:highlight w:val="none"/>
          <w:lang w:val="en-US" w:eastAsia="zh-CN"/>
        </w:rPr>
        <w:t>在采购人要求的时间内</w:t>
      </w:r>
      <w:r>
        <w:rPr>
          <w:rFonts w:hint="eastAsia" w:ascii="仿宋" w:hAnsi="仿宋" w:eastAsia="仿宋" w:cs="仿宋"/>
          <w:color w:val="auto"/>
          <w:kern w:val="2"/>
          <w:sz w:val="24"/>
          <w:szCs w:val="24"/>
          <w:highlight w:val="none"/>
        </w:rPr>
        <w:t>完成视为擅自解除或变更合同，视同违约，供应商应承担所有违约责任。</w:t>
      </w:r>
    </w:p>
    <w:p w14:paraId="6F6D7D9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施工过程中不影响</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各科室的正常工作，服从</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调</w:t>
      </w:r>
      <w:r>
        <w:rPr>
          <w:rFonts w:hint="eastAsia" w:ascii="仿宋" w:hAnsi="仿宋" w:eastAsia="仿宋" w:cs="仿宋"/>
          <w:color w:val="auto"/>
          <w:kern w:val="2"/>
          <w:sz w:val="24"/>
          <w:szCs w:val="24"/>
        </w:rPr>
        <w:t>度安排，合理安排作业时间。如有不文明施工的情况，采购人可立即解除合同。</w:t>
      </w:r>
    </w:p>
    <w:p w14:paraId="10E7662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★4</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施工安全责任以及</w:t>
      </w:r>
      <w:r>
        <w:rPr>
          <w:rFonts w:hint="eastAsia" w:ascii="仿宋" w:hAnsi="仿宋" w:eastAsia="仿宋" w:cs="仿宋"/>
          <w:color w:val="auto"/>
          <w:kern w:val="2"/>
          <w:sz w:val="24"/>
          <w:szCs w:val="24"/>
          <w:highlight w:val="none"/>
        </w:rPr>
        <w:t>工程保修期</w:t>
      </w:r>
      <w:r>
        <w:rPr>
          <w:rFonts w:hint="eastAsia" w:ascii="仿宋" w:hAnsi="仿宋" w:eastAsia="仿宋" w:cs="仿宋"/>
          <w:color w:val="auto"/>
          <w:kern w:val="2"/>
          <w:sz w:val="24"/>
          <w:szCs w:val="24"/>
        </w:rPr>
        <w:t>内的保修相关安全责任均由供应商负责。</w:t>
      </w:r>
    </w:p>
    <w:p w14:paraId="00A2881D">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★5</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施工需满足设计要求并出具调试报告。</w:t>
      </w:r>
    </w:p>
    <w:p w14:paraId="0C837EC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★6</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为不影响</w:t>
      </w:r>
      <w:r>
        <w:rPr>
          <w:rFonts w:hint="eastAsia" w:ascii="仿宋" w:hAnsi="仿宋" w:eastAsia="仿宋" w:cs="仿宋"/>
          <w:color w:val="auto"/>
          <w:kern w:val="2"/>
          <w:sz w:val="24"/>
          <w:szCs w:val="24"/>
          <w:lang w:eastAsia="zh-CN"/>
        </w:rPr>
        <w:t>采购人</w:t>
      </w:r>
      <w:r>
        <w:rPr>
          <w:rFonts w:hint="eastAsia" w:ascii="仿宋" w:hAnsi="仿宋" w:eastAsia="仿宋" w:cs="仿宋"/>
          <w:color w:val="auto"/>
          <w:kern w:val="2"/>
          <w:sz w:val="24"/>
          <w:szCs w:val="24"/>
        </w:rPr>
        <w:t>的正常工作，施工时需将该组配电柜所有负载转接到临时配电柜供电且停电时间不超过6小时，临时配电柜恢复至新装配电柜时停电时间不超过5小时。</w:t>
      </w:r>
    </w:p>
    <w:p w14:paraId="387E3BE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★7</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业绩</w:t>
      </w:r>
      <w:r>
        <w:rPr>
          <w:rFonts w:hint="eastAsia" w:ascii="仿宋" w:hAnsi="仿宋" w:eastAsia="仿宋" w:cs="仿宋"/>
          <w:color w:val="auto"/>
          <w:kern w:val="2"/>
          <w:sz w:val="24"/>
          <w:szCs w:val="24"/>
          <w:highlight w:val="none"/>
        </w:rPr>
        <w:t>要求：202</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年1月1日（含）以来，至少具有2个类似或同等建设项目</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color w:val="auto"/>
          <w:kern w:val="2"/>
          <w:sz w:val="24"/>
          <w:szCs w:val="24"/>
          <w:highlight w:val="none"/>
          <w:lang w:val="en-US" w:eastAsia="zh-CN"/>
        </w:rPr>
        <w:t>类似项目是指配电系统改造项目</w:t>
      </w: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kern w:val="2"/>
          <w:sz w:val="24"/>
          <w:szCs w:val="24"/>
          <w:lang w:val="en-US" w:eastAsia="zh-CN"/>
        </w:rPr>
        <w:t>提供合同复印件或中标通知书复印件并加盖供应商公章】</w:t>
      </w:r>
    </w:p>
    <w:p w14:paraId="6579C85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★8</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项目经理（项目负责人）：</w:t>
      </w:r>
      <w:r>
        <w:rPr>
          <w:rFonts w:hint="eastAsia" w:ascii="仿宋" w:hAnsi="仿宋" w:eastAsia="仿宋" w:cs="仿宋"/>
          <w:color w:val="auto"/>
          <w:kern w:val="2"/>
          <w:sz w:val="24"/>
          <w:szCs w:val="24"/>
          <w:lang w:val="en-US" w:eastAsia="zh-CN"/>
        </w:rPr>
        <w:t>具有机电工程专业二级及以上注册建造师证书和</w:t>
      </w:r>
      <w:r>
        <w:rPr>
          <w:rFonts w:hint="eastAsia" w:ascii="仿宋" w:hAnsi="仿宋" w:eastAsia="仿宋" w:cs="仿宋"/>
          <w:color w:val="auto"/>
          <w:kern w:val="2"/>
          <w:sz w:val="24"/>
          <w:szCs w:val="24"/>
        </w:rPr>
        <w:t>省级及以上住房城乡建设主管部门</w:t>
      </w:r>
      <w:r>
        <w:rPr>
          <w:rFonts w:hint="eastAsia" w:ascii="仿宋" w:hAnsi="仿宋" w:eastAsia="仿宋" w:cs="仿宋"/>
          <w:color w:val="auto"/>
          <w:kern w:val="2"/>
          <w:sz w:val="24"/>
          <w:szCs w:val="24"/>
          <w:lang w:val="en-US" w:eastAsia="zh-CN"/>
        </w:rPr>
        <w:t>颁发的建筑施工企业项目负责人安全生产考核合格证书（B证），须为供应商单位在职人员。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500BD71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b/>
          <w:bCs/>
          <w:color w:val="auto"/>
          <w:kern w:val="2"/>
          <w:sz w:val="24"/>
          <w:szCs w:val="24"/>
          <w:lang w:eastAsia="zh-CN"/>
        </w:rPr>
      </w:pPr>
      <w:r>
        <w:rPr>
          <w:rFonts w:hint="eastAsia" w:ascii="仿宋" w:hAnsi="仿宋" w:eastAsia="仿宋" w:cs="仿宋"/>
          <w:color w:val="auto"/>
          <w:kern w:val="2"/>
          <w:sz w:val="24"/>
          <w:szCs w:val="24"/>
        </w:rPr>
        <w:t>★9</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技术负责人：</w:t>
      </w:r>
      <w:r>
        <w:rPr>
          <w:rFonts w:hint="eastAsia" w:ascii="仿宋" w:hAnsi="仿宋" w:eastAsia="仿宋" w:cs="仿宋"/>
          <w:strike w:val="0"/>
          <w:dstrike w:val="0"/>
          <w:color w:val="auto"/>
          <w:sz w:val="24"/>
          <w:szCs w:val="24"/>
          <w:lang w:val="en-US" w:eastAsia="zh-CN"/>
        </w:rPr>
        <w:t>具有机电工程专业二级及以上注册建造师证书和机电工程相关专业或电力相关专业中级及以上职称</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034F0DBF">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default" w:ascii="仿宋" w:hAnsi="仿宋" w:eastAsia="仿宋" w:cs="仿宋"/>
          <w:b w:val="0"/>
          <w:bCs w:val="0"/>
          <w:color w:val="auto"/>
          <w:kern w:val="2"/>
          <w:sz w:val="24"/>
          <w:szCs w:val="24"/>
          <w:lang w:val="en-US" w:eastAsia="zh-CN"/>
        </w:rPr>
      </w:pPr>
      <w:r>
        <w:rPr>
          <w:rFonts w:hint="eastAsia" w:ascii="仿宋" w:hAnsi="仿宋" w:eastAsia="仿宋" w:cs="仿宋"/>
          <w:color w:val="auto"/>
          <w:kern w:val="2"/>
          <w:sz w:val="24"/>
          <w:szCs w:val="24"/>
        </w:rPr>
        <w:t>★</w:t>
      </w:r>
      <w:r>
        <w:rPr>
          <w:rFonts w:hint="eastAsia" w:ascii="仿宋" w:hAnsi="仿宋" w:eastAsia="仿宋" w:cs="仿宋"/>
          <w:b w:val="0"/>
          <w:bCs w:val="0"/>
          <w:color w:val="auto"/>
          <w:kern w:val="2"/>
          <w:sz w:val="24"/>
          <w:szCs w:val="24"/>
          <w:lang w:val="en-US" w:eastAsia="zh-CN"/>
        </w:rPr>
        <w:t>10.</w:t>
      </w:r>
      <w:r>
        <w:rPr>
          <w:rFonts w:hint="eastAsia" w:ascii="仿宋" w:hAnsi="仿宋" w:eastAsia="仿宋" w:cs="仿宋"/>
          <w:color w:val="auto"/>
          <w:kern w:val="2"/>
          <w:sz w:val="24"/>
          <w:szCs w:val="24"/>
        </w:rPr>
        <w:t>项目经理（项目负责人）</w:t>
      </w:r>
      <w:r>
        <w:rPr>
          <w:rFonts w:hint="eastAsia" w:ascii="仿宋" w:hAnsi="仿宋" w:eastAsia="仿宋" w:cs="仿宋"/>
          <w:color w:val="auto"/>
          <w:kern w:val="2"/>
          <w:sz w:val="24"/>
          <w:szCs w:val="24"/>
          <w:lang w:val="en-US" w:eastAsia="zh-CN"/>
        </w:rPr>
        <w:t>与</w:t>
      </w:r>
      <w:r>
        <w:rPr>
          <w:rFonts w:hint="eastAsia" w:ascii="仿宋" w:hAnsi="仿宋" w:eastAsia="仿宋" w:cs="仿宋"/>
          <w:color w:val="auto"/>
          <w:kern w:val="2"/>
          <w:sz w:val="24"/>
          <w:szCs w:val="24"/>
        </w:rPr>
        <w:t>技术负责人</w:t>
      </w:r>
      <w:r>
        <w:rPr>
          <w:rFonts w:hint="eastAsia" w:ascii="仿宋" w:hAnsi="仿宋" w:eastAsia="仿宋" w:cs="仿宋"/>
          <w:color w:val="auto"/>
          <w:kern w:val="2"/>
          <w:sz w:val="24"/>
          <w:szCs w:val="24"/>
          <w:lang w:val="en-US" w:eastAsia="zh-CN"/>
        </w:rPr>
        <w:t>不得为同一人。</w:t>
      </w:r>
    </w:p>
    <w:p w14:paraId="65C15F9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1</w:t>
      </w:r>
      <w:r>
        <w:rPr>
          <w:rFonts w:hint="eastAsia" w:ascii="仿宋" w:hAnsi="仿宋" w:eastAsia="仿宋" w:cs="仿宋"/>
          <w:color w:val="auto"/>
          <w:kern w:val="2"/>
          <w:sz w:val="24"/>
          <w:szCs w:val="24"/>
          <w:lang w:eastAsia="zh-CN"/>
        </w:rPr>
        <w:t>.</w:t>
      </w:r>
      <w:r>
        <w:rPr>
          <w:rFonts w:hint="eastAsia" w:ascii="仿宋" w:hAnsi="仿宋" w:eastAsia="仿宋" w:cs="仿宋"/>
          <w:strike w:val="0"/>
          <w:dstrike w:val="0"/>
          <w:color w:val="auto"/>
          <w:kern w:val="2"/>
          <w:sz w:val="24"/>
          <w:szCs w:val="24"/>
        </w:rPr>
        <w:t>拟投入本项目特种作业电工及安装人员不少于</w:t>
      </w:r>
      <w:r>
        <w:rPr>
          <w:rFonts w:hint="eastAsia" w:ascii="仿宋" w:hAnsi="仿宋" w:eastAsia="仿宋" w:cs="仿宋"/>
          <w:strike w:val="0"/>
          <w:dstrike w:val="0"/>
          <w:color w:val="auto"/>
          <w:kern w:val="2"/>
          <w:sz w:val="24"/>
          <w:szCs w:val="24"/>
          <w:lang w:val="en-US" w:eastAsia="zh-CN"/>
        </w:rPr>
        <w:t>3</w:t>
      </w:r>
      <w:r>
        <w:rPr>
          <w:rFonts w:hint="eastAsia" w:ascii="仿宋" w:hAnsi="仿宋" w:eastAsia="仿宋" w:cs="仿宋"/>
          <w:strike w:val="0"/>
          <w:dstrike w:val="0"/>
          <w:color w:val="auto"/>
          <w:kern w:val="2"/>
          <w:sz w:val="24"/>
          <w:szCs w:val="24"/>
        </w:rPr>
        <w:t>名，人员须持有在有效期内的《中华人民共和国特种作业操作证》，作业项目包含</w:t>
      </w:r>
      <w:r>
        <w:rPr>
          <w:rFonts w:hint="eastAsia" w:ascii="仿宋" w:hAnsi="仿宋" w:eastAsia="仿宋" w:cs="仿宋"/>
          <w:strike w:val="0"/>
          <w:dstrike w:val="0"/>
          <w:color w:val="auto"/>
          <w:kern w:val="2"/>
          <w:sz w:val="24"/>
          <w:szCs w:val="24"/>
          <w:lang w:eastAsia="zh-CN"/>
        </w:rPr>
        <w:t>“</w:t>
      </w:r>
      <w:r>
        <w:rPr>
          <w:rFonts w:hint="eastAsia" w:ascii="仿宋" w:hAnsi="仿宋" w:eastAsia="仿宋" w:cs="仿宋"/>
          <w:strike w:val="0"/>
          <w:dstrike w:val="0"/>
          <w:color w:val="auto"/>
          <w:kern w:val="2"/>
          <w:sz w:val="24"/>
          <w:szCs w:val="24"/>
        </w:rPr>
        <w:t>高压电工作业</w:t>
      </w:r>
      <w:r>
        <w:rPr>
          <w:rFonts w:hint="eastAsia" w:ascii="仿宋" w:hAnsi="仿宋" w:eastAsia="仿宋" w:cs="仿宋"/>
          <w:strike w:val="0"/>
          <w:dstrike w:val="0"/>
          <w:color w:val="auto"/>
          <w:kern w:val="2"/>
          <w:sz w:val="24"/>
          <w:szCs w:val="24"/>
          <w:lang w:eastAsia="zh-CN"/>
        </w:rPr>
        <w:t>”</w:t>
      </w:r>
      <w:r>
        <w:rPr>
          <w:rFonts w:hint="eastAsia" w:ascii="仿宋" w:hAnsi="仿宋" w:eastAsia="仿宋" w:cs="仿宋"/>
          <w:strike w:val="0"/>
          <w:dstrike w:val="0"/>
          <w:color w:val="auto"/>
          <w:kern w:val="2"/>
          <w:sz w:val="24"/>
          <w:szCs w:val="24"/>
        </w:rPr>
        <w:t>。</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3A501C6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lang w:eastAsia="zh-CN"/>
        </w:rPr>
        <w:t>.</w:t>
      </w:r>
      <w:r>
        <w:rPr>
          <w:rFonts w:hint="eastAsia" w:ascii="仿宋" w:hAnsi="仿宋" w:eastAsia="仿宋" w:cs="仿宋"/>
          <w:strike w:val="0"/>
          <w:dstrike w:val="0"/>
          <w:color w:val="auto"/>
          <w:sz w:val="24"/>
          <w:szCs w:val="24"/>
        </w:rPr>
        <w:t>供应商需</w:t>
      </w:r>
      <w:r>
        <w:rPr>
          <w:rFonts w:hint="eastAsia" w:ascii="仿宋" w:hAnsi="仿宋" w:eastAsia="仿宋" w:cs="仿宋"/>
          <w:strike w:val="0"/>
          <w:dstrike w:val="0"/>
          <w:color w:val="auto"/>
          <w:sz w:val="24"/>
          <w:szCs w:val="24"/>
          <w:lang w:val="en-US" w:eastAsia="zh-CN"/>
        </w:rPr>
        <w:t>为本项目</w:t>
      </w:r>
      <w:r>
        <w:rPr>
          <w:rFonts w:hint="eastAsia" w:ascii="仿宋" w:hAnsi="仿宋" w:eastAsia="仿宋" w:cs="仿宋"/>
          <w:strike w:val="0"/>
          <w:dstrike w:val="0"/>
          <w:color w:val="auto"/>
          <w:sz w:val="24"/>
          <w:szCs w:val="24"/>
        </w:rPr>
        <w:t>配备专职安全员，具有省级及以上住房城乡建设主管部门颁发的建筑施工企业专职安全生产管理人员安全生产考核合格证书（C3证）</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3FBCFF8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★13.供应商在施工期间须符合采购人用电要求。</w:t>
      </w:r>
    </w:p>
    <w:p w14:paraId="0CB7E4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14.</w:t>
      </w:r>
      <w:r>
        <w:rPr>
          <w:rFonts w:hint="eastAsia" w:ascii="仿宋" w:hAnsi="仿宋" w:eastAsia="仿宋" w:cs="仿宋"/>
          <w:color w:val="auto"/>
          <w:kern w:val="2"/>
          <w:sz w:val="24"/>
          <w:szCs w:val="24"/>
        </w:rPr>
        <w:t>供应商需提供施工组织方案，包括①工期保证措施；②质量保证措施；③安全保证措施及安全应急预案；④环保和文明施工措施：⑤施工方案与技术措施。</w:t>
      </w:r>
    </w:p>
    <w:p w14:paraId="710A01F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15.供应商需提供施工期间用电保电及应急措施，包括：①施工期间用电、保电方案、②施工期间用电应急措施及保电应急措施。</w:t>
      </w:r>
    </w:p>
    <w:p w14:paraId="2AD83FF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施工期间用电保电及应急措施包括但不限于以下内容：供应商须在施工前及施工过程中主动与采购人科室对接，动态核实并掌握科室的用电需求、是否允许停电及可停电时长，据此编制并动态调整用电、停电计划与施工组织方案串联；未经科室确认和采购人批准不得实施停电作业，并须落实备用电源、应急保障及恢复送电措施，确保采购人医疗业务安全连续。</w:t>
      </w:r>
    </w:p>
    <w:p w14:paraId="2FEAD19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2" w:firstLineChars="200"/>
        <w:textAlignment w:val="auto"/>
        <w:rPr>
          <w:rFonts w:hint="eastAsia"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四、推荐品牌</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0"/>
        <w:gridCol w:w="2620"/>
        <w:gridCol w:w="6191"/>
      </w:tblGrid>
      <w:tr w14:paraId="72AD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2B8376C0">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序号</w:t>
            </w:r>
          </w:p>
        </w:tc>
        <w:tc>
          <w:tcPr>
            <w:tcW w:w="2652" w:type="dxa"/>
            <w:shd w:val="clear" w:color="auto" w:fill="auto"/>
            <w:tcMar>
              <w:bottom w:w="0" w:type="dxa"/>
            </w:tcMar>
            <w:vAlign w:val="center"/>
          </w:tcPr>
          <w:p w14:paraId="38148AD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货物名称</w:t>
            </w:r>
          </w:p>
        </w:tc>
        <w:tc>
          <w:tcPr>
            <w:tcW w:w="6262" w:type="dxa"/>
            <w:shd w:val="clear" w:color="auto" w:fill="auto"/>
            <w:tcMar>
              <w:bottom w:w="0" w:type="dxa"/>
            </w:tcMar>
            <w:vAlign w:val="center"/>
          </w:tcPr>
          <w:p w14:paraId="153281F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推荐货物品牌/厂家</w:t>
            </w:r>
          </w:p>
        </w:tc>
      </w:tr>
      <w:tr w14:paraId="5875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4927F20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1</w:t>
            </w:r>
          </w:p>
        </w:tc>
        <w:tc>
          <w:tcPr>
            <w:tcW w:w="2652" w:type="dxa"/>
            <w:shd w:val="clear" w:color="auto" w:fill="auto"/>
            <w:tcMar>
              <w:bottom w:w="0" w:type="dxa"/>
            </w:tcMar>
            <w:vAlign w:val="center"/>
          </w:tcPr>
          <w:p w14:paraId="475C69E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低压柜</w:t>
            </w:r>
          </w:p>
        </w:tc>
        <w:tc>
          <w:tcPr>
            <w:tcW w:w="6262" w:type="dxa"/>
            <w:shd w:val="clear" w:color="auto" w:fill="auto"/>
            <w:tcMar>
              <w:bottom w:w="0" w:type="dxa"/>
            </w:tcMar>
            <w:vAlign w:val="center"/>
          </w:tcPr>
          <w:p w14:paraId="63F265A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川开科技有限公司、四川电器集团中低压智能配电有限公司、四川汉舟电气股份有限公司</w:t>
            </w:r>
          </w:p>
        </w:tc>
      </w:tr>
      <w:tr w14:paraId="2F5D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BD98E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2</w:t>
            </w:r>
          </w:p>
        </w:tc>
        <w:tc>
          <w:tcPr>
            <w:tcW w:w="2652" w:type="dxa"/>
            <w:shd w:val="clear" w:color="auto" w:fill="auto"/>
            <w:tcMar>
              <w:bottom w:w="0" w:type="dxa"/>
            </w:tcMar>
            <w:vAlign w:val="center"/>
          </w:tcPr>
          <w:p w14:paraId="0486D26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断路器</w:t>
            </w:r>
          </w:p>
        </w:tc>
        <w:tc>
          <w:tcPr>
            <w:tcW w:w="6262" w:type="dxa"/>
            <w:shd w:val="clear" w:color="auto" w:fill="auto"/>
            <w:tcMar>
              <w:bottom w:w="0" w:type="dxa"/>
            </w:tcMar>
            <w:vAlign w:val="center"/>
          </w:tcPr>
          <w:p w14:paraId="690FE84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ABB、施耐德、西门子</w:t>
            </w:r>
          </w:p>
        </w:tc>
      </w:tr>
      <w:tr w14:paraId="7C91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3E8178A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3</w:t>
            </w:r>
          </w:p>
        </w:tc>
        <w:tc>
          <w:tcPr>
            <w:tcW w:w="2652" w:type="dxa"/>
            <w:shd w:val="clear" w:color="auto" w:fill="auto"/>
            <w:tcMar>
              <w:bottom w:w="0" w:type="dxa"/>
            </w:tcMar>
            <w:vAlign w:val="center"/>
          </w:tcPr>
          <w:p w14:paraId="69E300F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双电源自动转换开关</w:t>
            </w:r>
          </w:p>
        </w:tc>
        <w:tc>
          <w:tcPr>
            <w:tcW w:w="6262" w:type="dxa"/>
            <w:shd w:val="clear" w:color="auto" w:fill="auto"/>
            <w:tcMar>
              <w:bottom w:w="0" w:type="dxa"/>
            </w:tcMar>
            <w:vAlign w:val="center"/>
          </w:tcPr>
          <w:p w14:paraId="69925C0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贵州泰永长征技术股份有限公司、上海良信、北京北元</w:t>
            </w:r>
          </w:p>
        </w:tc>
      </w:tr>
      <w:tr w14:paraId="5318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77F629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4</w:t>
            </w:r>
          </w:p>
        </w:tc>
        <w:tc>
          <w:tcPr>
            <w:tcW w:w="2652" w:type="dxa"/>
            <w:shd w:val="clear" w:color="auto" w:fill="auto"/>
            <w:tcMar>
              <w:bottom w:w="0" w:type="dxa"/>
            </w:tcMar>
            <w:vAlign w:val="center"/>
          </w:tcPr>
          <w:p w14:paraId="38C9219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多功能表</w:t>
            </w:r>
          </w:p>
        </w:tc>
        <w:tc>
          <w:tcPr>
            <w:tcW w:w="6262" w:type="dxa"/>
            <w:shd w:val="clear" w:color="auto" w:fill="auto"/>
            <w:tcMar>
              <w:bottom w:w="0" w:type="dxa"/>
            </w:tcMar>
            <w:vAlign w:val="center"/>
          </w:tcPr>
          <w:p w14:paraId="136F4228">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安科瑞、深圳中电、珠海优特</w:t>
            </w:r>
          </w:p>
        </w:tc>
      </w:tr>
      <w:tr w14:paraId="5424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A2DB7D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5</w:t>
            </w:r>
          </w:p>
        </w:tc>
        <w:tc>
          <w:tcPr>
            <w:tcW w:w="2652" w:type="dxa"/>
            <w:shd w:val="clear" w:color="auto" w:fill="auto"/>
            <w:tcMar>
              <w:bottom w:w="0" w:type="dxa"/>
            </w:tcMar>
            <w:vAlign w:val="center"/>
          </w:tcPr>
          <w:p w14:paraId="254FC16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无功补偿元件</w:t>
            </w:r>
          </w:p>
        </w:tc>
        <w:tc>
          <w:tcPr>
            <w:tcW w:w="6262" w:type="dxa"/>
            <w:shd w:val="clear" w:color="auto" w:fill="auto"/>
            <w:tcMar>
              <w:bottom w:w="0" w:type="dxa"/>
            </w:tcMar>
            <w:vAlign w:val="center"/>
          </w:tcPr>
          <w:p w14:paraId="37061F4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苏州工业园区苏容电气有限公司、上海英同电气有限公司、深圳市恩玖科技有限公司</w:t>
            </w:r>
          </w:p>
        </w:tc>
      </w:tr>
      <w:tr w14:paraId="18BE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F0A1DA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6</w:t>
            </w:r>
          </w:p>
        </w:tc>
        <w:tc>
          <w:tcPr>
            <w:tcW w:w="2652" w:type="dxa"/>
            <w:shd w:val="clear" w:color="auto" w:fill="auto"/>
            <w:tcMar>
              <w:bottom w:w="0" w:type="dxa"/>
            </w:tcMar>
            <w:vAlign w:val="center"/>
          </w:tcPr>
          <w:p w14:paraId="37831BC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低压电缆</w:t>
            </w:r>
          </w:p>
        </w:tc>
        <w:tc>
          <w:tcPr>
            <w:tcW w:w="6262" w:type="dxa"/>
            <w:shd w:val="clear" w:color="auto" w:fill="auto"/>
            <w:tcMar>
              <w:bottom w:w="0" w:type="dxa"/>
            </w:tcMar>
            <w:vAlign w:val="center"/>
          </w:tcPr>
          <w:p w14:paraId="3E95259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塔牌电缆、上上电缆、远东电缆</w:t>
            </w:r>
          </w:p>
        </w:tc>
      </w:tr>
    </w:tbl>
    <w:p w14:paraId="16BD971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、商务要求</w:t>
      </w:r>
    </w:p>
    <w:p w14:paraId="7B629F7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vertAlign w:val="baseline"/>
          <w:lang w:val="en-US" w:eastAsia="zh-CN"/>
        </w:rPr>
        <w:t>（一）工期：</w:t>
      </w:r>
      <w:r>
        <w:rPr>
          <w:rFonts w:hint="eastAsia" w:ascii="仿宋" w:hAnsi="仿宋" w:eastAsia="仿宋" w:cs="仿宋"/>
          <w:b w:val="0"/>
          <w:sz w:val="24"/>
          <w:szCs w:val="24"/>
          <w:vertAlign w:val="baseline"/>
          <w:lang w:val="en-US" w:eastAsia="zh-CN"/>
        </w:rPr>
        <w:t>自开工之日起40日内完成。</w:t>
      </w:r>
    </w:p>
    <w:p w14:paraId="69DBD1C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vertAlign w:val="baseline"/>
          <w:lang w:val="en-US" w:eastAsia="zh-CN"/>
        </w:rPr>
        <w:t>（二）计划开工时间</w:t>
      </w:r>
      <w:r>
        <w:rPr>
          <w:rFonts w:hint="eastAsia" w:ascii="仿宋" w:hAnsi="仿宋" w:eastAsia="仿宋" w:cs="仿宋"/>
          <w:b w:val="0"/>
          <w:sz w:val="24"/>
          <w:szCs w:val="24"/>
          <w:vertAlign w:val="baseline"/>
          <w:lang w:val="en-US" w:eastAsia="zh-CN"/>
        </w:rPr>
        <w:t>：合同签订生效后7日内开工（具体时间以监理下发的开工令或采购人书面通知为准）。</w:t>
      </w:r>
    </w:p>
    <w:p w14:paraId="4509602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kern w:val="2"/>
          <w:sz w:val="24"/>
          <w:szCs w:val="24"/>
          <w:lang w:val="en-US" w:eastAsia="zh-CN" w:bidi="ar-SA"/>
        </w:rPr>
        <w:t>（三）</w:t>
      </w:r>
      <w:r>
        <w:rPr>
          <w:rFonts w:hint="eastAsia" w:ascii="仿宋" w:hAnsi="仿宋" w:eastAsia="仿宋" w:cs="仿宋"/>
          <w:b/>
          <w:bCs/>
          <w:color w:val="auto"/>
          <w:sz w:val="24"/>
          <w:szCs w:val="24"/>
          <w:highlight w:val="none"/>
          <w:lang w:val="en-US" w:eastAsia="zh-CN"/>
        </w:rPr>
        <w:t>工程</w:t>
      </w:r>
      <w:r>
        <w:rPr>
          <w:rFonts w:hint="eastAsia" w:ascii="仿宋" w:hAnsi="仿宋" w:eastAsia="仿宋" w:cs="仿宋"/>
          <w:b/>
          <w:bCs/>
          <w:color w:val="auto"/>
          <w:sz w:val="24"/>
          <w:szCs w:val="24"/>
          <w:highlight w:val="none"/>
        </w:rPr>
        <w:t>地点</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四川省人民医院龙泉院区</w:t>
      </w:r>
      <w:r>
        <w:rPr>
          <w:rFonts w:hint="eastAsia" w:ascii="仿宋" w:hAnsi="仿宋" w:eastAsia="仿宋" w:cs="仿宋"/>
          <w:b w:val="0"/>
          <w:bCs w:val="0"/>
          <w:color w:val="auto"/>
          <w:sz w:val="24"/>
          <w:szCs w:val="24"/>
          <w:highlight w:val="none"/>
          <w:lang w:eastAsia="zh-CN"/>
        </w:rPr>
        <w:t>。</w:t>
      </w:r>
    </w:p>
    <w:p w14:paraId="2AC2D9B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4"/>
          <w:highlight w:val="none"/>
          <w:lang w:val="en-US" w:eastAsia="zh-CN"/>
        </w:rPr>
        <w:t>工程保修</w:t>
      </w:r>
      <w:r>
        <w:rPr>
          <w:rFonts w:hint="eastAsia" w:ascii="仿宋" w:hAnsi="仿宋" w:eastAsia="仿宋" w:cs="仿宋"/>
          <w:b w:val="0"/>
          <w:bCs w:val="0"/>
          <w:color w:val="auto"/>
          <w:sz w:val="24"/>
          <w:szCs w:val="24"/>
          <w:highlight w:val="none"/>
          <w:lang w:val="en-US" w:eastAsia="zh-CN"/>
        </w:rPr>
        <w:t>：工程质量保修范围、期限和责任（详见《工程质量保修书》）。</w:t>
      </w:r>
    </w:p>
    <w:p w14:paraId="152A76B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lang w:val="en-US" w:eastAsia="zh-CN"/>
        </w:rPr>
        <w:t>（五）缺陷责任期</w:t>
      </w:r>
      <w:r>
        <w:rPr>
          <w:rFonts w:hint="eastAsia" w:ascii="仿宋" w:hAnsi="仿宋" w:eastAsia="仿宋" w:cs="仿宋"/>
          <w:b w:val="0"/>
          <w:bCs w:val="0"/>
          <w:color w:val="auto"/>
          <w:sz w:val="24"/>
          <w:szCs w:val="24"/>
          <w:highlight w:val="none"/>
          <w:lang w:val="en-US" w:eastAsia="zh-CN"/>
        </w:rPr>
        <w:t>：自工程竣工验收合格之日起24个月。</w:t>
      </w:r>
    </w:p>
    <w:p w14:paraId="2B76CE9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）付款方式</w:t>
      </w:r>
    </w:p>
    <w:p w14:paraId="7C03048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本工程进度款根据工程进度按每月进行支付，供应商应在每月末向监理单位提交工程形象进度及进度申请预算书报告，监理单位在收到供应商提交的工程形象进度后5日历天完成审核，采购人在收到监理单位审核的形象进度及供应商提供合法有效票据及其他相关请款资料后55日内支付工程形象进度款的80%；待竣工结算审核完成后5个工作日内供应商向采购人交纳质保金（竣工结算审核审定金额的3%）后，供应商提供合法有效票据及其他相关请款资料，采购人自收到上述票据及资料后55日内支付至结算审核金额的100%；</w:t>
      </w:r>
    </w:p>
    <w:p w14:paraId="368D1E2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2.开工后，采购人28天内预付安全文明施工费基本费总额的50%，剩余50%基本费与结算款同期支付。</w:t>
      </w:r>
    </w:p>
    <w:p w14:paraId="6F5AAF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3.质保金要求</w:t>
      </w:r>
    </w:p>
    <w:p w14:paraId="404420D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质保金缴纳方式：以网银转账、支票、汇票、本票、金融机构或担保机构出具的保函/保险等非现金方式缴纳。</w:t>
      </w:r>
    </w:p>
    <w:p w14:paraId="0ADF854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质保金退还时间及方式：缺陷责任期满后经采购人确认无质量问题，接供应商退款申请后30个工作日内一次性无息退还质量保证金。</w:t>
      </w:r>
    </w:p>
    <w:p w14:paraId="029FAC4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注：预付的安全文明施工费基本费应在第一次进度款时扣回。</w:t>
      </w:r>
    </w:p>
    <w:p w14:paraId="6D12DC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）履约验收方案</w:t>
      </w:r>
    </w:p>
    <w:tbl>
      <w:tblPr>
        <w:tblStyle w:val="20"/>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一次性验收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按照基于本项目采购需求编制的采购文件要求及供应商响应文件情况，由供应商向采购人交付全部工程的履约情况。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完成本项目涉及的所有工程项目的建设及相关内容并具备验收条件后，于5日内通知采购人验收，采购人接供应商通知后10日内组织验收。双方验收后，如验收内容符合本项目验收标准，采购人向供应商出具验收报告，并视为验收合格，验收合格的时间以出具报告的时间为准。</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63D35DD2">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验收其他事项</w:t>
            </w:r>
          </w:p>
        </w:tc>
        <w:tc>
          <w:tcPr>
            <w:tcW w:w="6794" w:type="dxa"/>
            <w:shd w:val="clear" w:color="auto" w:fill="auto"/>
            <w:vAlign w:val="center"/>
          </w:tcPr>
          <w:p w14:paraId="12BCA99E">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无</w:t>
            </w:r>
            <w:r>
              <w:rPr>
                <w:rFonts w:hint="default" w:ascii="仿宋" w:hAnsi="仿宋" w:eastAsia="仿宋" w:cs="仿宋"/>
                <w:b w:val="0"/>
                <w:bCs/>
                <w:color w:val="auto"/>
                <w:sz w:val="24"/>
                <w:szCs w:val="24"/>
                <w:highlight w:val="none"/>
                <w:lang w:val="en-US" w:eastAsia="zh-CN"/>
              </w:rPr>
              <w:t>。</w:t>
            </w:r>
          </w:p>
        </w:tc>
      </w:tr>
    </w:tbl>
    <w:p w14:paraId="7C85EA0A">
      <w:pPr>
        <w:pStyle w:val="17"/>
        <w:ind w:firstLine="0"/>
        <w:rPr>
          <w:rFonts w:ascii="Times New Roman" w:hAnsi="Times New Roman" w:eastAsia="仿宋" w:cs="Times New Roman"/>
          <w:sz w:val="24"/>
          <w:szCs w:val="24"/>
        </w:rPr>
      </w:pPr>
    </w:p>
    <w:p w14:paraId="387087C1">
      <w:pPr>
        <w:pStyle w:val="17"/>
        <w:ind w:firstLine="0"/>
        <w:rPr>
          <w:rFonts w:ascii="Times New Roman" w:hAnsi="Times New Roman" w:eastAsia="仿宋" w:cs="Times New Roman"/>
          <w:sz w:val="24"/>
          <w:szCs w:val="24"/>
        </w:rPr>
      </w:pPr>
    </w:p>
    <w:p w14:paraId="5014D632">
      <w:pPr>
        <w:pStyle w:val="17"/>
        <w:ind w:firstLine="0"/>
        <w:rPr>
          <w:rFonts w:ascii="Times New Roman" w:hAnsi="Times New Roman" w:eastAsia="仿宋" w:cs="Times New Roman"/>
          <w:sz w:val="24"/>
          <w:szCs w:val="24"/>
        </w:rPr>
      </w:pPr>
    </w:p>
    <w:p w14:paraId="4A6A2942">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9"/>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240"/>
        <w:gridCol w:w="788"/>
        <w:gridCol w:w="4350"/>
        <w:gridCol w:w="2690"/>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26" w:type="dxa"/>
            <w:tcBorders>
              <w:top w:val="single" w:color="auto" w:sz="4" w:space="0"/>
              <w:left w:val="single" w:color="auto" w:sz="4" w:space="0"/>
              <w:bottom w:val="single" w:color="auto" w:sz="4" w:space="0"/>
              <w:right w:val="single" w:color="auto" w:sz="4" w:space="0"/>
            </w:tcBorders>
            <w:vAlign w:val="center"/>
          </w:tcPr>
          <w:p w14:paraId="0E123AE4">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40" w:type="dxa"/>
            <w:tcBorders>
              <w:top w:val="single" w:color="auto" w:sz="4" w:space="0"/>
              <w:left w:val="single" w:color="auto" w:sz="4" w:space="0"/>
              <w:bottom w:val="single" w:color="auto" w:sz="4" w:space="0"/>
              <w:right w:val="single" w:color="auto" w:sz="4" w:space="0"/>
            </w:tcBorders>
            <w:vAlign w:val="center"/>
          </w:tcPr>
          <w:p w14:paraId="6C69E609">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w:t>
            </w:r>
            <w:bookmarkStart w:id="339" w:name="_GoBack"/>
            <w:bookmarkEnd w:id="339"/>
            <w:r>
              <w:rPr>
                <w:rFonts w:ascii="Times New Roman" w:hAnsi="Times New Roman" w:eastAsia="仿宋" w:cs="Times New Roman"/>
                <w:b/>
                <w:bCs/>
                <w:sz w:val="24"/>
                <w:szCs w:val="24"/>
              </w:rPr>
              <w:t>因素</w:t>
            </w:r>
          </w:p>
        </w:tc>
        <w:tc>
          <w:tcPr>
            <w:tcW w:w="788" w:type="dxa"/>
            <w:tcBorders>
              <w:top w:val="single" w:color="auto" w:sz="4" w:space="0"/>
              <w:left w:val="single" w:color="auto" w:sz="4" w:space="0"/>
              <w:bottom w:val="single" w:color="auto" w:sz="4" w:space="0"/>
              <w:right w:val="single" w:color="auto" w:sz="4" w:space="0"/>
            </w:tcBorders>
            <w:vAlign w:val="center"/>
          </w:tcPr>
          <w:p w14:paraId="35AAE3BA">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350" w:type="dxa"/>
            <w:tcBorders>
              <w:top w:val="single" w:color="auto" w:sz="4" w:space="0"/>
              <w:left w:val="single" w:color="auto" w:sz="4" w:space="0"/>
              <w:bottom w:val="single" w:color="auto" w:sz="4" w:space="0"/>
              <w:right w:val="single" w:color="auto" w:sz="4" w:space="0"/>
            </w:tcBorders>
            <w:vAlign w:val="center"/>
          </w:tcPr>
          <w:p w14:paraId="77EF252B">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690" w:type="dxa"/>
            <w:tcBorders>
              <w:top w:val="single" w:color="auto" w:sz="4" w:space="0"/>
              <w:left w:val="single" w:color="auto" w:sz="4" w:space="0"/>
              <w:bottom w:val="single" w:color="auto" w:sz="4" w:space="0"/>
              <w:right w:val="single" w:color="auto" w:sz="4" w:space="0"/>
            </w:tcBorders>
            <w:vAlign w:val="center"/>
          </w:tcPr>
          <w:p w14:paraId="2C71D137">
            <w:pPr>
              <w:spacing w:line="240" w:lineRule="auto"/>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6" w:type="dxa"/>
            <w:tcBorders>
              <w:top w:val="single" w:color="auto" w:sz="4" w:space="0"/>
              <w:left w:val="single" w:color="auto" w:sz="4" w:space="0"/>
              <w:bottom w:val="single" w:color="auto" w:sz="4" w:space="0"/>
              <w:right w:val="single" w:color="auto" w:sz="4" w:space="0"/>
            </w:tcBorders>
            <w:vAlign w:val="center"/>
          </w:tcPr>
          <w:p w14:paraId="6F7F373C">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1</w:t>
            </w:r>
          </w:p>
        </w:tc>
        <w:tc>
          <w:tcPr>
            <w:tcW w:w="1240"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Times New Roman" w:hAnsi="Times New Roman" w:eastAsia="仿宋" w:cs="Times New Roman"/>
                <w:sz w:val="24"/>
                <w:szCs w:val="24"/>
                <w:lang w:eastAsia="zh-CN"/>
              </w:rPr>
            </w:pPr>
            <w:r>
              <w:rPr>
                <w:rFonts w:hint="eastAsia" w:ascii="仿宋" w:hAnsi="仿宋" w:eastAsia="仿宋" w:cs="仿宋"/>
                <w:sz w:val="24"/>
                <w:szCs w:val="24"/>
                <w:highlight w:val="none"/>
                <w:lang w:val="en-US" w:eastAsia="zh-CN"/>
              </w:rPr>
              <w:t>价格分</w:t>
            </w:r>
          </w:p>
        </w:tc>
        <w:tc>
          <w:tcPr>
            <w:tcW w:w="788"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30分</w:t>
            </w:r>
          </w:p>
        </w:tc>
        <w:tc>
          <w:tcPr>
            <w:tcW w:w="4350"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p>
        </w:tc>
        <w:tc>
          <w:tcPr>
            <w:tcW w:w="2690"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6" w:type="dxa"/>
            <w:tcBorders>
              <w:top w:val="single" w:color="auto" w:sz="4" w:space="0"/>
              <w:left w:val="single" w:color="auto" w:sz="4" w:space="0"/>
              <w:right w:val="single" w:color="auto" w:sz="4" w:space="0"/>
            </w:tcBorders>
            <w:vAlign w:val="center"/>
          </w:tcPr>
          <w:p w14:paraId="0E0DA849">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2</w:t>
            </w:r>
          </w:p>
        </w:tc>
        <w:tc>
          <w:tcPr>
            <w:tcW w:w="1240"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788"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30</w:t>
            </w:r>
            <w:r>
              <w:rPr>
                <w:rFonts w:hint="eastAsia" w:ascii="仿宋" w:hAnsi="仿宋" w:eastAsia="仿宋" w:cs="仿宋"/>
                <w:sz w:val="24"/>
                <w:szCs w:val="24"/>
                <w:highlight w:val="none"/>
                <w:lang w:val="en-US" w:eastAsia="zh-CN"/>
              </w:rPr>
              <w:t>分</w:t>
            </w:r>
          </w:p>
        </w:tc>
        <w:tc>
          <w:tcPr>
            <w:tcW w:w="4350"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w:t>
            </w:r>
            <w:r>
              <w:rPr>
                <w:rFonts w:hint="eastAsia" w:ascii="Times New Roman" w:hAnsi="Times New Roman" w:eastAsia="仿宋" w:cs="Times New Roman"/>
                <w:sz w:val="24"/>
                <w:szCs w:val="24"/>
                <w:highlight w:val="none"/>
              </w:rPr>
              <w:t>在满足本项目</w:t>
            </w:r>
            <w:r>
              <w:rPr>
                <w:rFonts w:hint="eastAsia" w:ascii="Times New Roman" w:hAnsi="Times New Roman" w:eastAsia="仿宋" w:cs="Times New Roman"/>
                <w:sz w:val="24"/>
                <w:szCs w:val="24"/>
                <w:highlight w:val="none"/>
                <w:lang w:val="en-US" w:eastAsia="zh-CN"/>
              </w:rPr>
              <w:t>业绩要求（2个）</w:t>
            </w:r>
            <w:r>
              <w:rPr>
                <w:rFonts w:hint="eastAsia" w:ascii="仿宋" w:hAnsi="仿宋" w:eastAsia="仿宋" w:cs="仿宋"/>
                <w:kern w:val="2"/>
                <w:sz w:val="24"/>
                <w:szCs w:val="24"/>
                <w:lang w:val="en-US" w:eastAsia="zh-CN"/>
              </w:rPr>
              <w:t>的基础上，</w:t>
            </w:r>
            <w:r>
              <w:rPr>
                <w:rFonts w:hint="eastAsia" w:ascii="仿宋" w:hAnsi="仿宋" w:eastAsia="仿宋" w:cs="仿宋"/>
                <w:sz w:val="24"/>
                <w:szCs w:val="24"/>
                <w:lang w:val="en-US" w:eastAsia="zh-CN"/>
              </w:rPr>
              <w:t>每增加1个类似或同等建设项目</w:t>
            </w:r>
            <w:r>
              <w:rPr>
                <w:rFonts w:hint="eastAsia" w:ascii="仿宋" w:hAnsi="仿宋" w:eastAsia="仿宋" w:cs="仿宋"/>
                <w:sz w:val="24"/>
                <w:szCs w:val="24"/>
                <w:highlight w:val="none"/>
                <w:lang w:val="en-US" w:eastAsia="zh-CN"/>
              </w:rPr>
              <w:t>（</w:t>
            </w:r>
            <w:r>
              <w:rPr>
                <w:rFonts w:hint="eastAsia" w:ascii="仿宋" w:hAnsi="仿宋" w:eastAsia="仿宋" w:cs="仿宋"/>
                <w:b w:val="0"/>
                <w:bCs/>
                <w:color w:val="auto"/>
                <w:kern w:val="2"/>
                <w:sz w:val="24"/>
                <w:szCs w:val="24"/>
                <w:highlight w:val="none"/>
                <w:lang w:val="en-US" w:eastAsia="zh-CN"/>
              </w:rPr>
              <w:t>类似项目是指配电系统改造项目</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得5分，本项最高得30分。</w:t>
            </w:r>
          </w:p>
        </w:tc>
        <w:tc>
          <w:tcPr>
            <w:tcW w:w="2690"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提供合同复印件或中标通知书复印件并加盖供应商公章</w:t>
            </w:r>
            <w:r>
              <w:rPr>
                <w:rFonts w:hint="eastAsia" w:ascii="仿宋" w:hAnsi="仿宋" w:eastAsia="仿宋" w:cs="仿宋"/>
                <w:sz w:val="24"/>
                <w:szCs w:val="24"/>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6" w:type="dxa"/>
            <w:tcBorders>
              <w:left w:val="single" w:color="auto" w:sz="4" w:space="0"/>
              <w:bottom w:val="single" w:color="auto" w:sz="4" w:space="0"/>
              <w:right w:val="single" w:color="auto" w:sz="4" w:space="0"/>
            </w:tcBorders>
            <w:vAlign w:val="center"/>
          </w:tcPr>
          <w:p w14:paraId="12E402E8">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40"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仿宋" w:cs="Times New Roman"/>
                <w:sz w:val="24"/>
                <w:szCs w:val="24"/>
                <w:lang w:val="en-US" w:eastAsia="zh-CN"/>
              </w:rPr>
            </w:pPr>
            <w:r>
              <w:rPr>
                <w:rFonts w:hint="eastAsia" w:ascii="仿宋" w:hAnsi="仿宋" w:eastAsia="仿宋" w:cs="仿宋"/>
                <w:sz w:val="24"/>
                <w:szCs w:val="24"/>
                <w:highlight w:val="none"/>
                <w:lang w:val="en-US" w:eastAsia="zh-CN"/>
              </w:rPr>
              <w:t>供应商团队人员</w:t>
            </w:r>
          </w:p>
        </w:tc>
        <w:tc>
          <w:tcPr>
            <w:tcW w:w="788" w:type="dxa"/>
            <w:tcBorders>
              <w:top w:val="single" w:color="auto" w:sz="4" w:space="0"/>
              <w:left w:val="single" w:color="auto" w:sz="4" w:space="0"/>
              <w:bottom w:val="single" w:color="auto" w:sz="4" w:space="0"/>
              <w:right w:val="single" w:color="auto" w:sz="4" w:space="0"/>
            </w:tcBorders>
            <w:vAlign w:val="center"/>
          </w:tcPr>
          <w:p w14:paraId="2FE50D66">
            <w:pPr>
              <w:spacing w:line="240" w:lineRule="auto"/>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7</w:t>
            </w:r>
            <w:r>
              <w:rPr>
                <w:rFonts w:ascii="Times New Roman" w:hAnsi="Times New Roman" w:eastAsia="仿宋" w:cs="Times New Roman"/>
                <w:bCs/>
                <w:sz w:val="24"/>
                <w:szCs w:val="24"/>
              </w:rPr>
              <w:t>分</w:t>
            </w:r>
          </w:p>
        </w:tc>
        <w:tc>
          <w:tcPr>
            <w:tcW w:w="4350" w:type="dxa"/>
            <w:tcBorders>
              <w:top w:val="single" w:color="auto" w:sz="4" w:space="0"/>
              <w:left w:val="single" w:color="auto" w:sz="4" w:space="0"/>
              <w:bottom w:val="single" w:color="auto" w:sz="4" w:space="0"/>
              <w:right w:val="single" w:color="auto" w:sz="4" w:space="0"/>
            </w:tcBorders>
            <w:vAlign w:val="center"/>
          </w:tcPr>
          <w:p w14:paraId="63ED144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kern w:val="2"/>
                <w:sz w:val="24"/>
                <w:szCs w:val="24"/>
                <w:lang w:val="en-US" w:eastAsia="zh-CN"/>
              </w:rPr>
            </w:pPr>
            <w:r>
              <w:rPr>
                <w:rFonts w:hint="eastAsia" w:ascii="Times New Roman" w:hAnsi="Times New Roman" w:eastAsia="仿宋" w:cs="Times New Roman"/>
                <w:sz w:val="24"/>
                <w:szCs w:val="24"/>
                <w:lang w:val="en-US" w:eastAsia="zh-CN"/>
              </w:rPr>
              <w:t>根据供应商</w:t>
            </w:r>
            <w:r>
              <w:rPr>
                <w:rFonts w:ascii="Times New Roman" w:hAnsi="Times New Roman" w:eastAsia="仿宋" w:cs="Times New Roman"/>
                <w:sz w:val="24"/>
                <w:szCs w:val="24"/>
              </w:rPr>
              <w:t>拟投入本项目</w:t>
            </w:r>
            <w:r>
              <w:rPr>
                <w:rFonts w:hint="eastAsia" w:ascii="Times New Roman" w:hAnsi="Times New Roman" w:eastAsia="仿宋" w:cs="Times New Roman"/>
                <w:sz w:val="24"/>
                <w:szCs w:val="24"/>
                <w:lang w:val="en-US" w:eastAsia="zh-CN"/>
              </w:rPr>
              <w:t>团队人员</w:t>
            </w:r>
            <w:r>
              <w:rPr>
                <w:rFonts w:ascii="Times New Roman" w:hAnsi="Times New Roman" w:eastAsia="仿宋" w:cs="Times New Roman"/>
                <w:sz w:val="24"/>
                <w:szCs w:val="24"/>
              </w:rPr>
              <w:t>情况进行评审</w:t>
            </w:r>
            <w:r>
              <w:rPr>
                <w:rFonts w:hint="eastAsia" w:ascii="Times New Roman" w:hAnsi="Times New Roman" w:eastAsia="仿宋" w:cs="Times New Roman"/>
                <w:sz w:val="24"/>
                <w:szCs w:val="24"/>
                <w:lang w:eastAsia="zh-CN"/>
              </w:rPr>
              <w:t>：</w:t>
            </w:r>
          </w:p>
          <w:p w14:paraId="1BE1C30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kern w:val="2"/>
                <w:sz w:val="24"/>
                <w:szCs w:val="24"/>
              </w:rPr>
              <w:t>项目经理（项目负责人）</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具有机电工程专业一级注册建造师证书的得7分，本项最高得7分。</w:t>
            </w:r>
          </w:p>
        </w:tc>
        <w:tc>
          <w:tcPr>
            <w:tcW w:w="2690" w:type="dxa"/>
            <w:tcBorders>
              <w:top w:val="single" w:color="auto" w:sz="4" w:space="0"/>
              <w:left w:val="single" w:color="auto" w:sz="4" w:space="0"/>
              <w:bottom w:val="single" w:color="auto" w:sz="4" w:space="0"/>
              <w:right w:val="single" w:color="auto" w:sz="4" w:space="0"/>
            </w:tcBorders>
            <w:vAlign w:val="center"/>
          </w:tcPr>
          <w:p w14:paraId="2A7562A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1.提供团队人员清单，格式自拟。</w:t>
            </w:r>
          </w:p>
          <w:p w14:paraId="0F14996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2.</w:t>
            </w:r>
            <w:r>
              <w:rPr>
                <w:rFonts w:hint="default" w:ascii="仿宋" w:hAnsi="仿宋" w:eastAsia="仿宋" w:cs="仿宋"/>
                <w:b w:val="0"/>
                <w:bCs/>
                <w:kern w:val="2"/>
                <w:sz w:val="24"/>
                <w:szCs w:val="24"/>
                <w:lang w:val="en-US" w:eastAsia="zh-CN"/>
              </w:rPr>
              <w:t>提供人员相关证书（注册类证书须注册在</w:t>
            </w:r>
            <w:r>
              <w:rPr>
                <w:rFonts w:hint="eastAsia" w:ascii="仿宋" w:hAnsi="仿宋" w:eastAsia="仿宋" w:cs="仿宋"/>
                <w:b w:val="0"/>
                <w:bCs/>
                <w:kern w:val="2"/>
                <w:sz w:val="24"/>
                <w:szCs w:val="24"/>
                <w:lang w:val="en-US" w:eastAsia="zh-CN"/>
              </w:rPr>
              <w:t>供应商本</w:t>
            </w:r>
            <w:r>
              <w:rPr>
                <w:rFonts w:hint="default" w:ascii="仿宋" w:hAnsi="仿宋" w:eastAsia="仿宋" w:cs="仿宋"/>
                <w:b w:val="0"/>
                <w:bCs/>
                <w:kern w:val="2"/>
                <w:sz w:val="24"/>
                <w:szCs w:val="24"/>
                <w:lang w:val="en-US" w:eastAsia="zh-CN"/>
              </w:rPr>
              <w:t>单位）</w:t>
            </w:r>
            <w:r>
              <w:rPr>
                <w:rFonts w:hint="eastAsia" w:ascii="仿宋" w:hAnsi="仿宋" w:eastAsia="仿宋" w:cs="仿宋"/>
                <w:b w:val="0"/>
                <w:bCs/>
                <w:kern w:val="2"/>
                <w:sz w:val="24"/>
                <w:szCs w:val="24"/>
                <w:lang w:val="en-US" w:eastAsia="zh-CN"/>
              </w:rPr>
              <w:t>复印件</w:t>
            </w:r>
            <w:r>
              <w:rPr>
                <w:rFonts w:hint="default" w:ascii="仿宋" w:hAnsi="仿宋" w:eastAsia="仿宋" w:cs="仿宋"/>
                <w:b w:val="0"/>
                <w:bCs/>
                <w:kern w:val="2"/>
                <w:sz w:val="24"/>
                <w:szCs w:val="24"/>
                <w:lang w:val="en-US" w:eastAsia="zh-CN"/>
              </w:rPr>
              <w:t>并加盖供应商公章。</w:t>
            </w:r>
          </w:p>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3.</w:t>
            </w:r>
            <w:r>
              <w:rPr>
                <w:rFonts w:hint="default" w:ascii="仿宋" w:hAnsi="仿宋" w:eastAsia="仿宋" w:cs="仿宋"/>
                <w:b w:val="0"/>
                <w:bCs/>
                <w:kern w:val="2"/>
                <w:sz w:val="24"/>
                <w:szCs w:val="24"/>
                <w:lang w:val="en-US" w:eastAsia="zh-CN"/>
              </w:rPr>
              <w:t>提供人员在供应商本单位的在职证明材料</w:t>
            </w:r>
            <w:r>
              <w:rPr>
                <w:rFonts w:hint="eastAsia" w:ascii="仿宋" w:hAnsi="仿宋" w:eastAsia="仿宋" w:cs="仿宋"/>
                <w:b w:val="0"/>
                <w:bCs/>
                <w:kern w:val="2"/>
                <w:sz w:val="24"/>
                <w:szCs w:val="24"/>
                <w:lang w:val="en-US" w:eastAsia="zh-CN"/>
              </w:rPr>
              <w:t>并</w:t>
            </w:r>
            <w:r>
              <w:rPr>
                <w:rFonts w:hint="default" w:ascii="仿宋" w:hAnsi="仿宋" w:eastAsia="仿宋" w:cs="仿宋"/>
                <w:b w:val="0"/>
                <w:bCs/>
                <w:kern w:val="2"/>
                <w:sz w:val="24"/>
                <w:szCs w:val="24"/>
                <w:lang w:val="en-US" w:eastAsia="zh-CN"/>
              </w:rPr>
              <w:t>加盖供应商公章。</w:t>
            </w:r>
          </w:p>
        </w:tc>
      </w:tr>
      <w:tr w14:paraId="2C51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6" w:type="dxa"/>
            <w:tcBorders>
              <w:left w:val="single" w:color="auto" w:sz="4" w:space="0"/>
              <w:bottom w:val="single" w:color="auto" w:sz="4" w:space="0"/>
              <w:right w:val="single" w:color="auto" w:sz="4" w:space="0"/>
            </w:tcBorders>
            <w:vAlign w:val="center"/>
          </w:tcPr>
          <w:p w14:paraId="69CF8281">
            <w:pPr>
              <w:spacing w:line="240" w:lineRule="auto"/>
              <w:ind w:firstLine="28"/>
              <w:jc w:val="cente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w:t>
            </w:r>
          </w:p>
        </w:tc>
        <w:tc>
          <w:tcPr>
            <w:tcW w:w="1240" w:type="dxa"/>
            <w:tcBorders>
              <w:left w:val="single" w:color="auto" w:sz="4" w:space="0"/>
              <w:bottom w:val="single" w:color="auto" w:sz="4" w:space="0"/>
              <w:right w:val="single" w:color="auto" w:sz="4" w:space="0"/>
            </w:tcBorders>
            <w:shd w:val="clear" w:color="auto" w:fill="auto"/>
            <w:vAlign w:val="center"/>
          </w:tcPr>
          <w:p w14:paraId="2718DA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推荐品牌</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7E497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21分</w:t>
            </w: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2DF12E1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供应商提供的</w:t>
            </w:r>
            <w:r>
              <w:rPr>
                <w:rFonts w:hint="eastAsia" w:ascii="仿宋" w:hAnsi="仿宋" w:eastAsia="仿宋" w:cs="仿宋"/>
                <w:sz w:val="24"/>
                <w:szCs w:val="24"/>
                <w:lang w:val="en-US" w:eastAsia="zh-CN"/>
              </w:rPr>
              <w:t>货物</w:t>
            </w:r>
            <w:r>
              <w:rPr>
                <w:rFonts w:hint="eastAsia" w:ascii="仿宋" w:hAnsi="仿宋" w:eastAsia="仿宋" w:cs="仿宋"/>
                <w:sz w:val="24"/>
                <w:szCs w:val="24"/>
              </w:rPr>
              <w:t>的品牌</w:t>
            </w:r>
            <w:r>
              <w:rPr>
                <w:rFonts w:hint="eastAsia" w:ascii="仿宋" w:hAnsi="仿宋" w:eastAsia="仿宋" w:cs="仿宋"/>
                <w:sz w:val="24"/>
                <w:szCs w:val="24"/>
                <w:lang w:val="en-US" w:eastAsia="zh-CN"/>
              </w:rPr>
              <w:t>或厂家</w:t>
            </w:r>
            <w:r>
              <w:rPr>
                <w:rFonts w:hint="eastAsia" w:ascii="仿宋" w:hAnsi="仿宋" w:eastAsia="仿宋" w:cs="仿宋"/>
                <w:sz w:val="24"/>
                <w:szCs w:val="24"/>
              </w:rPr>
              <w:t>属于本项目谈判文件“</w:t>
            </w:r>
            <w:r>
              <w:rPr>
                <w:rFonts w:hint="eastAsia" w:ascii="仿宋" w:hAnsi="仿宋" w:eastAsia="仿宋" w:cs="仿宋"/>
                <w:b/>
                <w:bCs/>
                <w:sz w:val="24"/>
                <w:szCs w:val="24"/>
              </w:rPr>
              <w:t xml:space="preserve">第四章 采购需求 </w:t>
            </w: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推荐</w:t>
            </w:r>
            <w:r>
              <w:rPr>
                <w:rFonts w:hint="eastAsia" w:ascii="仿宋" w:hAnsi="仿宋" w:eastAsia="仿宋" w:cs="仿宋"/>
                <w:b/>
                <w:bCs/>
                <w:sz w:val="24"/>
                <w:szCs w:val="24"/>
              </w:rPr>
              <w:t>品牌</w:t>
            </w:r>
            <w:r>
              <w:rPr>
                <w:rFonts w:hint="eastAsia" w:ascii="仿宋" w:hAnsi="仿宋" w:eastAsia="仿宋" w:cs="仿宋"/>
                <w:sz w:val="24"/>
                <w:szCs w:val="24"/>
              </w:rPr>
              <w:t>”范围之内的，每满足1项</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3.5</w:t>
            </w:r>
            <w:r>
              <w:rPr>
                <w:rFonts w:hint="eastAsia" w:ascii="仿宋" w:hAnsi="仿宋" w:eastAsia="仿宋" w:cs="仿宋"/>
                <w:sz w:val="24"/>
                <w:szCs w:val="24"/>
              </w:rPr>
              <w:t>分，本项最多得</w:t>
            </w:r>
            <w:r>
              <w:rPr>
                <w:rFonts w:hint="eastAsia" w:ascii="仿宋" w:hAnsi="仿宋" w:eastAsia="仿宋" w:cs="仿宋"/>
                <w:sz w:val="24"/>
                <w:szCs w:val="24"/>
                <w:lang w:val="en-US" w:eastAsia="zh-CN"/>
              </w:rPr>
              <w:t>21</w:t>
            </w:r>
            <w:r>
              <w:rPr>
                <w:rFonts w:hint="eastAsia" w:ascii="仿宋" w:hAnsi="仿宋" w:eastAsia="仿宋" w:cs="仿宋"/>
                <w:sz w:val="24"/>
                <w:szCs w:val="24"/>
              </w:rPr>
              <w:t>分。</w:t>
            </w:r>
          </w:p>
          <w:p w14:paraId="7490EED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注：</w:t>
            </w:r>
            <w:r>
              <w:rPr>
                <w:rFonts w:hint="eastAsia" w:ascii="仿宋" w:hAnsi="仿宋" w:eastAsia="仿宋" w:cs="仿宋"/>
                <w:sz w:val="24"/>
                <w:szCs w:val="24"/>
              </w:rPr>
              <w:t>每项不重复计分</w:t>
            </w:r>
            <w:r>
              <w:rPr>
                <w:rFonts w:hint="eastAsia" w:ascii="仿宋" w:hAnsi="仿宋" w:eastAsia="仿宋" w:cs="仿宋"/>
                <w:sz w:val="24"/>
                <w:szCs w:val="24"/>
                <w:lang w:eastAsia="zh-CN"/>
              </w:rPr>
              <w:t>。</w:t>
            </w:r>
          </w:p>
        </w:tc>
        <w:tc>
          <w:tcPr>
            <w:tcW w:w="2690" w:type="dxa"/>
            <w:tcBorders>
              <w:top w:val="single" w:color="auto" w:sz="4" w:space="0"/>
              <w:left w:val="single" w:color="auto" w:sz="4" w:space="0"/>
              <w:bottom w:val="single" w:color="auto" w:sz="4" w:space="0"/>
              <w:right w:val="single" w:color="auto" w:sz="4" w:space="0"/>
            </w:tcBorders>
            <w:vAlign w:val="center"/>
          </w:tcPr>
          <w:p w14:paraId="5634123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6" w:type="dxa"/>
            <w:tcBorders>
              <w:top w:val="single" w:color="auto" w:sz="4" w:space="0"/>
              <w:left w:val="single" w:color="auto" w:sz="4" w:space="0"/>
              <w:bottom w:val="single" w:color="auto" w:sz="4" w:space="0"/>
              <w:right w:val="single" w:color="auto" w:sz="4" w:space="0"/>
            </w:tcBorders>
            <w:vAlign w:val="center"/>
          </w:tcPr>
          <w:p w14:paraId="1E62D6EC">
            <w:pPr>
              <w:spacing w:line="240" w:lineRule="auto"/>
              <w:ind w:firstLine="28"/>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5</w:t>
            </w:r>
          </w:p>
        </w:tc>
        <w:tc>
          <w:tcPr>
            <w:tcW w:w="1240" w:type="dxa"/>
            <w:tcBorders>
              <w:top w:val="single" w:color="auto" w:sz="4" w:space="0"/>
              <w:left w:val="single" w:color="auto" w:sz="4" w:space="0"/>
              <w:bottom w:val="single" w:color="auto" w:sz="4" w:space="0"/>
              <w:right w:val="single" w:color="auto" w:sz="4" w:space="0"/>
            </w:tcBorders>
            <w:vAlign w:val="center"/>
          </w:tcPr>
          <w:p w14:paraId="50DBF0ED">
            <w:pPr>
              <w:spacing w:line="240" w:lineRule="auto"/>
              <w:ind w:firstLine="28"/>
              <w:jc w:val="center"/>
              <w:rPr>
                <w:rFonts w:ascii="Times New Roman" w:hAnsi="Times New Roman" w:eastAsia="仿宋" w:cs="Times New Roman"/>
                <w:sz w:val="24"/>
                <w:szCs w:val="24"/>
              </w:rPr>
            </w:pPr>
            <w:r>
              <w:rPr>
                <w:rFonts w:hint="eastAsia" w:ascii="仿宋" w:hAnsi="仿宋" w:eastAsia="仿宋" w:cs="仿宋"/>
                <w:kern w:val="2"/>
                <w:sz w:val="24"/>
                <w:szCs w:val="24"/>
              </w:rPr>
              <w:t>施工组织方案</w:t>
            </w:r>
          </w:p>
        </w:tc>
        <w:tc>
          <w:tcPr>
            <w:tcW w:w="788" w:type="dxa"/>
            <w:tcBorders>
              <w:top w:val="single" w:color="auto" w:sz="4" w:space="0"/>
              <w:left w:val="single" w:color="auto" w:sz="4" w:space="0"/>
              <w:bottom w:val="single" w:color="auto" w:sz="4" w:space="0"/>
              <w:right w:val="single" w:color="auto" w:sz="4" w:space="0"/>
            </w:tcBorders>
            <w:vAlign w:val="center"/>
          </w:tcPr>
          <w:p w14:paraId="20B6A218">
            <w:pPr>
              <w:spacing w:line="240" w:lineRule="auto"/>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10</w:t>
            </w:r>
            <w:r>
              <w:rPr>
                <w:rFonts w:ascii="Times New Roman" w:hAnsi="Times New Roman" w:eastAsia="仿宋" w:cs="Times New Roman"/>
                <w:bCs/>
                <w:sz w:val="24"/>
                <w:szCs w:val="24"/>
              </w:rPr>
              <w:t>分</w:t>
            </w:r>
          </w:p>
        </w:tc>
        <w:tc>
          <w:tcPr>
            <w:tcW w:w="4350" w:type="dxa"/>
            <w:tcBorders>
              <w:top w:val="single" w:color="auto" w:sz="4" w:space="0"/>
              <w:left w:val="single" w:color="auto" w:sz="4" w:space="0"/>
              <w:bottom w:val="single" w:color="auto" w:sz="4" w:space="0"/>
              <w:right w:val="single" w:color="auto" w:sz="4" w:space="0"/>
            </w:tcBorders>
            <w:vAlign w:val="center"/>
          </w:tcPr>
          <w:p w14:paraId="099DE1A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施工组织方案，包括：①工期保证措施；②质量保证措施；③安全保证措施及安全应急预案；④环保和文明施工措施：⑤施工方案与技术措施。涵盖以上内容且不存在缺陷得10分，在此基础上，每缺少一项内容扣2分，每有一处内容存在缺陷扣1分，扣完为止。</w:t>
            </w:r>
          </w:p>
          <w:p w14:paraId="51EFBC6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690" w:type="dxa"/>
            <w:tcBorders>
              <w:top w:val="single" w:color="auto" w:sz="4" w:space="0"/>
              <w:left w:val="single" w:color="auto" w:sz="4" w:space="0"/>
              <w:bottom w:val="single" w:color="auto" w:sz="4" w:space="0"/>
              <w:right w:val="single" w:color="auto" w:sz="4" w:space="0"/>
            </w:tcBorders>
            <w:vAlign w:val="center"/>
          </w:tcPr>
          <w:p w14:paraId="420172E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1D32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6" w:type="dxa"/>
            <w:tcBorders>
              <w:top w:val="single" w:color="auto" w:sz="4" w:space="0"/>
              <w:left w:val="single" w:color="auto" w:sz="4" w:space="0"/>
              <w:bottom w:val="single" w:color="auto" w:sz="4" w:space="0"/>
              <w:right w:val="single" w:color="auto" w:sz="4" w:space="0"/>
            </w:tcBorders>
            <w:vAlign w:val="center"/>
          </w:tcPr>
          <w:p w14:paraId="7228F998">
            <w:pPr>
              <w:spacing w:line="240" w:lineRule="auto"/>
              <w:ind w:firstLine="28"/>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w:t>
            </w:r>
          </w:p>
        </w:tc>
        <w:tc>
          <w:tcPr>
            <w:tcW w:w="1240" w:type="dxa"/>
            <w:tcBorders>
              <w:top w:val="single" w:color="auto" w:sz="4" w:space="0"/>
              <w:left w:val="single" w:color="auto" w:sz="4" w:space="0"/>
              <w:bottom w:val="single" w:color="auto" w:sz="4" w:space="0"/>
              <w:right w:val="single" w:color="auto" w:sz="4" w:space="0"/>
            </w:tcBorders>
            <w:vAlign w:val="center"/>
          </w:tcPr>
          <w:p w14:paraId="4172E67A">
            <w:pPr>
              <w:spacing w:line="240" w:lineRule="auto"/>
              <w:ind w:firstLine="28"/>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施工期间用电保电及应急措施</w:t>
            </w:r>
          </w:p>
        </w:tc>
        <w:tc>
          <w:tcPr>
            <w:tcW w:w="788" w:type="dxa"/>
            <w:tcBorders>
              <w:top w:val="single" w:color="auto" w:sz="4" w:space="0"/>
              <w:left w:val="single" w:color="auto" w:sz="4" w:space="0"/>
              <w:bottom w:val="single" w:color="auto" w:sz="4" w:space="0"/>
              <w:right w:val="single" w:color="auto" w:sz="4" w:space="0"/>
            </w:tcBorders>
            <w:vAlign w:val="center"/>
          </w:tcPr>
          <w:p w14:paraId="04B41FB1">
            <w:pPr>
              <w:spacing w:line="240" w:lineRule="auto"/>
              <w:ind w:firstLine="28"/>
              <w:jc w:val="center"/>
              <w:rPr>
                <w:rFonts w:hint="default" w:ascii="Times New Roman" w:hAnsi="Times New Roman" w:eastAsia="仿宋" w:cs="Times New Roman"/>
                <w:bCs/>
                <w:sz w:val="24"/>
                <w:szCs w:val="24"/>
                <w:lang w:val="en-US" w:eastAsia="zh-CN"/>
              </w:rPr>
            </w:pPr>
            <w:r>
              <w:rPr>
                <w:rFonts w:hint="eastAsia" w:ascii="Times New Roman" w:hAnsi="Times New Roman" w:eastAsia="仿宋" w:cs="Times New Roman"/>
                <w:bCs/>
                <w:sz w:val="24"/>
                <w:szCs w:val="24"/>
                <w:lang w:val="en-US" w:eastAsia="zh-CN"/>
              </w:rPr>
              <w:t>2分</w:t>
            </w:r>
          </w:p>
        </w:tc>
        <w:tc>
          <w:tcPr>
            <w:tcW w:w="4350" w:type="dxa"/>
            <w:tcBorders>
              <w:top w:val="single" w:color="auto" w:sz="4" w:space="0"/>
              <w:left w:val="single" w:color="auto" w:sz="4" w:space="0"/>
              <w:bottom w:val="single" w:color="auto" w:sz="4" w:space="0"/>
              <w:right w:val="single" w:color="auto" w:sz="4" w:space="0"/>
            </w:tcBorders>
            <w:vAlign w:val="center"/>
          </w:tcPr>
          <w:p w14:paraId="30C51E2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施工期间用电保电及应急措施，包括：①施工期间用电、保电方案、②施工期间用电应急措施及保电应急措施。涵盖以上内容且不存在缺陷得2分，在此基础上，每缺少一项内容扣1分，每有一处内容存在缺陷扣0.5分，扣完为止。</w:t>
            </w:r>
          </w:p>
          <w:p w14:paraId="0AA7857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690" w:type="dxa"/>
            <w:tcBorders>
              <w:top w:val="single" w:color="auto" w:sz="4" w:space="0"/>
              <w:left w:val="single" w:color="auto" w:sz="4" w:space="0"/>
              <w:bottom w:val="single" w:color="auto" w:sz="4" w:space="0"/>
              <w:right w:val="single" w:color="auto" w:sz="4" w:space="0"/>
            </w:tcBorders>
            <w:vAlign w:val="center"/>
          </w:tcPr>
          <w:p w14:paraId="23C5EAC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施工期间用电保电及应急措施包括但不限于以下内容：供应商须在施工前及施工过程中主动与采购人科室对接，动态核实并掌握科室的用电需求、是否允许停电及可停电时长，据此编制并动态调整用电、停电计划与施工组织方案串联；未经科室确认和采购人批准不得实施停电作业，并须落实备用电源、应急保障及恢复送电措施，确保采购人医疗业务安全连续。</w:t>
            </w: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3558"/>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7135"/>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16029"/>
      <w:bookmarkStart w:id="51" w:name="_Toc21519"/>
      <w:bookmarkStart w:id="52" w:name="_Toc11352"/>
      <w:bookmarkStart w:id="53" w:name="_Toc3023"/>
    </w:p>
    <w:p w14:paraId="43B80407">
      <w:pPr>
        <w:rPr>
          <w:rStyle w:val="34"/>
          <w:rFonts w:ascii="Times New Roman" w:hAnsi="Times New Roman" w:eastAsia="仿宋" w:cs="Times New Roman"/>
          <w:b/>
          <w:bCs/>
          <w:sz w:val="32"/>
          <w:szCs w:val="28"/>
        </w:rPr>
      </w:pPr>
      <w:r>
        <w:rPr>
          <w:rStyle w:val="34"/>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22676"/>
      <w:bookmarkStart w:id="56" w:name="_Toc4305"/>
      <w:bookmarkStart w:id="57" w:name="_Toc17857"/>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4"/>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3"/>
        <w:ind w:left="420" w:leftChars="200"/>
        <w:jc w:val="both"/>
        <w:rPr>
          <w:rFonts w:ascii="Times New Roman" w:hAnsi="Times New Roman" w:eastAsia="仿宋" w:cs="Times New Roman"/>
          <w:color w:val="auto"/>
        </w:rPr>
      </w:pPr>
    </w:p>
    <w:p w14:paraId="50A012A9">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1351"/>
      <w:bookmarkStart w:id="68" w:name="_Toc15526"/>
      <w:bookmarkStart w:id="69" w:name="_Toc20589"/>
      <w:bookmarkStart w:id="70" w:name="_Toc25638"/>
      <w:bookmarkStart w:id="71" w:name="_Toc12015"/>
      <w:bookmarkStart w:id="72" w:name="_Toc27661"/>
      <w:r>
        <w:rPr>
          <w:rStyle w:val="42"/>
          <w:b/>
        </w:rPr>
        <w:t>法定代表人身份证明书</w:t>
      </w:r>
      <w:bookmarkEnd w:id="67"/>
      <w:bookmarkEnd w:id="68"/>
      <w:bookmarkEnd w:id="69"/>
      <w:bookmarkEnd w:id="70"/>
      <w:bookmarkEnd w:id="71"/>
      <w:bookmarkEnd w:id="72"/>
    </w:p>
    <w:p w14:paraId="0AB454D2">
      <w:pPr>
        <w:pStyle w:val="33"/>
        <w:jc w:val="center"/>
        <w:rPr>
          <w:rFonts w:ascii="Times New Roman" w:hAnsi="Times New Roman" w:eastAsia="仿宋" w:cs="Times New Roman"/>
          <w:color w:val="auto"/>
        </w:rPr>
      </w:pPr>
    </w:p>
    <w:p w14:paraId="43269FBB">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3"/>
        <w:jc w:val="center"/>
        <w:rPr>
          <w:rFonts w:ascii="Times New Roman" w:hAnsi="Times New Roman" w:eastAsia="仿宋" w:cs="Times New Roman"/>
          <w:color w:val="auto"/>
        </w:rPr>
      </w:pPr>
    </w:p>
    <w:p w14:paraId="6757BD29">
      <w:pPr>
        <w:pStyle w:val="33"/>
        <w:jc w:val="center"/>
        <w:rPr>
          <w:rFonts w:ascii="Times New Roman" w:hAnsi="Times New Roman" w:eastAsia="仿宋" w:cs="Times New Roman"/>
          <w:color w:val="auto"/>
        </w:rPr>
      </w:pPr>
    </w:p>
    <w:p w14:paraId="2C00BF0A">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3"/>
        <w:jc w:val="both"/>
        <w:rPr>
          <w:rFonts w:ascii="Times New Roman" w:hAnsi="Times New Roman" w:eastAsia="仿宋" w:cs="Times New Roman"/>
          <w:color w:val="auto"/>
        </w:rPr>
      </w:pPr>
    </w:p>
    <w:p w14:paraId="46E4D155">
      <w:pPr>
        <w:pStyle w:val="33"/>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3"/>
        <w:jc w:val="center"/>
        <w:rPr>
          <w:rFonts w:ascii="Times New Roman" w:hAnsi="Times New Roman" w:eastAsia="仿宋" w:cs="Times New Roman"/>
          <w:color w:val="auto"/>
        </w:rPr>
      </w:pPr>
    </w:p>
    <w:p w14:paraId="53CC06E9">
      <w:pPr>
        <w:pStyle w:val="33"/>
        <w:jc w:val="center"/>
        <w:rPr>
          <w:rFonts w:ascii="Times New Roman" w:hAnsi="Times New Roman" w:eastAsia="仿宋" w:cs="Times New Roman"/>
          <w:color w:val="auto"/>
        </w:rPr>
      </w:pPr>
    </w:p>
    <w:p w14:paraId="55320CDB">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3"/>
        <w:jc w:val="both"/>
        <w:rPr>
          <w:rFonts w:ascii="Times New Roman" w:hAnsi="Times New Roman" w:eastAsia="仿宋" w:cs="Times New Roman"/>
          <w:color w:val="auto"/>
          <w:sz w:val="32"/>
          <w:szCs w:val="32"/>
        </w:rPr>
      </w:pPr>
    </w:p>
    <w:p w14:paraId="31D6EAC3">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1CF8FCEE">
      <w:pPr>
        <w:pStyle w:val="33"/>
        <w:jc w:val="center"/>
        <w:rPr>
          <w:rFonts w:ascii="Times New Roman" w:hAnsi="Times New Roman" w:eastAsia="仿宋" w:cs="Times New Roman"/>
          <w:b/>
          <w:bCs/>
          <w:color w:val="auto"/>
        </w:rPr>
      </w:pPr>
    </w:p>
    <w:p w14:paraId="170BF1E2">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3"/>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6435"/>
      <w:bookmarkStart w:id="75" w:name="_Toc12967"/>
      <w:bookmarkStart w:id="76" w:name="_Toc2041"/>
      <w:bookmarkStart w:id="77" w:name="_Toc23967"/>
      <w:bookmarkStart w:id="78" w:name="_Toc1074"/>
      <w:r>
        <w:rPr>
          <w:rStyle w:val="42"/>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3"/>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8634"/>
      <w:bookmarkStart w:id="80" w:name="_Toc21082"/>
      <w:bookmarkStart w:id="81" w:name="_Toc26839"/>
      <w:bookmarkStart w:id="82" w:name="_Toc1369"/>
      <w:bookmarkStart w:id="83" w:name="_Toc24806"/>
      <w:bookmarkStart w:id="84" w:name="_Toc31686"/>
      <w:r>
        <w:rPr>
          <w:rStyle w:val="42"/>
          <w:b/>
        </w:rPr>
        <w:t>评分需要提供的证明材料</w:t>
      </w:r>
      <w:bookmarkEnd w:id="79"/>
      <w:bookmarkEnd w:id="80"/>
      <w:bookmarkEnd w:id="81"/>
      <w:bookmarkEnd w:id="82"/>
      <w:bookmarkEnd w:id="83"/>
      <w:bookmarkEnd w:id="84"/>
    </w:p>
    <w:p w14:paraId="71151EFE">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3"/>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4"/>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20"/>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3"/>
        <w:gridCol w:w="3522"/>
        <w:gridCol w:w="1486"/>
        <w:gridCol w:w="1260"/>
        <w:gridCol w:w="2221"/>
      </w:tblGrid>
      <w:tr w14:paraId="10B8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7" w:type="pct"/>
            <w:vAlign w:val="center"/>
          </w:tcPr>
          <w:p w14:paraId="2CF60CA8">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序号</w:t>
            </w:r>
          </w:p>
        </w:tc>
        <w:tc>
          <w:tcPr>
            <w:tcW w:w="1822" w:type="pct"/>
            <w:vAlign w:val="center"/>
          </w:tcPr>
          <w:p w14:paraId="1BC95E2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en-US" w:eastAsia="zh-CN"/>
              </w:rPr>
              <w:t>服务内容</w:t>
            </w:r>
          </w:p>
        </w:tc>
        <w:tc>
          <w:tcPr>
            <w:tcW w:w="769" w:type="pct"/>
            <w:vAlign w:val="center"/>
          </w:tcPr>
          <w:p w14:paraId="29D764D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zh-TW" w:eastAsia="zh-TW"/>
              </w:rPr>
              <w:t>数量</w:t>
            </w:r>
            <w:r>
              <w:rPr>
                <w:rFonts w:hint="eastAsia" w:ascii="仿宋" w:hAnsi="仿宋" w:eastAsia="仿宋" w:cs="仿宋"/>
                <w:kern w:val="0"/>
                <w:sz w:val="24"/>
                <w:szCs w:val="24"/>
                <w:lang w:val="zh-TW" w:eastAsia="zh-CN"/>
              </w:rPr>
              <w:t>（</w:t>
            </w:r>
            <w:r>
              <w:rPr>
                <w:rFonts w:hint="eastAsia" w:ascii="仿宋" w:hAnsi="仿宋" w:eastAsia="仿宋" w:cs="仿宋"/>
                <w:kern w:val="0"/>
                <w:sz w:val="24"/>
                <w:szCs w:val="24"/>
                <w:lang w:val="en-US" w:eastAsia="zh-CN"/>
              </w:rPr>
              <w:t>单位）</w:t>
            </w:r>
          </w:p>
        </w:tc>
        <w:tc>
          <w:tcPr>
            <w:tcW w:w="652" w:type="pct"/>
            <w:vAlign w:val="center"/>
          </w:tcPr>
          <w:p w14:paraId="47434C7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总价（元）</w:t>
            </w:r>
          </w:p>
        </w:tc>
        <w:tc>
          <w:tcPr>
            <w:tcW w:w="1149" w:type="pct"/>
            <w:vAlign w:val="center"/>
          </w:tcPr>
          <w:p w14:paraId="18CCE01D">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备注</w:t>
            </w:r>
          </w:p>
        </w:tc>
      </w:tr>
      <w:tr w14:paraId="2570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trPr>
        <w:tc>
          <w:tcPr>
            <w:tcW w:w="607" w:type="pct"/>
            <w:vAlign w:val="center"/>
          </w:tcPr>
          <w:p w14:paraId="33FA3AA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822" w:type="pct"/>
            <w:vAlign w:val="center"/>
          </w:tcPr>
          <w:p w14:paraId="338798A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龙泉院区配电系统改造二期工程</w:t>
            </w:r>
          </w:p>
        </w:tc>
        <w:tc>
          <w:tcPr>
            <w:tcW w:w="769" w:type="pct"/>
            <w:vAlign w:val="center"/>
          </w:tcPr>
          <w:p w14:paraId="18230512">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652" w:type="pct"/>
            <w:vAlign w:val="center"/>
          </w:tcPr>
          <w:p w14:paraId="12864601">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p>
        </w:tc>
        <w:tc>
          <w:tcPr>
            <w:tcW w:w="1149" w:type="pct"/>
            <w:vAlign w:val="center"/>
          </w:tcPr>
          <w:p w14:paraId="2D8F1196">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供应商须在响应文件中上传盖章的已报价工程量清单</w:t>
            </w:r>
          </w:p>
        </w:tc>
      </w:tr>
      <w:tr w14:paraId="35D0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7" w:type="pct"/>
            <w:vAlign w:val="center"/>
          </w:tcPr>
          <w:p w14:paraId="4E78903A">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4392" w:type="pct"/>
            <w:gridSpan w:val="4"/>
            <w:vAlign w:val="center"/>
          </w:tcPr>
          <w:p w14:paraId="0241EA93">
            <w:pPr>
              <w:keepNext w:val="0"/>
              <w:keepLines w:val="0"/>
              <w:pageBreakBefore w:val="0"/>
              <w:kinsoku/>
              <w:wordWrap/>
              <w:overflowPunct/>
              <w:topLinePunct w:val="0"/>
              <w:autoSpaceDN/>
              <w:bidi w:val="0"/>
              <w:adjustRightInd/>
              <w:snapToGrid/>
              <w:spacing w:line="400" w:lineRule="exact"/>
              <w:ind w:firstLine="120" w:firstLineChars="50"/>
              <w:jc w:val="left"/>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227AE5F8">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sz w:val="24"/>
          <w:szCs w:val="24"/>
        </w:rPr>
      </w:pPr>
    </w:p>
    <w:p w14:paraId="5FD51B88">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lang w:val="zh-TW" w:eastAsia="zh-TW"/>
        </w:rPr>
        <w:t>报价</w:t>
      </w:r>
      <w:r>
        <w:rPr>
          <w:rFonts w:hint="eastAsia" w:ascii="仿宋" w:hAnsi="仿宋" w:eastAsia="仿宋" w:cs="仿宋"/>
          <w:b/>
          <w:bCs/>
          <w:sz w:val="24"/>
          <w:szCs w:val="24"/>
          <w:lang w:val="en-US" w:eastAsia="zh-CN"/>
        </w:rPr>
        <w:t>事项</w:t>
      </w:r>
    </w:p>
    <w:tbl>
      <w:tblPr>
        <w:tblStyle w:val="20"/>
        <w:tblW w:w="49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3521"/>
        <w:gridCol w:w="4976"/>
      </w:tblGrid>
      <w:tr w14:paraId="5D86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0F5BB7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1817" w:type="pct"/>
            <w:vAlign w:val="center"/>
          </w:tcPr>
          <w:p w14:paraId="0B4021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货物名称</w:t>
            </w:r>
          </w:p>
        </w:tc>
        <w:tc>
          <w:tcPr>
            <w:tcW w:w="2568" w:type="pct"/>
            <w:vAlign w:val="center"/>
          </w:tcPr>
          <w:p w14:paraId="778F6D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拟投入货物品牌/厂家</w:t>
            </w:r>
          </w:p>
        </w:tc>
      </w:tr>
      <w:tr w14:paraId="0B0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7F2C765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w:t>
            </w:r>
          </w:p>
        </w:tc>
        <w:tc>
          <w:tcPr>
            <w:tcW w:w="3521" w:type="dxa"/>
            <w:vAlign w:val="center"/>
          </w:tcPr>
          <w:p w14:paraId="66702B9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低压柜</w:t>
            </w:r>
          </w:p>
        </w:tc>
        <w:tc>
          <w:tcPr>
            <w:tcW w:w="2568" w:type="pct"/>
            <w:vAlign w:val="center"/>
          </w:tcPr>
          <w:p w14:paraId="6D1A59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p>
        </w:tc>
      </w:tr>
      <w:tr w14:paraId="4C8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0D80FAD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2</w:t>
            </w:r>
          </w:p>
        </w:tc>
        <w:tc>
          <w:tcPr>
            <w:tcW w:w="3521" w:type="dxa"/>
            <w:vAlign w:val="center"/>
          </w:tcPr>
          <w:p w14:paraId="1851214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断路器</w:t>
            </w:r>
          </w:p>
        </w:tc>
        <w:tc>
          <w:tcPr>
            <w:tcW w:w="2568" w:type="pct"/>
            <w:vAlign w:val="center"/>
          </w:tcPr>
          <w:p w14:paraId="544EF4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AAC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496634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3</w:t>
            </w:r>
          </w:p>
        </w:tc>
        <w:tc>
          <w:tcPr>
            <w:tcW w:w="3521" w:type="dxa"/>
            <w:vAlign w:val="center"/>
          </w:tcPr>
          <w:p w14:paraId="1823DC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双电源自动转换开关</w:t>
            </w:r>
          </w:p>
        </w:tc>
        <w:tc>
          <w:tcPr>
            <w:tcW w:w="2568" w:type="pct"/>
            <w:vAlign w:val="center"/>
          </w:tcPr>
          <w:p w14:paraId="2004FD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ECE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520B46D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4</w:t>
            </w:r>
          </w:p>
        </w:tc>
        <w:tc>
          <w:tcPr>
            <w:tcW w:w="3521" w:type="dxa"/>
            <w:vAlign w:val="center"/>
          </w:tcPr>
          <w:p w14:paraId="14BAF75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多功能表</w:t>
            </w:r>
          </w:p>
        </w:tc>
        <w:tc>
          <w:tcPr>
            <w:tcW w:w="2568" w:type="pct"/>
            <w:vAlign w:val="center"/>
          </w:tcPr>
          <w:p w14:paraId="71616F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3AF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27F8F8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5</w:t>
            </w:r>
          </w:p>
        </w:tc>
        <w:tc>
          <w:tcPr>
            <w:tcW w:w="3521" w:type="dxa"/>
            <w:vAlign w:val="center"/>
          </w:tcPr>
          <w:p w14:paraId="73E3EB8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无功补偿元件</w:t>
            </w:r>
          </w:p>
        </w:tc>
        <w:tc>
          <w:tcPr>
            <w:tcW w:w="2568" w:type="pct"/>
            <w:vAlign w:val="center"/>
          </w:tcPr>
          <w:p w14:paraId="321DEC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8A7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297150A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6</w:t>
            </w:r>
          </w:p>
        </w:tc>
        <w:tc>
          <w:tcPr>
            <w:tcW w:w="3521" w:type="dxa"/>
            <w:vAlign w:val="center"/>
          </w:tcPr>
          <w:p w14:paraId="4B7EF42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低压电缆</w:t>
            </w:r>
          </w:p>
        </w:tc>
        <w:tc>
          <w:tcPr>
            <w:tcW w:w="2568" w:type="pct"/>
            <w:vAlign w:val="center"/>
          </w:tcPr>
          <w:p w14:paraId="16A971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bl>
    <w:p w14:paraId="7DCB8338">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1A7C435C">
      <w:pPr>
        <w:jc w:val="center"/>
        <w:rPr>
          <w:rFonts w:hint="eastAsia" w:ascii="仿宋" w:hAnsi="仿宋" w:eastAsia="仿宋" w:cs="仿宋"/>
          <w:b/>
          <w:sz w:val="32"/>
          <w:szCs w:val="32"/>
        </w:rPr>
      </w:pPr>
    </w:p>
    <w:p w14:paraId="232DEE2F">
      <w:pPr>
        <w:jc w:val="center"/>
        <w:rPr>
          <w:rFonts w:hint="eastAsia" w:ascii="仿宋" w:hAnsi="仿宋" w:eastAsia="仿宋" w:cs="仿宋"/>
          <w:b/>
          <w:sz w:val="32"/>
          <w:szCs w:val="32"/>
        </w:rPr>
      </w:pPr>
    </w:p>
    <w:p w14:paraId="78AA58FF">
      <w:pPr>
        <w:jc w:val="center"/>
        <w:rPr>
          <w:rFonts w:hint="eastAsia" w:ascii="仿宋" w:hAnsi="仿宋" w:eastAsia="仿宋" w:cs="仿宋"/>
          <w:b/>
          <w:sz w:val="32"/>
          <w:szCs w:val="32"/>
        </w:rPr>
      </w:pPr>
    </w:p>
    <w:p w14:paraId="5DA2E655">
      <w:pPr>
        <w:jc w:val="center"/>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ind w:firstLine="3213" w:firstLineChars="1000"/>
        <w:jc w:val="left"/>
        <w:rPr>
          <w:rFonts w:hint="eastAsia" w:ascii="仿宋" w:hAnsi="仿宋" w:eastAsia="仿宋" w:cs="仿宋"/>
          <w:b/>
          <w:sz w:val="32"/>
          <w:szCs w:val="32"/>
          <w:u w:val="single"/>
        </w:rPr>
      </w:pPr>
      <w:r>
        <w:rPr>
          <w:rFonts w:hint="eastAsia" w:ascii="仿宋" w:hAnsi="仿宋" w:eastAsia="仿宋" w:cs="仿宋"/>
          <w:b/>
          <w:sz w:val="32"/>
          <w:szCs w:val="32"/>
        </w:rPr>
        <w:t>承包人：</w:t>
      </w:r>
    </w:p>
    <w:p w14:paraId="57A79DEB">
      <w:pPr>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  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承包人（全称）：</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rPr>
        <w:t>四川省人民医院</w:t>
      </w:r>
      <w:r>
        <w:rPr>
          <w:rFonts w:hint="eastAsia" w:ascii="仿宋" w:hAnsi="仿宋" w:eastAsia="仿宋" w:cs="仿宋"/>
          <w:b/>
          <w:sz w:val="28"/>
          <w:szCs w:val="28"/>
          <w:u w:val="single"/>
          <w:lang w:val="en-US" w:eastAsia="zh-CN"/>
        </w:rPr>
        <w:t>XX</w:t>
      </w:r>
      <w:r>
        <w:rPr>
          <w:rFonts w:hint="eastAsia" w:ascii="仿宋" w:hAnsi="仿宋" w:eastAsia="仿宋" w:cs="仿宋"/>
          <w:b/>
          <w:sz w:val="28"/>
          <w:szCs w:val="28"/>
          <w:u w:val="single"/>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r>
        <w:rPr>
          <w:rFonts w:hint="eastAsia" w:ascii="仿宋" w:hAnsi="仿宋" w:eastAsia="仿宋" w:cs="仿宋"/>
          <w:sz w:val="28"/>
          <w:szCs w:val="28"/>
        </w:rPr>
        <w:t>。</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2" w:firstLineChars="200"/>
        <w:rPr>
          <w:rFonts w:hint="eastAsia" w:ascii="仿宋" w:hAnsi="仿宋" w:eastAsia="仿宋" w:cs="仿宋"/>
          <w:sz w:val="28"/>
          <w:szCs w:val="28"/>
        </w:rPr>
      </w:pPr>
      <w:r>
        <w:rPr>
          <w:rFonts w:hint="eastAsia" w:ascii="仿宋" w:hAnsi="仿宋" w:eastAsia="仿宋" w:cs="仿宋"/>
          <w:b/>
          <w:sz w:val="28"/>
          <w:szCs w:val="28"/>
          <w:u w:val="single"/>
        </w:rPr>
        <w:t>该项目施工图(设计号:******)和招标工程量清单范围内的工程施工</w:t>
      </w:r>
      <w:r>
        <w:rPr>
          <w:rFonts w:hint="eastAsia" w:ascii="仿宋" w:hAnsi="仿宋" w:eastAsia="仿宋" w:cs="仿宋"/>
          <w:sz w:val="28"/>
          <w:szCs w:val="28"/>
        </w:rPr>
        <w:t>。</w:t>
      </w:r>
    </w:p>
    <w:p w14:paraId="44F59142">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3D6973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计划开工日期：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日（以监理工程师签发的开工令为准）。</w:t>
      </w:r>
    </w:p>
    <w:p w14:paraId="558C0517">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工期</w:t>
      </w:r>
      <w:r>
        <w:rPr>
          <w:rFonts w:hint="eastAsia" w:ascii="仿宋" w:hAnsi="仿宋" w:eastAsia="仿宋" w:cs="仿宋"/>
          <w:sz w:val="28"/>
          <w:szCs w:val="28"/>
          <w:lang w:eastAsia="zh-CN"/>
        </w:rPr>
        <w:t>：</w:t>
      </w:r>
    </w:p>
    <w:p w14:paraId="57725E48">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7" w:name="_Toc351203483"/>
      <w:r>
        <w:rPr>
          <w:rFonts w:hint="eastAsia" w:ascii="仿宋" w:hAnsi="仿宋" w:eastAsia="仿宋" w:cs="仿宋"/>
          <w:bCs w:val="0"/>
        </w:rPr>
        <w:t>三、质量标准</w:t>
      </w:r>
      <w:bookmarkEnd w:id="97"/>
    </w:p>
    <w:p w14:paraId="5E7447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工程质量符合国家、四川省现行技术规范、施工规范、质量标准。</w:t>
      </w:r>
    </w:p>
    <w:p w14:paraId="1ED1BE60">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8" w:name="_Toc351203484"/>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1.签约合同价为：</w:t>
      </w:r>
    </w:p>
    <w:p w14:paraId="6C5C07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人民币（小写）￥ 元(人民币)；最终价款以甲方结算审核金额为准。(大写)元，若最终审核金额超出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元，需另行协商签订结算协议。</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2.合同价格形式：。(固定综合单价/固定总价)</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34F56C5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42681B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w:t>
      </w:r>
      <w:r>
        <w:rPr>
          <w:rFonts w:hint="eastAsia" w:ascii="仿宋" w:hAnsi="仿宋" w:eastAsia="仿宋" w:cs="仿宋"/>
          <w:sz w:val="28"/>
          <w:szCs w:val="28"/>
        </w:rPr>
        <w:t>；</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2120F10D">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06432DF">
      <w:pPr>
        <w:spacing w:line="460" w:lineRule="exact"/>
        <w:ind w:firstLine="560" w:firstLineChars="200"/>
        <w:rPr>
          <w:rFonts w:hint="eastAsia" w:ascii="仿宋" w:hAnsi="仿宋" w:eastAsia="仿宋" w:cs="仿宋"/>
          <w:sz w:val="28"/>
          <w:szCs w:val="28"/>
          <w:u w:val="single"/>
        </w:rPr>
      </w:pPr>
    </w:p>
    <w:p w14:paraId="528103B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1C9AB2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E56B9BD">
      <w:pPr>
        <w:spacing w:line="460" w:lineRule="exact"/>
        <w:ind w:firstLine="560" w:firstLineChars="200"/>
        <w:rPr>
          <w:rFonts w:hint="eastAsia" w:ascii="仿宋" w:hAnsi="仿宋" w:eastAsia="仿宋" w:cs="仿宋"/>
          <w:sz w:val="28"/>
          <w:szCs w:val="28"/>
          <w:u w:val="single"/>
        </w:rPr>
      </w:pPr>
    </w:p>
    <w:p w14:paraId="70C7656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33B26A6C">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71C1C5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3A03E23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2BBDEF2">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3AD008D9">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02C07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1E1D5E06">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34E623A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4479ED0A">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891196"/>
      <w:bookmarkStart w:id="109" w:name="_Toc297048342"/>
      <w:bookmarkStart w:id="110" w:name="_Toc292559361"/>
      <w:bookmarkStart w:id="111" w:name="_Toc297120456"/>
      <w:bookmarkStart w:id="112" w:name="_Toc296890984"/>
      <w:bookmarkStart w:id="113" w:name="_Toc296347155"/>
      <w:bookmarkStart w:id="114" w:name="_Toc292559866"/>
      <w:bookmarkStart w:id="115" w:name="_Toc296346657"/>
      <w:bookmarkStart w:id="116" w:name="_Toc296503156"/>
      <w:bookmarkStart w:id="117" w:name="_Toc296944495"/>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5CDAFDD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224C036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774F59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1376FD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w:t>
      </w:r>
      <w:r>
        <w:rPr>
          <w:rFonts w:hint="eastAsia" w:ascii="仿宋" w:hAnsi="仿宋" w:eastAsia="仿宋" w:cs="仿宋"/>
          <w:sz w:val="28"/>
          <w:szCs w:val="28"/>
        </w:rPr>
        <w:t>；</w:t>
      </w:r>
    </w:p>
    <w:p w14:paraId="51E615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221F59A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027987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1E9FDF8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428176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w:t>
      </w:r>
      <w:r>
        <w:rPr>
          <w:rFonts w:hint="eastAsia" w:ascii="仿宋" w:hAnsi="仿宋" w:eastAsia="仿宋" w:cs="仿宋"/>
          <w:sz w:val="28"/>
          <w:szCs w:val="28"/>
        </w:rPr>
        <w:t>；</w:t>
      </w:r>
    </w:p>
    <w:p w14:paraId="4B3818E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3D99C4D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2559867"/>
      <w:bookmarkStart w:id="120" w:name="_Toc296346658"/>
      <w:bookmarkStart w:id="121" w:name="_Toc296347156"/>
      <w:bookmarkStart w:id="122" w:name="_Toc296944496"/>
      <w:bookmarkStart w:id="123" w:name="_Toc296503157"/>
      <w:bookmarkStart w:id="124" w:name="_Toc296890985"/>
      <w:bookmarkStart w:id="125" w:name="_Toc297120457"/>
      <w:bookmarkStart w:id="126" w:name="_Toc292559362"/>
      <w:bookmarkStart w:id="127" w:name="_Toc297048343"/>
      <w:bookmarkStart w:id="128" w:name="_Toc296891197"/>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发包人将已具备施工条件的施工现场在开工前移交给承包方</w:t>
      </w:r>
      <w:r>
        <w:rPr>
          <w:rFonts w:hint="eastAsia" w:ascii="仿宋" w:hAnsi="仿宋" w:eastAsia="仿宋" w:cs="仿宋"/>
          <w:sz w:val="28"/>
          <w:szCs w:val="28"/>
        </w:rPr>
        <w:t>。</w:t>
      </w:r>
    </w:p>
    <w:p w14:paraId="438B588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2.3.2 提供施工条件</w:t>
      </w:r>
    </w:p>
    <w:p w14:paraId="51A25B9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r>
        <w:rPr>
          <w:rFonts w:hint="eastAsia" w:ascii="仿宋" w:hAnsi="仿宋" w:eastAsia="仿宋" w:cs="仿宋"/>
          <w:sz w:val="28"/>
          <w:szCs w:val="28"/>
          <w:u w:val="single"/>
        </w:rPr>
        <w:t>发包人负责在开工前提供施工用水、用电的接口,由施工单位自行接入施工现场，施工中发生的水电费用由承包人承担，水电费见本合同第12.6条。</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7120458"/>
      <w:bookmarkStart w:id="131" w:name="_Toc296944497"/>
      <w:bookmarkStart w:id="132" w:name="_Toc296891198"/>
      <w:bookmarkStart w:id="133" w:name="_Toc296503158"/>
      <w:bookmarkStart w:id="134" w:name="_Toc297048344"/>
      <w:bookmarkStart w:id="135" w:name="_Toc292559363"/>
      <w:bookmarkStart w:id="136" w:name="_Toc296346659"/>
      <w:bookmarkStart w:id="137" w:name="_Toc292559868"/>
      <w:bookmarkStart w:id="138" w:name="_Toc296890986"/>
      <w:bookmarkStart w:id="139" w:name="_Toc296347157"/>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5</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提供项目总进度计划，_</w:t>
      </w:r>
      <w:r>
        <w:rPr>
          <w:rFonts w:hint="eastAsia" w:ascii="仿宋" w:hAnsi="仿宋" w:eastAsia="仿宋" w:cs="仿宋"/>
          <w:sz w:val="28"/>
          <w:szCs w:val="28"/>
          <w:u w:val="single"/>
        </w:rPr>
        <w:t>每月    日</w:t>
      </w:r>
      <w:r>
        <w:rPr>
          <w:rFonts w:hint="eastAsia" w:ascii="仿宋" w:hAnsi="仿宋" w:eastAsia="仿宋" w:cs="仿宋"/>
          <w:sz w:val="28"/>
          <w:szCs w:val="28"/>
        </w:rPr>
        <w:t>前提供下月工程进度计划报表，一式三份，先送监理单位在4日内审定后，送发包方核定，发包方在5个工作日内审定后，自留一份，返回监理方一份，承包方一份。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根据发包方及总监理工程师批准的施工组织设计和工程的具体情况采取相应的防护措施并负责安全保卫，费用由承包人负责。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302348E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47DA400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689611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w:t>
      </w:r>
      <w:r>
        <w:rPr>
          <w:rFonts w:hint="eastAsia" w:ascii="仿宋" w:hAnsi="仿宋" w:eastAsia="仿宋" w:cs="仿宋"/>
          <w:sz w:val="28"/>
          <w:szCs w:val="28"/>
        </w:rPr>
        <w:t>；</w:t>
      </w:r>
    </w:p>
    <w:p w14:paraId="7DFC385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rPr>
        <w:t>罚款2000元/次</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6890990"/>
      <w:bookmarkStart w:id="141" w:name="_Toc292559871"/>
      <w:bookmarkStart w:id="142" w:name="_Toc296346663"/>
      <w:bookmarkStart w:id="143" w:name="_Toc267251413"/>
      <w:bookmarkStart w:id="144" w:name="_Toc296944501"/>
      <w:bookmarkStart w:id="145" w:name="_Toc297120462"/>
      <w:bookmarkStart w:id="146" w:name="_Toc296347161"/>
      <w:bookmarkStart w:id="147" w:name="_Toc296503162"/>
      <w:bookmarkStart w:id="148" w:name="_Toc296891202"/>
      <w:bookmarkStart w:id="149" w:name="_Toc292559366"/>
      <w:bookmarkStart w:id="150" w:name="_Toc297048348"/>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72F5B5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14:paraId="6D0A995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448B73E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w:t>
      </w:r>
      <w:r>
        <w:rPr>
          <w:rFonts w:hint="eastAsia" w:ascii="仿宋" w:hAnsi="仿宋" w:eastAsia="仿宋" w:cs="仿宋"/>
          <w:sz w:val="28"/>
          <w:szCs w:val="28"/>
        </w:rPr>
        <w:t>；</w:t>
      </w:r>
    </w:p>
    <w:p w14:paraId="6A3DC0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w:t>
      </w:r>
      <w:r>
        <w:rPr>
          <w:rFonts w:hint="eastAsia" w:ascii="仿宋" w:hAnsi="仿宋" w:eastAsia="仿宋" w:cs="仿宋"/>
          <w:sz w:val="28"/>
          <w:szCs w:val="28"/>
        </w:rPr>
        <w:t>；</w:t>
      </w:r>
    </w:p>
    <w:p w14:paraId="3555F1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66AEE6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 </w:t>
      </w:r>
      <w:r>
        <w:rPr>
          <w:rFonts w:hint="eastAsia" w:ascii="仿宋" w:hAnsi="仿宋" w:eastAsia="仿宋" w:cs="仿宋"/>
          <w:sz w:val="28"/>
          <w:szCs w:val="28"/>
        </w:rPr>
        <w:t>；</w:t>
      </w:r>
    </w:p>
    <w:p w14:paraId="0C75442B">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通信地址：</w:t>
      </w:r>
      <w:r>
        <w:rPr>
          <w:rFonts w:hint="eastAsia" w:ascii="仿宋" w:hAnsi="仿宋" w:eastAsia="仿宋" w:cs="仿宋"/>
          <w:sz w:val="28"/>
          <w:szCs w:val="28"/>
          <w:u w:val="single"/>
        </w:rPr>
        <w:t>   </w:t>
      </w:r>
      <w:r>
        <w:rPr>
          <w:rFonts w:hint="eastAsia" w:ascii="仿宋" w:hAnsi="仿宋" w:eastAsia="仿宋" w:cs="仿宋"/>
          <w:sz w:val="28"/>
          <w:szCs w:val="28"/>
        </w:rPr>
        <w:t>；关于监理人的其他约定：</w:t>
      </w:r>
      <w:r>
        <w:rPr>
          <w:rFonts w:hint="eastAsia" w:ascii="仿宋" w:hAnsi="仿宋" w:eastAsia="仿宋" w:cs="仿宋"/>
          <w:sz w:val="28"/>
          <w:szCs w:val="28"/>
          <w:u w:val="single"/>
        </w:rPr>
        <w:t>对工程施工过程中质量、进度、造价、安全生产、文明施工及质量缺陷进行全过程监理。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6503163"/>
      <w:bookmarkStart w:id="154" w:name="_Toc296347162"/>
      <w:bookmarkStart w:id="155" w:name="_Toc292559872"/>
      <w:bookmarkStart w:id="156" w:name="_Toc296346664"/>
      <w:bookmarkStart w:id="157" w:name="_Toc292559367"/>
      <w:bookmarkStart w:id="158" w:name="_Toc297120463"/>
      <w:bookmarkStart w:id="159" w:name="_Toc296891203"/>
      <w:bookmarkStart w:id="160" w:name="_Toc296890991"/>
      <w:bookmarkStart w:id="161" w:name="_Toc296944502"/>
      <w:bookmarkStart w:id="162" w:name="_Toc297048349"/>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00B041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297216175"/>
      <w:bookmarkStart w:id="165" w:name="_Toc297123516"/>
      <w:bookmarkStart w:id="166" w:name="_Toc304295546"/>
      <w:bookmarkStart w:id="167" w:name="_Toc300934968"/>
      <w:bookmarkStart w:id="168" w:name="_Toc312677484"/>
      <w:bookmarkStart w:id="169" w:name="_Toc303539125"/>
      <w:bookmarkStart w:id="170" w:name="_Toc312678010"/>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2677486"/>
      <w:bookmarkStart w:id="172" w:name="_Toc318581169"/>
      <w:bookmarkStart w:id="173" w:name="_Toc312678012"/>
      <w:bookmarkStart w:id="174" w:name="_Toc297216177"/>
      <w:bookmarkStart w:id="175" w:name="_Toc300934970"/>
      <w:bookmarkStart w:id="176" w:name="_Toc304295548"/>
      <w:bookmarkStart w:id="177" w:name="_Toc297123518"/>
      <w:bookmarkStart w:id="178" w:name="_Toc303539127"/>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7487"/>
      <w:bookmarkStart w:id="180" w:name="_Toc312678013"/>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工期每拖延1天支付合同结算金额的0.1%的违约金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rPr>
        <w:t>合同价款的10%</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304295557"/>
      <w:bookmarkStart w:id="186" w:name="_Toc297048354"/>
      <w:bookmarkStart w:id="187" w:name="_Toc296503168"/>
      <w:bookmarkStart w:id="188" w:name="_Toc297216187"/>
      <w:bookmarkStart w:id="189" w:name="_Toc297120468"/>
      <w:bookmarkStart w:id="190" w:name="_Toc296891208"/>
      <w:bookmarkStart w:id="191" w:name="_Toc280868655"/>
      <w:bookmarkStart w:id="192" w:name="_Toc318581173"/>
      <w:bookmarkStart w:id="193" w:name="_Toc312678020"/>
      <w:bookmarkStart w:id="194" w:name="_Toc296890996"/>
      <w:bookmarkStart w:id="195" w:name="_Toc312677494"/>
      <w:bookmarkStart w:id="196" w:name="_Toc267251424"/>
      <w:bookmarkStart w:id="197" w:name="_Toc303539137"/>
      <w:bookmarkStart w:id="198" w:name="_Toc300934980"/>
      <w:bookmarkStart w:id="199" w:name="_Toc296346669"/>
      <w:bookmarkStart w:id="200" w:name="_Toc296944507"/>
      <w:bookmarkStart w:id="201" w:name="_Toc296347167"/>
      <w:bookmarkStart w:id="202" w:name="_Toc280868656"/>
      <w:bookmarkStart w:id="203" w:name="_Toc297123528"/>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6347192"/>
      <w:bookmarkStart w:id="205" w:name="_Toc297123540"/>
      <w:bookmarkStart w:id="206" w:name="_Toc292559398"/>
      <w:bookmarkStart w:id="207" w:name="_Toc296503193"/>
      <w:bookmarkStart w:id="208" w:name="_Toc297216199"/>
      <w:bookmarkStart w:id="209" w:name="_Toc296944532"/>
      <w:bookmarkStart w:id="210" w:name="_Toc303539146"/>
      <w:bookmarkStart w:id="211" w:name="_Toc296346694"/>
      <w:bookmarkStart w:id="212" w:name="_Toc297120493"/>
      <w:bookmarkStart w:id="213" w:name="_Toc351203642"/>
      <w:bookmarkStart w:id="214" w:name="_Toc296891233"/>
      <w:bookmarkStart w:id="215" w:name="_Toc297048379"/>
      <w:bookmarkStart w:id="216" w:name="_Toc304295566"/>
      <w:bookmarkStart w:id="217" w:name="_Toc296891021"/>
      <w:bookmarkStart w:id="218" w:name="_Toc300934989"/>
      <w:bookmarkStart w:id="219" w:name="_Toc292559903"/>
      <w:bookmarkStart w:id="220" w:name="_Toc312677499"/>
      <w:bookmarkStart w:id="221" w:name="_Toc312678025"/>
      <w:bookmarkStart w:id="222" w:name="_Toc267251435"/>
      <w:bookmarkStart w:id="223" w:name="_Toc267251437"/>
      <w:bookmarkStart w:id="224" w:name="_Toc267251440"/>
      <w:bookmarkStart w:id="225" w:name="_Toc267251441"/>
      <w:bookmarkStart w:id="226" w:name="_Toc267251433"/>
      <w:bookmarkStart w:id="227" w:name="_Toc267251439"/>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297120494"/>
      <w:bookmarkStart w:id="229" w:name="_Toc297216200"/>
      <w:bookmarkStart w:id="230" w:name="_Toc296503194"/>
      <w:bookmarkStart w:id="231" w:name="_Toc297123541"/>
      <w:bookmarkStart w:id="232" w:name="_Toc296347193"/>
      <w:bookmarkStart w:id="233" w:name="_Toc296891022"/>
      <w:bookmarkStart w:id="234" w:name="_Toc304295567"/>
      <w:bookmarkStart w:id="235" w:name="_Toc296346695"/>
      <w:bookmarkStart w:id="236" w:name="_Toc300934990"/>
      <w:bookmarkStart w:id="237" w:name="_Toc292559904"/>
      <w:bookmarkStart w:id="238" w:name="_Toc303539147"/>
      <w:bookmarkStart w:id="239" w:name="_Toc297048380"/>
      <w:bookmarkStart w:id="240" w:name="_Toc312678026"/>
      <w:bookmarkStart w:id="241" w:name="_Toc296944533"/>
      <w:bookmarkStart w:id="242" w:name="_Toc292559399"/>
      <w:bookmarkStart w:id="243" w:name="_Toc312677500"/>
      <w:bookmarkStart w:id="244" w:name="_Toc296891234"/>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296346592"/>
      <w:bookmarkStart w:id="246" w:name="_Toc337558796"/>
      <w:bookmarkStart w:id="247" w:name="_Toc351203576"/>
      <w:bookmarkStart w:id="248" w:name="_Toc296503091"/>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暂列金属于发包人所有。只能按照监理人的指示并在发包人同意后使用，并对合同价格进行相应调整。</w:t>
      </w:r>
    </w:p>
    <w:p w14:paraId="2120F625">
      <w:pPr>
        <w:autoSpaceDE w:val="0"/>
        <w:autoSpaceDN w:val="0"/>
        <w:adjustRightInd w:val="0"/>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rPr>
        <w:t>暂列金</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13877A0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1)新增材料价格确定采用造价信息进行价格调整。信息价中没有的材料由发包人组织认质认价确定。</w:t>
      </w:r>
    </w:p>
    <w:p w14:paraId="037BAC30">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a.圆钢（Φ10以内）、圆钢（Φ10以上）、螺纹钢HRB400、HRB400E，均以成都市《工程造价信息》中“市(区)县市场价格”中成都市的市场综合价作为施工当期信息价。</w:t>
      </w:r>
    </w:p>
    <w:p w14:paraId="4AE78BC9">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b.钢结构中钢材（Q345B，Q235B，Q235等）均按成都市《工程造价信息》 “市场价格”中成都市的市场价格中厚板（Q235（各种厚度））的信息价作为施工当期信息价。</w:t>
      </w:r>
    </w:p>
    <w:p w14:paraId="1B22D378">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14:paraId="7C1C17EB">
      <w:pPr>
        <w:spacing w:line="460" w:lineRule="exact"/>
        <w:ind w:firstLine="536" w:firstLineChars="200"/>
        <w:jc w:val="left"/>
        <w:rPr>
          <w:rFonts w:hint="eastAsia" w:ascii="仿宋" w:hAnsi="仿宋" w:eastAsia="仿宋" w:cs="仿宋"/>
          <w:sz w:val="28"/>
          <w:szCs w:val="28"/>
        </w:rPr>
      </w:pPr>
      <w:r>
        <w:rPr>
          <w:rFonts w:hint="eastAsia" w:ascii="仿宋" w:hAnsi="仿宋" w:eastAsia="仿宋" w:cs="仿宋"/>
          <w:spacing w:val="-6"/>
          <w:sz w:val="28"/>
          <w:szCs w:val="28"/>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891033"/>
      <w:bookmarkStart w:id="251" w:name="_Toc296891245"/>
      <w:bookmarkStart w:id="252" w:name="_Toc296347204"/>
      <w:bookmarkStart w:id="253" w:name="_Toc296944544"/>
      <w:bookmarkStart w:id="254" w:name="_Toc292559410"/>
      <w:bookmarkStart w:id="255" w:name="_Toc296346706"/>
      <w:bookmarkStart w:id="256" w:name="_Toc292559915"/>
      <w:bookmarkStart w:id="257" w:name="_Toc297120505"/>
      <w:bookmarkStart w:id="258" w:name="_Toc296503205"/>
      <w:bookmarkStart w:id="259" w:name="_Toc297048391"/>
      <w:bookmarkStart w:id="260" w:name="_Toc351203644"/>
      <w:bookmarkStart w:id="261" w:name="_Toc297123552"/>
      <w:bookmarkStart w:id="262" w:name="_Toc297216211"/>
      <w:bookmarkStart w:id="263" w:name="_Toc303539159"/>
      <w:bookmarkStart w:id="264" w:name="_Toc300935002"/>
      <w:bookmarkStart w:id="265" w:name="_Toc304295579"/>
      <w:bookmarkStart w:id="266" w:name="_Toc312678040"/>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087FC53E">
      <w:pPr>
        <w:spacing w:line="460" w:lineRule="exact"/>
        <w:ind w:firstLine="560" w:firstLineChars="200"/>
        <w:rPr>
          <w:rFonts w:hint="eastAsia" w:ascii="仿宋" w:hAnsi="仿宋" w:eastAsia="仿宋" w:cs="仿宋"/>
          <w:sz w:val="28"/>
          <w:szCs w:val="28"/>
        </w:rPr>
      </w:pPr>
      <w:bookmarkStart w:id="267" w:name="_Toc292559411"/>
      <w:bookmarkStart w:id="268" w:name="_Toc292559916"/>
      <w:bookmarkStart w:id="269" w:name="_Toc267251461"/>
      <w:bookmarkStart w:id="270" w:name="_Toc296891034"/>
      <w:bookmarkStart w:id="271" w:name="_Toc297048392"/>
      <w:bookmarkStart w:id="272" w:name="_Toc296346707"/>
      <w:bookmarkStart w:id="273" w:name="_Toc296891246"/>
      <w:bookmarkStart w:id="274" w:name="_Toc296347205"/>
      <w:bookmarkStart w:id="275" w:name="_Toc296503206"/>
      <w:bookmarkStart w:id="276" w:name="_Toc296944545"/>
      <w:bookmarkStart w:id="277" w:name="_Toc297120506"/>
      <w:bookmarkStart w:id="278" w:name="_Toc304295580"/>
      <w:bookmarkStart w:id="279" w:name="_Toc312678041"/>
      <w:bookmarkStart w:id="280" w:name="_Toc303539160"/>
      <w:bookmarkStart w:id="281" w:name="_Toc297123553"/>
      <w:bookmarkStart w:id="282" w:name="_Toc297216212"/>
      <w:bookmarkStart w:id="283" w:name="_Toc300935003"/>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b/>
          <w:sz w:val="28"/>
          <w:szCs w:val="28"/>
        </w:rPr>
        <w:t xml:space="preserve"> (固定综合单价合同与固定总价合同二选一)</w:t>
      </w:r>
    </w:p>
    <w:p w14:paraId="42FA6E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（1）固定综合单价合同。</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4872228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（2）固定总价合同。</w:t>
      </w:r>
    </w:p>
    <w:p w14:paraId="5F8E2CD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总价包含的风险范围：。</w:t>
      </w:r>
    </w:p>
    <w:p w14:paraId="088EEB7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w:t>
      </w:r>
    </w:p>
    <w:p w14:paraId="3132CB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p>
    <w:p w14:paraId="55CF308E">
      <w:pPr>
        <w:spacing w:line="460" w:lineRule="exact"/>
        <w:ind w:firstLine="562" w:firstLineChars="200"/>
        <w:rPr>
          <w:rFonts w:hint="eastAsia" w:ascii="仿宋" w:hAnsi="仿宋" w:eastAsia="仿宋" w:cs="仿宋"/>
          <w:b/>
          <w:sz w:val="28"/>
          <w:szCs w:val="28"/>
        </w:rPr>
      </w:pPr>
      <w:bookmarkStart w:id="284" w:name="_Toc303539161"/>
      <w:bookmarkStart w:id="285" w:name="_Toc297123554"/>
      <w:bookmarkStart w:id="286" w:name="_Toc304295581"/>
      <w:bookmarkStart w:id="287" w:name="_Toc300935004"/>
      <w:bookmarkStart w:id="288" w:name="_Toc312678042"/>
      <w:bookmarkStart w:id="289" w:name="_Toc297216213"/>
      <w:bookmarkStart w:id="290" w:name="_Toc296944546"/>
      <w:bookmarkStart w:id="291" w:name="_Toc296346708"/>
      <w:bookmarkStart w:id="292" w:name="_Toc296503207"/>
      <w:bookmarkStart w:id="293" w:name="_Toc292559412"/>
      <w:bookmarkStart w:id="294" w:name="_Toc296891035"/>
      <w:bookmarkStart w:id="295" w:name="_Toc292559917"/>
      <w:bookmarkStart w:id="296" w:name="_Toc297048393"/>
      <w:bookmarkStart w:id="297" w:name="_Toc297120507"/>
      <w:bookmarkStart w:id="298" w:name="_Toc296347206"/>
      <w:bookmarkStart w:id="299" w:name="_Toc296891247"/>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12.1履约担保（如果有）</w:t>
      </w:r>
    </w:p>
    <w:p w14:paraId="0BB9B6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u w:val="single"/>
        </w:rPr>
        <w:t>在签定合同前，按中标价的10％提交履约保证金（银行转账或银行保函）</w:t>
      </w:r>
      <w:r>
        <w:rPr>
          <w:rFonts w:hint="eastAsia" w:ascii="仿宋" w:hAnsi="仿宋" w:eastAsia="仿宋" w:cs="仿宋"/>
          <w:sz w:val="28"/>
          <w:szCs w:val="28"/>
        </w:rPr>
        <w:t>。</w:t>
      </w:r>
    </w:p>
    <w:p w14:paraId="4627F0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承包人提供履约担保的形式、金额及期限的：</w:t>
      </w:r>
      <w:r>
        <w:rPr>
          <w:rFonts w:hint="eastAsia" w:ascii="仿宋" w:hAnsi="仿宋" w:eastAsia="仿宋" w:cs="仿宋"/>
          <w:sz w:val="28"/>
          <w:szCs w:val="28"/>
          <w:u w:val="single"/>
        </w:rPr>
        <w:t>履约保证金/银行保函在工程竣工验收合格后无息退还。</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12292A38">
      <w:pPr>
        <w:pStyle w:val="8"/>
        <w:rPr>
          <w:rFonts w:hint="eastAsia" w:ascii="仿宋" w:hAnsi="仿宋" w:eastAsia="仿宋" w:cs="仿宋"/>
        </w:rPr>
      </w:pPr>
      <w:r>
        <w:rPr>
          <w:rFonts w:hint="eastAsia" w:ascii="仿宋" w:hAnsi="仿宋" w:eastAsia="仿宋" w:cs="仿宋"/>
          <w:sz w:val="28"/>
          <w:szCs w:val="28"/>
        </w:rPr>
        <w:t xml:space="preserve">    该项目安全文明施工费为：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1F0D4B31">
      <w:pPr>
        <w:spacing w:line="460" w:lineRule="exact"/>
        <w:ind w:firstLine="560" w:firstLineChars="200"/>
        <w:rPr>
          <w:rFonts w:hint="eastAsia" w:ascii="仿宋" w:hAnsi="仿宋" w:eastAsia="仿宋" w:cs="仿宋"/>
          <w:b/>
          <w:sz w:val="28"/>
          <w:szCs w:val="28"/>
        </w:rPr>
      </w:pPr>
      <w:r>
        <w:rPr>
          <w:rFonts w:hint="eastAsia" w:ascii="仿宋" w:hAnsi="仿宋" w:eastAsia="仿宋" w:cs="仿宋"/>
          <w:kern w:val="0"/>
          <w:sz w:val="28"/>
          <w:szCs w:val="28"/>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12.3 预付款的支付</w:t>
      </w:r>
    </w:p>
    <w:p w14:paraId="30AD89A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sz w:val="28"/>
          <w:szCs w:val="28"/>
          <w:u w:val="single"/>
        </w:rPr>
        <w:t>按合同价（扣除招标人部分）的    %</w:t>
      </w:r>
      <w:r>
        <w:rPr>
          <w:rFonts w:hint="eastAsia" w:ascii="仿宋" w:hAnsi="仿宋" w:eastAsia="仿宋" w:cs="仿宋"/>
          <w:sz w:val="28"/>
          <w:szCs w:val="28"/>
        </w:rPr>
        <w:t>。</w:t>
      </w:r>
    </w:p>
    <w:p w14:paraId="0B9D0EA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sz w:val="28"/>
          <w:szCs w:val="28"/>
          <w:u w:val="single"/>
        </w:rPr>
        <w:t>开工      个工作日内</w:t>
      </w:r>
      <w:r>
        <w:rPr>
          <w:rFonts w:hint="eastAsia" w:ascii="仿宋" w:hAnsi="仿宋" w:eastAsia="仿宋" w:cs="仿宋"/>
          <w:sz w:val="28"/>
          <w:szCs w:val="28"/>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20DC9996">
      <w:pPr>
        <w:spacing w:line="460" w:lineRule="exact"/>
        <w:ind w:firstLine="562" w:firstLineChars="200"/>
        <w:jc w:val="left"/>
        <w:rPr>
          <w:rFonts w:hint="eastAsia" w:ascii="仿宋" w:hAnsi="仿宋" w:eastAsia="仿宋" w:cs="仿宋"/>
          <w:b/>
          <w:sz w:val="28"/>
          <w:szCs w:val="28"/>
          <w:u w:val="single"/>
          <w:lang w:val="en-US" w:eastAsia="zh-CN"/>
        </w:rPr>
      </w:pPr>
      <w:r>
        <w:rPr>
          <w:rFonts w:hint="eastAsia" w:ascii="仿宋" w:hAnsi="仿宋" w:eastAsia="仿宋" w:cs="仿宋"/>
          <w:b/>
          <w:sz w:val="28"/>
          <w:szCs w:val="28"/>
          <w:u w:val="single"/>
        </w:rPr>
        <w:t>……</w:t>
      </w:r>
      <w:r>
        <w:rPr>
          <w:rFonts w:hint="eastAsia" w:ascii="仿宋" w:hAnsi="仿宋" w:eastAsia="仿宋" w:cs="仿宋"/>
          <w:b/>
          <w:sz w:val="28"/>
          <w:szCs w:val="28"/>
          <w:u w:val="single"/>
          <w:lang w:val="en-US" w:eastAsia="zh-CN"/>
        </w:rPr>
        <w:t xml:space="preserve">                 </w:t>
      </w:r>
    </w:p>
    <w:p w14:paraId="367BB6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支付：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；质</w:t>
      </w:r>
      <w:r>
        <w:rPr>
          <w:rFonts w:hint="eastAsia" w:ascii="仿宋" w:hAnsi="仿宋" w:eastAsia="仿宋" w:cs="仿宋"/>
          <w:sz w:val="28"/>
          <w:szCs w:val="28"/>
        </w:rPr>
        <w:t>保期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年，质保期满，经业主确认无质量问题后无息退还质量保证金。</w:t>
      </w:r>
    </w:p>
    <w:p w14:paraId="686BA8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rPr>
        <w:t>质保期满</w:t>
      </w:r>
      <w:r>
        <w:rPr>
          <w:rFonts w:hint="eastAsia" w:ascii="仿宋" w:hAnsi="仿宋" w:eastAsia="仿宋" w:cs="仿宋"/>
          <w:sz w:val="28"/>
          <w:szCs w:val="28"/>
          <w:lang w:val="zh-CN"/>
        </w:rPr>
        <w:t>后，承包人向发包人申请到期应返还承包人质量保证金，发包人在</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天内会同维护和使用部门、承包人按合同约定的内容核实承包是否完成缺陷责任，如无异议，发包人在核实后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天内将剩余质保金一次性无息支付承包人（其中防水质保金为质量保证金的20%，在质保期满后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日内无息退还）。</w:t>
      </w:r>
    </w:p>
    <w:p w14:paraId="0D15927B">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12.6 水电费</w:t>
      </w:r>
    </w:p>
    <w:p w14:paraId="77FA22FE">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rPr>
        <w:t>因发包人支付的水电费已包含在</w:t>
      </w:r>
      <w:r>
        <w:rPr>
          <w:rFonts w:hint="eastAsia" w:ascii="仿宋" w:hAnsi="仿宋" w:eastAsia="仿宋" w:cs="仿宋"/>
          <w:sz w:val="28"/>
          <w:szCs w:val="28"/>
          <w:lang w:val="en-US" w:eastAsia="zh-CN"/>
        </w:rPr>
        <w:t>合同总价</w:t>
      </w:r>
      <w:r>
        <w:rPr>
          <w:rFonts w:hint="eastAsia" w:ascii="仿宋" w:hAnsi="仿宋" w:eastAsia="仿宋" w:cs="仿宋"/>
          <w:sz w:val="28"/>
          <w:szCs w:val="28"/>
        </w:rPr>
        <w:t>中，承包人须在合同签订后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日内向发包人缴纳施工中使用的水电费，电费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元，水费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325CCD5C">
      <w:pPr>
        <w:spacing w:line="460" w:lineRule="exact"/>
        <w:ind w:firstLine="562" w:firstLineChars="200"/>
        <w:rPr>
          <w:rFonts w:hint="eastAsia" w:ascii="仿宋" w:hAnsi="仿宋" w:eastAsia="仿宋" w:cs="仿宋"/>
          <w:b/>
          <w:sz w:val="28"/>
          <w:szCs w:val="28"/>
        </w:rPr>
      </w:pPr>
      <w:bookmarkStart w:id="300" w:name="_Toc280868709"/>
      <w:bookmarkStart w:id="301" w:name="_Toc267251470"/>
      <w:bookmarkStart w:id="302" w:name="_Toc267251471"/>
      <w:bookmarkStart w:id="303" w:name="_Toc267251472"/>
      <w:bookmarkStart w:id="304" w:name="_Toc267251476"/>
      <w:bookmarkStart w:id="305" w:name="_Toc267251473"/>
      <w:bookmarkStart w:id="306" w:name="_Toc267251475"/>
      <w:bookmarkStart w:id="307" w:name="_Toc267251474"/>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（2）招标文件（含补充文件、预算控制价）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（3）投标文件（含工程量清单报价表）；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8"/>
      <w:bookmarkStart w:id="312" w:name="_Toc267251489"/>
      <w:bookmarkStart w:id="313" w:name="_Toc267251490"/>
      <w:bookmarkStart w:id="314" w:name="_Toc267251486"/>
      <w:bookmarkStart w:id="315" w:name="_Toc267251491"/>
      <w:bookmarkStart w:id="316" w:name="_Toc267251496"/>
      <w:bookmarkStart w:id="317" w:name="_Toc267251503"/>
      <w:bookmarkStart w:id="318" w:name="_Toc267251501"/>
      <w:bookmarkStart w:id="319" w:name="_Toc267251499"/>
      <w:bookmarkStart w:id="320" w:name="_Toc267251495"/>
      <w:bookmarkStart w:id="321" w:name="_Toc267251498"/>
      <w:bookmarkStart w:id="322" w:name="_Toc267251494"/>
      <w:bookmarkStart w:id="323" w:name="_Toc267251492"/>
      <w:bookmarkStart w:id="324" w:name="_Toc267251502"/>
      <w:bookmarkStart w:id="325" w:name="_Toc267251493"/>
      <w:bookmarkStart w:id="326" w:name="_Toc267251497"/>
      <w:bookmarkStart w:id="327" w:name="_Toc267251508"/>
      <w:bookmarkStart w:id="328" w:name="_Toc267251504"/>
      <w:bookmarkStart w:id="329" w:name="_Toc267251507"/>
      <w:bookmarkStart w:id="330" w:name="_Toc267251506"/>
      <w:bookmarkStart w:id="331" w:name="_Toc267251511"/>
      <w:bookmarkStart w:id="332" w:name="_Toc267251509"/>
      <w:bookmarkStart w:id="333" w:name="_Toc267251514"/>
      <w:bookmarkStart w:id="334" w:name="_Toc267251510"/>
      <w:bookmarkStart w:id="335" w:name="_Toc267251515"/>
      <w:bookmarkStart w:id="336" w:name="_Toc267251513"/>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rPr>
        <w:t>24个月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因发包人违反合同约定造成暂停施工的违约责任：须书面向发包方提出要求，承包方在发包方解决后无条件继续施工，工期顺延，合同价不做调整。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15B8EA4E">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工期每拖延1天支付合同结算金额的0.1%的违约金；承包人违法转包工程</w:t>
      </w:r>
      <w:r>
        <w:rPr>
          <w:rFonts w:hint="eastAsia" w:ascii="仿宋" w:hAnsi="仿宋" w:eastAsia="仿宋" w:cs="仿宋"/>
          <w:kern w:val="0"/>
          <w:sz w:val="28"/>
          <w:szCs w:val="28"/>
        </w:rPr>
        <w:t>，</w:t>
      </w:r>
      <w:r>
        <w:rPr>
          <w:rFonts w:hint="eastAsia" w:ascii="仿宋" w:hAnsi="仿宋" w:eastAsia="仿宋" w:cs="仿宋"/>
          <w:sz w:val="28"/>
          <w:szCs w:val="28"/>
        </w:rPr>
        <w:t>发包人有权拒付工程款，并保留终止合同</w:t>
      </w:r>
      <w:r>
        <w:rPr>
          <w:rFonts w:hint="eastAsia" w:ascii="仿宋" w:hAnsi="仿宋" w:eastAsia="仿宋" w:cs="仿宋"/>
          <w:kern w:val="0"/>
          <w:sz w:val="28"/>
          <w:szCs w:val="28"/>
        </w:rPr>
        <w:t>的权利</w:t>
      </w:r>
      <w:r>
        <w:rPr>
          <w:rFonts w:hint="eastAsia" w:ascii="仿宋" w:hAnsi="仿宋" w:eastAsia="仿宋" w:cs="仿宋"/>
          <w:sz w:val="28"/>
          <w:szCs w:val="28"/>
        </w:rPr>
        <w:t>，</w:t>
      </w:r>
      <w:r>
        <w:rPr>
          <w:rFonts w:hint="eastAsia" w:ascii="仿宋" w:hAnsi="仿宋" w:eastAsia="仿宋" w:cs="仿宋"/>
          <w:kern w:val="0"/>
          <w:sz w:val="28"/>
          <w:szCs w:val="28"/>
        </w:rPr>
        <w:t>承包人必须承担发包人因此而造成的所有损失。</w:t>
      </w:r>
    </w:p>
    <w:p w14:paraId="5C18F5E9">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10%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r>
        <w:rPr>
          <w:rFonts w:hint="eastAsia" w:ascii="仿宋" w:hAnsi="仿宋" w:eastAsia="仿宋" w:cs="仿宋"/>
          <w:kern w:val="0"/>
          <w:sz w:val="28"/>
          <w:szCs w:val="28"/>
        </w:rPr>
        <w:t>。</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085C9B56">
      <w:pPr>
        <w:spacing w:line="460" w:lineRule="exact"/>
        <w:rPr>
          <w:rFonts w:hint="eastAsia" w:ascii="仿宋" w:hAnsi="仿宋" w:eastAsia="仿宋" w:cs="仿宋"/>
          <w:sz w:val="28"/>
          <w:szCs w:val="28"/>
        </w:rPr>
      </w:pPr>
      <w:bookmarkStart w:id="338" w:name="_Toc351203652"/>
    </w:p>
    <w:p w14:paraId="5C351FDF">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1369159B">
      <w:pPr>
        <w:spacing w:line="460" w:lineRule="exact"/>
        <w:ind w:firstLine="560" w:firstLineChars="200"/>
        <w:rPr>
          <w:rFonts w:hint="eastAsia" w:ascii="仿宋" w:hAnsi="仿宋" w:eastAsia="仿宋" w:cs="仿宋"/>
          <w:sz w:val="28"/>
          <w:szCs w:val="28"/>
          <w:u w:val="single"/>
        </w:rPr>
      </w:pPr>
    </w:p>
    <w:p w14:paraId="22F4A76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350B8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0FD6920">
      <w:pPr>
        <w:spacing w:line="460" w:lineRule="exact"/>
        <w:ind w:firstLine="560" w:firstLineChars="200"/>
        <w:rPr>
          <w:rFonts w:hint="eastAsia" w:ascii="仿宋" w:hAnsi="仿宋" w:eastAsia="仿宋" w:cs="仿宋"/>
          <w:sz w:val="28"/>
          <w:szCs w:val="28"/>
          <w:u w:val="single"/>
        </w:rPr>
      </w:pPr>
    </w:p>
    <w:p w14:paraId="5114D3A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0CF9541">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435CC2F6">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297B15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DC3B205">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728EB10">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1C74775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75E6D47">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573933F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5B22C03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rPr>
        <w:t>个采暖期、供冷期；</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30D8CA0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7．其他项目保修期限约定如下：</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31D5B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r>
        <w:rPr>
          <w:rFonts w:hint="eastAsia" w:ascii="仿宋" w:hAnsi="仿宋" w:eastAsia="仿宋" w:cs="仿宋"/>
          <w:sz w:val="28"/>
          <w:szCs w:val="28"/>
        </w:rPr>
        <w:t>（</w:t>
      </w:r>
      <w:r>
        <w:rPr>
          <w:rFonts w:hint="eastAsia" w:ascii="仿宋" w:hAnsi="仿宋" w:eastAsia="仿宋" w:cs="仿宋"/>
          <w:b/>
          <w:sz w:val="28"/>
          <w:szCs w:val="28"/>
        </w:rPr>
        <w:t>由项目牵头人填写/添加内容</w:t>
      </w:r>
      <w:r>
        <w:rPr>
          <w:rFonts w:hint="eastAsia" w:ascii="仿宋" w:hAnsi="仿宋" w:eastAsia="仿宋" w:cs="仿宋"/>
          <w:sz w:val="28"/>
          <w:szCs w:val="28"/>
        </w:rPr>
        <w:t>）</w:t>
      </w:r>
    </w:p>
    <w:p w14:paraId="6E60A0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小时内派人保修。</w:t>
      </w:r>
    </w:p>
    <w:p w14:paraId="6291884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2．发生紧急事故需抢修的，承包人在接到事故通知后，应当在</w:t>
      </w:r>
      <w:r>
        <w:rPr>
          <w:rFonts w:hint="eastAsia" w:ascii="仿宋" w:hAnsi="仿宋" w:eastAsia="仿宋" w:cs="仿宋"/>
          <w:sz w:val="28"/>
          <w:szCs w:val="28"/>
          <w:lang w:val="en-US" w:eastAsia="zh-CN"/>
        </w:rPr>
        <w:t>XX</w:t>
      </w:r>
      <w:r>
        <w:rPr>
          <w:rFonts w:hint="eastAsia" w:ascii="仿宋" w:hAnsi="仿宋" w:eastAsia="仿宋" w:cs="仿宋"/>
          <w:sz w:val="28"/>
          <w:szCs w:val="28"/>
        </w:rPr>
        <w:t>小时内到达事故现场抢修。</w:t>
      </w:r>
    </w:p>
    <w:p w14:paraId="29A4CA0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3．对于涉及结构安全的质量问题，应当立即向当地建设行政主管部门和有关部门报告，采取安全防范措施，并由原设计人或者具有相应资质等级的设计人提出质量保修方案，承包人实施质量保修。</w:t>
      </w:r>
    </w:p>
    <w:p w14:paraId="06CD28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28D0DE20">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rPr>
        <w:t>四川省人民医院</w:t>
      </w:r>
      <w:r>
        <w:rPr>
          <w:rFonts w:hint="eastAsia" w:ascii="仿宋" w:hAnsi="仿宋" w:eastAsia="仿宋" w:cs="仿宋"/>
          <w:kern w:val="10"/>
          <w:sz w:val="28"/>
          <w:szCs w:val="28"/>
          <w:lang w:val="en-US" w:eastAsia="zh-CN"/>
        </w:rPr>
        <w:t xml:space="preserve">   </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6EA28978">
      <w:pPr>
        <w:spacing w:line="460" w:lineRule="exact"/>
        <w:ind w:firstLine="560" w:firstLineChars="200"/>
        <w:rPr>
          <w:rFonts w:hint="eastAsia" w:ascii="仿宋" w:hAnsi="仿宋" w:eastAsia="仿宋" w:cs="仿宋"/>
          <w:sz w:val="28"/>
          <w:szCs w:val="28"/>
          <w:u w:val="single"/>
        </w:rPr>
      </w:pPr>
    </w:p>
    <w:p w14:paraId="7AB52092">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法定代表人或其委托代理人：</w:t>
      </w:r>
    </w:p>
    <w:p w14:paraId="5AB051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0E4BE785">
      <w:pPr>
        <w:spacing w:line="460" w:lineRule="exact"/>
        <w:ind w:firstLine="560" w:firstLineChars="200"/>
        <w:rPr>
          <w:rFonts w:hint="eastAsia" w:ascii="仿宋" w:hAnsi="仿宋" w:eastAsia="仿宋" w:cs="仿宋"/>
          <w:sz w:val="28"/>
          <w:szCs w:val="28"/>
          <w:u w:val="single"/>
        </w:rPr>
      </w:pPr>
    </w:p>
    <w:p w14:paraId="2D231789">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2C07AA9F">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105B20F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5D4B2B23">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0493DB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676735E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5F9AF0E">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C445B50">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p>
    <w:p w14:paraId="49E4E815">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3DD7D86">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ind w:firstLine="562" w:firstLineChars="200"/>
        <w:jc w:val="center"/>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rPr>
      </w:pPr>
      <w:r>
        <w:rPr>
          <w:rFonts w:hint="eastAsia" w:ascii="仿宋" w:hAnsi="仿宋" w:eastAsia="仿宋" w:cs="仿宋"/>
          <w:sz w:val="28"/>
          <w:szCs w:val="28"/>
        </w:rPr>
        <w:t>工程项目名称：</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25F0F9E6">
      <w:pPr>
        <w:spacing w:line="360" w:lineRule="auto"/>
        <w:rPr>
          <w:rFonts w:hint="eastAsia" w:ascii="仿宋" w:hAnsi="仿宋" w:eastAsia="仿宋" w:cs="仿宋"/>
          <w:sz w:val="28"/>
          <w:szCs w:val="28"/>
          <w:u w:val="single"/>
        </w:rPr>
      </w:pPr>
    </w:p>
    <w:p w14:paraId="2A0D4315">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12AB294">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B6BF5D6">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49D9778">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C5DCFCC">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620F96A">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404875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38936A17">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FFCC0BE">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F2A534B">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2C1D443">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14FD519B">
      <w:pPr>
        <w:rPr>
          <w:rFonts w:hint="eastAsia"/>
          <w:b/>
          <w:bCs/>
          <w:color w:val="auto"/>
          <w:sz w:val="44"/>
          <w:szCs w:val="52"/>
          <w:highlight w:val="none"/>
        </w:rPr>
      </w:pPr>
    </w:p>
    <w:p w14:paraId="0D8F3879">
      <w:pPr>
        <w:jc w:val="center"/>
        <w:rPr>
          <w:rFonts w:hint="eastAsia"/>
          <w:b/>
          <w:bCs/>
          <w:color w:val="auto"/>
          <w:sz w:val="44"/>
          <w:szCs w:val="52"/>
          <w:highlight w:val="none"/>
        </w:rPr>
      </w:pPr>
    </w:p>
    <w:p w14:paraId="76E65EC7">
      <w:pPr>
        <w:jc w:val="center"/>
        <w:rPr>
          <w:rFonts w:hint="eastAsia"/>
          <w:b/>
          <w:bCs/>
          <w:color w:val="auto"/>
          <w:sz w:val="44"/>
          <w:szCs w:val="52"/>
          <w:highlight w:val="none"/>
        </w:rPr>
      </w:pPr>
    </w:p>
    <w:p w14:paraId="6A8DF499">
      <w:pPr>
        <w:jc w:val="center"/>
        <w:rPr>
          <w:rFonts w:hint="eastAsia"/>
          <w:b/>
          <w:bCs/>
          <w:color w:val="auto"/>
          <w:sz w:val="44"/>
          <w:szCs w:val="52"/>
          <w:highlight w:val="none"/>
        </w:rPr>
      </w:pPr>
    </w:p>
    <w:p w14:paraId="3C22450A">
      <w:pPr>
        <w:rPr>
          <w:rFonts w:hint="eastAsia"/>
          <w:b/>
          <w:bCs/>
          <w:color w:val="auto"/>
          <w:sz w:val="44"/>
          <w:szCs w:val="52"/>
          <w:highlight w:val="none"/>
        </w:rPr>
      </w:pPr>
      <w:r>
        <w:rPr>
          <w:rFonts w:hint="eastAsia"/>
          <w:b/>
          <w:bCs/>
          <w:color w:val="auto"/>
          <w:sz w:val="44"/>
          <w:szCs w:val="52"/>
          <w:highlight w:val="none"/>
        </w:rPr>
        <w:br w:type="page"/>
      </w:r>
    </w:p>
    <w:p w14:paraId="4867DA50">
      <w:pPr>
        <w:jc w:val="center"/>
        <w:rPr>
          <w:rFonts w:hint="eastAsia"/>
          <w:b/>
          <w:bCs/>
          <w:color w:val="auto"/>
          <w:sz w:val="44"/>
          <w:szCs w:val="52"/>
          <w:highlight w:val="none"/>
        </w:rPr>
      </w:pPr>
    </w:p>
    <w:p w14:paraId="520ECCD2">
      <w:pPr>
        <w:jc w:val="center"/>
        <w:rPr>
          <w:b/>
          <w:bCs/>
          <w:color w:val="auto"/>
          <w:sz w:val="44"/>
          <w:szCs w:val="52"/>
          <w:highlight w:val="none"/>
        </w:rPr>
      </w:pPr>
      <w:r>
        <w:rPr>
          <w:rFonts w:hint="eastAsia"/>
          <w:b/>
          <w:bCs/>
          <w:color w:val="auto"/>
          <w:sz w:val="44"/>
          <w:szCs w:val="52"/>
          <w:highlight w:val="none"/>
        </w:rPr>
        <w:t>廉洁购销协议</w:t>
      </w:r>
    </w:p>
    <w:p w14:paraId="09D37770">
      <w:pPr>
        <w:rPr>
          <w:rFonts w:ascii="仿宋" w:hAnsi="仿宋" w:eastAsia="仿宋"/>
          <w:color w:val="auto"/>
          <w:sz w:val="28"/>
          <w:szCs w:val="28"/>
          <w:highlight w:val="none"/>
        </w:rPr>
      </w:pPr>
      <w:r>
        <w:rPr>
          <w:rFonts w:hint="eastAsia" w:ascii="仿宋" w:hAnsi="仿宋" w:eastAsia="仿宋"/>
          <w:color w:val="auto"/>
          <w:sz w:val="28"/>
          <w:szCs w:val="28"/>
          <w:highlight w:val="none"/>
        </w:rPr>
        <w:t>甲方：四川省人民医院</w:t>
      </w:r>
    </w:p>
    <w:p w14:paraId="7F046283">
      <w:pPr>
        <w:rPr>
          <w:rFonts w:ascii="仿宋" w:hAnsi="仿宋" w:eastAsia="仿宋"/>
          <w:color w:val="auto"/>
          <w:sz w:val="28"/>
          <w:szCs w:val="28"/>
          <w:highlight w:val="none"/>
        </w:rPr>
      </w:pPr>
      <w:r>
        <w:rPr>
          <w:rFonts w:hint="eastAsia" w:ascii="仿宋" w:hAnsi="仿宋" w:eastAsia="仿宋"/>
          <w:color w:val="auto"/>
          <w:sz w:val="28"/>
          <w:szCs w:val="28"/>
          <w:highlight w:val="none"/>
        </w:rPr>
        <w:t>乙方：</w:t>
      </w:r>
    </w:p>
    <w:p w14:paraId="6C7A26B3">
      <w:pPr>
        <w:ind w:firstLine="560" w:firstLineChars="200"/>
        <w:rPr>
          <w:rFonts w:ascii="仿宋" w:hAnsi="仿宋" w:eastAsia="仿宋"/>
          <w:color w:val="auto"/>
          <w:sz w:val="28"/>
          <w:szCs w:val="28"/>
          <w:highlight w:val="none"/>
        </w:rPr>
      </w:pPr>
    </w:p>
    <w:p w14:paraId="7C49E45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为进一步加强廉政建设,预防医药购销领域不正之风,我院与供应商签订如下协议,共同遵守:</w:t>
      </w:r>
    </w:p>
    <w:p w14:paraId="58D487D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一、甲方工作人员不得利用职务和招投标等工作之便,暗示、索要和收受供应商任何形式的财物、提成、回扣等一切不正当利益。</w:t>
      </w:r>
    </w:p>
    <w:p w14:paraId="1793CD3E">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二、甲方工作人员严格执行国家及我院的采购管理制度，如有违反,一经查实,按有关规定严肃处理并追究相关人员责任。</w:t>
      </w:r>
    </w:p>
    <w:p w14:paraId="6DC11A89">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7A88EDF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0978CED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6FB897E5">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E34DCC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七、乙方违反上述承诺者，甲方单方面终止合作协议，并依法追究乙方的违约责任。</w:t>
      </w:r>
    </w:p>
    <w:p w14:paraId="00782D9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八、本协议一式三份,归口管理部门、供应商、招标采购中心各执一份。</w:t>
      </w:r>
    </w:p>
    <w:p w14:paraId="268671B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举报受理部门：审计部</w:t>
      </w:r>
    </w:p>
    <w:p w14:paraId="213B595D">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举报电话：87393203</w:t>
      </w:r>
    </w:p>
    <w:p w14:paraId="46CCF53C">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举报邮箱：scsyjsc@163.com</w:t>
      </w:r>
    </w:p>
    <w:p w14:paraId="57D60123">
      <w:pPr>
        <w:ind w:firstLine="560" w:firstLineChars="200"/>
        <w:rPr>
          <w:rFonts w:ascii="仿宋" w:hAnsi="仿宋" w:eastAsia="仿宋"/>
          <w:color w:val="auto"/>
          <w:sz w:val="28"/>
          <w:szCs w:val="28"/>
          <w:highlight w:val="none"/>
        </w:rPr>
      </w:pPr>
    </w:p>
    <w:p w14:paraId="320C795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甲方：四川省人民医院(盖章)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供应单位(盖章)</w:t>
      </w:r>
    </w:p>
    <w:p w14:paraId="3D59EE13">
      <w:pPr>
        <w:ind w:firstLine="560" w:firstLineChars="200"/>
        <w:rPr>
          <w:rFonts w:ascii="仿宋" w:hAnsi="仿宋" w:eastAsia="仿宋"/>
          <w:color w:val="auto"/>
          <w:sz w:val="28"/>
          <w:szCs w:val="28"/>
          <w:highlight w:val="none"/>
        </w:rPr>
      </w:pPr>
    </w:p>
    <w:p w14:paraId="0E79944C">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甲方代表签字：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乙方代表签字:</w:t>
      </w:r>
    </w:p>
    <w:p w14:paraId="6D3F2EA7">
      <w:pPr>
        <w:ind w:firstLine="4200" w:firstLineChars="1500"/>
        <w:rPr>
          <w:rFonts w:ascii="仿宋" w:hAnsi="仿宋" w:eastAsia="仿宋"/>
          <w:color w:val="auto"/>
          <w:sz w:val="28"/>
          <w:szCs w:val="28"/>
          <w:highlight w:val="none"/>
        </w:rPr>
      </w:pPr>
    </w:p>
    <w:p w14:paraId="538504FA">
      <w:pPr>
        <w:ind w:firstLine="560" w:firstLineChars="20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年   月   日</w:t>
      </w:r>
    </w:p>
    <w:p w14:paraId="27852A60">
      <w:pPr>
        <w:pStyle w:val="28"/>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BED6ADB-ACA7-4896-B1DC-8BC121927B2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B396961-7E2A-4D01-BE62-16076F93AA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891C9E9-7DD0-4802-87B1-342AF8D1DD8F}"/>
  </w:font>
  <w:font w:name="汉仪小隶书简">
    <w:altName w:val="Yu Gothic"/>
    <w:panose1 w:val="020B0604020202020204"/>
    <w:charset w:val="80"/>
    <w:family w:val="auto"/>
    <w:pitch w:val="default"/>
    <w:sig w:usb0="00000000" w:usb1="00000000" w:usb2="00000012" w:usb3="00000000" w:csb0="00020001" w:csb1="00000000"/>
  </w:font>
  <w:font w:name="Yu Gothic">
    <w:panose1 w:val="020B0400000000000000"/>
    <w:charset w:val="80"/>
    <w:family w:val="auto"/>
    <w:pitch w:val="default"/>
    <w:sig w:usb0="E00002FF" w:usb1="2AC7FDFF" w:usb2="00000016" w:usb3="00000000" w:csb0="2002009F" w:csb1="0000000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061EABE-C2FB-40B2-8A92-C08BF53E1BA3}"/>
  </w:font>
  <w:font w:name="Segoe UI Symbol">
    <w:panose1 w:val="020B0502040204020203"/>
    <w:charset w:val="00"/>
    <w:family w:val="swiss"/>
    <w:pitch w:val="default"/>
    <w:sig w:usb0="800001E3" w:usb1="1200FFEF" w:usb2="00040000" w:usb3="04000000" w:csb0="00000001" w:csb1="40000000"/>
    <w:embedRegular r:id="rId5" w:fontKey="{E8940971-7A5C-413B-98CD-C9E6ECF301DF}"/>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EEE67">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5EEE67">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849B">
    <w:pPr>
      <w:pStyle w:val="13"/>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2FD8A90"/>
    <w:multiLevelType w:val="multilevel"/>
    <w:tmpl w:val="A2FD8A90"/>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4"/>
  </w:num>
  <w:num w:numId="3">
    <w:abstractNumId w:val="1"/>
  </w:num>
  <w:num w:numId="4">
    <w:abstractNumId w:val="9"/>
  </w:num>
  <w:num w:numId="5">
    <w:abstractNumId w:val="11"/>
  </w:num>
  <w:num w:numId="6">
    <w:abstractNumId w:val="6"/>
  </w:num>
  <w:num w:numId="7">
    <w:abstractNumId w:val="10"/>
  </w:num>
  <w:num w:numId="8">
    <w:abstractNumId w:val="8"/>
  </w:num>
  <w:num w:numId="9">
    <w:abstractNumId w:val="3"/>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44FDB"/>
    <w:rsid w:val="058C78B0"/>
    <w:rsid w:val="05E13064"/>
    <w:rsid w:val="078A573C"/>
    <w:rsid w:val="093A3733"/>
    <w:rsid w:val="0B4508AE"/>
    <w:rsid w:val="0CF161C9"/>
    <w:rsid w:val="0D0C1DB1"/>
    <w:rsid w:val="0E0B7FF0"/>
    <w:rsid w:val="0F904004"/>
    <w:rsid w:val="117A5014"/>
    <w:rsid w:val="127F05A0"/>
    <w:rsid w:val="136D78F8"/>
    <w:rsid w:val="15CC4977"/>
    <w:rsid w:val="162A4F7D"/>
    <w:rsid w:val="16A82A66"/>
    <w:rsid w:val="1994787E"/>
    <w:rsid w:val="1BCC54CD"/>
    <w:rsid w:val="1DD000AF"/>
    <w:rsid w:val="1DD21DF5"/>
    <w:rsid w:val="1E09745A"/>
    <w:rsid w:val="1E176351"/>
    <w:rsid w:val="1ED61CF8"/>
    <w:rsid w:val="208E5440"/>
    <w:rsid w:val="2095751D"/>
    <w:rsid w:val="22935D1D"/>
    <w:rsid w:val="23D4489F"/>
    <w:rsid w:val="262001B9"/>
    <w:rsid w:val="27B87AF9"/>
    <w:rsid w:val="27E80EA9"/>
    <w:rsid w:val="27F63F1D"/>
    <w:rsid w:val="280414A1"/>
    <w:rsid w:val="28570368"/>
    <w:rsid w:val="29C5318E"/>
    <w:rsid w:val="2B502F98"/>
    <w:rsid w:val="2C9A0A9E"/>
    <w:rsid w:val="2D6E12B3"/>
    <w:rsid w:val="2DA70D65"/>
    <w:rsid w:val="30521420"/>
    <w:rsid w:val="325855C9"/>
    <w:rsid w:val="3427766B"/>
    <w:rsid w:val="343706EB"/>
    <w:rsid w:val="351A08D0"/>
    <w:rsid w:val="36334CE5"/>
    <w:rsid w:val="3A551407"/>
    <w:rsid w:val="3B033C36"/>
    <w:rsid w:val="3E5D4E8E"/>
    <w:rsid w:val="3FE25336"/>
    <w:rsid w:val="41076015"/>
    <w:rsid w:val="42075FF8"/>
    <w:rsid w:val="42842020"/>
    <w:rsid w:val="468567BB"/>
    <w:rsid w:val="4782487D"/>
    <w:rsid w:val="484959D0"/>
    <w:rsid w:val="4B31068E"/>
    <w:rsid w:val="4BA55220"/>
    <w:rsid w:val="4BAD0151"/>
    <w:rsid w:val="4C184E09"/>
    <w:rsid w:val="4C8F75A2"/>
    <w:rsid w:val="4DAD4403"/>
    <w:rsid w:val="4E8C008E"/>
    <w:rsid w:val="4FEF758C"/>
    <w:rsid w:val="50771A9C"/>
    <w:rsid w:val="51C47F6D"/>
    <w:rsid w:val="52395E4A"/>
    <w:rsid w:val="5246082F"/>
    <w:rsid w:val="5455382C"/>
    <w:rsid w:val="5463310B"/>
    <w:rsid w:val="5B0B56C8"/>
    <w:rsid w:val="5D0A3490"/>
    <w:rsid w:val="5D7E0D39"/>
    <w:rsid w:val="5DA26A15"/>
    <w:rsid w:val="5E9D3F29"/>
    <w:rsid w:val="60384CD1"/>
    <w:rsid w:val="60655808"/>
    <w:rsid w:val="60F86CEE"/>
    <w:rsid w:val="62D81B91"/>
    <w:rsid w:val="63A9427A"/>
    <w:rsid w:val="63D462B1"/>
    <w:rsid w:val="641A3596"/>
    <w:rsid w:val="64D96647"/>
    <w:rsid w:val="64F01F1A"/>
    <w:rsid w:val="655B51E5"/>
    <w:rsid w:val="65E40ADA"/>
    <w:rsid w:val="66330B86"/>
    <w:rsid w:val="66E22203"/>
    <w:rsid w:val="68AA6162"/>
    <w:rsid w:val="68B812C9"/>
    <w:rsid w:val="69D50CF4"/>
    <w:rsid w:val="6A243F51"/>
    <w:rsid w:val="6C487AFD"/>
    <w:rsid w:val="6CB24363"/>
    <w:rsid w:val="6EA93466"/>
    <w:rsid w:val="6FCF0795"/>
    <w:rsid w:val="71381023"/>
    <w:rsid w:val="71696852"/>
    <w:rsid w:val="73714961"/>
    <w:rsid w:val="754D1D92"/>
    <w:rsid w:val="7564794F"/>
    <w:rsid w:val="758350A9"/>
    <w:rsid w:val="766975F4"/>
    <w:rsid w:val="79687E1D"/>
    <w:rsid w:val="7A9F497D"/>
    <w:rsid w:val="7B560FD7"/>
    <w:rsid w:val="7B5F74F8"/>
    <w:rsid w:val="7B690630"/>
    <w:rsid w:val="7C5123F4"/>
    <w:rsid w:val="7D040AB6"/>
    <w:rsid w:val="7D4119E6"/>
    <w:rsid w:val="7DAF162B"/>
    <w:rsid w:val="7DC42B41"/>
    <w:rsid w:val="7FB13122"/>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numPr>
        <w:ilvl w:val="3"/>
        <w:numId w:val="3"/>
      </w:numPr>
      <w:adjustRightInd w:val="0"/>
      <w:snapToGrid w:val="0"/>
      <w:spacing w:before="100" w:beforeLines="100" w:line="288" w:lineRule="auto"/>
      <w:ind w:firstLine="0"/>
      <w:outlineLvl w:val="3"/>
    </w:pPr>
    <w:rPr>
      <w:rFonts w:ascii="汉仪小隶书简" w:hAnsi="汉仪小隶书简" w:eastAsia="汉仪小隶书简"/>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9"/>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4"/>
    <w:qFormat/>
    <w:uiPriority w:val="0"/>
    <w:pPr>
      <w:spacing w:after="120" w:line="480" w:lineRule="auto"/>
      <w:ind w:left="420" w:leftChars="200"/>
    </w:pPr>
    <w:rPr>
      <w:szCs w:val="20"/>
    </w:rPr>
  </w:style>
  <w:style w:type="paragraph" w:styleId="11">
    <w:name w:val="Balloon Text"/>
    <w:basedOn w:val="1"/>
    <w:link w:val="41"/>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40"/>
    <w:qFormat/>
    <w:uiPriority w:val="0"/>
    <w:rPr>
      <w:b/>
      <w:bCs/>
    </w:rPr>
  </w:style>
  <w:style w:type="paragraph" w:styleId="17">
    <w:name w:val="Body Text First Indent"/>
    <w:basedOn w:val="8"/>
    <w:link w:val="35"/>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Hyperlink"/>
    <w:basedOn w:val="21"/>
    <w:qFormat/>
    <w:uiPriority w:val="0"/>
    <w:rPr>
      <w:color w:val="0000FF"/>
      <w:u w:val="single"/>
    </w:rPr>
  </w:style>
  <w:style w:type="character" w:styleId="25">
    <w:name w:val="annotation reference"/>
    <w:basedOn w:val="21"/>
    <w:qFormat/>
    <w:uiPriority w:val="0"/>
    <w:rPr>
      <w:sz w:val="21"/>
      <w:szCs w:val="21"/>
    </w:rPr>
  </w:style>
  <w:style w:type="paragraph" w:customStyle="1" w:styleId="26">
    <w:name w:val="标题 5（有编号）（绿盟科技）"/>
    <w:basedOn w:val="27"/>
    <w:next w:val="28"/>
    <w:qFormat/>
    <w:uiPriority w:val="0"/>
    <w:pPr>
      <w:keepNext/>
      <w:keepLines/>
      <w:numPr>
        <w:ilvl w:val="4"/>
        <w:numId w:val="4"/>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10"/>
    <w:qFormat/>
    <w:uiPriority w:val="0"/>
    <w:rPr>
      <w:szCs w:val="20"/>
    </w:rPr>
  </w:style>
  <w:style w:type="character" w:customStyle="1" w:styleId="35">
    <w:name w:val="Body Text First Indent Char"/>
    <w:link w:val="17"/>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8"/>
    <w:qFormat/>
    <w:uiPriority w:val="99"/>
    <w:rPr>
      <w:rFonts w:ascii="宋体" w:hAnsi="Times New Roman"/>
      <w:kern w:val="0"/>
      <w:sz w:val="21"/>
      <w:szCs w:val="24"/>
    </w:rPr>
  </w:style>
  <w:style w:type="character" w:customStyle="1" w:styleId="39">
    <w:name w:val="Comment Text Char"/>
    <w:basedOn w:val="21"/>
    <w:link w:val="7"/>
    <w:qFormat/>
    <w:uiPriority w:val="0"/>
    <w:rPr>
      <w:kern w:val="2"/>
      <w:sz w:val="21"/>
      <w:szCs w:val="22"/>
    </w:rPr>
  </w:style>
  <w:style w:type="character" w:customStyle="1" w:styleId="40">
    <w:name w:val="Comment Subject Char"/>
    <w:basedOn w:val="39"/>
    <w:link w:val="16"/>
    <w:qFormat/>
    <w:uiPriority w:val="0"/>
    <w:rPr>
      <w:b/>
      <w:bCs/>
      <w:kern w:val="2"/>
      <w:sz w:val="21"/>
      <w:szCs w:val="22"/>
    </w:rPr>
  </w:style>
  <w:style w:type="character" w:customStyle="1" w:styleId="41">
    <w:name w:val="Balloon Text Char"/>
    <w:basedOn w:val="21"/>
    <w:link w:val="11"/>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57</Pages>
  <Words>51</Words>
  <Characters>55</Characters>
  <Lines>72</Lines>
  <Paragraphs>20</Paragraphs>
  <TotalTime>6</TotalTime>
  <ScaleCrop>false</ScaleCrop>
  <LinksUpToDate>false</LinksUpToDate>
  <CharactersWithSpaces>60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2026-11-02T02:10:29Z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4B2B6004027944CCA79358DD871895C7_13</vt:lpwstr>
  </property>
  <property fmtid="{D5CDD505-2E9C-101B-9397-08002B2CF9AE}" pid="4" name="KSOTemplateDocerSaveRecord">
    <vt:lpwstr>eyJoZGlkIjoiYzBmNjVkODg4YTI3YTdkZTY0YmRiY2Y4YmFkMWQ1OTIiLCJ1c2VySWQiOiI2NDE5ODgzNDAifQ==</vt:lpwstr>
  </property>
</Properties>
</file>