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四川省人民医院专刊杂志制作服务采购项目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471310326"/>
      <w:bookmarkStart w:id="2" w:name="_Toc1907"/>
      <w:bookmarkStart w:id="3" w:name="_Toc20358"/>
      <w:bookmarkStart w:id="4" w:name="_Toc21919"/>
      <w:bookmarkStart w:id="5" w:name="_Toc3240"/>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四川省人民医院专刊杂志制作服务采购项目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CGZX-TSQ20261355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w:t>
            </w:r>
            <w:r>
              <w:rPr>
                <w:rFonts w:hint="eastAsia" w:ascii="Times New Roman" w:hAnsi="Times New Roman" w:eastAsia="仿宋" w:cs="Times New Roman"/>
                <w:sz w:val="22"/>
              </w:rPr>
              <w:t>本项目第四章</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服务清单及限高价</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rPr>
              <w:t>进行填报下浮率，支付上限</w:t>
            </w:r>
            <w:r>
              <w:rPr>
                <w:rFonts w:hint="eastAsia" w:ascii="Times New Roman" w:hAnsi="Times New Roman" w:eastAsia="仿宋" w:cs="Times New Roman"/>
                <w:sz w:val="22"/>
                <w:lang w:val="en-US" w:eastAsia="zh-CN"/>
              </w:rPr>
              <w:t>为106740</w:t>
            </w:r>
            <w:r>
              <w:rPr>
                <w:rFonts w:hint="eastAsia" w:ascii="Times New Roman" w:hAnsi="Times New Roman" w:eastAsia="仿宋" w:cs="Times New Roman"/>
                <w:sz w:val="22"/>
              </w:rPr>
              <w:t>元。</w:t>
            </w:r>
            <w:r>
              <w:rPr>
                <w:rFonts w:hint="eastAsia" w:ascii="Times New Roman" w:hAnsi="Times New Roman" w:eastAsia="仿宋" w:cs="Times New Roman"/>
                <w:sz w:val="22"/>
                <w:lang w:val="en-US" w:eastAsia="zh-CN"/>
              </w:rPr>
              <w:t>下浮</w:t>
            </w:r>
            <w:r>
              <w:rPr>
                <w:rFonts w:hint="eastAsia" w:ascii="Times New Roman" w:hAnsi="Times New Roman" w:eastAsia="仿宋" w:cs="Times New Roman"/>
                <w:sz w:val="22"/>
              </w:rPr>
              <w:t>率为负数或者</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rPr>
              <w:t>100%的，其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9"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图书期刊部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E6A82DA">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供应商须提供有效期内的《印刷经营许可证》</w:t>
            </w:r>
            <w:r>
              <w:rPr>
                <w:rFonts w:hint="eastAsia" w:ascii="Times New Roman" w:hAnsi="Times New Roman" w:eastAsia="仿宋" w:cs="Times New Roman"/>
                <w:b/>
                <w:bCs/>
                <w:sz w:val="22"/>
                <w:lang w:eastAsia="zh-CN"/>
              </w:rPr>
              <w:t>，</w:t>
            </w:r>
            <w:r>
              <w:rPr>
                <w:rFonts w:hint="eastAsia" w:ascii="Times New Roman" w:hAnsi="Times New Roman" w:eastAsia="仿宋" w:cs="Times New Roman"/>
                <w:b/>
                <w:bCs/>
                <w:sz w:val="22"/>
                <w:lang w:val="en-US" w:eastAsia="zh-CN"/>
              </w:rPr>
              <w:t>范围须包含“出版物印刷”。</w:t>
            </w:r>
          </w:p>
          <w:p w14:paraId="1363A50B">
            <w:pPr>
              <w:widowControl/>
              <w:jc w:val="left"/>
              <w:rPr>
                <w:rFonts w:hint="eastAsia" w:ascii="Times New Roman" w:hAnsi="Times New Roman" w:eastAsia="仿宋" w:cs="Times New Roman"/>
                <w:b/>
                <w:bCs/>
                <w:sz w:val="22"/>
                <w:lang w:val="en-US" w:eastAsia="zh-CN"/>
              </w:rPr>
            </w:pP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2D2CDC6D">
      <w:pPr>
        <w:pStyle w:val="17"/>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一、项目简介</w:t>
      </w:r>
    </w:p>
    <w:p w14:paraId="7840AFD4">
      <w:pPr>
        <w:pStyle w:val="17"/>
        <w:keepNext w:val="0"/>
        <w:keepLines w:val="0"/>
        <w:pageBreakBefore w:val="0"/>
        <w:widowControl w:val="0"/>
        <w:kinsoku/>
        <w:wordWrap/>
        <w:overflowPunct/>
        <w:topLinePunct w:val="0"/>
        <w:autoSpaceDE/>
        <w:autoSpaceDN/>
        <w:bidi w:val="0"/>
        <w:adjustRightInd/>
        <w:snapToGrid w:val="0"/>
        <w:spacing w:line="360" w:lineRule="auto"/>
        <w:ind w:left="0"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本项目拟确定1家供应商提供杂志的照排、印刷及相关服务。</w:t>
      </w:r>
    </w:p>
    <w:p w14:paraId="784B78CE">
      <w:pPr>
        <w:pStyle w:val="17"/>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★二、服务清单及限高价</w:t>
      </w:r>
    </w:p>
    <w:p w14:paraId="6F62844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r>
        <w:rPr>
          <w:rFonts w:hint="default" w:ascii="仿宋" w:hAnsi="仿宋" w:eastAsia="仿宋" w:cs="仿宋"/>
          <w:b w:val="0"/>
          <w:bCs w:val="0"/>
          <w:sz w:val="24"/>
          <w:szCs w:val="24"/>
          <w:lang w:val="en-US" w:eastAsia="zh-CN"/>
        </w:rPr>
        <w:t>《实用医院临床杂志》 17.2 元/本；</w:t>
      </w:r>
    </w:p>
    <w:p w14:paraId="03D6CC0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w:t>
      </w:r>
      <w:r>
        <w:rPr>
          <w:rFonts w:hint="default" w:ascii="仿宋" w:hAnsi="仿宋" w:eastAsia="仿宋" w:cs="仿宋"/>
          <w:b w:val="0"/>
          <w:bCs w:val="0"/>
          <w:sz w:val="24"/>
          <w:szCs w:val="24"/>
          <w:lang w:val="en-US" w:eastAsia="zh-CN"/>
        </w:rPr>
        <w:t>《Medicine Bulletin》 每期按照印数进行分段计费：100本内73 元/本；100-199本59元/本；200-299本50元/本,300-399本38元/本,400-499本32元/本，500-699本23元/本，700-1000本16.5元/本。</w:t>
      </w:r>
    </w:p>
    <w:p w14:paraId="3CA5F7E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3、其他临时增加任务：</w:t>
      </w:r>
      <w:r>
        <w:rPr>
          <w:rFonts w:hint="eastAsia" w:ascii="仿宋" w:hAnsi="仿宋" w:eastAsia="仿宋" w:cs="仿宋"/>
          <w:b w:val="0"/>
          <w:bCs w:val="0"/>
          <w:color w:val="auto"/>
          <w:sz w:val="24"/>
          <w:szCs w:val="24"/>
          <w:highlight w:val="none"/>
          <w:lang w:val="en-US" w:eastAsia="zh-CN"/>
        </w:rPr>
        <w:t>增刊或单行本、宣传册等制作服务，服务要求与《实用医院临床杂志》的基本参数及本项目质量和服务要求保持一致，结算单价：按《实用医院临床杂志》成交的单本（总页码数按220个页码计算）价格换算成印张单价进行结算（每16个页码折合为1印张，不足1印张时按1印张计费，价格保留小数点后两位）。</w:t>
      </w:r>
    </w:p>
    <w:p w14:paraId="3441CCC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送货费、样刊制作费及排版文件寄送费用均由供应商承担。</w:t>
      </w:r>
    </w:p>
    <w:p w14:paraId="61FAEE3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以上“1、2、3、”的年度结算金额累计不得超出本项目支付上限10.674万。</w:t>
      </w:r>
    </w:p>
    <w:p w14:paraId="2A2C9D3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default" w:ascii="仿宋" w:hAnsi="仿宋" w:eastAsia="仿宋" w:cs="仿宋"/>
          <w:b/>
          <w:bCs/>
          <w:sz w:val="24"/>
          <w:szCs w:val="24"/>
          <w:highlight w:val="none"/>
          <w:lang w:val="en-US" w:eastAsia="zh-CN"/>
        </w:rPr>
      </w:pPr>
      <w:r>
        <w:rPr>
          <w:rFonts w:hint="default" w:ascii="仿宋" w:hAnsi="仿宋" w:eastAsia="仿宋" w:cs="仿宋"/>
          <w:b/>
          <w:bCs/>
          <w:sz w:val="24"/>
          <w:szCs w:val="24"/>
          <w:highlight w:val="none"/>
          <w:lang w:val="en-US" w:eastAsia="zh-CN"/>
        </w:rPr>
        <w:t>★三、服务内容及要求</w:t>
      </w:r>
    </w:p>
    <w:p w14:paraId="59846C6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（一）《实用医院临床杂志》（含排版、印刷）基本参数</w:t>
      </w:r>
    </w:p>
    <w:p w14:paraId="545D677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highlight w:val="none"/>
          <w:lang w:val="en-US" w:eastAsia="zh-CN"/>
        </w:rPr>
        <w:t>1.开本：刊物整体为</w:t>
      </w:r>
      <w:r>
        <w:rPr>
          <w:rFonts w:hint="eastAsia" w:ascii="仿宋" w:hAnsi="仿宋" w:eastAsia="仿宋" w:cs="仿宋"/>
          <w:b w:val="0"/>
          <w:bCs w:val="0"/>
          <w:sz w:val="24"/>
          <w:szCs w:val="24"/>
          <w:highlight w:val="none"/>
          <w:lang w:val="en-US" w:eastAsia="zh-CN"/>
        </w:rPr>
        <w:t>特</w:t>
      </w:r>
      <w:r>
        <w:rPr>
          <w:rFonts w:hint="default" w:ascii="仿宋" w:hAnsi="仿宋" w:eastAsia="仿宋" w:cs="仿宋"/>
          <w:b w:val="0"/>
          <w:bCs w:val="0"/>
          <w:sz w:val="24"/>
          <w:szCs w:val="24"/>
          <w:highlight w:val="none"/>
          <w:lang w:val="en-US" w:eastAsia="zh-CN"/>
        </w:rPr>
        <w:t>大16开（210*297mm）</w:t>
      </w:r>
      <w:r>
        <w:rPr>
          <w:rFonts w:hint="default" w:ascii="仿宋" w:hAnsi="仿宋" w:eastAsia="仿宋" w:cs="仿宋"/>
          <w:b w:val="0"/>
          <w:bCs w:val="0"/>
          <w:sz w:val="24"/>
          <w:szCs w:val="24"/>
          <w:lang w:val="en-US" w:eastAsia="zh-CN"/>
        </w:rPr>
        <w:t>。</w:t>
      </w:r>
    </w:p>
    <w:p w14:paraId="373815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2.纸张：封面采用157g铜版纸，四色印刷，覆哑膜；内页采用80g铜版纸，四色印刷。</w:t>
      </w:r>
    </w:p>
    <w:p w14:paraId="7BAFBE6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3.装订方式：无线胶装。</w:t>
      </w:r>
    </w:p>
    <w:p w14:paraId="63F1C9B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4.包装：正规无字包装纸，绳子打井字包，25册/捆。</w:t>
      </w:r>
    </w:p>
    <w:p w14:paraId="7B6C460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5.数量：双月刊，基本印数1000册/期，根据每期实际情况可有增减；全年6期。</w:t>
      </w:r>
    </w:p>
    <w:p w14:paraId="2D8E4A7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6.页码数：内页</w:t>
      </w:r>
      <w:r>
        <w:rPr>
          <w:rFonts w:hint="eastAsia" w:ascii="仿宋" w:hAnsi="仿宋" w:eastAsia="仿宋" w:cs="仿宋"/>
          <w:b w:val="0"/>
          <w:bCs w:val="0"/>
          <w:sz w:val="24"/>
          <w:szCs w:val="24"/>
          <w:lang w:val="en-US" w:eastAsia="zh-CN"/>
        </w:rPr>
        <w:t>页码</w:t>
      </w:r>
      <w:r>
        <w:rPr>
          <w:rFonts w:hint="default" w:ascii="仿宋" w:hAnsi="仿宋" w:eastAsia="仿宋" w:cs="仿宋"/>
          <w:b w:val="0"/>
          <w:bCs w:val="0"/>
          <w:sz w:val="24"/>
          <w:szCs w:val="24"/>
          <w:lang w:val="en-US" w:eastAsia="zh-CN"/>
        </w:rPr>
        <w:t>220页左右/册（每期按实际页码数为准）。</w:t>
      </w:r>
    </w:p>
    <w:p w14:paraId="37185C8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（二）《Medicine Bulletin》（含印刷、不排版）基本参数</w:t>
      </w:r>
    </w:p>
    <w:p w14:paraId="73AA3A8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1.开本：</w:t>
      </w:r>
      <w:r>
        <w:rPr>
          <w:rFonts w:hint="default" w:ascii="仿宋" w:hAnsi="仿宋" w:eastAsia="仿宋" w:cs="仿宋"/>
          <w:b w:val="0"/>
          <w:bCs w:val="0"/>
          <w:sz w:val="24"/>
          <w:szCs w:val="24"/>
          <w:highlight w:val="none"/>
          <w:lang w:val="en-US" w:eastAsia="zh-CN"/>
        </w:rPr>
        <w:t>刊物整体为大16开（210*285mm）</w:t>
      </w:r>
      <w:r>
        <w:rPr>
          <w:rFonts w:hint="default" w:ascii="仿宋" w:hAnsi="仿宋" w:eastAsia="仿宋" w:cs="仿宋"/>
          <w:b w:val="0"/>
          <w:bCs w:val="0"/>
          <w:sz w:val="24"/>
          <w:szCs w:val="24"/>
          <w:lang w:val="en-US" w:eastAsia="zh-CN"/>
        </w:rPr>
        <w:t>。</w:t>
      </w:r>
    </w:p>
    <w:p w14:paraId="0444AF6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2.纸张：封面采用250g铜版纸，四色印刷，覆哑膜；内页采用105g铜版纸，四色印刷。</w:t>
      </w:r>
    </w:p>
    <w:p w14:paraId="38D141B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3.装订方式：无线胶装。</w:t>
      </w:r>
    </w:p>
    <w:p w14:paraId="3A5BAA4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4.数量：全年至少4期（含），印数根据每期实际情况而定。</w:t>
      </w:r>
    </w:p>
    <w:p w14:paraId="04C6D8B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5.页码数：内页</w:t>
      </w:r>
      <w:r>
        <w:rPr>
          <w:rFonts w:hint="eastAsia" w:ascii="仿宋" w:hAnsi="仿宋" w:eastAsia="仿宋" w:cs="仿宋"/>
          <w:b w:val="0"/>
          <w:bCs w:val="0"/>
          <w:sz w:val="24"/>
          <w:szCs w:val="24"/>
          <w:lang w:val="en-US" w:eastAsia="zh-CN"/>
        </w:rPr>
        <w:t>页码</w:t>
      </w:r>
      <w:r>
        <w:rPr>
          <w:rFonts w:hint="default" w:ascii="仿宋" w:hAnsi="仿宋" w:eastAsia="仿宋" w:cs="仿宋"/>
          <w:b w:val="0"/>
          <w:bCs w:val="0"/>
          <w:sz w:val="24"/>
          <w:szCs w:val="24"/>
          <w:lang w:val="en-US" w:eastAsia="zh-CN"/>
        </w:rPr>
        <w:t>150页左右/册（每期按实际页码数为准）。</w:t>
      </w:r>
    </w:p>
    <w:p w14:paraId="589BA25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（三）质量和服务要求</w:t>
      </w:r>
    </w:p>
    <w:p w14:paraId="483FE53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排版要求：软件需求为方正书版11.0，排版、绘图工作执行现行中华人民共和国新闻出版行业标准；不得私自修改内页中的文字、图表以及图片的内容和大小；对不清晰的医学图片需进行处理或者制作，直到满足印刷清晰的要求。完成每期杂志中国版本图书馆要求的出版物数字版样本的制作。</w:t>
      </w:r>
    </w:p>
    <w:p w14:paraId="429F60B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印刷要求：印刷品材质及印刷质量严格按照国家及行业相关标准执行；印前供应商有义务逐页对传版电子文件的图片、文字、色彩效果提出更好的建议和进行实际调图改进；在印刷生产过程中，管理流程应清晰；印刷刊物的成品与签样应保持一致，颜色不失真，做到墨色均匀、图片清晰、套印准确、题字色实、版面平整,无破损,无涂抹现象。</w:t>
      </w:r>
    </w:p>
    <w:p w14:paraId="28EAD27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成品要求：整洁，无明显脏污、残缺与破损；无跳页、重页、倒页；印刷成品的质量标准不低于国家新闻出版印刷行相关业标准。在承印前应以制作采购方认可的样书作为成品书验收标准。成品书必须符合图书印刷装订质量,质量检验以供应商提供的签字样张为依据，符合新闻出版署发布的《书刊印刷标准CY/T1～3－91，CY/T7.1～7.9－91，CY/T12～17－95》的规定。成品内容(含文字、封面、版式设计等)以供应商确认的签样为准，供应商校对发生错误，按印刷行业的惯例由供应商签字人负责。</w:t>
      </w:r>
    </w:p>
    <w:p w14:paraId="4DB37EC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服务响应：供应商收到一校稿件后，需要在7个自然日内完成排版并送至《实用医院临床杂志》编辑部（以下简称：编辑部）；二校、三校均需在收稿后3～4个自然日内完成排版并送至编辑部。每期刊物印刷前，用成品刊物同等材料快印样刊2册，每期快印次数1～2次，且每次须在传版后6小时内完成快印样的制作并送递至编辑部，样刊往返寄送需当日达。接到编辑部下达印刷任务（样刊签字版）后，在1小时内核实订单及相关电子文档并回复确认，在确认订单后5个工作日内将成品书</w:t>
      </w:r>
      <w:r>
        <w:rPr>
          <w:rFonts w:hint="default" w:ascii="仿宋" w:hAnsi="仿宋" w:eastAsia="仿宋" w:cs="仿宋"/>
          <w:b w:val="0"/>
          <w:bCs w:val="0"/>
          <w:sz w:val="24"/>
          <w:szCs w:val="24"/>
          <w:highlight w:val="none"/>
          <w:lang w:val="en-US" w:eastAsia="zh-CN"/>
        </w:rPr>
        <w:t>送至编辑部、发行邮局</w:t>
      </w:r>
      <w:r>
        <w:rPr>
          <w:rFonts w:hint="default" w:ascii="仿宋" w:hAnsi="仿宋" w:eastAsia="仿宋" w:cs="仿宋"/>
          <w:b w:val="0"/>
          <w:bCs w:val="0"/>
          <w:sz w:val="24"/>
          <w:szCs w:val="24"/>
          <w:lang w:val="en-US" w:eastAsia="zh-CN"/>
        </w:rPr>
        <w:t>，完成每一期的全部交付。货物运输及搬运过程中发生的一切风险由供应商承担。</w:t>
      </w:r>
    </w:p>
    <w:p w14:paraId="29003D0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5.售后服务：自交货之日起至服务期截止时间之内，读者或者编辑部发现属于印刷、装订方面的错误，供应商都必须无条件更换，或者按比例退款（退款额=当期印刷费 ×问题期刊册数÷当期总册数）。售后问题须在1小时内响应，24小时内拿出整改方案，5个工作日整改完成</w:t>
      </w:r>
    </w:p>
    <w:p w14:paraId="005810B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6.保密要求：供应商对采购人所提供的所有资料具有保密责任，未经采购人书面许可，不得提供给任何第三方人员和单位，也不得复印任何资料(正常印刷需要除外)。</w:t>
      </w:r>
    </w:p>
    <w:p w14:paraId="018E93E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7.未经采购人书面同意，供应商不得因承接其他第三方订单（含紧急、大规模印刷任务），挤占、延后本项目期刊的生产排期。供应商应预留对应产能保障本合同约定的出刊、交货时间（提供承诺函并加盖供应商公章）。</w:t>
      </w:r>
    </w:p>
    <w:p w14:paraId="381B87B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四、其他要求</w:t>
      </w:r>
    </w:p>
    <w:p w14:paraId="53B4633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r>
        <w:rPr>
          <w:rFonts w:hint="default" w:ascii="仿宋" w:hAnsi="仿宋" w:eastAsia="仿宋" w:cs="仿宋"/>
          <w:b w:val="0"/>
          <w:bCs w:val="0"/>
          <w:sz w:val="24"/>
          <w:szCs w:val="24"/>
          <w:lang w:val="en-US" w:eastAsia="zh-CN"/>
        </w:rPr>
        <w:t>.供应商提供自2023年1月1日（含）以来类似项目业绩，类似项目业绩是指刊物印刷相关服务业绩。</w:t>
      </w:r>
    </w:p>
    <w:p w14:paraId="3B7806C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w:t>
      </w:r>
      <w:r>
        <w:rPr>
          <w:rFonts w:hint="eastAsia" w:ascii="仿宋" w:hAnsi="仿宋" w:eastAsia="仿宋" w:cs="仿宋"/>
          <w:b w:val="0"/>
          <w:bCs w:val="0"/>
          <w:sz w:val="24"/>
          <w:szCs w:val="24"/>
          <w:lang w:val="en-US" w:eastAsia="zh-CN"/>
        </w:rPr>
        <w:t>2</w:t>
      </w:r>
      <w:r>
        <w:rPr>
          <w:rFonts w:hint="default" w:ascii="仿宋" w:hAnsi="仿宋" w:eastAsia="仿宋" w:cs="仿宋"/>
          <w:b w:val="0"/>
          <w:bCs w:val="0"/>
          <w:sz w:val="24"/>
          <w:szCs w:val="24"/>
          <w:lang w:val="en-US" w:eastAsia="zh-CN"/>
        </w:rPr>
        <w:t>.为了保证杂志的印刷质量和周期，供应商须具备完整的印前制版—彩色印刷—印后装订设备系统链，并提供设备清单（含设备名称、型号、购置年限），确保印刷全过程自主完成，不得工序外包</w:t>
      </w:r>
      <w:r>
        <w:rPr>
          <w:rFonts w:hint="eastAsia" w:ascii="仿宋" w:hAnsi="仿宋" w:eastAsia="仿宋" w:cs="仿宋"/>
          <w:b w:val="0"/>
          <w:bCs w:val="0"/>
          <w:sz w:val="24"/>
          <w:szCs w:val="24"/>
          <w:lang w:val="en-US" w:eastAsia="zh-CN"/>
        </w:rPr>
        <w:t>,</w:t>
      </w:r>
      <w:r>
        <w:rPr>
          <w:rFonts w:hint="default" w:ascii="仿宋" w:hAnsi="仿宋" w:eastAsia="仿宋" w:cs="仿宋"/>
          <w:b w:val="0"/>
          <w:bCs w:val="0"/>
          <w:sz w:val="24"/>
          <w:szCs w:val="24"/>
          <w:lang w:val="en-US" w:eastAsia="zh-CN"/>
        </w:rPr>
        <w:t>并提供证明材料。</w:t>
      </w:r>
    </w:p>
    <w:p w14:paraId="7FA6DAB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w:t>
      </w:r>
      <w:r>
        <w:rPr>
          <w:rFonts w:hint="default" w:ascii="仿宋" w:hAnsi="仿宋" w:eastAsia="仿宋" w:cs="仿宋"/>
          <w:b w:val="0"/>
          <w:bCs w:val="0"/>
          <w:sz w:val="24"/>
          <w:szCs w:val="24"/>
          <w:lang w:val="en-US" w:eastAsia="zh-CN"/>
        </w:rPr>
        <w:t>.供应商须制定满足采购人技术要求的服务方案，包括（1）工艺流程、（2）内控制度、（3）质量保证措施及工期保障措施、（4）设计排版能力及响应机制、（5）保密措施、（6）售后方案及应急预案、（7）项目组织机构设置和人员职责分工方案。</w:t>
      </w:r>
    </w:p>
    <w:p w14:paraId="2781CD9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w:t>
      </w:r>
      <w:r>
        <w:rPr>
          <w:rFonts w:hint="default" w:ascii="仿宋" w:hAnsi="仿宋" w:eastAsia="仿宋" w:cs="仿宋"/>
          <w:b w:val="0"/>
          <w:bCs w:val="0"/>
          <w:sz w:val="24"/>
          <w:szCs w:val="24"/>
          <w:lang w:val="en-US" w:eastAsia="zh-CN"/>
        </w:rPr>
        <w:t>.人员配置要求</w:t>
      </w:r>
    </w:p>
    <w:p w14:paraId="2E7B094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（1）供应商为本项目配备的项目负责人和技术负责人：具有印刷类中级及以上技术职称；</w:t>
      </w:r>
    </w:p>
    <w:p w14:paraId="6800DED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（2）供应商为本项目配备的服务团队人员</w:t>
      </w:r>
      <w:r>
        <w:rPr>
          <w:rFonts w:hint="eastAsia" w:ascii="仿宋" w:hAnsi="仿宋" w:eastAsia="仿宋" w:cs="仿宋"/>
          <w:b w:val="0"/>
          <w:bCs w:val="0"/>
          <w:sz w:val="24"/>
          <w:szCs w:val="24"/>
          <w:lang w:val="en-US" w:eastAsia="zh-CN"/>
        </w:rPr>
        <w:t>（</w:t>
      </w:r>
      <w:r>
        <w:rPr>
          <w:rFonts w:hint="default" w:ascii="仿宋" w:hAnsi="仿宋" w:eastAsia="仿宋" w:cs="仿宋"/>
          <w:b w:val="0"/>
          <w:bCs w:val="0"/>
          <w:sz w:val="24"/>
          <w:szCs w:val="24"/>
          <w:lang w:val="en-US" w:eastAsia="zh-CN"/>
        </w:rPr>
        <w:t>除项目负责人和技术负责人以外的）:提供至少1名具有印刷相关专业或设计相关专业职称证书、职业资格证书或学位证书。</w:t>
      </w:r>
    </w:p>
    <w:p w14:paraId="20D5781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注：</w:t>
      </w:r>
      <w:r>
        <w:rPr>
          <w:rFonts w:hint="default" w:ascii="仿宋" w:hAnsi="仿宋" w:eastAsia="仿宋" w:cs="仿宋"/>
          <w:b w:val="0"/>
          <w:bCs w:val="0"/>
          <w:sz w:val="24"/>
          <w:szCs w:val="24"/>
          <w:lang w:val="en-US" w:eastAsia="zh-CN"/>
        </w:rPr>
        <w:t>以上人员须为本单位在职人员，须提供相关在职证明</w:t>
      </w:r>
    </w:p>
    <w:p w14:paraId="6FA72EB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w:t>
      </w:r>
      <w:r>
        <w:rPr>
          <w:rFonts w:hint="default" w:ascii="仿宋" w:hAnsi="仿宋" w:eastAsia="仿宋" w:cs="仿宋"/>
          <w:b w:val="0"/>
          <w:bCs w:val="0"/>
          <w:sz w:val="24"/>
          <w:szCs w:val="24"/>
          <w:lang w:val="en-US" w:eastAsia="zh-CN"/>
        </w:rPr>
        <w:t>.样品要求</w:t>
      </w:r>
    </w:p>
    <w:p w14:paraId="2870083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（1）样品提供</w:t>
      </w:r>
    </w:p>
    <w:p w14:paraId="3F7513F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样刊：需提供3种由供应商承担印刷服务，与本项目印刷规格类似的期刊样刊，样刊由供应商根据采购文件要求自行提供。评审的质量标准包括:印刷清晰、色彩还原准确、着色均匀、装订牢固、无其他成品缺陷。</w:t>
      </w:r>
    </w:p>
    <w:p w14:paraId="68261E9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rPr>
        <w:t>2）样纸：</w:t>
      </w:r>
      <w:r>
        <w:rPr>
          <w:rFonts w:hint="default" w:ascii="仿宋" w:hAnsi="仿宋" w:eastAsia="仿宋" w:cs="仿宋"/>
          <w:b w:val="0"/>
          <w:bCs w:val="0"/>
          <w:sz w:val="24"/>
          <w:szCs w:val="24"/>
          <w:highlight w:val="none"/>
          <w:lang w:val="en-US" w:eastAsia="zh-CN"/>
        </w:rPr>
        <w:t>需提供80g、105g、157g、205g共4种原生纸张样品。评审的质量标准包括:纸面细腻，无明显纤维凸起、砂粒感；斜光观察涂布均匀，无条痕、云斑、局部明暗不均；纸面无明显黑点、杂尘异物；纸巾擦拭测试，无明显掉粉现象。</w:t>
      </w:r>
      <w:bookmarkStart w:id="104" w:name="_GoBack"/>
      <w:bookmarkEnd w:id="104"/>
    </w:p>
    <w:p w14:paraId="5192030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（2）送样时间：</w:t>
      </w:r>
      <w:r>
        <w:rPr>
          <w:rFonts w:hint="eastAsia" w:ascii="仿宋" w:hAnsi="仿宋" w:eastAsia="仿宋" w:cs="仿宋"/>
          <w:b w:val="0"/>
          <w:bCs w:val="0"/>
          <w:sz w:val="24"/>
          <w:szCs w:val="24"/>
          <w:lang w:val="en-US" w:eastAsia="zh-CN"/>
        </w:rPr>
        <w:t>2026年10月19日14:10-14:25</w:t>
      </w:r>
      <w:r>
        <w:rPr>
          <w:rFonts w:hint="default" w:ascii="仿宋" w:hAnsi="仿宋" w:eastAsia="仿宋" w:cs="仿宋"/>
          <w:b w:val="0"/>
          <w:bCs w:val="0"/>
          <w:sz w:val="24"/>
          <w:szCs w:val="24"/>
          <w:lang w:val="en-US" w:eastAsia="zh-CN"/>
        </w:rPr>
        <w:t>。地点：四川省人民医院招标采购中心412会议室（成都市青羊区浣花北路18号附1号4楼412）。</w:t>
      </w:r>
    </w:p>
    <w:p w14:paraId="15CCAC2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（3）供应商的样品制作、搬运、安装、拆除等相关费用由供应商承担。采购人对供应商所递交样品的包装和污损不负任何责任。</w:t>
      </w:r>
    </w:p>
    <w:p w14:paraId="6E76E69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（4）送达样品时，必须提供样品清单，注明项目名称、项目编号、样品名称及数量与所投样品摆放在一起。</w:t>
      </w:r>
    </w:p>
    <w:p w14:paraId="34793BC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5）退还：供应商的样品用于验收比对（所供货物必须与样品完全一致）。其余供应商应在项目结果公告之日起3个工作日内自行取回样品。3个工作日后不取回样品，则视为自动放弃样品的所有权，采购人有权自行处置相关样品。（取样联系人：甘老师，联系方式028-87393665）  </w:t>
      </w:r>
    </w:p>
    <w:p w14:paraId="4694114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（6）本项目样品评审采用盲样，在样品包装及样品上均不能出现供应商及生产厂家企业名称、品牌商标等可能导致识别响应产品的相关信息。</w:t>
      </w:r>
    </w:p>
    <w:p w14:paraId="3E21D79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（7）供应商未按要求提供实物样品的，少送样品的，错送样品的其样品不得分。</w:t>
      </w:r>
    </w:p>
    <w:p w14:paraId="2E178A0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★五、商务要求：</w:t>
      </w:r>
    </w:p>
    <w:p w14:paraId="41DA7D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1、资金支付条款：据实结算</w:t>
      </w:r>
      <w:r>
        <w:rPr>
          <w:rFonts w:hint="eastAsia" w:ascii="仿宋" w:hAnsi="仿宋" w:eastAsia="仿宋" w:cs="仿宋"/>
          <w:b w:val="0"/>
          <w:bCs w:val="0"/>
          <w:sz w:val="24"/>
          <w:szCs w:val="24"/>
          <w:lang w:val="en-US" w:eastAsia="zh-CN"/>
        </w:rPr>
        <w:t>，</w:t>
      </w:r>
      <w:r>
        <w:rPr>
          <w:rFonts w:hint="default" w:ascii="仿宋" w:hAnsi="仿宋" w:eastAsia="仿宋" w:cs="仿宋"/>
          <w:b w:val="0"/>
          <w:bCs w:val="0"/>
          <w:sz w:val="24"/>
          <w:szCs w:val="24"/>
          <w:lang w:val="en-US" w:eastAsia="zh-CN"/>
        </w:rPr>
        <w:t>服务期开始后每</w:t>
      </w:r>
      <w:r>
        <w:rPr>
          <w:rFonts w:hint="eastAsia" w:ascii="仿宋" w:hAnsi="仿宋" w:eastAsia="仿宋" w:cs="仿宋"/>
          <w:b w:val="0"/>
          <w:bCs w:val="0"/>
          <w:sz w:val="24"/>
          <w:szCs w:val="24"/>
          <w:lang w:val="en-US" w:eastAsia="zh-CN"/>
        </w:rPr>
        <w:t>6个月</w:t>
      </w:r>
      <w:r>
        <w:rPr>
          <w:rFonts w:hint="default" w:ascii="仿宋" w:hAnsi="仿宋" w:eastAsia="仿宋" w:cs="仿宋"/>
          <w:b w:val="0"/>
          <w:bCs w:val="0"/>
          <w:sz w:val="24"/>
          <w:szCs w:val="24"/>
          <w:lang w:val="en-US" w:eastAsia="zh-CN"/>
        </w:rPr>
        <w:t>结算一次费用。每</w:t>
      </w:r>
      <w:r>
        <w:rPr>
          <w:rFonts w:hint="eastAsia" w:ascii="仿宋" w:hAnsi="仿宋" w:eastAsia="仿宋" w:cs="仿宋"/>
          <w:b w:val="0"/>
          <w:bCs w:val="0"/>
          <w:sz w:val="24"/>
          <w:szCs w:val="24"/>
          <w:lang w:val="en-US" w:eastAsia="zh-CN"/>
        </w:rPr>
        <w:t>6个月</w:t>
      </w:r>
      <w:r>
        <w:rPr>
          <w:rFonts w:hint="default" w:ascii="仿宋" w:hAnsi="仿宋" w:eastAsia="仿宋" w:cs="仿宋"/>
          <w:b w:val="0"/>
          <w:bCs w:val="0"/>
          <w:sz w:val="24"/>
          <w:szCs w:val="24"/>
          <w:lang w:val="en-US" w:eastAsia="zh-CN"/>
        </w:rPr>
        <w:t>服务完成且经采购人验收合格后，供应商须向采购人提供结算费用清单进行确认，并在确认后5日内按清单金额向采购人提供合法有效票据及其他相关请款资料，采购人接到供应商请款资料后的55日内，向供应商全额支付上述结算费用。</w:t>
      </w:r>
    </w:p>
    <w:p w14:paraId="0ACA6A6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2、服务地点：四川省人民医院（包括所有院区）。</w:t>
      </w:r>
    </w:p>
    <w:p w14:paraId="2E9E970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3、服务期限：自合同签订生效之日起1年。</w:t>
      </w:r>
    </w:p>
    <w:p w14:paraId="4C47EBB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4、验收方案：</w:t>
      </w:r>
    </w:p>
    <w:p w14:paraId="5E487F3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rPr>
        <w:t>4.1验收时间</w:t>
      </w:r>
      <w:r>
        <w:rPr>
          <w:rFonts w:hint="default" w:ascii="仿宋" w:hAnsi="仿宋" w:eastAsia="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供应商</w:t>
      </w:r>
      <w:r>
        <w:rPr>
          <w:rFonts w:hint="default" w:ascii="仿宋" w:hAnsi="仿宋" w:eastAsia="仿宋" w:cs="仿宋"/>
          <w:b w:val="0"/>
          <w:bCs w:val="0"/>
          <w:sz w:val="24"/>
          <w:szCs w:val="24"/>
          <w:highlight w:val="none"/>
          <w:lang w:val="en-US" w:eastAsia="zh-CN"/>
        </w:rPr>
        <w:t>完成每期的全部交付后，供应商应于5日内通知采购人验收，采购人接供应商通知后10日内组织验收。</w:t>
      </w:r>
    </w:p>
    <w:p w14:paraId="039801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 xml:space="preserve">4.2验收主体：采购人      </w:t>
      </w:r>
    </w:p>
    <w:p w14:paraId="051D0F6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4.3验收组织方式：自行验收</w:t>
      </w:r>
    </w:p>
    <w:p w14:paraId="2FF5487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4.4验收方式：现场整体验收</w:t>
      </w:r>
    </w:p>
    <w:p w14:paraId="38E373B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4.5验收程序：分期/分段验收</w:t>
      </w:r>
    </w:p>
    <w:p w14:paraId="792D715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4.6验收内容：按照基于本项目采购需求编制的采购文件要求及供应商响应文件情况，由供应商向采购人提供的每期的全部服务。</w:t>
      </w:r>
    </w:p>
    <w:p w14:paraId="5C46E82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4.7验收标准：</w:t>
      </w:r>
    </w:p>
    <w:p w14:paraId="77355B3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4.7.1国家相关法律法规、行业标准、技术规范。</w:t>
      </w:r>
    </w:p>
    <w:p w14:paraId="3824D5C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4.7.2基于本项目采购需求编制的谈判文件相关技术、服务要求、成交供应商响应文件相关响应内容。</w:t>
      </w:r>
    </w:p>
    <w:p w14:paraId="4753639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4.7.3产品生产厂家出具的产品说明书、技术白皮书、医疗器械注册证或备案凭证等官方技术资料（如涉及）。</w:t>
      </w:r>
    </w:p>
    <w:p w14:paraId="653FE0B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3E3381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4.7.5参照《财政部关于进一步加强政府采购需求和履约验收管理的指导意见》（财库〔2016〕205号）的要求进行验收。</w:t>
      </w:r>
    </w:p>
    <w:p w14:paraId="209FC74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4.7.6 如本项目验收方式为考核验收，则考核结果须为合格。</w:t>
      </w:r>
    </w:p>
    <w:p w14:paraId="1C8A3C5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4.7.7其他验收标准：无</w:t>
      </w:r>
    </w:p>
    <w:p w14:paraId="5F97D77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4.8其它验收要求：无</w:t>
      </w:r>
    </w:p>
    <w:p w14:paraId="05B3211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4.9是否委托第三方机构验收：否</w:t>
      </w:r>
    </w:p>
    <w:p w14:paraId="69E5A54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4.10是否邀请本项目的其他供应商：否</w:t>
      </w:r>
    </w:p>
    <w:p w14:paraId="637AA6F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4.11是否邀请服务对象：否</w:t>
      </w:r>
    </w:p>
    <w:p w14:paraId="489620F6">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eastAsia" w:ascii="仿宋" w:hAnsi="仿宋" w:eastAsia="仿宋"/>
          <w:sz w:val="24"/>
          <w:szCs w:val="24"/>
          <w:lang w:val="en-US" w:eastAsia="zh-CN"/>
        </w:rPr>
      </w:pPr>
      <w:r>
        <w:rPr>
          <w:rFonts w:hint="default" w:ascii="仿宋" w:hAnsi="仿宋" w:eastAsia="仿宋" w:cs="仿宋"/>
          <w:b w:val="0"/>
          <w:bCs w:val="0"/>
          <w:sz w:val="24"/>
          <w:szCs w:val="24"/>
          <w:lang w:val="en-US" w:eastAsia="zh-CN"/>
        </w:rPr>
        <w:t>4.12是否邀请专家</w:t>
      </w:r>
      <w:r>
        <w:rPr>
          <w:rFonts w:hint="eastAsia" w:ascii="仿宋" w:hAnsi="仿宋" w:eastAsia="仿宋" w:cs="仿宋"/>
          <w:b w:val="0"/>
          <w:bCs w:val="0"/>
          <w:sz w:val="24"/>
          <w:szCs w:val="24"/>
          <w:lang w:val="en-US" w:eastAsia="zh-CN"/>
        </w:rPr>
        <w:t>：否</w:t>
      </w:r>
    </w:p>
    <w:p w14:paraId="06C0FCA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p>
    <w:p w14:paraId="49E3473A">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725FBFAD">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476325FA">
      <w:pPr>
        <w:rPr>
          <w:rFonts w:ascii="Times New Roman" w:hAnsi="Times New Roman" w:eastAsia="仿宋" w:cs="Times New Roman"/>
          <w:b/>
          <w:bCs/>
          <w:sz w:val="24"/>
          <w:szCs w:val="24"/>
        </w:rPr>
      </w:pPr>
      <w:r>
        <w:rPr>
          <w:rFonts w:ascii="Times New Roman" w:hAnsi="Times New Roman" w:eastAsia="仿宋" w:cs="Times New Roman"/>
          <w:b/>
          <w:bCs/>
          <w:sz w:val="24"/>
          <w:szCs w:val="24"/>
        </w:rPr>
        <w:br w:type="page"/>
      </w:r>
    </w:p>
    <w:p w14:paraId="3AA4C784">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p>
    <w:p w14:paraId="1E53B04C">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42DA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41B90DE8">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01A9A92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评分因素</w:t>
            </w:r>
          </w:p>
          <w:p w14:paraId="665F26E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150C2DD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4FFA106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评分标准</w:t>
            </w:r>
          </w:p>
        </w:tc>
      </w:tr>
      <w:tr w14:paraId="5D83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0128B59B">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1</w:t>
            </w:r>
          </w:p>
        </w:tc>
        <w:tc>
          <w:tcPr>
            <w:tcW w:w="1384" w:type="dxa"/>
            <w:noWrap/>
            <w:vAlign w:val="center"/>
          </w:tcPr>
          <w:p w14:paraId="7C973AB2">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报价</w:t>
            </w:r>
          </w:p>
          <w:p w14:paraId="3FAFF793">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4B85BED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5C1EED2">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sz w:val="24"/>
              </w:rPr>
            </w:pPr>
            <w:r>
              <w:rPr>
                <w:rFonts w:hint="eastAsia" w:ascii="仿宋" w:hAnsi="仿宋" w:eastAsia="仿宋" w:cs="宋体"/>
                <w:sz w:val="24"/>
                <w:lang w:val="en-US" w:eastAsia="zh-CN"/>
              </w:rPr>
              <w:t>以满足谈判文件要求且有效下浮率最高的为评审基准价，其价格分为满分。其他供应商的报价得分按照下列公式计算：报价得分= (1-基准价）／（1-下浮率)*10。</w:t>
            </w:r>
          </w:p>
        </w:tc>
      </w:tr>
      <w:tr w14:paraId="5F63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2E328059">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eastAsia="仿宋" w:cs="宋体"/>
                <w:sz w:val="24"/>
              </w:rPr>
            </w:pPr>
            <w:r>
              <w:rPr>
                <w:rFonts w:hint="eastAsia" w:ascii="仿宋" w:hAnsi="仿宋" w:eastAsia="仿宋"/>
                <w:sz w:val="24"/>
              </w:rPr>
              <w:t>2</w:t>
            </w:r>
          </w:p>
        </w:tc>
        <w:tc>
          <w:tcPr>
            <w:tcW w:w="1384" w:type="dxa"/>
            <w:shd w:val="clear" w:color="auto" w:fill="auto"/>
            <w:noWrap/>
            <w:vAlign w:val="center"/>
          </w:tcPr>
          <w:p w14:paraId="1DB2C513">
            <w:pPr>
              <w:pStyle w:val="4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人员要求</w:t>
            </w:r>
          </w:p>
        </w:tc>
        <w:tc>
          <w:tcPr>
            <w:tcW w:w="709" w:type="dxa"/>
            <w:shd w:val="clear" w:color="auto" w:fill="auto"/>
            <w:noWrap/>
            <w:vAlign w:val="center"/>
          </w:tcPr>
          <w:p w14:paraId="300E1AE8">
            <w:pPr>
              <w:pStyle w:val="42"/>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10</w:t>
            </w:r>
          </w:p>
        </w:tc>
        <w:tc>
          <w:tcPr>
            <w:tcW w:w="6520" w:type="dxa"/>
            <w:shd w:val="clear" w:color="auto" w:fill="auto"/>
            <w:noWrap/>
            <w:vAlign w:val="top"/>
          </w:tcPr>
          <w:p w14:paraId="2AC16A50">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供应商拟投入本项目人员：</w:t>
            </w:r>
          </w:p>
          <w:p w14:paraId="24CA18EF">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（1）项目负责人：具有印刷类中级及以上技术职称的得3分。</w:t>
            </w:r>
          </w:p>
          <w:p w14:paraId="65695AD4">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 xml:space="preserve"> 注：提供相关证书扫描件。 </w:t>
            </w:r>
          </w:p>
          <w:p w14:paraId="0A7E37C4">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（2）技术负责人：具有印刷类中级及以上技术职称的得3分。</w:t>
            </w:r>
          </w:p>
          <w:p w14:paraId="28552CF4">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注：提供相关证书扫描件。</w:t>
            </w:r>
          </w:p>
          <w:p w14:paraId="15294E3A">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3）服务团队人员（除项目负责人和技术负责人以外的）：拟投入本项目的服务团队人员，每提供1名具有印刷相关专业或设计相关专业职称证书、职业资格证书或学位证书的得1分。同一人员多个证书不重复计分，本项最多得4分。注：提供相关证书扫描件。</w:t>
            </w:r>
          </w:p>
          <w:p w14:paraId="07501F45">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注：①以上人员不重复计分，如有重复的，按最高得分计分。②以上人员须为本单位在职人员，须提供相关在职证明。</w:t>
            </w:r>
          </w:p>
        </w:tc>
      </w:tr>
      <w:tr w14:paraId="6FED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65A931F5">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ascii="仿宋" w:hAnsi="仿宋" w:eastAsia="仿宋" w:cs="宋体"/>
                <w:sz w:val="24"/>
              </w:rPr>
            </w:pPr>
            <w:r>
              <w:rPr>
                <w:rFonts w:hint="eastAsia" w:ascii="仿宋" w:hAnsi="仿宋" w:eastAsia="仿宋" w:cs="宋体"/>
                <w:sz w:val="24"/>
              </w:rPr>
              <w:t>3</w:t>
            </w:r>
          </w:p>
        </w:tc>
        <w:tc>
          <w:tcPr>
            <w:tcW w:w="1384" w:type="dxa"/>
            <w:noWrap/>
            <w:vAlign w:val="center"/>
          </w:tcPr>
          <w:p w14:paraId="4EE35F8A">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eastAsia" w:ascii="仿宋" w:hAnsi="仿宋" w:eastAsia="仿宋" w:cs="宋体"/>
                <w:sz w:val="24"/>
                <w:lang w:val="en-US" w:eastAsia="zh-CN"/>
              </w:rPr>
            </w:pPr>
            <w:r>
              <w:rPr>
                <w:rFonts w:hint="eastAsia" w:ascii="仿宋" w:hAnsi="仿宋" w:eastAsia="仿宋" w:cs="宋体"/>
                <w:sz w:val="24"/>
                <w:lang w:val="en-US" w:eastAsia="zh-CN"/>
              </w:rPr>
              <w:t>服务方案</w:t>
            </w:r>
          </w:p>
        </w:tc>
        <w:tc>
          <w:tcPr>
            <w:tcW w:w="709" w:type="dxa"/>
            <w:noWrap/>
            <w:vAlign w:val="center"/>
          </w:tcPr>
          <w:p w14:paraId="48EBD06A">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14</w:t>
            </w:r>
          </w:p>
        </w:tc>
        <w:tc>
          <w:tcPr>
            <w:tcW w:w="6520" w:type="dxa"/>
            <w:shd w:val="clear" w:color="auto" w:fill="auto"/>
            <w:noWrap/>
            <w:vAlign w:val="top"/>
          </w:tcPr>
          <w:p w14:paraId="14B7CA30">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根据供应商针对本项目提供的服务方案进行评审，方案内容包括：</w:t>
            </w:r>
            <w:r>
              <w:rPr>
                <w:rFonts w:hint="eastAsia" w:ascii="仿宋_GB2312" w:hAnsi="仿宋_GB2312" w:eastAsia="仿宋_GB2312" w:cs="仿宋_GB2312"/>
                <w:color w:val="000000" w:themeColor="text1"/>
                <w:lang w:val="en-US" w:eastAsia="zh-CN"/>
                <w14:textFill>
                  <w14:solidFill>
                    <w14:schemeClr w14:val="tx1"/>
                  </w14:solidFill>
                </w14:textFill>
              </w:rPr>
              <w:t>（1）工艺流程、（2）内控制度、（3）质量保证措施及工期保障措施、（4）设计排版能力及响应机制、（5）保密措施、（6）售后方案及应急预案、（7）项目组织机构设置和人员职责分工方案，</w:t>
            </w:r>
            <w:r>
              <w:rPr>
                <w:rFonts w:ascii="仿宋_GB2312" w:hAnsi="仿宋_GB2312" w:eastAsia="仿宋_GB2312" w:cs="仿宋_GB2312"/>
                <w:color w:val="000000" w:themeColor="text1"/>
                <w14:textFill>
                  <w14:solidFill>
                    <w14:schemeClr w14:val="tx1"/>
                  </w14:solidFill>
                </w14:textFill>
              </w:rPr>
              <w:t>提供完整（共</w:t>
            </w:r>
            <w:r>
              <w:rPr>
                <w:rFonts w:hint="eastAsia" w:ascii="仿宋_GB2312" w:hAnsi="仿宋_GB2312" w:eastAsia="仿宋_GB2312" w:cs="仿宋_GB2312"/>
                <w:color w:val="000000" w:themeColor="text1"/>
                <w:lang w:val="en-US" w:eastAsia="zh-CN"/>
                <w14:textFill>
                  <w14:solidFill>
                    <w14:schemeClr w14:val="tx1"/>
                  </w14:solidFill>
                </w14:textFill>
              </w:rPr>
              <w:t>7</w:t>
            </w:r>
            <w:r>
              <w:rPr>
                <w:rFonts w:ascii="仿宋_GB2312" w:hAnsi="仿宋_GB2312" w:eastAsia="仿宋_GB2312" w:cs="仿宋_GB2312"/>
                <w:color w:val="000000" w:themeColor="text1"/>
                <w14:textFill>
                  <w14:solidFill>
                    <w14:schemeClr w14:val="tx1"/>
                  </w14:solidFill>
                </w14:textFill>
              </w:rPr>
              <w:t>项）得</w:t>
            </w:r>
            <w:r>
              <w:rPr>
                <w:rFonts w:hint="eastAsia" w:ascii="仿宋_GB2312" w:hAnsi="仿宋_GB2312" w:eastAsia="仿宋_GB2312" w:cs="仿宋_GB2312"/>
                <w:color w:val="000000" w:themeColor="text1"/>
                <w:lang w:val="en-US" w:eastAsia="zh-CN"/>
                <w14:textFill>
                  <w14:solidFill>
                    <w14:schemeClr w14:val="tx1"/>
                  </w14:solidFill>
                </w14:textFill>
              </w:rPr>
              <w:t>14</w:t>
            </w:r>
            <w:r>
              <w:rPr>
                <w:rFonts w:ascii="仿宋_GB2312" w:hAnsi="仿宋_GB2312" w:eastAsia="仿宋_GB2312" w:cs="仿宋_GB2312"/>
                <w:color w:val="000000" w:themeColor="text1"/>
                <w14:textFill>
                  <w14:solidFill>
                    <w14:schemeClr w14:val="tx1"/>
                  </w14:solidFill>
                </w14:textFill>
              </w:rPr>
              <w:t>分，每有一项内容未提供的扣</w:t>
            </w:r>
            <w:r>
              <w:rPr>
                <w:rFonts w:hint="eastAsia" w:ascii="仿宋_GB2312" w:hAnsi="仿宋_GB2312" w:eastAsia="仿宋_GB2312" w:cs="仿宋_GB2312"/>
                <w:color w:val="000000" w:themeColor="text1"/>
                <w:lang w:val="en-US" w:eastAsia="zh-CN"/>
                <w14:textFill>
                  <w14:solidFill>
                    <w14:schemeClr w14:val="tx1"/>
                  </w14:solidFill>
                </w14:textFill>
              </w:rPr>
              <w:t>2</w:t>
            </w:r>
            <w:r>
              <w:rPr>
                <w:rFonts w:ascii="仿宋_GB2312" w:hAnsi="仿宋_GB2312" w:eastAsia="仿宋_GB2312" w:cs="仿宋_GB2312"/>
                <w:color w:val="000000" w:themeColor="text1"/>
                <w14:textFill>
                  <w14:solidFill>
                    <w14:schemeClr w14:val="tx1"/>
                  </w14:solidFill>
                </w14:textFill>
              </w:rPr>
              <w:t>分，最多扣</w:t>
            </w:r>
            <w:r>
              <w:rPr>
                <w:rFonts w:hint="eastAsia" w:ascii="仿宋_GB2312" w:hAnsi="仿宋_GB2312" w:eastAsia="仿宋_GB2312" w:cs="仿宋_GB2312"/>
                <w:color w:val="000000" w:themeColor="text1"/>
                <w:lang w:val="en-US" w:eastAsia="zh-CN"/>
                <w14:textFill>
                  <w14:solidFill>
                    <w14:schemeClr w14:val="tx1"/>
                  </w14:solidFill>
                </w14:textFill>
              </w:rPr>
              <w:t>14</w:t>
            </w:r>
            <w:r>
              <w:rPr>
                <w:rFonts w:ascii="仿宋_GB2312" w:hAnsi="仿宋_GB2312" w:eastAsia="仿宋_GB2312" w:cs="仿宋_GB2312"/>
                <w:color w:val="000000" w:themeColor="text1"/>
                <w14:textFill>
                  <w14:solidFill>
                    <w14:schemeClr w14:val="tx1"/>
                  </w14:solidFill>
                </w14:textFill>
              </w:rPr>
              <w:t>分；每项中每有一处内容存在缺陷的扣</w:t>
            </w:r>
            <w:r>
              <w:rPr>
                <w:rFonts w:hint="eastAsia" w:ascii="仿宋_GB2312" w:hAnsi="仿宋_GB2312" w:eastAsia="仿宋_GB2312" w:cs="仿宋_GB2312"/>
                <w:color w:val="000000" w:themeColor="text1"/>
                <w:lang w:val="en-US" w:eastAsia="zh-CN"/>
                <w14:textFill>
                  <w14:solidFill>
                    <w14:schemeClr w14:val="tx1"/>
                  </w14:solidFill>
                </w14:textFill>
              </w:rPr>
              <w:t>1</w:t>
            </w:r>
            <w:r>
              <w:rPr>
                <w:rFonts w:ascii="仿宋_GB2312" w:hAnsi="仿宋_GB2312" w:eastAsia="仿宋_GB2312" w:cs="仿宋_GB2312"/>
                <w:color w:val="000000" w:themeColor="text1"/>
                <w14:textFill>
                  <w14:solidFill>
                    <w14:schemeClr w14:val="tx1"/>
                  </w14:solidFill>
                </w14:textFill>
              </w:rPr>
              <w:t>分，每项最多扣</w:t>
            </w:r>
            <w:r>
              <w:rPr>
                <w:rFonts w:hint="eastAsia" w:ascii="仿宋_GB2312" w:hAnsi="仿宋_GB2312" w:eastAsia="仿宋_GB2312" w:cs="仿宋_GB2312"/>
                <w:color w:val="000000" w:themeColor="text1"/>
                <w:lang w:val="en-US" w:eastAsia="zh-CN"/>
                <w14:textFill>
                  <w14:solidFill>
                    <w14:schemeClr w14:val="tx1"/>
                  </w14:solidFill>
                </w14:textFill>
              </w:rPr>
              <w:t>2</w:t>
            </w:r>
            <w:r>
              <w:rPr>
                <w:rFonts w:ascii="仿宋_GB2312" w:hAnsi="仿宋_GB2312" w:eastAsia="仿宋_GB2312" w:cs="仿宋_GB2312"/>
                <w:color w:val="000000" w:themeColor="text1"/>
                <w14:textFill>
                  <w14:solidFill>
                    <w14:schemeClr w14:val="tx1"/>
                  </w14:solidFill>
                </w14:textFill>
              </w:rPr>
              <w:t xml:space="preserve">分。 </w:t>
            </w:r>
          </w:p>
          <w:p w14:paraId="1B75DE77">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000000" w:themeColor="text1"/>
                <w:kern w:val="0"/>
                <w:sz w:val="24"/>
                <w:szCs w:val="24"/>
                <w:lang w:val="en-US" w:eastAsia="zh-CN" w:bidi="ar-SA"/>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注：缺陷是指存在项目名称错误、地点区域错误、内容与本项目需求无关、适用的标准（方法）错误、明显复制其他项目内容任意一种情形。</w:t>
            </w:r>
          </w:p>
        </w:tc>
      </w:tr>
      <w:tr w14:paraId="406D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596" w:type="dxa"/>
            <w:noWrap/>
            <w:vAlign w:val="center"/>
          </w:tcPr>
          <w:p w14:paraId="3A1F9608">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2889DEEB">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样品</w:t>
            </w:r>
          </w:p>
        </w:tc>
        <w:tc>
          <w:tcPr>
            <w:tcW w:w="709" w:type="dxa"/>
            <w:noWrap/>
            <w:vAlign w:val="center"/>
          </w:tcPr>
          <w:p w14:paraId="29AC0C72">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_GB2312" w:hAnsi="仿宋_GB2312" w:eastAsia="仿宋_GB2312" w:cs="仿宋_GB2312"/>
                <w:color w:val="000000" w:themeColor="text1"/>
                <w:kern w:val="0"/>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SA"/>
                <w14:textFill>
                  <w14:solidFill>
                    <w14:schemeClr w14:val="tx1"/>
                  </w14:solidFill>
                </w14:textFill>
              </w:rPr>
              <w:t>36</w:t>
            </w:r>
          </w:p>
        </w:tc>
        <w:tc>
          <w:tcPr>
            <w:tcW w:w="6520" w:type="dxa"/>
            <w:shd w:val="clear" w:color="auto" w:fill="auto"/>
            <w:noWrap/>
            <w:vAlign w:val="top"/>
          </w:tcPr>
          <w:p w14:paraId="1E890551">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供应商按谈判文件要求提供样品的得36分，以下要求每有1项不满足的扣4分。</w:t>
            </w:r>
          </w:p>
          <w:p w14:paraId="6D584C70">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（1）样刊：</w:t>
            </w:r>
          </w:p>
          <w:p w14:paraId="46ECC28F">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①印刷清晰</w:t>
            </w:r>
            <w:r>
              <w:rPr>
                <w:rFonts w:hint="eastAsia" w:ascii="仿宋" w:hAnsi="仿宋" w:eastAsia="仿宋" w:cs="仿宋"/>
                <w:sz w:val="24"/>
                <w:szCs w:val="24"/>
                <w:highlight w:val="none"/>
                <w:lang w:val="en-US" w:eastAsia="zh-CN"/>
              </w:rPr>
              <w:t>；</w:t>
            </w:r>
          </w:p>
          <w:p w14:paraId="66FCA4A1">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②</w:t>
            </w:r>
            <w:r>
              <w:rPr>
                <w:rFonts w:hint="eastAsia" w:ascii="仿宋" w:hAnsi="仿宋" w:eastAsia="仿宋" w:cstheme="minorBidi"/>
                <w:kern w:val="2"/>
                <w:sz w:val="24"/>
                <w:szCs w:val="24"/>
                <w:lang w:val="en-US" w:eastAsia="zh-CN" w:bidi="ar-SA"/>
              </w:rPr>
              <w:t>色彩还原准确及</w:t>
            </w:r>
            <w:r>
              <w:rPr>
                <w:rFonts w:hint="eastAsia" w:ascii="仿宋" w:hAnsi="仿宋" w:eastAsia="仿宋" w:cs="仿宋"/>
                <w:sz w:val="24"/>
                <w:szCs w:val="24"/>
                <w:highlight w:val="none"/>
                <w:lang w:val="en-US" w:eastAsia="zh-CN"/>
              </w:rPr>
              <w:t>；</w:t>
            </w:r>
          </w:p>
          <w:p w14:paraId="13E020D7">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③</w:t>
            </w:r>
            <w:r>
              <w:rPr>
                <w:rFonts w:hint="eastAsia" w:ascii="仿宋" w:hAnsi="仿宋" w:eastAsia="仿宋" w:cstheme="minorBidi"/>
                <w:kern w:val="2"/>
                <w:sz w:val="24"/>
                <w:szCs w:val="24"/>
                <w:lang w:val="en-US" w:eastAsia="zh-CN" w:bidi="ar-SA"/>
              </w:rPr>
              <w:t>着色均匀</w:t>
            </w:r>
            <w:r>
              <w:rPr>
                <w:rFonts w:hint="eastAsia" w:ascii="仿宋" w:hAnsi="仿宋" w:eastAsia="仿宋" w:cs="仿宋"/>
                <w:sz w:val="24"/>
                <w:szCs w:val="24"/>
                <w:highlight w:val="none"/>
                <w:lang w:val="en-US" w:eastAsia="zh-CN"/>
              </w:rPr>
              <w:t>；</w:t>
            </w:r>
          </w:p>
          <w:p w14:paraId="11A25EDC">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④</w:t>
            </w:r>
            <w:r>
              <w:rPr>
                <w:rFonts w:hint="eastAsia" w:ascii="仿宋" w:hAnsi="仿宋" w:eastAsia="仿宋" w:cstheme="minorBidi"/>
                <w:kern w:val="2"/>
                <w:sz w:val="24"/>
                <w:szCs w:val="24"/>
                <w:lang w:val="en-US" w:eastAsia="zh-CN" w:bidi="ar-SA"/>
              </w:rPr>
              <w:t>装订牢固</w:t>
            </w:r>
            <w:r>
              <w:rPr>
                <w:rFonts w:hint="eastAsia" w:ascii="仿宋" w:hAnsi="仿宋" w:eastAsia="仿宋" w:cs="仿宋"/>
                <w:sz w:val="24"/>
                <w:szCs w:val="24"/>
                <w:highlight w:val="none"/>
                <w:lang w:val="en-US" w:eastAsia="zh-CN"/>
              </w:rPr>
              <w:t>；</w:t>
            </w:r>
          </w:p>
          <w:p w14:paraId="574C606C">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theme="minorBidi"/>
                <w:kern w:val="2"/>
                <w:sz w:val="24"/>
                <w:szCs w:val="24"/>
                <w:lang w:val="en-US" w:eastAsia="zh-CN" w:bidi="ar-SA"/>
              </w:rPr>
            </w:pPr>
            <w:r>
              <w:rPr>
                <w:rFonts w:hint="eastAsia" w:ascii="仿宋" w:hAnsi="仿宋" w:eastAsia="仿宋" w:cs="仿宋"/>
                <w:sz w:val="24"/>
                <w:szCs w:val="24"/>
                <w:highlight w:val="none"/>
                <w:lang w:val="en-US" w:eastAsia="zh-CN"/>
              </w:rPr>
              <w:t>⑤</w:t>
            </w:r>
            <w:r>
              <w:rPr>
                <w:rFonts w:hint="eastAsia" w:ascii="仿宋" w:hAnsi="仿宋" w:eastAsia="仿宋" w:cstheme="minorBidi"/>
                <w:kern w:val="2"/>
                <w:sz w:val="24"/>
                <w:szCs w:val="24"/>
                <w:lang w:val="en-US" w:eastAsia="zh-CN" w:bidi="ar-SA"/>
              </w:rPr>
              <w:t>无其他成品缺陷。</w:t>
            </w:r>
          </w:p>
          <w:p w14:paraId="6ABAD9B6">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（2）样纸：</w:t>
            </w:r>
          </w:p>
          <w:p w14:paraId="16FB35AF">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仿宋" w:hAnsi="仿宋" w:eastAsia="仿宋" w:cstheme="minorBidi"/>
                <w:kern w:val="2"/>
                <w:sz w:val="24"/>
                <w:szCs w:val="24"/>
                <w:lang w:val="en-US" w:eastAsia="zh-CN" w:bidi="ar-SA"/>
              </w:rPr>
            </w:pPr>
            <w:r>
              <w:rPr>
                <w:rFonts w:hint="default" w:ascii="仿宋" w:hAnsi="仿宋" w:eastAsia="仿宋" w:cs="仿宋"/>
                <w:sz w:val="24"/>
                <w:szCs w:val="24"/>
                <w:highlight w:val="none"/>
                <w:lang w:val="en-US" w:eastAsia="zh-CN"/>
              </w:rPr>
              <w:t>①</w:t>
            </w:r>
            <w:r>
              <w:rPr>
                <w:rFonts w:hint="default" w:ascii="仿宋" w:hAnsi="仿宋" w:eastAsia="仿宋" w:cstheme="minorBidi"/>
                <w:kern w:val="2"/>
                <w:sz w:val="24"/>
                <w:szCs w:val="24"/>
                <w:lang w:val="en-US" w:eastAsia="zh-CN" w:bidi="ar-SA"/>
              </w:rPr>
              <w:t>纸面细腻，无明显纤维凸起、砂粒感；</w:t>
            </w:r>
          </w:p>
          <w:p w14:paraId="0E8537B8">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仿宋" w:hAnsi="仿宋" w:eastAsia="仿宋" w:cstheme="minorBidi"/>
                <w:kern w:val="2"/>
                <w:sz w:val="24"/>
                <w:szCs w:val="24"/>
                <w:lang w:val="en-US" w:eastAsia="zh-CN" w:bidi="ar-SA"/>
              </w:rPr>
            </w:pPr>
            <w:r>
              <w:rPr>
                <w:rFonts w:hint="default" w:ascii="仿宋" w:hAnsi="仿宋" w:eastAsia="仿宋" w:cs="仿宋"/>
                <w:sz w:val="24"/>
                <w:szCs w:val="24"/>
                <w:highlight w:val="none"/>
                <w:lang w:val="en-US" w:eastAsia="zh-CN"/>
              </w:rPr>
              <w:t>②</w:t>
            </w:r>
            <w:r>
              <w:rPr>
                <w:rFonts w:hint="default" w:ascii="仿宋" w:hAnsi="仿宋" w:eastAsia="仿宋" w:cstheme="minorBidi"/>
                <w:kern w:val="2"/>
                <w:sz w:val="24"/>
                <w:szCs w:val="24"/>
                <w:lang w:val="en-US" w:eastAsia="zh-CN" w:bidi="ar-SA"/>
              </w:rPr>
              <w:t>斜光观察涂布均匀，无条痕、云斑、局部明暗不均；</w:t>
            </w:r>
          </w:p>
          <w:p w14:paraId="4709CE57">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仿宋" w:hAnsi="仿宋" w:eastAsia="仿宋" w:cstheme="minorBidi"/>
                <w:kern w:val="2"/>
                <w:sz w:val="24"/>
                <w:szCs w:val="24"/>
                <w:lang w:val="en-US" w:eastAsia="zh-CN" w:bidi="ar-SA"/>
              </w:rPr>
            </w:pPr>
            <w:r>
              <w:rPr>
                <w:rFonts w:hint="default" w:ascii="仿宋" w:hAnsi="仿宋" w:eastAsia="仿宋" w:cs="仿宋"/>
                <w:sz w:val="24"/>
                <w:szCs w:val="24"/>
                <w:highlight w:val="none"/>
                <w:lang w:val="en-US" w:eastAsia="zh-CN"/>
              </w:rPr>
              <w:t>③</w:t>
            </w:r>
            <w:r>
              <w:rPr>
                <w:rFonts w:hint="default" w:ascii="仿宋" w:hAnsi="仿宋" w:eastAsia="仿宋" w:cstheme="minorBidi"/>
                <w:kern w:val="2"/>
                <w:sz w:val="24"/>
                <w:szCs w:val="24"/>
                <w:lang w:val="en-US" w:eastAsia="zh-CN" w:bidi="ar-SA"/>
              </w:rPr>
              <w:t>纸面无明显黑点、杂尘异物；</w:t>
            </w:r>
          </w:p>
          <w:p w14:paraId="005CDD0B">
            <w:pPr>
              <w:pStyle w:val="42"/>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仿宋" w:hAnsi="仿宋" w:eastAsia="仿宋" w:cstheme="minorBidi"/>
                <w:kern w:val="2"/>
                <w:sz w:val="24"/>
                <w:szCs w:val="24"/>
                <w:lang w:val="en-US" w:eastAsia="zh-CN" w:bidi="ar-SA"/>
              </w:rPr>
            </w:pPr>
            <w:r>
              <w:rPr>
                <w:rFonts w:hint="eastAsia" w:ascii="仿宋" w:hAnsi="仿宋" w:eastAsia="仿宋" w:cs="仿宋"/>
                <w:sz w:val="24"/>
                <w:szCs w:val="24"/>
                <w:highlight w:val="none"/>
                <w:lang w:val="en-US" w:eastAsia="zh-CN"/>
              </w:rPr>
              <w:t>④</w:t>
            </w:r>
            <w:r>
              <w:rPr>
                <w:rFonts w:hint="default" w:ascii="仿宋" w:hAnsi="仿宋" w:eastAsia="仿宋" w:cstheme="minorBidi"/>
                <w:kern w:val="2"/>
                <w:sz w:val="24"/>
                <w:szCs w:val="24"/>
                <w:lang w:val="en-US" w:eastAsia="zh-CN" w:bidi="ar-SA"/>
              </w:rPr>
              <w:t>纸巾擦拭测试，无明显掉粉现象。</w:t>
            </w:r>
          </w:p>
          <w:p w14:paraId="1361D11A">
            <w:pPr>
              <w:pStyle w:val="42"/>
              <w:keepNext w:val="0"/>
              <w:keepLines w:val="0"/>
              <w:pageBreakBefore w:val="0"/>
              <w:kinsoku/>
              <w:wordWrap/>
              <w:overflowPunct/>
              <w:topLinePunct w:val="0"/>
              <w:autoSpaceDE/>
              <w:autoSpaceDN/>
              <w:bidi w:val="0"/>
              <w:adjustRightInd/>
              <w:snapToGrid/>
              <w:spacing w:line="360" w:lineRule="auto"/>
              <w:jc w:val="left"/>
              <w:textAlignment w:val="auto"/>
              <w:rPr>
                <w:rFonts w:hint="default" w:eastAsia="仿宋"/>
                <w:lang w:val="en-US" w:eastAsia="zh-CN"/>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少送样品的</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错送样品的</w:t>
            </w:r>
            <w:r>
              <w:rPr>
                <w:rFonts w:hint="eastAsia" w:ascii="仿宋" w:hAnsi="仿宋" w:eastAsia="仿宋" w:cs="仿宋"/>
                <w:sz w:val="24"/>
                <w:szCs w:val="24"/>
                <w:highlight w:val="none"/>
                <w:lang w:val="en-US" w:eastAsia="zh-CN"/>
              </w:rPr>
              <w:t>本项不得分</w:t>
            </w:r>
          </w:p>
        </w:tc>
      </w:tr>
      <w:tr w14:paraId="2D00C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43656B5F">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0A455A0B">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业绩</w:t>
            </w:r>
          </w:p>
        </w:tc>
        <w:tc>
          <w:tcPr>
            <w:tcW w:w="709" w:type="dxa"/>
            <w:noWrap/>
            <w:vAlign w:val="center"/>
          </w:tcPr>
          <w:p w14:paraId="0486775E">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3D668BF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供应商提供自2023年1月1日（含）以来类似项目业绩，类似项目业绩是指刊物印刷相关服务业绩</w:t>
            </w:r>
            <w:r>
              <w:rPr>
                <w:rFonts w:hint="eastAsia" w:ascii="仿宋" w:hAnsi="仿宋" w:eastAsia="仿宋" w:cs="仿宋"/>
                <w:sz w:val="24"/>
                <w:szCs w:val="24"/>
                <w:lang w:val="en-US" w:eastAsia="zh-CN"/>
              </w:rPr>
              <w:t>，每提供1个得3分，本项最多得30分。</w:t>
            </w:r>
          </w:p>
          <w:p w14:paraId="2019CCE6">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注：提供中标（成交）通知书或合同复印件并加盖供应商公章</w:t>
            </w:r>
          </w:p>
        </w:tc>
      </w:tr>
    </w:tbl>
    <w:p w14:paraId="7DAE9004">
      <w:pPr>
        <w:rPr>
          <w:rFonts w:hint="default" w:eastAsiaTheme="minorEastAsia"/>
          <w:lang w:val="en-US" w:eastAsia="zh-CN"/>
        </w:rPr>
      </w:pPr>
      <w:r>
        <w:rPr>
          <w:rFonts w:hint="default" w:eastAsiaTheme="minorEastAsia"/>
          <w:lang w:val="en-US" w:eastAsia="zh-CN"/>
        </w:rPr>
        <w:br w:type="page"/>
      </w:r>
    </w:p>
    <w:p w14:paraId="0B7A9893">
      <w:pPr>
        <w:jc w:val="center"/>
        <w:rPr>
          <w:rFonts w:hint="default" w:eastAsiaTheme="minorEastAsia"/>
          <w:lang w:val="en-US" w:eastAsia="zh-CN"/>
        </w:rPr>
      </w:pP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7135"/>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16029"/>
      <w:bookmarkStart w:id="50" w:name="_Toc3023"/>
      <w:bookmarkStart w:id="51" w:name="_Toc11352"/>
      <w:bookmarkStart w:id="52" w:name="_Toc14829"/>
      <w:bookmarkStart w:id="53" w:name="_Toc6482"/>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4305"/>
      <w:bookmarkStart w:id="56" w:name="_Toc31838"/>
      <w:bookmarkStart w:id="57" w:name="_Toc17857"/>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12015"/>
      <w:bookmarkStart w:id="69" w:name="_Toc11351"/>
      <w:bookmarkStart w:id="70" w:name="_Toc27661"/>
      <w:bookmarkStart w:id="71" w:name="_Toc25638"/>
      <w:bookmarkStart w:id="72" w:name="_Toc15526"/>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074"/>
      <w:bookmarkStart w:id="74" w:name="_Toc2041"/>
      <w:bookmarkStart w:id="75" w:name="_Toc26969"/>
      <w:bookmarkStart w:id="76" w:name="_Toc23967"/>
      <w:bookmarkStart w:id="77" w:name="_Toc12967"/>
      <w:bookmarkStart w:id="78" w:name="_Toc16435"/>
      <w:r>
        <w:rPr>
          <w:rStyle w:val="41"/>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31686"/>
      <w:bookmarkStart w:id="81" w:name="_Toc24806"/>
      <w:bookmarkStart w:id="82" w:name="_Toc21082"/>
      <w:bookmarkStart w:id="83" w:name="_Toc26839"/>
      <w:bookmarkStart w:id="84" w:name="_Toc1369"/>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8"/>
        <w:gridCol w:w="4290"/>
        <w:gridCol w:w="1303"/>
        <w:gridCol w:w="3111"/>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458"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2238"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680"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下浮率</w:t>
            </w:r>
          </w:p>
        </w:tc>
        <w:tc>
          <w:tcPr>
            <w:tcW w:w="1623"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2238"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专刊杂志印发服务</w:t>
            </w:r>
          </w:p>
        </w:tc>
        <w:tc>
          <w:tcPr>
            <w:tcW w:w="680"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w:t>
            </w:r>
          </w:p>
        </w:tc>
        <w:tc>
          <w:tcPr>
            <w:tcW w:w="1623" w:type="pct"/>
            <w:vAlign w:val="center"/>
          </w:tcPr>
          <w:p w14:paraId="0523631D">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2"/>
        </w:numPr>
        <w:ind w:left="0" w:firstLine="0" w:firstLineChars="0"/>
        <w:contextualSpacing/>
        <w:jc w:val="left"/>
        <w:rPr>
          <w:b/>
          <w:szCs w:val="21"/>
        </w:rPr>
      </w:pPr>
      <w:r>
        <w:rPr>
          <w:b/>
          <w:szCs w:val="21"/>
        </w:rPr>
        <w:t>合同标的</w:t>
      </w:r>
    </w:p>
    <w:p w14:paraId="2E385537">
      <w:pPr>
        <w:pStyle w:val="10"/>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30"/>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highlight w:val="yellow"/>
        </w:rPr>
      </w:pPr>
      <w:r>
        <w:rPr>
          <w:color w:val="000000"/>
          <w:szCs w:val="21"/>
          <w:highlight w:val="yellow"/>
        </w:rPr>
        <w:sym w:font="Wingdings 2" w:char="0052"/>
      </w:r>
      <w:r>
        <w:rPr>
          <w:bCs/>
          <w:szCs w:val="21"/>
          <w:highlight w:val="yellow"/>
        </w:rPr>
        <w:t>本项目服务期为</w:t>
      </w:r>
      <w:r>
        <w:rPr>
          <w:bCs/>
          <w:szCs w:val="21"/>
          <w:highlight w:val="yellow"/>
          <w:u w:val="single"/>
        </w:rPr>
        <w:t>叁</w:t>
      </w:r>
      <w:r>
        <w:rPr>
          <w:bCs/>
          <w:szCs w:val="21"/>
          <w:highlight w:val="yellow"/>
        </w:rPr>
        <w:t>年（自202*年**月**日到202*年**月**日），合同一年一签，每年服务费为人民币 *** 元（大写：*** 圆整）。本合同为第***期，服务期为自202*年***月***日至202*年**月**日</w:t>
      </w:r>
      <w:r>
        <w:rPr>
          <w:bCs/>
          <w:szCs w:val="21"/>
          <w:highlight w:val="yellow"/>
          <w:u w:val="single"/>
        </w:rPr>
        <w:t>，经甲方考核合格后续签下一年合同</w:t>
      </w:r>
      <w:bookmarkStart w:id="98" w:name="OLE_LINK29"/>
      <w:r>
        <w:rPr>
          <w:rFonts w:hint="eastAsia"/>
          <w:bCs/>
          <w:szCs w:val="21"/>
          <w:highlight w:val="yellow"/>
        </w:rPr>
        <w:t>，考核标准详见附件</w:t>
      </w:r>
      <w:r>
        <w:rPr>
          <w:rFonts w:hint="eastAsia"/>
          <w:bCs/>
          <w:szCs w:val="21"/>
          <w:highlight w:val="yellow"/>
          <w:u w:val="single"/>
        </w:rPr>
        <w:t>2</w:t>
      </w:r>
      <w:r>
        <w:rPr>
          <w:rFonts w:hint="eastAsia"/>
          <w:bCs/>
          <w:szCs w:val="21"/>
          <w:highlight w:val="yellow"/>
        </w:rPr>
        <w:t>《考核标准》</w:t>
      </w:r>
      <w:bookmarkEnd w:id="98"/>
      <w:r>
        <w:rPr>
          <w:bCs/>
          <w:szCs w:val="21"/>
          <w:highlight w:val="yellow"/>
        </w:rPr>
        <w:t>。</w:t>
      </w:r>
    </w:p>
    <w:p w14:paraId="1B257405">
      <w:pPr>
        <w:pStyle w:val="30"/>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2"/>
        </w:numPr>
        <w:ind w:left="0" w:firstLine="0" w:firstLineChars="0"/>
        <w:contextualSpacing/>
        <w:jc w:val="left"/>
        <w:rPr>
          <w:b/>
          <w:szCs w:val="21"/>
        </w:rPr>
      </w:pPr>
      <w:r>
        <w:rPr>
          <w:b/>
          <w:szCs w:val="21"/>
        </w:rPr>
        <w:t>验收</w:t>
      </w:r>
    </w:p>
    <w:p w14:paraId="57707485">
      <w:pPr>
        <w:pStyle w:val="30"/>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4"/>
        </w:numPr>
        <w:ind w:left="0" w:firstLine="0" w:firstLineChars="0"/>
        <w:contextualSpacing/>
        <w:rPr>
          <w:szCs w:val="21"/>
        </w:rPr>
      </w:pPr>
      <w:r>
        <w:rPr>
          <w:szCs w:val="21"/>
        </w:rPr>
        <w:t>验收方案：</w:t>
      </w:r>
    </w:p>
    <w:p w14:paraId="10719FFA">
      <w:pPr>
        <w:pStyle w:val="30"/>
        <w:numPr>
          <w:ilvl w:val="0"/>
          <w:numId w:val="15"/>
        </w:numPr>
        <w:ind w:firstLineChars="0"/>
        <w:contextualSpacing/>
        <w:rPr>
          <w:color w:val="000000"/>
          <w:szCs w:val="21"/>
        </w:rPr>
      </w:pPr>
      <w:r>
        <w:rPr>
          <w:rFonts w:hint="eastAsia"/>
          <w:color w:val="000000"/>
          <w:szCs w:val="21"/>
        </w:rPr>
        <w:t>验收主体：甲方</w:t>
      </w:r>
    </w:p>
    <w:p w14:paraId="7212F6E2">
      <w:pPr>
        <w:pStyle w:val="30"/>
        <w:numPr>
          <w:ilvl w:val="0"/>
          <w:numId w:val="15"/>
        </w:numPr>
        <w:ind w:firstLineChars="0"/>
        <w:contextualSpacing/>
        <w:rPr>
          <w:color w:val="000000"/>
          <w:szCs w:val="21"/>
        </w:rPr>
      </w:pPr>
      <w:r>
        <w:rPr>
          <w:rFonts w:hint="eastAsia"/>
          <w:color w:val="000000"/>
          <w:szCs w:val="21"/>
        </w:rPr>
        <w:t>验收组织方式：自行验收</w:t>
      </w:r>
    </w:p>
    <w:p w14:paraId="5C963DBA">
      <w:pPr>
        <w:pStyle w:val="30"/>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5"/>
        </w:numPr>
        <w:ind w:firstLineChars="0"/>
        <w:contextualSpacing/>
        <w:rPr>
          <w:szCs w:val="21"/>
        </w:rPr>
      </w:pPr>
      <w:r>
        <w:rPr>
          <w:szCs w:val="21"/>
        </w:rPr>
        <w:t>验收标准：</w:t>
      </w:r>
    </w:p>
    <w:p w14:paraId="24757C73">
      <w:pPr>
        <w:pStyle w:val="17"/>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7"/>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7"/>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2"/>
        </w:numPr>
        <w:ind w:left="0" w:firstLine="0" w:firstLineChars="0"/>
        <w:contextualSpacing/>
        <w:jc w:val="left"/>
        <w:rPr>
          <w:b/>
          <w:szCs w:val="21"/>
        </w:rPr>
      </w:pPr>
      <w:r>
        <w:rPr>
          <w:b/>
          <w:szCs w:val="21"/>
        </w:rPr>
        <w:t>付款方式</w:t>
      </w:r>
    </w:p>
    <w:p w14:paraId="5CC20725">
      <w:pPr>
        <w:pStyle w:val="10"/>
        <w:numPr>
          <w:ilvl w:val="0"/>
          <w:numId w:val="17"/>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2"/>
        </w:numPr>
        <w:ind w:left="0" w:firstLine="0" w:firstLineChars="0"/>
        <w:contextualSpacing/>
        <w:jc w:val="left"/>
        <w:rPr>
          <w:b/>
          <w:szCs w:val="21"/>
        </w:rPr>
      </w:pPr>
      <w:r>
        <w:rPr>
          <w:b/>
          <w:szCs w:val="21"/>
        </w:rPr>
        <w:t>双方权利与义务</w:t>
      </w:r>
    </w:p>
    <w:p w14:paraId="581F8AA0">
      <w:pPr>
        <w:pStyle w:val="10"/>
        <w:numPr>
          <w:ilvl w:val="0"/>
          <w:numId w:val="18"/>
        </w:numPr>
        <w:spacing w:after="0" w:line="240" w:lineRule="auto"/>
        <w:ind w:left="227" w:leftChars="0" w:hanging="227"/>
        <w:contextualSpacing/>
        <w:jc w:val="left"/>
        <w:rPr>
          <w:szCs w:val="21"/>
        </w:rPr>
      </w:pPr>
      <w:r>
        <w:rPr>
          <w:szCs w:val="21"/>
        </w:rPr>
        <w:t>甲方权利与义务</w:t>
      </w:r>
    </w:p>
    <w:p w14:paraId="4D16113D">
      <w:pPr>
        <w:pStyle w:val="30"/>
        <w:numPr>
          <w:ilvl w:val="0"/>
          <w:numId w:val="19"/>
        </w:numPr>
        <w:adjustRightInd w:val="0"/>
        <w:ind w:left="525" w:hanging="525" w:hangingChars="250"/>
        <w:contextualSpacing/>
        <w:jc w:val="left"/>
        <w:rPr>
          <w:szCs w:val="21"/>
        </w:rPr>
      </w:pPr>
      <w:r>
        <w:rPr>
          <w:szCs w:val="21"/>
        </w:rPr>
        <w:t>按合同约定向乙方支付费用。</w:t>
      </w:r>
    </w:p>
    <w:p w14:paraId="62A02753">
      <w:pPr>
        <w:pStyle w:val="30"/>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8"/>
        </w:numPr>
        <w:spacing w:after="0" w:line="240" w:lineRule="auto"/>
        <w:ind w:left="227" w:leftChars="0" w:hanging="227"/>
        <w:contextualSpacing/>
        <w:jc w:val="left"/>
        <w:rPr>
          <w:szCs w:val="21"/>
        </w:rPr>
      </w:pPr>
      <w:r>
        <w:rPr>
          <w:szCs w:val="21"/>
        </w:rPr>
        <w:t>乙方权利与义务</w:t>
      </w:r>
    </w:p>
    <w:p w14:paraId="319B30B1">
      <w:pPr>
        <w:pStyle w:val="10"/>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1"/>
        </w:numPr>
        <w:ind w:left="0" w:firstLine="0" w:firstLineChars="0"/>
        <w:rPr>
          <w:szCs w:val="21"/>
        </w:rPr>
      </w:pPr>
      <w:r>
        <w:rPr>
          <w:szCs w:val="21"/>
        </w:rPr>
        <w:t>乙方违约责任：</w:t>
      </w:r>
    </w:p>
    <w:p w14:paraId="354B31C5">
      <w:pPr>
        <w:pStyle w:val="10"/>
        <w:numPr>
          <w:ilvl w:val="0"/>
          <w:numId w:val="22"/>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10"/>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2"/>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2"/>
        </w:numPr>
        <w:ind w:left="0" w:firstLine="0" w:firstLineChars="0"/>
        <w:contextualSpacing/>
        <w:jc w:val="left"/>
        <w:rPr>
          <w:b/>
          <w:szCs w:val="21"/>
        </w:rPr>
      </w:pPr>
      <w:r>
        <w:rPr>
          <w:b/>
          <w:szCs w:val="21"/>
        </w:rPr>
        <w:t>合同终止及解除</w:t>
      </w:r>
    </w:p>
    <w:p w14:paraId="275C61D9">
      <w:pPr>
        <w:pStyle w:val="30"/>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3"/>
        </w:numPr>
        <w:ind w:left="0" w:firstLine="0" w:firstLineChars="0"/>
        <w:rPr>
          <w:szCs w:val="21"/>
        </w:rPr>
      </w:pPr>
      <w:r>
        <w:rPr>
          <w:szCs w:val="21"/>
        </w:rPr>
        <w:t>在甲、乙任何一方有严重违约行为时，另一方有权单方解除合同。</w:t>
      </w:r>
    </w:p>
    <w:p w14:paraId="2BA7B89E">
      <w:pPr>
        <w:pStyle w:val="30"/>
        <w:numPr>
          <w:ilvl w:val="0"/>
          <w:numId w:val="12"/>
        </w:numPr>
        <w:ind w:left="0" w:firstLine="0" w:firstLineChars="0"/>
        <w:contextualSpacing/>
        <w:jc w:val="left"/>
        <w:rPr>
          <w:b/>
          <w:szCs w:val="21"/>
        </w:rPr>
      </w:pPr>
      <w:r>
        <w:rPr>
          <w:b/>
          <w:szCs w:val="21"/>
        </w:rPr>
        <w:t>争议解决办法</w:t>
      </w:r>
    </w:p>
    <w:p w14:paraId="5C6244A3">
      <w:pPr>
        <w:pStyle w:val="30"/>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2"/>
        </w:numPr>
        <w:ind w:left="0" w:firstLine="0" w:firstLineChars="0"/>
        <w:contextualSpacing/>
        <w:jc w:val="left"/>
        <w:rPr>
          <w:b/>
          <w:szCs w:val="21"/>
        </w:rPr>
      </w:pPr>
      <w:r>
        <w:rPr>
          <w:b/>
          <w:szCs w:val="21"/>
        </w:rPr>
        <w:t>其他</w:t>
      </w:r>
    </w:p>
    <w:p w14:paraId="162904B6">
      <w:pPr>
        <w:pStyle w:val="30"/>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E15FF35-41E1-4926-B343-CDEF141623E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2590DEF-DF1E-4427-97D1-42D0B63724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01461B5A-C7F1-4F81-8D95-8C6A611E6AB2}"/>
  </w:font>
  <w:font w:name="仿宋">
    <w:panose1 w:val="02010609060101010101"/>
    <w:charset w:val="86"/>
    <w:family w:val="modern"/>
    <w:pitch w:val="default"/>
    <w:sig w:usb0="800002BF" w:usb1="38CF7CFA" w:usb2="00000016" w:usb3="00000000" w:csb0="00040001" w:csb1="00000000"/>
    <w:embedRegular r:id="rId4" w:fontKey="{0EE03DF1-8A9E-4CC8-914D-324687A707D8}"/>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embedRegular r:id="rId5" w:fontKey="{8DEFE589-1689-4913-A511-A98D9CEBAE68}"/>
  </w:font>
  <w:font w:name="Segoe UI Symbol">
    <w:panose1 w:val="020B0502040204020203"/>
    <w:charset w:val="00"/>
    <w:family w:val="swiss"/>
    <w:pitch w:val="default"/>
    <w:sig w:usb0="800001E3" w:usb1="1200FFEF" w:usb2="00040000" w:usb3="04000000" w:csb0="00000001" w:csb1="40000000"/>
    <w:embedRegular r:id="rId6" w:fontKey="{9F5A4CA2-D4B7-4BC6-8322-56B67547E8CA}"/>
  </w:font>
  <w:font w:name="仿宋_GB2312">
    <w:altName w:val="仿宋"/>
    <w:panose1 w:val="02010609030101010101"/>
    <w:charset w:val="86"/>
    <w:family w:val="auto"/>
    <w:pitch w:val="default"/>
    <w:sig w:usb0="00000000" w:usb1="00000000" w:usb2="00000000" w:usb3="00000000" w:csb0="00040000" w:csb1="00000000"/>
    <w:embedRegular r:id="rId7" w:fontKey="{9BB9CE56-F969-4F3C-92F2-2B396B5C76CD}"/>
  </w:font>
  <w:font w:name="Wingdings 2">
    <w:altName w:val="Wingdings"/>
    <w:panose1 w:val="05020102010507070707"/>
    <w:charset w:val="4D"/>
    <w:family w:val="decorative"/>
    <w:pitch w:val="default"/>
    <w:sig w:usb0="00000000" w:usb1="00000000" w:usb2="00000000" w:usb3="00000000" w:csb0="80000000" w:csb1="00000000"/>
    <w:embedRegular r:id="rId8" w:fontKey="{F9527A11-EDFE-4216-894A-C4F4DEC51204}"/>
  </w:font>
  <w:font w:name="微软雅黑">
    <w:panose1 w:val="020B0503020204020204"/>
    <w:charset w:val="86"/>
    <w:family w:val="swiss"/>
    <w:pitch w:val="default"/>
    <w:sig w:usb0="80000287" w:usb1="2ACF3C50" w:usb2="00000016" w:usb3="00000000" w:csb0="0004001F" w:csb1="00000000"/>
    <w:embedRegular r:id="rId9" w:fontKey="{8F60B3CF-A963-4D06-8418-F2DB7572FB0C}"/>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0EBB2B0B"/>
    <w:rsid w:val="11075CBE"/>
    <w:rsid w:val="115D07B9"/>
    <w:rsid w:val="117A5014"/>
    <w:rsid w:val="127F05A0"/>
    <w:rsid w:val="127F1D65"/>
    <w:rsid w:val="13546548"/>
    <w:rsid w:val="136D78F8"/>
    <w:rsid w:val="1411115B"/>
    <w:rsid w:val="15B421B6"/>
    <w:rsid w:val="15CC4977"/>
    <w:rsid w:val="162A4F7D"/>
    <w:rsid w:val="16A82A66"/>
    <w:rsid w:val="16BC0305"/>
    <w:rsid w:val="1994787E"/>
    <w:rsid w:val="19BB25F7"/>
    <w:rsid w:val="19D314F9"/>
    <w:rsid w:val="19FF304F"/>
    <w:rsid w:val="1ACB0996"/>
    <w:rsid w:val="1B8F2D19"/>
    <w:rsid w:val="1DD000AF"/>
    <w:rsid w:val="1E09745A"/>
    <w:rsid w:val="1E176351"/>
    <w:rsid w:val="1E8E610D"/>
    <w:rsid w:val="1FD31681"/>
    <w:rsid w:val="214E24AB"/>
    <w:rsid w:val="229D6DB5"/>
    <w:rsid w:val="23332932"/>
    <w:rsid w:val="23D4489F"/>
    <w:rsid w:val="248A553D"/>
    <w:rsid w:val="24C90335"/>
    <w:rsid w:val="262001B9"/>
    <w:rsid w:val="27B87AF9"/>
    <w:rsid w:val="27E80EA9"/>
    <w:rsid w:val="280414A1"/>
    <w:rsid w:val="28570368"/>
    <w:rsid w:val="29A82748"/>
    <w:rsid w:val="29C5318E"/>
    <w:rsid w:val="2B502F98"/>
    <w:rsid w:val="2C9A0A9E"/>
    <w:rsid w:val="2CA621A6"/>
    <w:rsid w:val="2CD23DA0"/>
    <w:rsid w:val="2DA70D65"/>
    <w:rsid w:val="2EE31C10"/>
    <w:rsid w:val="302712CA"/>
    <w:rsid w:val="313B414B"/>
    <w:rsid w:val="31EC5F04"/>
    <w:rsid w:val="33DE6345"/>
    <w:rsid w:val="3427766B"/>
    <w:rsid w:val="343706EB"/>
    <w:rsid w:val="351A08D0"/>
    <w:rsid w:val="36334CE5"/>
    <w:rsid w:val="39501DEF"/>
    <w:rsid w:val="3A551407"/>
    <w:rsid w:val="3AE57E7C"/>
    <w:rsid w:val="3B033C36"/>
    <w:rsid w:val="3BCB73F7"/>
    <w:rsid w:val="3CCC3780"/>
    <w:rsid w:val="3E4D49D4"/>
    <w:rsid w:val="3E5D4E8E"/>
    <w:rsid w:val="3F31049C"/>
    <w:rsid w:val="3FE25336"/>
    <w:rsid w:val="400F2590"/>
    <w:rsid w:val="41D80D76"/>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B338B2"/>
    <w:rsid w:val="4FEF758C"/>
    <w:rsid w:val="5059153A"/>
    <w:rsid w:val="50771A9C"/>
    <w:rsid w:val="50BC437C"/>
    <w:rsid w:val="51C47F6D"/>
    <w:rsid w:val="535C64FC"/>
    <w:rsid w:val="5455382C"/>
    <w:rsid w:val="54643166"/>
    <w:rsid w:val="54E80B0B"/>
    <w:rsid w:val="55242A52"/>
    <w:rsid w:val="56C55F4F"/>
    <w:rsid w:val="571F5A86"/>
    <w:rsid w:val="57235ED9"/>
    <w:rsid w:val="5774152D"/>
    <w:rsid w:val="599F4761"/>
    <w:rsid w:val="5A102BB5"/>
    <w:rsid w:val="5D0A3490"/>
    <w:rsid w:val="5D7E0D39"/>
    <w:rsid w:val="5E9D3F29"/>
    <w:rsid w:val="5F542CA1"/>
    <w:rsid w:val="60202C9E"/>
    <w:rsid w:val="6023135D"/>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F97249D"/>
    <w:rsid w:val="6FCF0795"/>
    <w:rsid w:val="6FF679A0"/>
    <w:rsid w:val="70EE62C9"/>
    <w:rsid w:val="71241736"/>
    <w:rsid w:val="71381023"/>
    <w:rsid w:val="73714961"/>
    <w:rsid w:val="754D1D92"/>
    <w:rsid w:val="758350A9"/>
    <w:rsid w:val="759E3B4B"/>
    <w:rsid w:val="75B96BD7"/>
    <w:rsid w:val="7641182E"/>
    <w:rsid w:val="76FA6613"/>
    <w:rsid w:val="775218F8"/>
    <w:rsid w:val="780D397B"/>
    <w:rsid w:val="79687E1D"/>
    <w:rsid w:val="79B62FBA"/>
    <w:rsid w:val="7B0A23D6"/>
    <w:rsid w:val="7B560FD7"/>
    <w:rsid w:val="7B5F74F8"/>
    <w:rsid w:val="7B690630"/>
    <w:rsid w:val="7BBC11CF"/>
    <w:rsid w:val="7C5123F4"/>
    <w:rsid w:val="7CB400F8"/>
    <w:rsid w:val="7D040AB6"/>
    <w:rsid w:val="7D4119E6"/>
    <w:rsid w:val="7D575350"/>
    <w:rsid w:val="7DAF162B"/>
    <w:rsid w:val="7DC42B41"/>
    <w:rsid w:val="7DD10525"/>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next w:val="8"/>
    <w:qFormat/>
    <w:uiPriority w:val="0"/>
    <w:pPr>
      <w:spacing w:after="120"/>
    </w:pPr>
  </w:style>
  <w:style w:type="paragraph" w:customStyle="1" w:styleId="8">
    <w:name w:val="Quote"/>
    <w:basedOn w:val="1"/>
    <w:next w:val="1"/>
    <w:qFormat/>
    <w:uiPriority w:val="99"/>
    <w:pPr>
      <w:tabs>
        <w:tab w:val="left" w:pos="0"/>
      </w:tabs>
    </w:pPr>
    <w:rPr>
      <w:rFonts w:ascii="Calibri" w:hAnsi="Calibri" w:cs="Calibri"/>
      <w:i/>
      <w:iCs/>
      <w:color w:val="000000"/>
      <w:sz w:val="22"/>
      <w:szCs w:val="22"/>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7"/>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4">
    <w:name w:val="font111"/>
    <w:basedOn w:val="21"/>
    <w:qFormat/>
    <w:uiPriority w:val="0"/>
    <w:rPr>
      <w:rFonts w:hint="eastAsia" w:ascii="方正小标宋简体" w:hAnsi="方正小标宋简体" w:eastAsia="方正小标宋简体" w:cs="方正小标宋简体"/>
      <w:color w:val="000000"/>
      <w:sz w:val="44"/>
      <w:szCs w:val="44"/>
      <w:u w:val="none"/>
    </w:rPr>
  </w:style>
  <w:style w:type="character" w:customStyle="1" w:styleId="45">
    <w:name w:val="font122"/>
    <w:basedOn w:val="21"/>
    <w:qFormat/>
    <w:uiPriority w:val="0"/>
    <w:rPr>
      <w:rFonts w:hint="eastAsia" w:ascii="宋体" w:hAnsi="宋体" w:eastAsia="宋体" w:cs="宋体"/>
      <w:color w:val="FF0000"/>
      <w:sz w:val="24"/>
      <w:szCs w:val="24"/>
      <w:u w:val="none"/>
    </w:rPr>
  </w:style>
  <w:style w:type="paragraph" w:customStyle="1" w:styleId="46">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7">
    <w:name w:val="15"/>
    <w:basedOn w:val="21"/>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123</Words>
  <Characters>131</Characters>
  <Lines>127</Lines>
  <Paragraphs>35</Paragraphs>
  <TotalTime>5</TotalTime>
  <ScaleCrop>false</ScaleCrop>
  <LinksUpToDate>false</LinksUpToDate>
  <CharactersWithSpaces>151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2026-10-09T07:31:05Z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AAB606AAAA1F4634A5CA40EC00C6A631_13</vt:lpwstr>
  </property>
  <property fmtid="{D5CDD505-2E9C-101B-9397-08002B2CF9AE}" pid="4" name="KSOTemplateDocerSaveRecord">
    <vt:lpwstr>eyJoZGlkIjoiMmYzMjBlOTBlMmU5YzA1ZjM4ZDczZjBmYWNjYjE4M2UiLCJ1c2VySWQiOiI2NTgwMTYxNjcifQ==</vt:lpwstr>
  </property>
</Properties>
</file>