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04F02">
      <w:pPr>
        <w:keepNext w:val="0"/>
        <w:keepLines w:val="0"/>
        <w:pageBreakBefore w:val="0"/>
        <w:widowControl w:val="0"/>
        <w:kinsoku/>
        <w:wordWrap/>
        <w:overflowPunct/>
        <w:topLinePunct w:val="0"/>
        <w:autoSpaceDE/>
        <w:autoSpaceDN/>
        <w:bidi w:val="0"/>
        <w:adjustRightInd/>
        <w:snapToGrid/>
        <w:spacing w:before="952" w:beforeLines="300" w:line="240" w:lineRule="auto"/>
        <w:jc w:val="center"/>
        <w:textAlignment w:val="auto"/>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p>
    <w:p w14:paraId="644DBB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rPr>
        <w:t>2026年护士鞋</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bookmarkStart w:id="98" w:name="_GoBack"/>
      <w:bookmarkEnd w:id="98"/>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rPr>
          <w:rFonts w:ascii="Times New Roman" w:hAnsi="Times New Roman" w:cs="Times New Roman"/>
        </w:rPr>
      </w:pPr>
      <w:bookmarkStart w:id="0" w:name="_Toc3240"/>
      <w:bookmarkStart w:id="1" w:name="_Toc1907"/>
      <w:bookmarkStart w:id="2" w:name="_Toc20358"/>
      <w:bookmarkStart w:id="3" w:name="_Toc62832406"/>
      <w:bookmarkStart w:id="4" w:name="_Toc471310326"/>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2026年护士鞋采购项目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HQB20260763</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4DB35F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rPr>
              <w:t>据实结算，本项目支付上限为32万元，护士鞋单价限价85元/双</w:t>
            </w:r>
            <w:r>
              <w:rPr>
                <w:rFonts w:hint="eastAsia" w:ascii="Times New Roman" w:hAnsi="Times New Roman" w:eastAsia="仿宋" w:cs="Times New Roman"/>
                <w:sz w:val="22"/>
                <w:lang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合同支付上限的10%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自最后一批货物验收合格之日起满1年，采购人接到供应商退还申请后30个工作日内，一次性无息退还全部履约保证金。</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供应商拒绝履行与采购人订立的合同</w:t>
            </w:r>
            <w:r>
              <w:rPr>
                <w:rFonts w:ascii="Times New Roman" w:hAnsi="Times New Roman" w:eastAsia="仿宋" w:cs="Times New Roman"/>
                <w:sz w:val="22"/>
                <w:szCs w:val="22"/>
                <w:lang w:val="zh-CN"/>
              </w:rPr>
              <w:t>；</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1BA9FD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lang w:val="zh-CN"/>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none"/>
                <w:lang w:val="en-US" w:eastAsia="zh-CN"/>
              </w:rPr>
              <w:t>无</w:t>
            </w:r>
          </w:p>
        </w:tc>
        <w:tc>
          <w:tcPr>
            <w:tcW w:w="2846" w:type="pct"/>
            <w:vAlign w:val="center"/>
          </w:tcPr>
          <w:p w14:paraId="7D3D2FEC">
            <w:pPr>
              <w:jc w:val="center"/>
              <w:rPr>
                <w:rFonts w:hint="eastAsia" w:ascii="Times New Roman" w:hAnsi="Times New Roman" w:eastAsia="仿宋" w:cs="Times New Roman"/>
                <w:sz w:val="22"/>
                <w:u w:val="single"/>
                <w:lang w:val="en-US" w:eastAsia="zh-CN"/>
              </w:rPr>
            </w:pPr>
            <w:r>
              <w:rPr>
                <w:rFonts w:hint="eastAsia" w:ascii="Times New Roman" w:hAnsi="Times New Roman" w:eastAsia="仿宋" w:cs="Times New Roman"/>
                <w:sz w:val="22"/>
                <w:u w:val="none"/>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63BD37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Autospacing="0" w:after="0" w:afterAutospacing="0" w:line="400" w:lineRule="exact"/>
        <w:ind w:left="0" w:firstLine="480" w:firstLineChars="200"/>
        <w:textAlignment w:val="auto"/>
        <w:rPr>
          <w:rFonts w:hint="eastAsia" w:ascii="仿宋" w:hAnsi="仿宋" w:eastAsia="仿宋" w:cs="仿宋"/>
          <w:b/>
          <w:bCs/>
          <w:color w:val="auto"/>
          <w:sz w:val="24"/>
          <w:szCs w:val="24"/>
        </w:rPr>
      </w:pPr>
      <w:r>
        <w:rPr>
          <w:rFonts w:hint="eastAsia" w:ascii="仿宋" w:hAnsi="仿宋" w:eastAsia="仿宋" w:cs="仿宋"/>
          <w:color w:val="auto"/>
          <w:kern w:val="2"/>
          <w:sz w:val="24"/>
          <w:szCs w:val="24"/>
          <w:lang w:val="en-US" w:eastAsia="zh-CN" w:bidi="ar-SA"/>
        </w:rPr>
        <w:t>一、</w:t>
      </w:r>
      <w:r>
        <w:rPr>
          <w:rFonts w:hint="eastAsia" w:ascii="仿宋" w:hAnsi="仿宋" w:eastAsia="仿宋" w:cs="仿宋"/>
          <w:b/>
          <w:bCs/>
          <w:color w:val="auto"/>
          <w:sz w:val="24"/>
          <w:szCs w:val="24"/>
        </w:rPr>
        <w:t>项目简介</w:t>
      </w:r>
    </w:p>
    <w:p w14:paraId="0997FB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Autospacing="0" w:after="0" w:afterAutospacing="0" w:line="400" w:lineRule="exact"/>
        <w:ind w:left="0" w:firstLine="480" w:firstLineChars="200"/>
        <w:textAlignment w:val="auto"/>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kern w:val="2"/>
          <w:sz w:val="24"/>
          <w:szCs w:val="24"/>
          <w:lang w:val="en-US" w:eastAsia="zh-CN" w:bidi="ar-SA"/>
        </w:rPr>
        <w:t>因采购人实际工作需要，采购护士鞋一批满足临床护理工作。</w:t>
      </w:r>
    </w:p>
    <w:p w14:paraId="54E2833A">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highlight w:val="none"/>
          <w:lang w:val="en-US"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、技术、服务要求</w:t>
      </w:r>
    </w:p>
    <w:p w14:paraId="11F2666C">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rPr>
        <w:t>一</w:t>
      </w:r>
      <w:r>
        <w:rPr>
          <w:rFonts w:hint="eastAsia" w:ascii="仿宋" w:hAnsi="仿宋" w:eastAsia="仿宋" w:cs="仿宋"/>
          <w:b/>
          <w:bCs/>
          <w:sz w:val="24"/>
          <w:szCs w:val="24"/>
          <w:lang w:eastAsia="zh-CN"/>
        </w:rPr>
        <w:t>）</w:t>
      </w:r>
      <w:r>
        <w:rPr>
          <w:rFonts w:hint="eastAsia" w:ascii="仿宋" w:hAnsi="仿宋" w:eastAsia="仿宋" w:cs="仿宋"/>
          <w:b/>
          <w:bCs/>
          <w:sz w:val="24"/>
          <w:szCs w:val="24"/>
        </w:rPr>
        <w:t>产品要求</w:t>
      </w:r>
    </w:p>
    <w:p w14:paraId="5E282720">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1.鞋面：需用纳帕白色光面小牛软皮，车缝部分以40番白色珠光尼龙线，每英寸≥10针，牛皮厚度平均为1.6mm</w:t>
      </w:r>
      <w:r>
        <w:rPr>
          <w:rFonts w:hint="eastAsia" w:ascii="仿宋" w:hAnsi="仿宋" w:eastAsia="仿宋" w:cs="仿宋"/>
          <w:sz w:val="24"/>
          <w:szCs w:val="24"/>
          <w:lang w:eastAsia="zh-CN"/>
        </w:rPr>
        <w:t>～</w:t>
      </w:r>
      <w:r>
        <w:rPr>
          <w:rFonts w:hint="eastAsia" w:ascii="仿宋" w:hAnsi="仿宋" w:eastAsia="仿宋" w:cs="仿宋"/>
          <w:sz w:val="24"/>
          <w:szCs w:val="24"/>
        </w:rPr>
        <w:t>1.7mm。耐折不低于4.5万次。</w:t>
      </w:r>
    </w:p>
    <w:p w14:paraId="29E9524B">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2.内里：为天然猪皮。</w:t>
      </w:r>
    </w:p>
    <w:p w14:paraId="61C0DF12">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3.鞋垫：6mm±10%天然乳胶外贴猪皮垫面，脚弓处贴合半月形海绵，增加弓部支撑。</w:t>
      </w:r>
    </w:p>
    <w:p w14:paraId="5804C562">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鞋底：宽大弹性气垫EVA船形底台前部加高弹EVC胶，减小脚部整体压力，高度4.0±0.5cm，耐折耐磨符合国家标准。特殊止滑刻纹，复合橡胶材质，防滑，耐磨，减震，降噪，静音（静音的判定标准是：与第三住院大楼PVC地胶摩擦不能发出影响病人休息的声响。供应商针对此项提供承诺函（格式自拟），并在评审过程中进行现场演示。未提供承诺函或演示不满足要求的，作无效响应处理。），质轻≤0.4</w:t>
      </w:r>
      <w:r>
        <w:rPr>
          <w:rFonts w:hint="eastAsia" w:ascii="仿宋" w:hAnsi="仿宋" w:eastAsia="仿宋" w:cs="仿宋"/>
          <w:sz w:val="24"/>
          <w:szCs w:val="24"/>
          <w:lang w:val="en-US" w:eastAsia="zh-CN"/>
        </w:rPr>
        <w:t>Kg</w:t>
      </w:r>
      <w:r>
        <w:rPr>
          <w:rFonts w:hint="eastAsia" w:ascii="仿宋" w:hAnsi="仿宋" w:eastAsia="仿宋" w:cs="仿宋"/>
          <w:sz w:val="24"/>
          <w:szCs w:val="24"/>
        </w:rPr>
        <w:t>/双。</w:t>
      </w:r>
    </w:p>
    <w:p w14:paraId="1E93D1E9">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5.胶水：采用环保胶水。</w:t>
      </w:r>
    </w:p>
    <w:p w14:paraId="2DC10362">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6.异味要求：异味等级为3级（明显气味，但不令人讨厌）或优于3级</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注：</w:t>
      </w:r>
      <w:r>
        <w:rPr>
          <w:rFonts w:hint="eastAsia" w:ascii="仿宋" w:hAnsi="仿宋" w:eastAsia="仿宋" w:cs="仿宋"/>
          <w:sz w:val="24"/>
          <w:szCs w:val="24"/>
        </w:rPr>
        <w:t>异味等级共分5级</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异味等级</w:t>
      </w:r>
      <w:r>
        <w:rPr>
          <w:rFonts w:hint="eastAsia" w:ascii="仿宋" w:hAnsi="仿宋" w:eastAsia="仿宋" w:cs="仿宋"/>
          <w:sz w:val="24"/>
          <w:szCs w:val="24"/>
        </w:rPr>
        <w:t>3级或优于3级</w:t>
      </w:r>
      <w:r>
        <w:rPr>
          <w:rFonts w:hint="eastAsia" w:ascii="仿宋" w:hAnsi="仿宋" w:eastAsia="仿宋" w:cs="仿宋"/>
          <w:sz w:val="24"/>
          <w:szCs w:val="24"/>
          <w:lang w:val="en-US" w:eastAsia="zh-CN"/>
        </w:rPr>
        <w:t>指1级、2级、3级</w:t>
      </w:r>
      <w:r>
        <w:rPr>
          <w:rFonts w:hint="eastAsia" w:ascii="仿宋" w:hAnsi="仿宋" w:eastAsia="仿宋" w:cs="仿宋"/>
          <w:sz w:val="24"/>
          <w:szCs w:val="24"/>
          <w:lang w:eastAsia="zh-CN"/>
        </w:rPr>
        <w:t>）</w:t>
      </w:r>
      <w:r>
        <w:rPr>
          <w:rFonts w:hint="eastAsia" w:ascii="仿宋" w:hAnsi="仿宋" w:eastAsia="仿宋" w:cs="仿宋"/>
          <w:sz w:val="24"/>
          <w:szCs w:val="24"/>
        </w:rPr>
        <w:t>，依据QB/T 1002-2015《皮鞋》标准中“异味”项目完整检测方法检测，响应时提供国家认可的第三方检测机构出具的检测报告。</w:t>
      </w:r>
    </w:p>
    <w:p w14:paraId="18ACD032">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7.尺码：女式33码～43码，男式38码～47码</w:t>
      </w:r>
      <w:r>
        <w:rPr>
          <w:rFonts w:hint="eastAsia" w:ascii="仿宋" w:hAnsi="仿宋" w:eastAsia="仿宋" w:cs="仿宋"/>
          <w:sz w:val="24"/>
          <w:szCs w:val="24"/>
          <w:lang w:eastAsia="zh-CN"/>
        </w:rPr>
        <w:t>。</w:t>
      </w:r>
    </w:p>
    <w:p w14:paraId="5B2264F7">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8.售后服务要求：供货服务期内，若实际配送交付时，鞋码与实际需求不符，供应商应按照核实更正后的订单无条件进行更换。货物交付后，30天内出现质量问题，无条件进行更换，一年内保修。</w:t>
      </w:r>
    </w:p>
    <w:p w14:paraId="6BE3D45E">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rPr>
        <w:t>二</w:t>
      </w:r>
      <w:r>
        <w:rPr>
          <w:rFonts w:hint="eastAsia" w:ascii="仿宋" w:hAnsi="仿宋" w:eastAsia="仿宋" w:cs="仿宋"/>
          <w:b/>
          <w:bCs/>
          <w:sz w:val="24"/>
          <w:szCs w:val="24"/>
          <w:lang w:eastAsia="zh-CN"/>
        </w:rPr>
        <w:t>）</w:t>
      </w:r>
      <w:r>
        <w:rPr>
          <w:rFonts w:hint="eastAsia" w:ascii="仿宋" w:hAnsi="仿宋" w:eastAsia="仿宋" w:cs="仿宋"/>
          <w:b/>
          <w:bCs/>
          <w:sz w:val="24"/>
          <w:szCs w:val="24"/>
        </w:rPr>
        <w:t>配送服务要求</w:t>
      </w:r>
    </w:p>
    <w:p w14:paraId="3342E902">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（1）供货服务期，自合同签订之日起1年，配送服务时间：工作日8:00-17:30。</w:t>
      </w:r>
    </w:p>
    <w:p w14:paraId="63BE95DF">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配送时限要求：供应商须在接到采购人通知后10日内，按照采购人要求，集中配送至采购人院本部医学装备部库房进行统一验收，验收完成后，再由供应商按订单需求地址送往各院区指定收货地点，运输成本包含在供应商报价之中，采购人不再另行支付。供应商未按照验收、配送要求履约，采购人将不予最终验收和支付货款。如供应商因其自身原因逾期交货，应向采购人按逾期天数支付违约金；如供应商因其自身原因逾期超过10天仍未交货，采购人有权单方面解除合同，供应商应向采购人支付违约金。</w:t>
      </w:r>
    </w:p>
    <w:p w14:paraId="68C75A0E">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（3）如采购人因实际工作需求，需要服务时间以外配送或加急配送等，供应商应与采购人协商，并提供解决方案。</w:t>
      </w:r>
    </w:p>
    <w:p w14:paraId="1DFC0ADE">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（4）供应商应提供7×24小时售后服务，若发现缺货、错货、损坏或存在质量问题等问题，供应商</w:t>
      </w:r>
      <w:r>
        <w:rPr>
          <w:rFonts w:hint="eastAsia" w:ascii="仿宋" w:hAnsi="仿宋" w:eastAsia="仿宋" w:cs="仿宋"/>
          <w:sz w:val="24"/>
          <w:szCs w:val="24"/>
          <w:lang w:val="en-US" w:eastAsia="zh-CN"/>
        </w:rPr>
        <w:t>须在24小时内补齐或更换</w:t>
      </w:r>
      <w:r>
        <w:rPr>
          <w:rFonts w:hint="eastAsia" w:ascii="仿宋" w:hAnsi="仿宋" w:eastAsia="仿宋" w:cs="仿宋"/>
          <w:sz w:val="24"/>
          <w:szCs w:val="24"/>
        </w:rPr>
        <w:t>。</w:t>
      </w:r>
    </w:p>
    <w:p w14:paraId="7484A762">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（5）供应商需确保车辆及配送人员符合相关法规要求，运输过程不得污染或损坏物资。</w:t>
      </w:r>
    </w:p>
    <w:p w14:paraId="081E8B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（6）供应商须遵守采购人的相关安全管理规定，确保运输及交付过程中的安全性，如因供应商原因造成的安全事故，应由供应商承担相应责任，并赔偿采购人及涉及的第三方的经济损失。</w:t>
      </w:r>
    </w:p>
    <w:p w14:paraId="385A55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bCs/>
          <w:sz w:val="24"/>
          <w:szCs w:val="24"/>
        </w:rPr>
      </w:pPr>
      <w:r>
        <w:rPr>
          <w:rFonts w:ascii="Segoe UI Symbol" w:hAnsi="Segoe UI Symbol" w:eastAsia="仿宋" w:cs="Segoe UI Symbol"/>
          <w:b/>
          <w:bCs/>
          <w:sz w:val="24"/>
          <w:szCs w:val="22"/>
        </w:rPr>
        <w:t>★</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、商务要求</w:t>
      </w:r>
    </w:p>
    <w:p w14:paraId="4696CA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bCs/>
          <w:sz w:val="24"/>
          <w:szCs w:val="24"/>
          <w:lang w:val="en-US" w:eastAsia="zh-CN"/>
        </w:rPr>
        <w:t>（一）交付地点：</w:t>
      </w:r>
      <w:r>
        <w:rPr>
          <w:rFonts w:hint="eastAsia" w:ascii="仿宋" w:hAnsi="仿宋" w:eastAsia="仿宋" w:cs="仿宋"/>
          <w:b w:val="0"/>
          <w:bCs w:val="0"/>
          <w:sz w:val="24"/>
          <w:szCs w:val="24"/>
          <w:lang w:val="en-US" w:eastAsia="zh-CN"/>
        </w:rPr>
        <w:t>四川省人民医院（青羊院区、老年医学中心、龙泉院区、温江院区）。</w:t>
      </w:r>
    </w:p>
    <w:p w14:paraId="201FAD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bCs/>
          <w:sz w:val="24"/>
          <w:szCs w:val="24"/>
          <w:lang w:val="en-US" w:eastAsia="zh-CN"/>
        </w:rPr>
        <w:t>（二）质保期：</w:t>
      </w:r>
      <w:r>
        <w:rPr>
          <w:rFonts w:hint="eastAsia" w:ascii="仿宋" w:hAnsi="仿宋" w:eastAsia="仿宋" w:cs="仿宋"/>
          <w:b w:val="0"/>
          <w:bCs/>
          <w:sz w:val="24"/>
          <w:szCs w:val="24"/>
          <w:vertAlign w:val="baseline"/>
          <w:lang w:val="en-US" w:eastAsia="zh-CN"/>
        </w:rPr>
        <w:t>货物验收合格后不低于1年，质保期内如出现严重脱胶、裂浆、裂面、裂帮、裂底、断（脱）跟、开线、开裂或新鞋不成双及鞋号大小不同等非人为原因出现的质量问题，供应商无条件包退包换新产品。</w:t>
      </w:r>
    </w:p>
    <w:p w14:paraId="5CFE6E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（三）质保范围：</w:t>
      </w:r>
      <w:r>
        <w:rPr>
          <w:rFonts w:hint="eastAsia" w:ascii="仿宋" w:hAnsi="仿宋" w:eastAsia="仿宋" w:cs="仿宋"/>
          <w:b w:val="0"/>
          <w:bCs w:val="0"/>
          <w:sz w:val="24"/>
          <w:szCs w:val="24"/>
          <w:lang w:val="en-US" w:eastAsia="zh-CN"/>
        </w:rPr>
        <w:t>含所有货物（质保期内涉及维修、产品更换、人工费用等一切费用包含在本项目报价中）</w:t>
      </w:r>
    </w:p>
    <w:p w14:paraId="748CB7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4"/>
          <w:lang w:val="en-US" w:eastAsia="zh-CN"/>
        </w:rPr>
        <w:t>（四）付款方式：</w:t>
      </w:r>
      <w:r>
        <w:rPr>
          <w:rFonts w:hint="eastAsia" w:ascii="仿宋" w:hAnsi="仿宋" w:eastAsia="仿宋" w:cs="仿宋"/>
          <w:b w:val="0"/>
          <w:bCs/>
          <w:sz w:val="24"/>
          <w:szCs w:val="24"/>
          <w:vertAlign w:val="baseline"/>
          <w:lang w:val="en-US" w:eastAsia="zh-CN"/>
        </w:rPr>
        <w:t>每半年结算一次费用，供应商须根据本项目成交单价及实际服务情况向采购人提供结算费用清单进行确认，并在采购人确认后5日内按清单金额向采购人提供合法有效票据及其他相关请款资料，采购人自收到上述票据及资料后55日内，向供应商全额支付上述结算费用。如存在因考核等原因导致的扣款，应在支付前予以扣除。</w:t>
      </w:r>
    </w:p>
    <w:p w14:paraId="777CD1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一次性验收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按照基于本项目采购需求编制的采购文件要求及供应商响应文件情况，由供应商向采购人交付的全部内容。</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lang w:val="en-US" w:eastAsia="zh-CN"/>
              </w:rPr>
              <w:t>供应商完成本项目合同约定货物配送并具备验收条件后，于5日内通知采购人验收，采购人接供应商通知后10日内组织验收。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3.产品生产厂家出具的产品说明书、技术白皮书等官方技术资料（如涉及）。</w:t>
            </w:r>
          </w:p>
          <w:p w14:paraId="2CFFAAB0">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63D35DD2">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5.参照《财政部关于进一步加强政府采购需求和履约验收管理的指导意见》（财库〔2016〕205号）的要求进行验收。</w:t>
            </w:r>
          </w:p>
        </w:tc>
      </w:tr>
      <w:tr w14:paraId="0863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331AA9A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验收其他事项</w:t>
            </w:r>
          </w:p>
        </w:tc>
        <w:tc>
          <w:tcPr>
            <w:tcW w:w="6794" w:type="dxa"/>
            <w:shd w:val="clear" w:color="auto" w:fill="auto"/>
            <w:vAlign w:val="center"/>
          </w:tcPr>
          <w:p w14:paraId="12BCA99E">
            <w:pPr>
              <w:pStyle w:val="16"/>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bl>
    <w:p w14:paraId="177C48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四、样品要求</w:t>
      </w:r>
    </w:p>
    <w:p w14:paraId="177C9A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1.供应商须提供女士38码、男士38码护士鞋样品各1双，样品应进行密封包装，并去除所有品牌标识或可识别标记。</w:t>
      </w:r>
    </w:p>
    <w:p w14:paraId="238AAF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2.递交样品时，供应商须提供样品清单，清单上应注明供应商名称、项目名称、项目编号、联系人、联系电话，并加盖供应商公章。</w:t>
      </w:r>
    </w:p>
    <w:p w14:paraId="208638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3.送样时间：2026年6月9日14:00-14:30。送样地点：四川省人民医院招标采购中心412会议室（成都市青羊区浣花北路18号附1号4楼412），不接受邮寄方式递交。</w:t>
      </w:r>
    </w:p>
    <w:p w14:paraId="6C9308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4.样品制作、搬运等一切相关费用由供应商自行承担。采购人对供应商所递交样品的包装和污损不负任何责任。</w:t>
      </w:r>
    </w:p>
    <w:p w14:paraId="3AA76F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5.样品退还时间：成交供应商的样品将作为履约验收依据，最后一批货物验收结束后3个工作日内供应商自行取回样品。未成交供应商的样品自项目结果公告发布之日起3个工作日内，供应商须自行取回样品。逾期未取回的，视为自动放弃样品所有权，采购人有权自行处置。</w:t>
      </w:r>
    </w:p>
    <w:p w14:paraId="6AD460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b w:val="0"/>
          <w:sz w:val="24"/>
          <w:szCs w:val="24"/>
          <w:vertAlign w:val="baseline"/>
          <w:lang w:val="en-US" w:eastAsia="zh-CN"/>
        </w:rPr>
        <w:t>6.</w:t>
      </w:r>
      <w:r>
        <w:rPr>
          <w:rFonts w:hint="eastAsia" w:ascii="Times New Roman" w:hAnsi="Times New Roman" w:eastAsia="仿宋" w:cs="Times New Roman"/>
          <w:sz w:val="24"/>
          <w:szCs w:val="24"/>
          <w:lang w:val="en-US" w:eastAsia="zh-CN"/>
        </w:rPr>
        <w:t>根据供应商提供的样品，</w:t>
      </w:r>
      <w:r>
        <w:rPr>
          <w:rFonts w:hint="eastAsia" w:ascii="仿宋" w:hAnsi="仿宋" w:eastAsia="仿宋" w:cs="仿宋"/>
          <w:sz w:val="24"/>
          <w:szCs w:val="24"/>
          <w:lang w:val="en-US" w:eastAsia="zh-CN"/>
        </w:rPr>
        <w:t>进行综合评定：</w:t>
      </w:r>
    </w:p>
    <w:p w14:paraId="6249C0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both"/>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样品要求：①样品整体外观对称，绷帮端正平服；②鞋垫牢固、平整；③鞋跟装配牢固、平整，大小高矮对称、色泽一致。无裂缝，包皮平整，跟口严实；④缝线线道整齐、针码均匀；⑤折边沿口基本整齐、均匀、圆滑，无剪口外露，不应有裂口；⑥无刺鼻异味。</w:t>
      </w:r>
    </w:p>
    <w:p w14:paraId="7D20BC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both"/>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w:t>
      </w:r>
      <w:r>
        <w:rPr>
          <w:rFonts w:hint="default" w:ascii="Times New Roman" w:hAnsi="Times New Roman" w:eastAsia="仿宋" w:cs="Times New Roman"/>
          <w:sz w:val="24"/>
          <w:szCs w:val="24"/>
          <w:lang w:val="en-US" w:eastAsia="zh-CN"/>
        </w:rPr>
        <w:t>样品完整美观舒适（完整美观是指整洁完整，设计美观大方，穿着舒适）</w:t>
      </w:r>
      <w:r>
        <w:rPr>
          <w:rFonts w:hint="eastAsia" w:ascii="Times New Roman" w:hAnsi="Times New Roman" w:eastAsia="仿宋" w:cs="Times New Roman"/>
          <w:sz w:val="24"/>
          <w:szCs w:val="24"/>
          <w:lang w:val="en-US" w:eastAsia="zh-CN"/>
        </w:rPr>
        <w:t>。</w:t>
      </w:r>
    </w:p>
    <w:p w14:paraId="22F620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五、其他要求</w:t>
      </w:r>
    </w:p>
    <w:p w14:paraId="4D96480E">
      <w:pPr>
        <w:pStyle w:val="16"/>
        <w:keepNext w:val="0"/>
        <w:keepLines w:val="0"/>
        <w:pageBreakBefore w:val="0"/>
        <w:kinsoku/>
        <w:wordWrap/>
        <w:overflowPunct/>
        <w:topLinePunct w:val="0"/>
        <w:autoSpaceDE/>
        <w:autoSpaceDN/>
        <w:bidi w:val="0"/>
        <w:adjustRightInd/>
        <w:spacing w:before="0" w:after="0" w:line="4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1.供应商提供自2023年1月1日（含）至响应文件提交截止之日的类似项目业绩（类似项目是指护士鞋采购项目）须提供合同复印件并加盖供应商公章。</w:t>
      </w:r>
    </w:p>
    <w:p w14:paraId="6F9B1247">
      <w:pPr>
        <w:pStyle w:val="16"/>
        <w:keepNext w:val="0"/>
        <w:keepLines w:val="0"/>
        <w:pageBreakBefore w:val="0"/>
        <w:kinsoku/>
        <w:wordWrap/>
        <w:overflowPunct/>
        <w:topLinePunct w:val="0"/>
        <w:autoSpaceDE/>
        <w:autoSpaceDN/>
        <w:bidi w:val="0"/>
        <w:adjustRightInd/>
        <w:spacing w:before="0" w:after="0" w:line="4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2.供应商针对本项目提供供货、配送方案，包括：生产供货计划；物流配送方案；交付验收方案：紧急情况应对措施。</w:t>
      </w:r>
    </w:p>
    <w:p w14:paraId="33628F7A">
      <w:pPr>
        <w:pStyle w:val="16"/>
        <w:keepNext w:val="0"/>
        <w:keepLines w:val="0"/>
        <w:pageBreakBefore w:val="0"/>
        <w:kinsoku/>
        <w:wordWrap/>
        <w:overflowPunct/>
        <w:topLinePunct w:val="0"/>
        <w:autoSpaceDE/>
        <w:autoSpaceDN/>
        <w:bidi w:val="0"/>
        <w:adjustRightInd/>
        <w:spacing w:before="0" w:after="0" w:line="4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3.供应商针对本项目提供质量保障方案，包括：原材料质量保障方案；生产过程质量保障方案；质量问题处理方案。</w:t>
      </w:r>
    </w:p>
    <w:p w14:paraId="393489D8">
      <w:pPr>
        <w:pStyle w:val="16"/>
        <w:keepNext w:val="0"/>
        <w:keepLines w:val="0"/>
        <w:pageBreakBefore w:val="0"/>
        <w:kinsoku/>
        <w:wordWrap/>
        <w:overflowPunct/>
        <w:topLinePunct w:val="0"/>
        <w:autoSpaceDE/>
        <w:autoSpaceDN/>
        <w:bidi w:val="0"/>
        <w:adjustRightInd/>
        <w:spacing w:before="0" w:after="0" w:line="4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4.供应商针对本项目提供售后服务方案，包括：售后服务保障方案；退换货服务方案；售后服务人员配备。</w:t>
      </w:r>
    </w:p>
    <w:p w14:paraId="5014D632">
      <w:pPr>
        <w:pStyle w:val="16"/>
        <w:ind w:firstLine="0"/>
        <w:rPr>
          <w:rFonts w:ascii="Times New Roman" w:hAnsi="Times New Roman" w:eastAsia="仿宋" w:cs="Times New Roman"/>
          <w:sz w:val="24"/>
          <w:szCs w:val="24"/>
        </w:rPr>
      </w:pPr>
    </w:p>
    <w:p w14:paraId="3BED4FC7">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pStyle w:val="16"/>
        <w:ind w:firstLine="0"/>
        <w:rPr>
          <w:rFonts w:ascii="Times New Roman" w:hAnsi="Times New Roman" w:cs="Times New Roman"/>
        </w:rPr>
      </w:pPr>
      <w:r>
        <w:rPr>
          <w:rFonts w:ascii="Times New Roman" w:hAnsi="Times New Roman" w:cs="Times New Roman"/>
        </w:rPr>
        <w:br w:type="page"/>
      </w:r>
    </w:p>
    <w:p w14:paraId="29DFF5BB">
      <w:pPr>
        <w:pStyle w:val="3"/>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394"/>
        <w:gridCol w:w="1165"/>
        <w:gridCol w:w="3949"/>
        <w:gridCol w:w="2367"/>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0E123AE4">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474" w:type="dxa"/>
            <w:tcBorders>
              <w:top w:val="single" w:color="auto" w:sz="4" w:space="0"/>
              <w:left w:val="single" w:color="auto" w:sz="4" w:space="0"/>
              <w:bottom w:val="single" w:color="auto" w:sz="4" w:space="0"/>
              <w:right w:val="single" w:color="auto" w:sz="4" w:space="0"/>
            </w:tcBorders>
            <w:vAlign w:val="center"/>
          </w:tcPr>
          <w:p w14:paraId="6C69E609">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1232" w:type="dxa"/>
            <w:tcBorders>
              <w:top w:val="single" w:color="auto" w:sz="4" w:space="0"/>
              <w:left w:val="single" w:color="auto" w:sz="4" w:space="0"/>
              <w:bottom w:val="single" w:color="auto" w:sz="4" w:space="0"/>
              <w:right w:val="single" w:color="auto" w:sz="4" w:space="0"/>
            </w:tcBorders>
            <w:vAlign w:val="center"/>
          </w:tcPr>
          <w:p w14:paraId="35AAE3BA">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176" w:type="dxa"/>
            <w:tcBorders>
              <w:top w:val="single" w:color="auto" w:sz="4" w:space="0"/>
              <w:left w:val="single" w:color="auto" w:sz="4" w:space="0"/>
              <w:bottom w:val="single" w:color="auto" w:sz="4" w:space="0"/>
              <w:right w:val="single" w:color="auto" w:sz="4" w:space="0"/>
            </w:tcBorders>
            <w:vAlign w:val="center"/>
          </w:tcPr>
          <w:p w14:paraId="77EF252B">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503" w:type="dxa"/>
            <w:tcBorders>
              <w:top w:val="single" w:color="auto" w:sz="4" w:space="0"/>
              <w:left w:val="single" w:color="auto" w:sz="4" w:space="0"/>
              <w:bottom w:val="single" w:color="auto" w:sz="4" w:space="0"/>
              <w:right w:val="single" w:color="auto" w:sz="4" w:space="0"/>
            </w:tcBorders>
            <w:vAlign w:val="center"/>
          </w:tcPr>
          <w:p w14:paraId="2C71D137">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6F7F373C">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sz w:val="24"/>
                <w:szCs w:val="24"/>
              </w:rPr>
            </w:pPr>
            <w:r>
              <w:rPr>
                <w:rFonts w:ascii="Times New Roman" w:hAnsi="Times New Roman" w:eastAsia="仿宋" w:cs="Times New Roman"/>
                <w:sz w:val="24"/>
                <w:szCs w:val="24"/>
              </w:rPr>
              <w:t>1</w:t>
            </w:r>
          </w:p>
        </w:tc>
        <w:tc>
          <w:tcPr>
            <w:tcW w:w="1474" w:type="dxa"/>
            <w:tcBorders>
              <w:top w:val="single" w:color="auto" w:sz="4" w:space="0"/>
              <w:left w:val="single" w:color="auto" w:sz="4" w:space="0"/>
              <w:bottom w:val="single" w:color="auto" w:sz="4" w:space="0"/>
              <w:right w:val="single" w:color="auto" w:sz="4" w:space="0"/>
            </w:tcBorders>
            <w:vAlign w:val="center"/>
          </w:tcPr>
          <w:p w14:paraId="7E76E211">
            <w:pPr>
              <w:keepNext w:val="0"/>
              <w:keepLines w:val="0"/>
              <w:pageBreakBefore w:val="0"/>
              <w:widowControl w:val="0"/>
              <w:kinsoku/>
              <w:wordWrap/>
              <w:overflowPunct/>
              <w:topLinePunct w:val="0"/>
              <w:autoSpaceDE/>
              <w:autoSpaceDN/>
              <w:bidi w:val="0"/>
              <w:adjustRightInd/>
              <w:snapToGrid/>
              <w:spacing w:line="400" w:lineRule="exact"/>
              <w:ind w:left="0" w:leftChars="0" w:firstLine="28" w:firstLineChars="0"/>
              <w:jc w:val="center"/>
              <w:textAlignment w:val="auto"/>
              <w:rPr>
                <w:rFonts w:ascii="Times New Roman" w:hAnsi="Times New Roman" w:eastAsia="仿宋" w:cs="Times New Roman"/>
                <w:sz w:val="24"/>
                <w:szCs w:val="24"/>
              </w:rPr>
            </w:pPr>
            <w:r>
              <w:rPr>
                <w:rFonts w:hint="eastAsia" w:ascii="Times New Roman" w:hAnsi="Times New Roman" w:eastAsia="仿宋" w:cs="Times New Roman"/>
                <w:bCs/>
                <w:sz w:val="24"/>
                <w:szCs w:val="24"/>
                <w:lang w:val="en-US" w:eastAsia="zh-CN"/>
              </w:rPr>
              <w:t>报价</w:t>
            </w:r>
          </w:p>
        </w:tc>
        <w:tc>
          <w:tcPr>
            <w:tcW w:w="1232" w:type="dxa"/>
            <w:tcBorders>
              <w:top w:val="single" w:color="auto" w:sz="4" w:space="0"/>
              <w:left w:val="single" w:color="auto" w:sz="4" w:space="0"/>
              <w:bottom w:val="single" w:color="auto" w:sz="4" w:space="0"/>
              <w:right w:val="single" w:color="auto" w:sz="4" w:space="0"/>
            </w:tcBorders>
            <w:vAlign w:val="center"/>
          </w:tcPr>
          <w:p w14:paraId="31CBAE52">
            <w:pPr>
              <w:keepNext w:val="0"/>
              <w:keepLines w:val="0"/>
              <w:pageBreakBefore w:val="0"/>
              <w:widowControl w:val="0"/>
              <w:kinsoku/>
              <w:wordWrap/>
              <w:overflowPunct/>
              <w:topLinePunct w:val="0"/>
              <w:autoSpaceDE/>
              <w:autoSpaceDN/>
              <w:bidi w:val="0"/>
              <w:adjustRightInd/>
              <w:snapToGrid/>
              <w:spacing w:line="400" w:lineRule="exact"/>
              <w:ind w:left="0" w:leftChars="0" w:firstLine="28" w:firstLineChars="0"/>
              <w:jc w:val="center"/>
              <w:textAlignment w:val="auto"/>
              <w:rPr>
                <w:rFonts w:ascii="Times New Roman" w:hAnsi="Times New Roman" w:eastAsia="仿宋" w:cs="Times New Roman"/>
                <w:sz w:val="24"/>
                <w:szCs w:val="24"/>
              </w:rPr>
            </w:pPr>
            <w:r>
              <w:rPr>
                <w:rFonts w:hint="eastAsia" w:ascii="Times New Roman" w:hAnsi="Times New Roman" w:eastAsia="仿宋" w:cs="Times New Roman"/>
                <w:bCs/>
                <w:sz w:val="24"/>
                <w:szCs w:val="24"/>
                <w:lang w:val="en-US" w:eastAsia="zh-CN"/>
              </w:rPr>
              <w:t>30</w:t>
            </w:r>
            <w:r>
              <w:rPr>
                <w:rFonts w:ascii="Times New Roman" w:hAnsi="Times New Roman" w:eastAsia="仿宋" w:cs="Times New Roman"/>
                <w:bCs/>
                <w:sz w:val="24"/>
                <w:szCs w:val="24"/>
              </w:rPr>
              <w:t>分</w:t>
            </w:r>
          </w:p>
        </w:tc>
        <w:tc>
          <w:tcPr>
            <w:tcW w:w="4176"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满足谈判文件要求且响应价格最低的报价为评审基准价，其价格分为满分</w:t>
            </w:r>
            <w:r>
              <w:rPr>
                <w:rFonts w:hint="eastAsia" w:ascii="Times New Roman" w:hAnsi="Times New Roman" w:eastAsia="仿宋" w:cs="Times New Roman"/>
                <w:sz w:val="24"/>
                <w:szCs w:val="24"/>
              </w:rPr>
              <w:t>；报价得分=</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基准价／报价</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hint="eastAsia" w:ascii="Times New Roman" w:hAnsi="Times New Roman" w:eastAsia="仿宋" w:cs="Times New Roman"/>
                <w:sz w:val="24"/>
                <w:szCs w:val="24"/>
                <w:lang w:val="en-US" w:eastAsia="zh-CN"/>
              </w:rPr>
              <w:t>30</w:t>
            </w:r>
            <w:r>
              <w:rPr>
                <w:rFonts w:hint="eastAsia" w:ascii="Times New Roman" w:hAnsi="Times New Roman" w:eastAsia="仿宋" w:cs="Times New Roman"/>
                <w:sz w:val="24"/>
                <w:szCs w:val="24"/>
              </w:rPr>
              <w:t>分。</w:t>
            </w:r>
          </w:p>
        </w:tc>
        <w:tc>
          <w:tcPr>
            <w:tcW w:w="2503" w:type="dxa"/>
            <w:tcBorders>
              <w:top w:val="single" w:color="auto" w:sz="4" w:space="0"/>
              <w:left w:val="single" w:color="auto" w:sz="4" w:space="0"/>
              <w:bottom w:val="single" w:color="auto" w:sz="4" w:space="0"/>
              <w:right w:val="single" w:color="auto" w:sz="4" w:space="0"/>
            </w:tcBorders>
            <w:vAlign w:val="center"/>
          </w:tcPr>
          <w:p w14:paraId="79198450">
            <w:pPr>
              <w:keepNext w:val="0"/>
              <w:keepLines w:val="0"/>
              <w:pageBreakBefore w:val="0"/>
              <w:widowControl w:val="0"/>
              <w:kinsoku/>
              <w:wordWrap/>
              <w:overflowPunct/>
              <w:topLinePunct w:val="0"/>
              <w:autoSpaceDE/>
              <w:autoSpaceDN/>
              <w:bidi w:val="0"/>
              <w:adjustRightInd/>
              <w:snapToGrid/>
              <w:spacing w:line="400" w:lineRule="exact"/>
              <w:ind w:left="0" w:leftChars="0" w:firstLine="28" w:firstLineChars="0"/>
              <w:jc w:val="center"/>
              <w:textAlignment w:val="auto"/>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035" w:type="dxa"/>
            <w:tcBorders>
              <w:top w:val="single" w:color="auto" w:sz="4" w:space="0"/>
              <w:left w:val="single" w:color="auto" w:sz="4" w:space="0"/>
              <w:right w:val="single" w:color="auto" w:sz="4" w:space="0"/>
            </w:tcBorders>
            <w:vAlign w:val="center"/>
          </w:tcPr>
          <w:p w14:paraId="0E0DA849">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sz w:val="24"/>
                <w:szCs w:val="24"/>
              </w:rPr>
            </w:pPr>
            <w:r>
              <w:rPr>
                <w:rFonts w:ascii="Times New Roman" w:hAnsi="Times New Roman" w:eastAsia="仿宋" w:cs="Times New Roman"/>
                <w:sz w:val="24"/>
                <w:szCs w:val="24"/>
              </w:rPr>
              <w:t>2</w:t>
            </w:r>
          </w:p>
        </w:tc>
        <w:tc>
          <w:tcPr>
            <w:tcW w:w="1474" w:type="dxa"/>
            <w:tcBorders>
              <w:top w:val="single" w:color="auto" w:sz="4" w:space="0"/>
              <w:left w:val="single" w:color="auto" w:sz="4" w:space="0"/>
              <w:right w:val="single" w:color="auto" w:sz="4" w:space="0"/>
            </w:tcBorders>
            <w:vAlign w:val="center"/>
          </w:tcPr>
          <w:p w14:paraId="3CFDA421">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1232" w:type="dxa"/>
            <w:tcBorders>
              <w:top w:val="single" w:color="auto" w:sz="4" w:space="0"/>
              <w:left w:val="single" w:color="auto" w:sz="4" w:space="0"/>
              <w:bottom w:val="single" w:color="auto" w:sz="4" w:space="0"/>
              <w:right w:val="single" w:color="auto" w:sz="4" w:space="0"/>
            </w:tcBorders>
            <w:vAlign w:val="center"/>
          </w:tcPr>
          <w:p w14:paraId="698E54E3">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default" w:ascii="Times New Roman" w:hAnsi="Times New Roman" w:eastAsia="仿宋" w:cs="Times New Roman"/>
                <w:bCs/>
                <w:sz w:val="24"/>
                <w:szCs w:val="24"/>
                <w:lang w:val="en-US"/>
              </w:rPr>
            </w:pPr>
            <w:r>
              <w:rPr>
                <w:rFonts w:hint="eastAsia" w:ascii="仿宋" w:hAnsi="仿宋" w:eastAsia="仿宋" w:cs="仿宋"/>
                <w:sz w:val="24"/>
                <w:szCs w:val="24"/>
                <w:highlight w:val="none"/>
                <w:lang w:val="en-US" w:eastAsia="zh-CN"/>
              </w:rPr>
              <w:t>25分</w:t>
            </w:r>
          </w:p>
        </w:tc>
        <w:tc>
          <w:tcPr>
            <w:tcW w:w="4176" w:type="dxa"/>
            <w:tcBorders>
              <w:top w:val="single" w:color="auto" w:sz="4" w:space="0"/>
              <w:left w:val="single" w:color="auto" w:sz="4" w:space="0"/>
              <w:bottom w:val="single" w:color="auto" w:sz="4" w:space="0"/>
              <w:right w:val="single" w:color="auto" w:sz="4" w:space="0"/>
            </w:tcBorders>
            <w:vAlign w:val="center"/>
          </w:tcPr>
          <w:p w14:paraId="145B6C9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供应商自2023年1月1日（含）至响应文件提交截止之日，每具有1个类似项目业绩（类似项目是指护士鞋采购项目）得5分，本项最高得25分。</w:t>
            </w:r>
          </w:p>
        </w:tc>
        <w:tc>
          <w:tcPr>
            <w:tcW w:w="2503" w:type="dxa"/>
            <w:tcBorders>
              <w:top w:val="single" w:color="auto" w:sz="4" w:space="0"/>
              <w:left w:val="single" w:color="auto" w:sz="4" w:space="0"/>
              <w:bottom w:val="single" w:color="auto" w:sz="4" w:space="0"/>
              <w:right w:val="single" w:color="auto" w:sz="4" w:space="0"/>
            </w:tcBorders>
            <w:vAlign w:val="center"/>
          </w:tcPr>
          <w:p w14:paraId="1260EA4B">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提供合同复印件并加盖供应商公章</w:t>
            </w:r>
            <w:r>
              <w:rPr>
                <w:rFonts w:hint="eastAsia" w:ascii="Times New Roman" w:hAnsi="Times New Roman" w:eastAsia="仿宋" w:cs="Times New Roman"/>
                <w:sz w:val="24"/>
                <w:szCs w:val="24"/>
              </w:rPr>
              <w:t>。</w:t>
            </w: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035" w:type="dxa"/>
            <w:tcBorders>
              <w:left w:val="single" w:color="auto" w:sz="4" w:space="0"/>
              <w:bottom w:val="single" w:color="auto" w:sz="4" w:space="0"/>
              <w:right w:val="single" w:color="auto" w:sz="4" w:space="0"/>
            </w:tcBorders>
            <w:vAlign w:val="center"/>
          </w:tcPr>
          <w:p w14:paraId="12E402E8">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474" w:type="dxa"/>
            <w:tcBorders>
              <w:left w:val="single" w:color="auto" w:sz="4" w:space="0"/>
              <w:bottom w:val="single" w:color="auto" w:sz="4" w:space="0"/>
              <w:right w:val="single" w:color="auto" w:sz="4" w:space="0"/>
            </w:tcBorders>
            <w:vAlign w:val="center"/>
          </w:tcPr>
          <w:p w14:paraId="505033EE">
            <w:pPr>
              <w:keepNext w:val="0"/>
              <w:keepLines w:val="0"/>
              <w:pageBreakBefore w:val="0"/>
              <w:widowControl w:val="0"/>
              <w:kinsoku/>
              <w:wordWrap/>
              <w:overflowPunct/>
              <w:topLinePunct w:val="0"/>
              <w:autoSpaceDE/>
              <w:autoSpaceDN/>
              <w:bidi w:val="0"/>
              <w:adjustRightInd/>
              <w:snapToGrid/>
              <w:spacing w:line="400" w:lineRule="exact"/>
              <w:ind w:left="525" w:leftChars="0" w:hanging="525" w:hangingChars="219"/>
              <w:jc w:val="center"/>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Cs/>
                <w:sz w:val="24"/>
                <w:szCs w:val="24"/>
                <w:lang w:val="en-US" w:eastAsia="zh-CN"/>
              </w:rPr>
              <w:t>样品</w:t>
            </w:r>
          </w:p>
        </w:tc>
        <w:tc>
          <w:tcPr>
            <w:tcW w:w="1232" w:type="dxa"/>
            <w:tcBorders>
              <w:top w:val="single" w:color="auto" w:sz="4" w:space="0"/>
              <w:left w:val="single" w:color="auto" w:sz="4" w:space="0"/>
              <w:bottom w:val="single" w:color="auto" w:sz="4" w:space="0"/>
              <w:right w:val="single" w:color="auto" w:sz="4" w:space="0"/>
            </w:tcBorders>
            <w:vAlign w:val="center"/>
          </w:tcPr>
          <w:p w14:paraId="2FE50D66">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25</w:t>
            </w:r>
            <w:r>
              <w:rPr>
                <w:rFonts w:ascii="Times New Roman" w:hAnsi="Times New Roman" w:eastAsia="仿宋" w:cs="Times New Roman"/>
                <w:bCs/>
                <w:sz w:val="24"/>
                <w:szCs w:val="24"/>
              </w:rPr>
              <w:t>分</w:t>
            </w:r>
          </w:p>
        </w:tc>
        <w:tc>
          <w:tcPr>
            <w:tcW w:w="4176" w:type="dxa"/>
            <w:tcBorders>
              <w:top w:val="single" w:color="auto" w:sz="4" w:space="0"/>
              <w:left w:val="single" w:color="auto" w:sz="4" w:space="0"/>
              <w:bottom w:val="single" w:color="auto" w:sz="4" w:space="0"/>
              <w:right w:val="single" w:color="auto" w:sz="4" w:space="0"/>
            </w:tcBorders>
            <w:vAlign w:val="center"/>
          </w:tcPr>
          <w:p w14:paraId="4767454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根据供应商提供的样品评分：</w:t>
            </w:r>
          </w:p>
          <w:p w14:paraId="013FD70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样品要求：①样品整体外观对称，绷帮端正平服；②鞋垫牢固、平整；③鞋跟装配牢固、平整，大小高矮对称、色泽一致。无裂缝，包皮平整，跟口严实；④缝线线道整齐、针码均匀；⑤折边沿口基本整齐、均匀、圆滑，无剪口外露，不应有裂口；⑥无刺鼻异味。样品满足以上6项要求的得21分，每有一项不符合要求扣3.5分，扣完为止。</w:t>
            </w:r>
          </w:p>
          <w:p w14:paraId="3484ACD8">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2.样品完整美观舒适</w:t>
            </w:r>
            <w:r>
              <w:rPr>
                <w:rFonts w:hint="eastAsia" w:ascii="Times New Roman" w:hAnsi="Times New Roman" w:eastAsia="仿宋" w:cs="Times New Roman"/>
                <w:sz w:val="24"/>
                <w:szCs w:val="24"/>
                <w:lang w:val="en-US" w:eastAsia="zh-CN"/>
              </w:rPr>
              <w:t>（</w:t>
            </w:r>
            <w:r>
              <w:rPr>
                <w:rFonts w:hint="default" w:ascii="Times New Roman" w:hAnsi="Times New Roman" w:eastAsia="仿宋" w:cs="Times New Roman"/>
                <w:sz w:val="24"/>
                <w:szCs w:val="24"/>
                <w:lang w:val="en-US" w:eastAsia="zh-CN"/>
              </w:rPr>
              <w:t>完整美观是指整洁完整，设计美观大方，穿着舒适</w:t>
            </w:r>
            <w:r>
              <w:rPr>
                <w:rFonts w:hint="eastAsia" w:ascii="Times New Roman" w:hAnsi="Times New Roman" w:eastAsia="仿宋" w:cs="Times New Roman"/>
                <w:sz w:val="24"/>
                <w:szCs w:val="24"/>
                <w:lang w:val="en-US" w:eastAsia="zh-CN"/>
              </w:rPr>
              <w:t>）</w:t>
            </w:r>
            <w:r>
              <w:rPr>
                <w:rFonts w:hint="default" w:ascii="Times New Roman" w:hAnsi="Times New Roman" w:eastAsia="仿宋" w:cs="Times New Roman"/>
                <w:sz w:val="24"/>
                <w:szCs w:val="24"/>
                <w:lang w:val="en-US" w:eastAsia="zh-CN"/>
              </w:rPr>
              <w:t>得4分，否则不得分。</w:t>
            </w:r>
          </w:p>
        </w:tc>
        <w:tc>
          <w:tcPr>
            <w:tcW w:w="2503" w:type="dxa"/>
            <w:tcBorders>
              <w:top w:val="single" w:color="auto" w:sz="4" w:space="0"/>
              <w:left w:val="single" w:color="auto" w:sz="4" w:space="0"/>
              <w:bottom w:val="single" w:color="auto" w:sz="4" w:space="0"/>
              <w:right w:val="single" w:color="auto" w:sz="4" w:space="0"/>
            </w:tcBorders>
            <w:vAlign w:val="center"/>
          </w:tcPr>
          <w:p w14:paraId="0928DA46">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样品采用“盲评"方式，样品不得含有供应商名称、标志以及可能暗示供应商信息的文字或图案等，否则样品评审不得分。</w:t>
            </w:r>
          </w:p>
        </w:tc>
      </w:tr>
      <w:tr w14:paraId="19FF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035" w:type="dxa"/>
            <w:tcBorders>
              <w:left w:val="single" w:color="auto" w:sz="4" w:space="0"/>
              <w:bottom w:val="single" w:color="auto" w:sz="4" w:space="0"/>
              <w:right w:val="single" w:color="auto" w:sz="4" w:space="0"/>
            </w:tcBorders>
            <w:shd w:val="clear" w:color="auto" w:fill="auto"/>
            <w:vAlign w:val="center"/>
          </w:tcPr>
          <w:p w14:paraId="46883ACB">
            <w:pPr>
              <w:keepNext w:val="0"/>
              <w:keepLines w:val="0"/>
              <w:pageBreakBefore w:val="0"/>
              <w:widowControl w:val="0"/>
              <w:kinsoku/>
              <w:wordWrap/>
              <w:overflowPunct/>
              <w:topLinePunct w:val="0"/>
              <w:autoSpaceDE/>
              <w:autoSpaceDN/>
              <w:bidi w:val="0"/>
              <w:adjustRightInd/>
              <w:snapToGrid/>
              <w:spacing w:line="400" w:lineRule="exact"/>
              <w:ind w:left="0" w:leftChars="0" w:firstLine="28" w:firstLineChars="0"/>
              <w:jc w:val="center"/>
              <w:textAlignment w:val="auto"/>
              <w:rPr>
                <w:rFonts w:ascii="Times New Roman" w:hAnsi="Times New Roman" w:eastAsia="仿宋" w:cs="Times New Roman"/>
                <w:kern w:val="2"/>
                <w:sz w:val="24"/>
                <w:szCs w:val="24"/>
                <w:lang w:val="en-US" w:eastAsia="zh-CN" w:bidi="ar-SA"/>
              </w:rPr>
            </w:pPr>
            <w:r>
              <w:rPr>
                <w:rFonts w:ascii="Times New Roman" w:hAnsi="Times New Roman" w:eastAsia="仿宋" w:cs="Times New Roman"/>
                <w:sz w:val="24"/>
                <w:szCs w:val="24"/>
              </w:rPr>
              <w:t>4</w:t>
            </w:r>
          </w:p>
        </w:tc>
        <w:tc>
          <w:tcPr>
            <w:tcW w:w="1474" w:type="dxa"/>
            <w:tcBorders>
              <w:left w:val="single" w:color="auto" w:sz="4" w:space="0"/>
              <w:bottom w:val="single" w:color="auto" w:sz="4" w:space="0"/>
              <w:right w:val="single" w:color="auto" w:sz="4" w:space="0"/>
            </w:tcBorders>
            <w:vAlign w:val="center"/>
          </w:tcPr>
          <w:p w14:paraId="1E319935">
            <w:pPr>
              <w:keepNext w:val="0"/>
              <w:keepLines w:val="0"/>
              <w:pageBreakBefore w:val="0"/>
              <w:widowControl w:val="0"/>
              <w:kinsoku/>
              <w:wordWrap/>
              <w:overflowPunct/>
              <w:topLinePunct w:val="0"/>
              <w:autoSpaceDE/>
              <w:autoSpaceDN/>
              <w:bidi w:val="0"/>
              <w:adjustRightInd/>
              <w:snapToGrid/>
              <w:spacing w:line="400" w:lineRule="exact"/>
              <w:ind w:left="525" w:leftChars="0" w:hanging="525" w:hangingChars="219"/>
              <w:jc w:val="center"/>
              <w:textAlignment w:val="auto"/>
              <w:rPr>
                <w:rFonts w:hint="default" w:ascii="Times New Roman" w:hAnsi="Times New Roman" w:eastAsia="仿宋" w:cs="Times New Roman"/>
                <w:bCs/>
                <w:sz w:val="24"/>
                <w:szCs w:val="24"/>
                <w:highlight w:val="none"/>
                <w:lang w:val="en-US" w:eastAsia="zh-CN"/>
              </w:rPr>
            </w:pPr>
            <w:r>
              <w:rPr>
                <w:rFonts w:hint="eastAsia" w:ascii="Times New Roman" w:hAnsi="Times New Roman" w:eastAsia="仿宋" w:cs="Times New Roman"/>
                <w:bCs/>
                <w:sz w:val="24"/>
                <w:szCs w:val="24"/>
                <w:highlight w:val="none"/>
                <w:lang w:val="en-US" w:eastAsia="zh-CN"/>
              </w:rPr>
              <w:t>产品要求</w:t>
            </w:r>
          </w:p>
        </w:tc>
        <w:tc>
          <w:tcPr>
            <w:tcW w:w="1232" w:type="dxa"/>
            <w:tcBorders>
              <w:top w:val="single" w:color="auto" w:sz="4" w:space="0"/>
              <w:left w:val="single" w:color="auto" w:sz="4" w:space="0"/>
              <w:bottom w:val="single" w:color="auto" w:sz="4" w:space="0"/>
              <w:right w:val="single" w:color="auto" w:sz="4" w:space="0"/>
            </w:tcBorders>
            <w:vAlign w:val="center"/>
          </w:tcPr>
          <w:p w14:paraId="59BF7B93">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hint="default" w:ascii="Times New Roman" w:hAnsi="Times New Roman" w:eastAsia="仿宋" w:cs="Times New Roman"/>
                <w:bCs/>
                <w:sz w:val="24"/>
                <w:szCs w:val="24"/>
                <w:highlight w:val="none"/>
                <w:lang w:val="en-US" w:eastAsia="zh-CN"/>
              </w:rPr>
            </w:pPr>
            <w:r>
              <w:rPr>
                <w:rFonts w:hint="eastAsia" w:ascii="Times New Roman" w:hAnsi="Times New Roman" w:eastAsia="仿宋" w:cs="Times New Roman"/>
                <w:bCs/>
                <w:sz w:val="24"/>
                <w:szCs w:val="24"/>
                <w:highlight w:val="none"/>
                <w:lang w:val="en-US" w:eastAsia="zh-CN"/>
              </w:rPr>
              <w:t>5分</w:t>
            </w:r>
          </w:p>
        </w:tc>
        <w:tc>
          <w:tcPr>
            <w:tcW w:w="4176" w:type="dxa"/>
            <w:tcBorders>
              <w:top w:val="single" w:color="auto" w:sz="4" w:space="0"/>
              <w:left w:val="single" w:color="auto" w:sz="4" w:space="0"/>
              <w:bottom w:val="single" w:color="auto" w:sz="4" w:space="0"/>
              <w:right w:val="single" w:color="auto" w:sz="4" w:space="0"/>
            </w:tcBorders>
            <w:vAlign w:val="center"/>
          </w:tcPr>
          <w:p w14:paraId="26008A3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根据供应商产品评分：</w:t>
            </w:r>
          </w:p>
          <w:p w14:paraId="228EAA6B">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default" w:ascii="Times New Roman" w:hAnsi="Times New Roman" w:eastAsia="仿宋" w:cs="Times New Roman"/>
                <w:sz w:val="24"/>
                <w:szCs w:val="24"/>
                <w:highlight w:val="yellow"/>
                <w:lang w:val="en-US" w:eastAsia="zh-CN"/>
              </w:rPr>
            </w:pPr>
            <w:r>
              <w:rPr>
                <w:rFonts w:hint="eastAsia" w:ascii="Times New Roman" w:hAnsi="Times New Roman" w:eastAsia="仿宋" w:cs="Times New Roman"/>
                <w:sz w:val="24"/>
                <w:szCs w:val="24"/>
                <w:highlight w:val="none"/>
                <w:lang w:val="en-US" w:eastAsia="zh-CN"/>
              </w:rPr>
              <w:t>供应商产品异味等级≤2级（稍有气味，不引人注意）的，得5分，否则不得分。</w:t>
            </w:r>
          </w:p>
          <w:p w14:paraId="598F7B83">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default"/>
                <w:highlight w:val="none"/>
                <w:lang w:val="en-US" w:eastAsia="zh-CN"/>
              </w:rPr>
            </w:pPr>
            <w:r>
              <w:rPr>
                <w:rFonts w:hint="eastAsia" w:ascii="Times New Roman" w:hAnsi="Times New Roman" w:eastAsia="仿宋" w:cs="Times New Roman"/>
                <w:sz w:val="24"/>
                <w:szCs w:val="24"/>
                <w:highlight w:val="none"/>
                <w:lang w:val="en-US" w:eastAsia="zh-CN"/>
              </w:rPr>
              <w:t>注：依据QB/T 1002-2015《皮鞋》标准中“异味”项目完整检测方法检测。</w:t>
            </w:r>
          </w:p>
        </w:tc>
        <w:tc>
          <w:tcPr>
            <w:tcW w:w="2503" w:type="dxa"/>
            <w:tcBorders>
              <w:top w:val="single" w:color="auto" w:sz="4" w:space="0"/>
              <w:left w:val="single" w:color="auto" w:sz="4" w:space="0"/>
              <w:bottom w:val="single" w:color="auto" w:sz="4" w:space="0"/>
              <w:right w:val="single" w:color="auto" w:sz="4" w:space="0"/>
            </w:tcBorders>
            <w:vAlign w:val="center"/>
          </w:tcPr>
          <w:p w14:paraId="67EDE419">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提供国家认可的第三方检测机构出具的检测报告并加盖供应商公章。</w:t>
            </w:r>
          </w:p>
        </w:tc>
      </w:tr>
      <w:tr w14:paraId="7CC4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035" w:type="dxa"/>
            <w:tcBorders>
              <w:left w:val="single" w:color="auto" w:sz="4" w:space="0"/>
              <w:bottom w:val="single" w:color="auto" w:sz="4" w:space="0"/>
              <w:right w:val="single" w:color="auto" w:sz="4" w:space="0"/>
            </w:tcBorders>
            <w:shd w:val="clear" w:color="auto" w:fill="auto"/>
            <w:vAlign w:val="center"/>
          </w:tcPr>
          <w:p w14:paraId="63961D65">
            <w:pPr>
              <w:keepNext w:val="0"/>
              <w:keepLines w:val="0"/>
              <w:pageBreakBefore w:val="0"/>
              <w:widowControl w:val="0"/>
              <w:kinsoku/>
              <w:wordWrap/>
              <w:overflowPunct/>
              <w:topLinePunct w:val="0"/>
              <w:autoSpaceDE/>
              <w:autoSpaceDN/>
              <w:bidi w:val="0"/>
              <w:adjustRightInd/>
              <w:snapToGrid/>
              <w:spacing w:line="400" w:lineRule="exact"/>
              <w:ind w:left="0" w:leftChars="0" w:firstLine="28" w:firstLineChars="0"/>
              <w:jc w:val="center"/>
              <w:textAlignment w:val="auto"/>
              <w:rPr>
                <w:rFonts w:ascii="Times New Roman" w:hAnsi="Times New Roman" w:eastAsia="仿宋" w:cs="Times New Roman"/>
                <w:kern w:val="2"/>
                <w:sz w:val="24"/>
                <w:szCs w:val="24"/>
                <w:lang w:val="en-US" w:eastAsia="zh-CN" w:bidi="ar-SA"/>
              </w:rPr>
            </w:pPr>
            <w:r>
              <w:rPr>
                <w:rFonts w:ascii="Times New Roman" w:hAnsi="Times New Roman" w:eastAsia="仿宋" w:cs="Times New Roman"/>
                <w:sz w:val="24"/>
                <w:szCs w:val="24"/>
              </w:rPr>
              <w:t>5</w:t>
            </w:r>
          </w:p>
        </w:tc>
        <w:tc>
          <w:tcPr>
            <w:tcW w:w="1474" w:type="dxa"/>
            <w:tcBorders>
              <w:left w:val="single" w:color="auto" w:sz="4" w:space="0"/>
              <w:bottom w:val="single" w:color="auto" w:sz="4" w:space="0"/>
              <w:right w:val="single" w:color="auto" w:sz="4" w:space="0"/>
            </w:tcBorders>
            <w:vAlign w:val="center"/>
          </w:tcPr>
          <w:p w14:paraId="10F284C9">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供货</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配送方案</w:t>
            </w:r>
          </w:p>
        </w:tc>
        <w:tc>
          <w:tcPr>
            <w:tcW w:w="1232" w:type="dxa"/>
            <w:tcBorders>
              <w:top w:val="single" w:color="auto" w:sz="4" w:space="0"/>
              <w:left w:val="single" w:color="auto" w:sz="4" w:space="0"/>
              <w:bottom w:val="single" w:color="auto" w:sz="4" w:space="0"/>
              <w:right w:val="single" w:color="auto" w:sz="4" w:space="0"/>
            </w:tcBorders>
            <w:vAlign w:val="center"/>
          </w:tcPr>
          <w:p w14:paraId="42DCC55F">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6</w:t>
            </w:r>
            <w:r>
              <w:rPr>
                <w:rFonts w:ascii="Times New Roman" w:hAnsi="Times New Roman" w:eastAsia="仿宋" w:cs="Times New Roman"/>
                <w:bCs/>
                <w:sz w:val="24"/>
                <w:szCs w:val="24"/>
              </w:rPr>
              <w:t>分</w:t>
            </w:r>
          </w:p>
        </w:tc>
        <w:tc>
          <w:tcPr>
            <w:tcW w:w="4176" w:type="dxa"/>
            <w:tcBorders>
              <w:top w:val="single" w:color="auto" w:sz="4" w:space="0"/>
              <w:left w:val="single" w:color="auto" w:sz="4" w:space="0"/>
              <w:bottom w:val="single" w:color="auto" w:sz="4" w:space="0"/>
              <w:right w:val="single" w:color="auto" w:sz="4" w:space="0"/>
            </w:tcBorders>
            <w:vAlign w:val="center"/>
          </w:tcPr>
          <w:p w14:paraId="0C46820F">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供应商针对本项目提供供货、配送方案，包括：①生产供货计划；②物流配送方案；③交付验收方案：④紧急情况应对措施。涵盖以上内容且不存在缺陷得6分，在此基础上，每缺少一项内容扣1.5分，每有一处内容存在缺陷扣0.75分，扣完为止。</w:t>
            </w:r>
          </w:p>
          <w:p w14:paraId="3F71355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503" w:type="dxa"/>
            <w:tcBorders>
              <w:top w:val="single" w:color="auto" w:sz="4" w:space="0"/>
              <w:left w:val="single" w:color="auto" w:sz="4" w:space="0"/>
              <w:bottom w:val="single" w:color="auto" w:sz="4" w:space="0"/>
              <w:right w:val="single" w:color="auto" w:sz="4" w:space="0"/>
            </w:tcBorders>
            <w:vAlign w:val="center"/>
          </w:tcPr>
          <w:p w14:paraId="7158F53A">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ascii="Times New Roman" w:hAnsi="Times New Roman" w:eastAsia="仿宋" w:cs="Times New Roman"/>
                <w:sz w:val="24"/>
                <w:szCs w:val="24"/>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1E62D6EC">
            <w:pPr>
              <w:keepNext w:val="0"/>
              <w:keepLines w:val="0"/>
              <w:pageBreakBefore w:val="0"/>
              <w:widowControl w:val="0"/>
              <w:kinsoku/>
              <w:wordWrap/>
              <w:overflowPunct/>
              <w:topLinePunct w:val="0"/>
              <w:autoSpaceDE/>
              <w:autoSpaceDN/>
              <w:bidi w:val="0"/>
              <w:adjustRightInd/>
              <w:snapToGrid/>
              <w:spacing w:line="400" w:lineRule="exact"/>
              <w:ind w:left="0" w:leftChars="0" w:firstLine="28" w:firstLineChars="0"/>
              <w:jc w:val="center"/>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6</w:t>
            </w:r>
          </w:p>
        </w:tc>
        <w:tc>
          <w:tcPr>
            <w:tcW w:w="1474" w:type="dxa"/>
            <w:tcBorders>
              <w:top w:val="single" w:color="auto" w:sz="4" w:space="0"/>
              <w:left w:val="single" w:color="auto" w:sz="4" w:space="0"/>
              <w:bottom w:val="single" w:color="auto" w:sz="4" w:space="0"/>
              <w:right w:val="single" w:color="auto" w:sz="4" w:space="0"/>
            </w:tcBorders>
            <w:vAlign w:val="center"/>
          </w:tcPr>
          <w:p w14:paraId="50DBF0ED">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bCs/>
                <w:sz w:val="24"/>
                <w:szCs w:val="24"/>
                <w:lang w:val="en-US" w:eastAsia="zh-CN"/>
              </w:rPr>
              <w:t>质量保障方案</w:t>
            </w:r>
          </w:p>
        </w:tc>
        <w:tc>
          <w:tcPr>
            <w:tcW w:w="1232" w:type="dxa"/>
            <w:tcBorders>
              <w:top w:val="single" w:color="auto" w:sz="4" w:space="0"/>
              <w:left w:val="single" w:color="auto" w:sz="4" w:space="0"/>
              <w:bottom w:val="single" w:color="auto" w:sz="4" w:space="0"/>
              <w:right w:val="single" w:color="auto" w:sz="4" w:space="0"/>
            </w:tcBorders>
            <w:vAlign w:val="center"/>
          </w:tcPr>
          <w:p w14:paraId="20B6A218">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4.5</w:t>
            </w:r>
            <w:r>
              <w:rPr>
                <w:rFonts w:ascii="Times New Roman" w:hAnsi="Times New Roman" w:eastAsia="仿宋" w:cs="Times New Roman"/>
                <w:bCs/>
                <w:sz w:val="24"/>
                <w:szCs w:val="24"/>
              </w:rPr>
              <w:t>分</w:t>
            </w:r>
          </w:p>
        </w:tc>
        <w:tc>
          <w:tcPr>
            <w:tcW w:w="4176" w:type="dxa"/>
            <w:tcBorders>
              <w:top w:val="single" w:color="auto" w:sz="4" w:space="0"/>
              <w:left w:val="single" w:color="auto" w:sz="4" w:space="0"/>
              <w:bottom w:val="single" w:color="auto" w:sz="4" w:space="0"/>
              <w:right w:val="single" w:color="auto" w:sz="4" w:space="0"/>
            </w:tcBorders>
            <w:vAlign w:val="center"/>
          </w:tcPr>
          <w:p w14:paraId="0ADA309B">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供应商针对本项目提供质量保障方案，包括：①原材料质量保障方案；②生产过程质量保障方案；③质量问题处理方案。涵盖以上内容且不存在缺陷得4.5分，在此基础上，每缺少一项内容扣1.5分，每有一处内容存在缺陷扣0.75分，扣完为止。</w:t>
            </w:r>
          </w:p>
          <w:p w14:paraId="1D36B0EA">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503" w:type="dxa"/>
            <w:tcBorders>
              <w:top w:val="single" w:color="auto" w:sz="4" w:space="0"/>
              <w:left w:val="single" w:color="auto" w:sz="4" w:space="0"/>
              <w:bottom w:val="single" w:color="auto" w:sz="4" w:space="0"/>
              <w:right w:val="single" w:color="auto" w:sz="4" w:space="0"/>
            </w:tcBorders>
            <w:vAlign w:val="center"/>
          </w:tcPr>
          <w:p w14:paraId="420172E6">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ascii="Times New Roman" w:hAnsi="Times New Roman" w:eastAsia="仿宋" w:cs="Times New Roman"/>
                <w:sz w:val="24"/>
                <w:szCs w:val="24"/>
              </w:rPr>
            </w:pPr>
          </w:p>
        </w:tc>
      </w:tr>
      <w:tr w14:paraId="3A1A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757C0DE4">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w:t>
            </w:r>
          </w:p>
        </w:tc>
        <w:tc>
          <w:tcPr>
            <w:tcW w:w="1474" w:type="dxa"/>
            <w:tcBorders>
              <w:top w:val="single" w:color="auto" w:sz="4" w:space="0"/>
              <w:left w:val="single" w:color="auto" w:sz="4" w:space="0"/>
              <w:bottom w:val="single" w:color="auto" w:sz="4" w:space="0"/>
              <w:right w:val="single" w:color="auto" w:sz="4" w:space="0"/>
            </w:tcBorders>
            <w:vAlign w:val="center"/>
          </w:tcPr>
          <w:p w14:paraId="332DEA07">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hint="default" w:ascii="Times New Roman" w:hAnsi="Times New Roman" w:eastAsia="仿宋" w:cs="Times New Roman"/>
                <w:bCs/>
                <w:sz w:val="24"/>
                <w:szCs w:val="24"/>
                <w:lang w:val="en-US" w:eastAsia="zh-CN"/>
              </w:rPr>
            </w:pPr>
            <w:r>
              <w:rPr>
                <w:rFonts w:hint="eastAsia" w:ascii="Times New Roman" w:hAnsi="Times New Roman" w:eastAsia="仿宋" w:cs="Times New Roman"/>
                <w:bCs/>
                <w:sz w:val="24"/>
                <w:szCs w:val="24"/>
                <w:lang w:val="en-US" w:eastAsia="zh-CN"/>
              </w:rPr>
              <w:t>售后服务方案</w:t>
            </w:r>
          </w:p>
        </w:tc>
        <w:tc>
          <w:tcPr>
            <w:tcW w:w="1232" w:type="dxa"/>
            <w:tcBorders>
              <w:top w:val="single" w:color="auto" w:sz="4" w:space="0"/>
              <w:left w:val="single" w:color="auto" w:sz="4" w:space="0"/>
              <w:bottom w:val="single" w:color="auto" w:sz="4" w:space="0"/>
              <w:right w:val="single" w:color="auto" w:sz="4" w:space="0"/>
            </w:tcBorders>
            <w:vAlign w:val="center"/>
          </w:tcPr>
          <w:p w14:paraId="0377CE50">
            <w:pPr>
              <w:keepNext w:val="0"/>
              <w:keepLines w:val="0"/>
              <w:pageBreakBefore w:val="0"/>
              <w:widowControl w:val="0"/>
              <w:kinsoku/>
              <w:wordWrap/>
              <w:overflowPunct/>
              <w:topLinePunct w:val="0"/>
              <w:autoSpaceDE/>
              <w:autoSpaceDN/>
              <w:bidi w:val="0"/>
              <w:adjustRightInd/>
              <w:snapToGrid/>
              <w:spacing w:line="400" w:lineRule="exact"/>
              <w:ind w:left="0" w:leftChars="0" w:firstLine="28"/>
              <w:jc w:val="center"/>
              <w:textAlignment w:val="auto"/>
              <w:rPr>
                <w:rFonts w:hint="default" w:ascii="Times New Roman" w:hAnsi="Times New Roman" w:eastAsia="仿宋" w:cs="Times New Roman"/>
                <w:bCs/>
                <w:sz w:val="24"/>
                <w:szCs w:val="24"/>
                <w:lang w:val="en-US" w:eastAsia="zh-CN"/>
              </w:rPr>
            </w:pPr>
            <w:r>
              <w:rPr>
                <w:rFonts w:hint="eastAsia" w:ascii="Times New Roman" w:hAnsi="Times New Roman" w:eastAsia="仿宋" w:cs="Times New Roman"/>
                <w:bCs/>
                <w:sz w:val="24"/>
                <w:szCs w:val="24"/>
                <w:lang w:val="en-US" w:eastAsia="zh-CN"/>
              </w:rPr>
              <w:t>4.5分</w:t>
            </w:r>
          </w:p>
        </w:tc>
        <w:tc>
          <w:tcPr>
            <w:tcW w:w="4176" w:type="dxa"/>
            <w:tcBorders>
              <w:top w:val="single" w:color="auto" w:sz="4" w:space="0"/>
              <w:left w:val="single" w:color="auto" w:sz="4" w:space="0"/>
              <w:bottom w:val="single" w:color="auto" w:sz="4" w:space="0"/>
              <w:right w:val="single" w:color="auto" w:sz="4" w:space="0"/>
            </w:tcBorders>
            <w:vAlign w:val="center"/>
          </w:tcPr>
          <w:p w14:paraId="42B3F816">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供应商针对本项目提供售后服务方案，包括：①售后服务保障方案；②退换货服务方案；③售后服务人员配备。涵盖以上内容且不存在缺陷得4.5分，在此基础上，每缺少一项内容扣1.5分，每有一处内容存在缺陷扣0.75分，扣完为止。</w:t>
            </w:r>
          </w:p>
          <w:p w14:paraId="06D785F0">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503" w:type="dxa"/>
            <w:tcBorders>
              <w:top w:val="single" w:color="auto" w:sz="4" w:space="0"/>
              <w:left w:val="single" w:color="auto" w:sz="4" w:space="0"/>
              <w:bottom w:val="single" w:color="auto" w:sz="4" w:space="0"/>
              <w:right w:val="single" w:color="auto" w:sz="4" w:space="0"/>
            </w:tcBorders>
            <w:vAlign w:val="center"/>
          </w:tcPr>
          <w:p w14:paraId="78F069DD">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ascii="Times New Roman" w:hAnsi="Times New Roman" w:eastAsia="仿宋" w:cs="Times New Roman"/>
                <w:bCs/>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3"/>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24859"/>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3558"/>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599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6482"/>
      <w:bookmarkStart w:id="50" w:name="_Toc16029"/>
      <w:bookmarkStart w:id="51" w:name="_Toc21519"/>
      <w:bookmarkStart w:id="52" w:name="_Toc11352"/>
      <w:bookmarkStart w:id="53" w:name="_Toc3023"/>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4"/>
        <w:ind w:firstLine="0"/>
      </w:pPr>
      <w:r>
        <w:t>承诺函</w:t>
      </w:r>
      <w:bookmarkEnd w:id="48"/>
      <w:bookmarkEnd w:id="49"/>
      <w:bookmarkEnd w:id="50"/>
      <w:bookmarkEnd w:id="51"/>
      <w:bookmarkEnd w:id="52"/>
      <w:bookmarkEnd w:id="53"/>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4305"/>
      <w:bookmarkStart w:id="56" w:name="_Toc30971"/>
      <w:bookmarkStart w:id="57" w:name="_Toc22676"/>
      <w:bookmarkStart w:id="58" w:name="_Toc17857"/>
      <w:r>
        <w:rPr>
          <w:rFonts w:ascii="Times New Roman" w:hAnsi="Times New Roman" w:cs="Times New Roman"/>
        </w:rPr>
        <w:br w:type="page"/>
      </w:r>
    </w:p>
    <w:p w14:paraId="72845348">
      <w:pPr>
        <w:pStyle w:val="4"/>
        <w:ind w:firstLine="0"/>
      </w:pPr>
      <w:r>
        <w:t>具有独立承担民事责任的能力</w:t>
      </w:r>
      <w:bookmarkEnd w:id="54"/>
      <w:bookmarkEnd w:id="55"/>
      <w:bookmarkEnd w:id="56"/>
      <w:bookmarkEnd w:id="57"/>
      <w:bookmarkEnd w:id="58"/>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1"/>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4"/>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7" w:name="_Toc25638"/>
      <w:bookmarkStart w:id="68" w:name="_Toc27661"/>
      <w:bookmarkStart w:id="69" w:name="_Toc20589"/>
      <w:bookmarkStart w:id="70" w:name="_Toc12015"/>
      <w:bookmarkStart w:id="71" w:name="_Toc15526"/>
      <w:bookmarkStart w:id="72" w:name="_Toc11351"/>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3" w:name="_Toc2041"/>
      <w:bookmarkStart w:id="74" w:name="_Toc23967"/>
      <w:bookmarkStart w:id="75" w:name="_Toc16435"/>
      <w:bookmarkStart w:id="76" w:name="_Toc1074"/>
      <w:bookmarkStart w:id="77" w:name="_Toc12967"/>
      <w:bookmarkStart w:id="78" w:name="_Toc26969"/>
      <w:r>
        <w:rPr>
          <w:rStyle w:val="39"/>
          <w:b/>
        </w:rPr>
        <w:t>采购需求偏离表</w:t>
      </w:r>
      <w:bookmarkEnd w:id="73"/>
      <w:bookmarkEnd w:id="74"/>
      <w:bookmarkEnd w:id="75"/>
      <w:bookmarkEnd w:id="76"/>
      <w:bookmarkEnd w:id="77"/>
      <w:bookmarkEnd w:id="78"/>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79" w:name="_Toc31686"/>
      <w:bookmarkStart w:id="80" w:name="_Toc1369"/>
      <w:bookmarkStart w:id="81" w:name="_Toc28634"/>
      <w:bookmarkStart w:id="82" w:name="_Toc26839"/>
      <w:bookmarkStart w:id="83" w:name="_Toc21082"/>
      <w:bookmarkStart w:id="84" w:name="_Toc24806"/>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1483D64D">
      <w:pPr>
        <w:pStyle w:val="4"/>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1661"/>
        <w:gridCol w:w="1853"/>
        <w:gridCol w:w="1853"/>
        <w:gridCol w:w="1853"/>
        <w:gridCol w:w="1855"/>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72" w:type="dxa"/>
            <w:vAlign w:val="center"/>
          </w:tcPr>
          <w:p w14:paraId="2CF60CA8">
            <w:pPr>
              <w:spacing w:line="240" w:lineRule="auto"/>
              <w:jc w:val="center"/>
              <w:rPr>
                <w:rFonts w:hint="eastAsia" w:ascii="仿宋" w:hAnsi="仿宋" w:eastAsia="仿宋" w:cs="仿宋"/>
                <w:kern w:val="0"/>
                <w:sz w:val="22"/>
                <w:szCs w:val="22"/>
                <w:lang w:val="zh-TW" w:eastAsia="zh-TW"/>
              </w:rPr>
            </w:pPr>
            <w:r>
              <w:rPr>
                <w:rFonts w:hint="eastAsia" w:ascii="仿宋" w:hAnsi="仿宋" w:eastAsia="仿宋" w:cs="仿宋"/>
                <w:kern w:val="0"/>
                <w:sz w:val="22"/>
                <w:szCs w:val="22"/>
                <w:lang w:val="zh-TW" w:eastAsia="zh-TW"/>
              </w:rPr>
              <w:t>序号</w:t>
            </w:r>
          </w:p>
        </w:tc>
        <w:tc>
          <w:tcPr>
            <w:tcW w:w="1661" w:type="dxa"/>
            <w:vAlign w:val="center"/>
          </w:tcPr>
          <w:p w14:paraId="76504FC3">
            <w:pPr>
              <w:spacing w:line="240" w:lineRule="auto"/>
              <w:jc w:val="center"/>
              <w:rPr>
                <w:rFonts w:hint="eastAsia" w:ascii="仿宋" w:hAnsi="仿宋" w:eastAsia="仿宋" w:cs="仿宋"/>
                <w:kern w:val="0"/>
                <w:sz w:val="22"/>
                <w:szCs w:val="22"/>
                <w:lang w:val="zh-TW" w:eastAsia="zh-TW"/>
              </w:rPr>
            </w:pPr>
            <w:r>
              <w:rPr>
                <w:rFonts w:hint="eastAsia" w:ascii="仿宋" w:hAnsi="仿宋" w:eastAsia="仿宋" w:cs="仿宋"/>
                <w:kern w:val="0"/>
                <w:sz w:val="22"/>
                <w:szCs w:val="22"/>
                <w:lang w:val="zh-TW" w:eastAsia="zh-TW"/>
              </w:rPr>
              <w:t>采购标的名称</w:t>
            </w:r>
          </w:p>
        </w:tc>
        <w:tc>
          <w:tcPr>
            <w:tcW w:w="1853" w:type="dxa"/>
            <w:vAlign w:val="center"/>
          </w:tcPr>
          <w:p w14:paraId="0210D7AA">
            <w:pPr>
              <w:spacing w:line="240" w:lineRule="auto"/>
              <w:jc w:val="center"/>
              <w:rPr>
                <w:rFonts w:hint="eastAsia" w:ascii="仿宋" w:hAnsi="仿宋" w:eastAsia="仿宋" w:cs="仿宋"/>
                <w:kern w:val="0"/>
                <w:sz w:val="22"/>
                <w:szCs w:val="22"/>
                <w:lang w:val="zh-TW" w:eastAsia="zh-TW"/>
              </w:rPr>
            </w:pPr>
            <w:r>
              <w:rPr>
                <w:rFonts w:hint="eastAsia" w:ascii="仿宋" w:hAnsi="仿宋" w:eastAsia="仿宋" w:cs="仿宋"/>
                <w:kern w:val="0"/>
                <w:sz w:val="22"/>
                <w:szCs w:val="22"/>
                <w:lang w:val="zh-TW" w:eastAsia="zh-TW"/>
              </w:rPr>
              <w:t>生产厂家</w:t>
            </w:r>
          </w:p>
        </w:tc>
        <w:tc>
          <w:tcPr>
            <w:tcW w:w="1853" w:type="dxa"/>
            <w:vAlign w:val="center"/>
          </w:tcPr>
          <w:p w14:paraId="5B2E56EB">
            <w:pPr>
              <w:spacing w:line="240" w:lineRule="auto"/>
              <w:jc w:val="center"/>
              <w:rPr>
                <w:rFonts w:hint="eastAsia" w:ascii="仿宋" w:hAnsi="仿宋" w:eastAsia="仿宋" w:cs="仿宋"/>
                <w:kern w:val="0"/>
                <w:sz w:val="22"/>
                <w:szCs w:val="22"/>
                <w:lang w:val="zh-TW" w:eastAsia="zh-TW"/>
              </w:rPr>
            </w:pPr>
            <w:r>
              <w:rPr>
                <w:rFonts w:hint="eastAsia" w:ascii="仿宋" w:hAnsi="仿宋" w:eastAsia="仿宋" w:cs="仿宋"/>
                <w:kern w:val="0"/>
                <w:sz w:val="22"/>
                <w:szCs w:val="22"/>
                <w:lang w:val="zh-TW" w:eastAsia="zh-TW"/>
              </w:rPr>
              <w:t>规格型号</w:t>
            </w:r>
          </w:p>
        </w:tc>
        <w:tc>
          <w:tcPr>
            <w:tcW w:w="1853" w:type="dxa"/>
            <w:vAlign w:val="center"/>
          </w:tcPr>
          <w:p w14:paraId="39044706">
            <w:pPr>
              <w:spacing w:line="240" w:lineRule="auto"/>
              <w:jc w:val="center"/>
              <w:rPr>
                <w:rFonts w:hint="eastAsia" w:ascii="仿宋" w:hAnsi="仿宋" w:eastAsia="仿宋" w:cs="仿宋"/>
                <w:kern w:val="0"/>
                <w:sz w:val="22"/>
                <w:szCs w:val="22"/>
                <w:lang w:val="zh-TW" w:eastAsia="zh-CN"/>
              </w:rPr>
            </w:pPr>
            <w:r>
              <w:rPr>
                <w:rFonts w:hint="eastAsia" w:ascii="仿宋" w:hAnsi="仿宋" w:eastAsia="仿宋" w:cs="仿宋"/>
                <w:kern w:val="0"/>
                <w:sz w:val="22"/>
                <w:szCs w:val="22"/>
                <w:lang w:val="en-US" w:eastAsia="zh-CN"/>
              </w:rPr>
              <w:t>报价</w:t>
            </w:r>
          </w:p>
          <w:p w14:paraId="172CB98F">
            <w:pPr>
              <w:spacing w:line="240" w:lineRule="auto"/>
              <w:jc w:val="center"/>
              <w:rPr>
                <w:rFonts w:hint="eastAsia" w:ascii="仿宋" w:hAnsi="仿宋" w:eastAsia="仿宋" w:cs="仿宋"/>
                <w:kern w:val="0"/>
                <w:sz w:val="22"/>
                <w:szCs w:val="22"/>
                <w:lang w:val="zh-TW" w:eastAsia="zh-TW"/>
              </w:rPr>
            </w:pPr>
            <w:r>
              <w:rPr>
                <w:rFonts w:hint="eastAsia" w:ascii="仿宋" w:hAnsi="仿宋" w:eastAsia="仿宋" w:cs="仿宋"/>
                <w:kern w:val="0"/>
                <w:sz w:val="22"/>
                <w:szCs w:val="22"/>
                <w:lang w:val="zh-TW" w:eastAsia="zh-TW"/>
              </w:rPr>
              <w:t>（元</w:t>
            </w:r>
            <w:r>
              <w:rPr>
                <w:rFonts w:hint="eastAsia" w:ascii="仿宋" w:hAnsi="仿宋" w:eastAsia="仿宋" w:cs="仿宋"/>
                <w:kern w:val="0"/>
                <w:sz w:val="22"/>
                <w:szCs w:val="22"/>
                <w:lang w:val="en-US" w:eastAsia="zh-CN"/>
              </w:rPr>
              <w:t>/双</w:t>
            </w:r>
            <w:r>
              <w:rPr>
                <w:rFonts w:hint="eastAsia" w:ascii="仿宋" w:hAnsi="仿宋" w:eastAsia="仿宋" w:cs="仿宋"/>
                <w:kern w:val="0"/>
                <w:sz w:val="22"/>
                <w:szCs w:val="22"/>
                <w:lang w:val="zh-TW" w:eastAsia="zh-TW"/>
              </w:rPr>
              <w:t>）</w:t>
            </w:r>
          </w:p>
        </w:tc>
        <w:tc>
          <w:tcPr>
            <w:tcW w:w="1855" w:type="dxa"/>
            <w:vAlign w:val="center"/>
          </w:tcPr>
          <w:p w14:paraId="47434C70">
            <w:pPr>
              <w:spacing w:line="240" w:lineRule="auto"/>
              <w:jc w:val="center"/>
              <w:rPr>
                <w:rFonts w:hint="eastAsia" w:ascii="仿宋" w:hAnsi="仿宋" w:eastAsia="仿宋" w:cs="仿宋"/>
                <w:kern w:val="0"/>
                <w:sz w:val="22"/>
                <w:szCs w:val="22"/>
                <w:lang w:val="en-US" w:eastAsia="zh-CN"/>
              </w:rPr>
            </w:pPr>
            <w:r>
              <w:rPr>
                <w:rFonts w:hint="eastAsia" w:ascii="仿宋" w:hAnsi="仿宋" w:eastAsia="仿宋" w:cs="仿宋"/>
                <w:kern w:val="0"/>
                <w:sz w:val="22"/>
                <w:szCs w:val="22"/>
                <w:lang w:val="en-US" w:eastAsia="zh-CN"/>
              </w:rPr>
              <w:t>质保期</w:t>
            </w: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3FA3AA9">
            <w:pPr>
              <w:pStyle w:val="2"/>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c>
          <w:tcPr>
            <w:tcW w:w="1661" w:type="dxa"/>
            <w:vAlign w:val="center"/>
          </w:tcPr>
          <w:p w14:paraId="21A93F89">
            <w:pPr>
              <w:pStyle w:val="2"/>
              <w:spacing w:line="24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护士鞋</w:t>
            </w:r>
          </w:p>
        </w:tc>
        <w:tc>
          <w:tcPr>
            <w:tcW w:w="1853" w:type="dxa"/>
            <w:vAlign w:val="center"/>
          </w:tcPr>
          <w:p w14:paraId="74F731F3">
            <w:pPr>
              <w:pStyle w:val="2"/>
              <w:spacing w:line="240" w:lineRule="auto"/>
              <w:jc w:val="center"/>
              <w:rPr>
                <w:rFonts w:hint="eastAsia" w:ascii="仿宋" w:hAnsi="仿宋" w:eastAsia="仿宋" w:cs="仿宋"/>
                <w:sz w:val="22"/>
                <w:szCs w:val="22"/>
              </w:rPr>
            </w:pPr>
          </w:p>
        </w:tc>
        <w:tc>
          <w:tcPr>
            <w:tcW w:w="1853" w:type="dxa"/>
            <w:vAlign w:val="center"/>
          </w:tcPr>
          <w:p w14:paraId="4A44268C">
            <w:pPr>
              <w:pStyle w:val="2"/>
              <w:spacing w:line="240" w:lineRule="auto"/>
              <w:jc w:val="center"/>
              <w:rPr>
                <w:rFonts w:hint="eastAsia" w:ascii="仿宋" w:hAnsi="仿宋" w:eastAsia="仿宋" w:cs="仿宋"/>
                <w:sz w:val="22"/>
                <w:szCs w:val="22"/>
              </w:rPr>
            </w:pPr>
          </w:p>
        </w:tc>
        <w:tc>
          <w:tcPr>
            <w:tcW w:w="1853" w:type="dxa"/>
            <w:vAlign w:val="center"/>
          </w:tcPr>
          <w:p w14:paraId="73F85007">
            <w:pPr>
              <w:pStyle w:val="2"/>
              <w:spacing w:line="240" w:lineRule="auto"/>
              <w:jc w:val="center"/>
              <w:rPr>
                <w:rFonts w:hint="eastAsia" w:ascii="仿宋" w:hAnsi="仿宋" w:eastAsia="仿宋" w:cs="仿宋"/>
                <w:sz w:val="22"/>
                <w:szCs w:val="22"/>
              </w:rPr>
            </w:pPr>
          </w:p>
        </w:tc>
        <w:tc>
          <w:tcPr>
            <w:tcW w:w="1855" w:type="dxa"/>
            <w:vAlign w:val="center"/>
          </w:tcPr>
          <w:p w14:paraId="12864601">
            <w:pPr>
              <w:pStyle w:val="2"/>
              <w:spacing w:line="24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u w:val="single"/>
                <w:lang w:val="en-US" w:eastAsia="zh-CN"/>
              </w:rPr>
              <w:t xml:space="preserve">     </w:t>
            </w:r>
            <w:r>
              <w:rPr>
                <w:rFonts w:hint="eastAsia" w:ascii="仿宋" w:hAnsi="仿宋" w:eastAsia="仿宋" w:cs="仿宋"/>
                <w:sz w:val="22"/>
                <w:szCs w:val="22"/>
                <w:u w:val="none"/>
                <w:lang w:val="en-US" w:eastAsia="zh-CN"/>
              </w:rPr>
              <w:t>年</w:t>
            </w:r>
          </w:p>
        </w:tc>
      </w:tr>
    </w:tbl>
    <w:p w14:paraId="227AE5F8">
      <w:pPr>
        <w:pStyle w:val="2"/>
        <w:rPr>
          <w:rFonts w:ascii="Times New Roman" w:hAnsi="Times New Roman" w:eastAsia="仿宋" w:cs="Times New Roman"/>
          <w:szCs w:val="21"/>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2"/>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4"/>
        <w:ind w:firstLine="0"/>
      </w:pPr>
      <w:r>
        <w:t>供应商认为需要提供的其他材料</w:t>
      </w:r>
      <w:bookmarkEnd w:id="85"/>
      <w:bookmarkEnd w:id="86"/>
      <w:bookmarkEnd w:id="87"/>
      <w:bookmarkEnd w:id="89"/>
      <w:bookmarkEnd w:id="90"/>
      <w:bookmarkEnd w:id="91"/>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3"/>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68C4C74">
      <w:pPr>
        <w:spacing w:line="360" w:lineRule="auto"/>
        <w:jc w:val="center"/>
        <w:rPr>
          <w:rFonts w:hint="eastAsia" w:ascii="宋体" w:hAnsi="宋体" w:eastAsia="宋体" w:cs="宋体"/>
          <w:b/>
          <w:bCs/>
          <w:sz w:val="48"/>
          <w:szCs w:val="48"/>
        </w:rPr>
      </w:pPr>
      <w:r>
        <w:rPr>
          <w:rFonts w:hint="eastAsia" w:ascii="宋体" w:hAnsi="宋体" w:eastAsia="宋体" w:cs="宋体"/>
          <w:b/>
          <w:bCs/>
          <w:sz w:val="48"/>
          <w:szCs w:val="48"/>
        </w:rPr>
        <w:t>货 物 采 购 合 同</w:t>
      </w:r>
    </w:p>
    <w:p w14:paraId="6B1811EE">
      <w:pPr>
        <w:spacing w:line="360" w:lineRule="auto"/>
        <w:contextualSpacing/>
        <w:rPr>
          <w:rFonts w:hint="eastAsia" w:ascii="宋体" w:hAnsi="宋体" w:eastAsia="宋体" w:cs="宋体"/>
          <w:szCs w:val="21"/>
        </w:rPr>
      </w:pPr>
      <w:permStart w:id="0" w:edGrp="everyone"/>
    </w:p>
    <w:p w14:paraId="57C8A21B">
      <w:pPr>
        <w:pStyle w:val="2"/>
        <w:spacing w:line="360" w:lineRule="auto"/>
        <w:rPr>
          <w:rFonts w:hint="eastAsia" w:ascii="宋体" w:hAnsi="宋体" w:eastAsia="宋体" w:cs="宋体"/>
        </w:rPr>
      </w:pPr>
    </w:p>
    <w:tbl>
      <w:tblPr>
        <w:tblStyle w:val="18"/>
        <w:tblW w:w="5000" w:type="pct"/>
        <w:jc w:val="center"/>
        <w:tblLayout w:type="autofit"/>
        <w:tblCellMar>
          <w:top w:w="0" w:type="dxa"/>
          <w:left w:w="0" w:type="dxa"/>
          <w:bottom w:w="0" w:type="dxa"/>
          <w:right w:w="0" w:type="dxa"/>
        </w:tblCellMar>
      </w:tblPr>
      <w:tblGrid>
        <w:gridCol w:w="4687"/>
        <w:gridCol w:w="4950"/>
      </w:tblGrid>
      <w:tr w14:paraId="2DF97D8E">
        <w:tblPrEx>
          <w:tblCellMar>
            <w:top w:w="0" w:type="dxa"/>
            <w:left w:w="0" w:type="dxa"/>
            <w:bottom w:w="0" w:type="dxa"/>
            <w:right w:w="0" w:type="dxa"/>
          </w:tblCellMar>
        </w:tblPrEx>
        <w:trPr>
          <w:trHeight w:val="919" w:hRule="atLeast"/>
          <w:jc w:val="center"/>
        </w:trPr>
        <w:tc>
          <w:tcPr>
            <w:tcW w:w="10204" w:type="dxa"/>
            <w:gridSpan w:val="2"/>
            <w:noWrap w:val="0"/>
            <w:vAlign w:val="top"/>
          </w:tcPr>
          <w:p w14:paraId="5E45ADF2">
            <w:pPr>
              <w:spacing w:line="360" w:lineRule="auto"/>
              <w:contextualSpacing/>
              <w:rPr>
                <w:rFonts w:hint="eastAsia" w:ascii="宋体" w:hAnsi="宋体" w:eastAsia="宋体" w:cs="宋体"/>
                <w:color w:val="000000"/>
                <w:szCs w:val="21"/>
              </w:rPr>
            </w:pPr>
            <w:r>
              <w:rPr>
                <w:rFonts w:hint="eastAsia" w:ascii="宋体" w:hAnsi="宋体" w:eastAsia="宋体" w:cs="宋体"/>
                <w:b/>
                <w:bCs/>
                <w:color w:val="000000"/>
                <w:szCs w:val="21"/>
              </w:rPr>
              <w:t>合同编号</w:t>
            </w:r>
            <w:r>
              <w:rPr>
                <w:rFonts w:hint="eastAsia" w:ascii="宋体" w:hAnsi="宋体" w:eastAsia="宋体" w:cs="宋体"/>
                <w:color w:val="000000"/>
                <w:szCs w:val="21"/>
              </w:rPr>
              <w:t>：</w:t>
            </w:r>
            <w:r>
              <w:rPr>
                <w:rFonts w:hint="eastAsia" w:ascii="宋体" w:hAnsi="宋体" w:eastAsia="宋体" w:cs="宋体"/>
                <w:szCs w:val="21"/>
              </w:rPr>
              <w:t>***</w:t>
            </w:r>
          </w:p>
          <w:p w14:paraId="39983F98">
            <w:pPr>
              <w:spacing w:line="360" w:lineRule="auto"/>
              <w:contextualSpacing/>
              <w:rPr>
                <w:rFonts w:hint="eastAsia" w:ascii="宋体" w:hAnsi="宋体" w:eastAsia="宋体" w:cs="宋体"/>
                <w:color w:val="000000"/>
                <w:szCs w:val="21"/>
              </w:rPr>
            </w:pPr>
            <w:r>
              <w:rPr>
                <w:rFonts w:hint="eastAsia" w:ascii="宋体" w:hAnsi="宋体" w:eastAsia="宋体" w:cs="宋体"/>
                <w:b/>
                <w:bCs/>
                <w:color w:val="000000"/>
                <w:szCs w:val="21"/>
              </w:rPr>
              <w:t>签订地点</w:t>
            </w:r>
            <w:r>
              <w:rPr>
                <w:rFonts w:hint="eastAsia" w:ascii="宋体" w:hAnsi="宋体" w:eastAsia="宋体" w:cs="宋体"/>
                <w:color w:val="000000"/>
                <w:szCs w:val="21"/>
              </w:rPr>
              <w:t>：四川省人民医院</w:t>
            </w:r>
          </w:p>
        </w:tc>
      </w:tr>
      <w:tr w14:paraId="4ED46B7D">
        <w:tblPrEx>
          <w:tblCellMar>
            <w:top w:w="0" w:type="dxa"/>
            <w:left w:w="0" w:type="dxa"/>
            <w:bottom w:w="0" w:type="dxa"/>
            <w:right w:w="0" w:type="dxa"/>
          </w:tblCellMar>
        </w:tblPrEx>
        <w:trPr>
          <w:jc w:val="center"/>
        </w:trPr>
        <w:tc>
          <w:tcPr>
            <w:tcW w:w="4962" w:type="dxa"/>
            <w:noWrap w:val="0"/>
            <w:vAlign w:val="top"/>
          </w:tcPr>
          <w:p w14:paraId="2F7A3123">
            <w:pPr>
              <w:spacing w:line="360" w:lineRule="auto"/>
              <w:rPr>
                <w:rFonts w:hint="eastAsia" w:ascii="宋体" w:hAnsi="宋体" w:eastAsia="宋体" w:cs="宋体"/>
                <w:szCs w:val="21"/>
              </w:rPr>
            </w:pPr>
            <w:r>
              <w:rPr>
                <w:rFonts w:hint="eastAsia" w:ascii="宋体" w:hAnsi="宋体" w:eastAsia="宋体" w:cs="宋体"/>
                <w:b/>
                <w:bCs/>
                <w:szCs w:val="21"/>
              </w:rPr>
              <w:t>采购人（以下简称甲方）</w:t>
            </w:r>
            <w:r>
              <w:rPr>
                <w:rFonts w:hint="eastAsia" w:ascii="宋体" w:hAnsi="宋体" w:eastAsia="宋体" w:cs="宋体"/>
                <w:szCs w:val="21"/>
              </w:rPr>
              <w:t>：四川省人民医院</w:t>
            </w:r>
          </w:p>
          <w:p w14:paraId="7121A65E">
            <w:pPr>
              <w:spacing w:line="360" w:lineRule="auto"/>
              <w:rPr>
                <w:rFonts w:hint="eastAsia" w:ascii="宋体" w:hAnsi="宋体" w:eastAsia="宋体" w:cs="宋体"/>
                <w:szCs w:val="21"/>
              </w:rPr>
            </w:pPr>
            <w:r>
              <w:rPr>
                <w:rFonts w:hint="eastAsia" w:ascii="宋体" w:hAnsi="宋体" w:eastAsia="宋体" w:cs="宋体"/>
                <w:b/>
                <w:bCs/>
                <w:szCs w:val="21"/>
              </w:rPr>
              <w:t>地址</w:t>
            </w:r>
            <w:r>
              <w:rPr>
                <w:rFonts w:hint="eastAsia" w:ascii="宋体" w:hAnsi="宋体" w:eastAsia="宋体" w:cs="宋体"/>
                <w:szCs w:val="21"/>
              </w:rPr>
              <w:t>：四川省成都市一环路西二段32号</w:t>
            </w:r>
          </w:p>
          <w:p w14:paraId="47BF1F43">
            <w:pPr>
              <w:spacing w:line="360" w:lineRule="auto"/>
              <w:rPr>
                <w:rFonts w:hint="eastAsia" w:ascii="宋体" w:hAnsi="宋体" w:eastAsia="宋体" w:cs="宋体"/>
                <w:szCs w:val="21"/>
              </w:rPr>
            </w:pPr>
            <w:r>
              <w:rPr>
                <w:rFonts w:hint="eastAsia" w:ascii="宋体" w:hAnsi="宋体" w:eastAsia="宋体" w:cs="宋体"/>
                <w:b/>
                <w:bCs/>
                <w:szCs w:val="21"/>
              </w:rPr>
              <w:t>项目联系人</w:t>
            </w:r>
            <w:r>
              <w:rPr>
                <w:rFonts w:hint="eastAsia" w:ascii="宋体" w:hAnsi="宋体" w:eastAsia="宋体" w:cs="宋体"/>
                <w:szCs w:val="21"/>
              </w:rPr>
              <w:t>：***</w:t>
            </w:r>
          </w:p>
          <w:p w14:paraId="42783596">
            <w:pPr>
              <w:spacing w:line="360" w:lineRule="auto"/>
              <w:rPr>
                <w:rFonts w:hint="eastAsia" w:ascii="宋体" w:hAnsi="宋体" w:eastAsia="宋体" w:cs="宋体"/>
                <w:szCs w:val="21"/>
              </w:rPr>
            </w:pPr>
            <w:r>
              <w:rPr>
                <w:rFonts w:hint="eastAsia" w:ascii="宋体" w:hAnsi="宋体" w:eastAsia="宋体" w:cs="宋体"/>
                <w:b/>
                <w:bCs/>
                <w:szCs w:val="21"/>
              </w:rPr>
              <w:t>电话</w:t>
            </w:r>
            <w:r>
              <w:rPr>
                <w:rFonts w:hint="eastAsia" w:ascii="宋体" w:hAnsi="宋体" w:eastAsia="宋体" w:cs="宋体"/>
                <w:szCs w:val="21"/>
              </w:rPr>
              <w:t>：***</w:t>
            </w:r>
          </w:p>
          <w:p w14:paraId="31598307">
            <w:pPr>
              <w:pStyle w:val="2"/>
              <w:spacing w:line="360" w:lineRule="auto"/>
              <w:rPr>
                <w:rFonts w:hint="eastAsia" w:ascii="宋体" w:hAnsi="宋体" w:eastAsia="宋体" w:cs="宋体"/>
              </w:rPr>
            </w:pPr>
            <w:r>
              <w:rPr>
                <w:rFonts w:hint="eastAsia" w:ascii="宋体" w:hAnsi="宋体" w:eastAsia="宋体" w:cs="宋体"/>
                <w:b/>
                <w:bCs/>
                <w:szCs w:val="21"/>
              </w:rPr>
              <w:t>电子邮件：</w:t>
            </w:r>
            <w:r>
              <w:rPr>
                <w:rFonts w:hint="eastAsia" w:ascii="宋体" w:hAnsi="宋体" w:eastAsia="宋体" w:cs="宋体"/>
                <w:szCs w:val="21"/>
              </w:rPr>
              <w:t>***</w:t>
            </w:r>
          </w:p>
        </w:tc>
        <w:tc>
          <w:tcPr>
            <w:tcW w:w="5242" w:type="dxa"/>
            <w:noWrap w:val="0"/>
            <w:vAlign w:val="top"/>
          </w:tcPr>
          <w:p w14:paraId="496AC4E9">
            <w:pPr>
              <w:spacing w:line="360" w:lineRule="auto"/>
              <w:rPr>
                <w:rFonts w:hint="eastAsia" w:ascii="宋体" w:hAnsi="宋体" w:eastAsia="宋体" w:cs="宋体"/>
                <w:szCs w:val="21"/>
              </w:rPr>
            </w:pPr>
            <w:r>
              <w:rPr>
                <w:rFonts w:hint="eastAsia" w:ascii="宋体" w:hAnsi="宋体" w:eastAsia="宋体" w:cs="宋体"/>
                <w:b/>
                <w:bCs/>
                <w:szCs w:val="21"/>
              </w:rPr>
              <w:t>供应商（以下简称乙方）</w:t>
            </w:r>
            <w:r>
              <w:rPr>
                <w:rFonts w:hint="eastAsia" w:ascii="宋体" w:hAnsi="宋体" w:eastAsia="宋体" w:cs="宋体"/>
                <w:szCs w:val="21"/>
              </w:rPr>
              <w:t>：***</w:t>
            </w:r>
          </w:p>
          <w:p w14:paraId="47B00B14">
            <w:pPr>
              <w:spacing w:line="360" w:lineRule="auto"/>
              <w:rPr>
                <w:rFonts w:hint="eastAsia" w:ascii="宋体" w:hAnsi="宋体" w:eastAsia="宋体" w:cs="宋体"/>
                <w:szCs w:val="21"/>
              </w:rPr>
            </w:pPr>
            <w:r>
              <w:rPr>
                <w:rFonts w:hint="eastAsia" w:ascii="宋体" w:hAnsi="宋体" w:eastAsia="宋体" w:cs="宋体"/>
                <w:b/>
                <w:bCs/>
                <w:szCs w:val="21"/>
              </w:rPr>
              <w:t>地址</w:t>
            </w:r>
            <w:r>
              <w:rPr>
                <w:rFonts w:hint="eastAsia" w:ascii="宋体" w:hAnsi="宋体" w:eastAsia="宋体" w:cs="宋体"/>
                <w:szCs w:val="21"/>
              </w:rPr>
              <w:t>：***</w:t>
            </w:r>
          </w:p>
          <w:p w14:paraId="4879109E">
            <w:pPr>
              <w:spacing w:line="360" w:lineRule="auto"/>
              <w:rPr>
                <w:rFonts w:hint="eastAsia" w:ascii="宋体" w:hAnsi="宋体" w:eastAsia="宋体" w:cs="宋体"/>
                <w:szCs w:val="21"/>
              </w:rPr>
            </w:pPr>
            <w:r>
              <w:rPr>
                <w:rFonts w:hint="eastAsia" w:ascii="宋体" w:hAnsi="宋体" w:eastAsia="宋体" w:cs="宋体"/>
                <w:b/>
                <w:bCs/>
                <w:szCs w:val="21"/>
              </w:rPr>
              <w:t>移动电话</w:t>
            </w:r>
            <w:r>
              <w:rPr>
                <w:rFonts w:hint="eastAsia" w:ascii="宋体" w:hAnsi="宋体" w:eastAsia="宋体" w:cs="宋体"/>
                <w:szCs w:val="21"/>
              </w:rPr>
              <w:t>：***</w:t>
            </w:r>
          </w:p>
          <w:p w14:paraId="704E324A">
            <w:pPr>
              <w:spacing w:line="360" w:lineRule="auto"/>
              <w:contextualSpacing/>
              <w:rPr>
                <w:rFonts w:hint="eastAsia" w:ascii="宋体" w:hAnsi="宋体" w:eastAsia="宋体" w:cs="宋体"/>
                <w:szCs w:val="21"/>
              </w:rPr>
            </w:pPr>
            <w:r>
              <w:rPr>
                <w:rFonts w:hint="eastAsia" w:ascii="宋体" w:hAnsi="宋体" w:eastAsia="宋体" w:cs="宋体"/>
                <w:b/>
                <w:bCs/>
                <w:szCs w:val="21"/>
              </w:rPr>
              <w:t>联系人</w:t>
            </w:r>
            <w:r>
              <w:rPr>
                <w:rFonts w:hint="eastAsia" w:ascii="宋体" w:hAnsi="宋体" w:eastAsia="宋体" w:cs="宋体"/>
                <w:szCs w:val="21"/>
              </w:rPr>
              <w:t>：***</w:t>
            </w:r>
          </w:p>
          <w:p w14:paraId="3A0824FD">
            <w:pPr>
              <w:pStyle w:val="2"/>
              <w:spacing w:line="360" w:lineRule="auto"/>
              <w:rPr>
                <w:rFonts w:hint="eastAsia" w:ascii="宋体" w:hAnsi="宋体" w:eastAsia="宋体" w:cs="宋体"/>
              </w:rPr>
            </w:pPr>
            <w:r>
              <w:rPr>
                <w:rFonts w:hint="eastAsia" w:ascii="宋体" w:hAnsi="宋体" w:eastAsia="宋体" w:cs="宋体"/>
                <w:b/>
                <w:bCs/>
                <w:szCs w:val="21"/>
              </w:rPr>
              <w:t>电子邮件：***</w:t>
            </w:r>
          </w:p>
        </w:tc>
      </w:tr>
      <w:permEnd w:id="0"/>
    </w:tbl>
    <w:p w14:paraId="466013E5">
      <w:pPr>
        <w:adjustRightInd w:val="0"/>
        <w:snapToGrid w:val="0"/>
        <w:spacing w:before="312" w:beforeLines="100" w:after="312" w:afterLines="100" w:line="360" w:lineRule="auto"/>
        <w:contextualSpacing/>
        <w:jc w:val="left"/>
        <w:rPr>
          <w:rFonts w:hint="eastAsia" w:ascii="宋体" w:hAnsi="宋体" w:eastAsia="宋体" w:cs="宋体"/>
          <w:color w:val="000000"/>
          <w:szCs w:val="21"/>
        </w:rPr>
      </w:pPr>
    </w:p>
    <w:p w14:paraId="29D8DF47">
      <w:pPr>
        <w:adjustRightInd w:val="0"/>
        <w:spacing w:line="360" w:lineRule="auto"/>
        <w:ind w:firstLine="420" w:firstLineChars="200"/>
        <w:contextualSpacing/>
        <w:jc w:val="left"/>
        <w:rPr>
          <w:rFonts w:hint="eastAsia" w:ascii="宋体" w:hAnsi="宋体" w:eastAsia="宋体" w:cs="宋体"/>
          <w:b/>
          <w:szCs w:val="21"/>
        </w:rPr>
      </w:pPr>
      <w:r>
        <w:rPr>
          <w:rFonts w:hint="eastAsia" w:ascii="宋体" w:hAnsi="宋体" w:eastAsia="宋体" w:cs="宋体"/>
          <w:color w:val="000000"/>
          <w:szCs w:val="21"/>
        </w:rPr>
        <w:t>根据《中华人民共和国民法典》及甲方发布的***项目（项目编号</w:t>
      </w:r>
      <w:permStart w:id="1" w:edGrp="everyone"/>
      <w:r>
        <w:rPr>
          <w:rFonts w:hint="eastAsia" w:ascii="宋体" w:hAnsi="宋体" w:eastAsia="宋体" w:cs="宋体"/>
          <w:color w:val="000000"/>
          <w:szCs w:val="21"/>
        </w:rPr>
        <w:t>：</w:t>
      </w:r>
      <w:r>
        <w:rPr>
          <w:rFonts w:hint="eastAsia" w:ascii="宋体" w:hAnsi="宋体" w:eastAsia="宋体" w:cs="宋体"/>
          <w:szCs w:val="21"/>
        </w:rPr>
        <w:t>***</w:t>
      </w:r>
      <w:permEnd w:id="1"/>
      <w:r>
        <w:rPr>
          <w:rFonts w:hint="eastAsia" w:ascii="宋体" w:hAnsi="宋体" w:eastAsia="宋体" w:cs="宋体"/>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7D546BDF">
      <w:pPr>
        <w:spacing w:line="360" w:lineRule="auto"/>
        <w:ind w:firstLine="420" w:firstLineChars="200"/>
        <w:rPr>
          <w:rFonts w:hint="eastAsia" w:ascii="宋体" w:hAnsi="宋体" w:eastAsia="宋体" w:cs="宋体"/>
          <w:color w:val="000000"/>
          <w:szCs w:val="21"/>
        </w:rPr>
      </w:pPr>
    </w:p>
    <w:p w14:paraId="5A44C28B">
      <w:pPr>
        <w:pStyle w:val="28"/>
        <w:numPr>
          <w:ilvl w:val="0"/>
          <w:numId w:val="12"/>
        </w:numPr>
        <w:snapToGrid w:val="0"/>
        <w:spacing w:line="360" w:lineRule="auto"/>
        <w:ind w:firstLineChars="0"/>
        <w:rPr>
          <w:rFonts w:hint="eastAsia" w:ascii="宋体" w:hAnsi="宋体" w:eastAsia="宋体" w:cs="宋体"/>
          <w:b/>
          <w:bCs/>
          <w:szCs w:val="21"/>
        </w:rPr>
      </w:pPr>
      <w:r>
        <w:rPr>
          <w:rFonts w:hint="eastAsia" w:ascii="宋体" w:hAnsi="宋体" w:eastAsia="宋体" w:cs="宋体"/>
          <w:b/>
          <w:bCs/>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07"/>
        <w:gridCol w:w="2409"/>
        <w:gridCol w:w="1875"/>
        <w:gridCol w:w="937"/>
        <w:gridCol w:w="1338"/>
        <w:gridCol w:w="402"/>
        <w:gridCol w:w="401"/>
        <w:gridCol w:w="937"/>
        <w:gridCol w:w="940"/>
      </w:tblGrid>
      <w:tr w14:paraId="16DA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7FF611E7">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序号</w:t>
            </w:r>
          </w:p>
        </w:tc>
        <w:tc>
          <w:tcPr>
            <w:tcW w:w="2551" w:type="dxa"/>
            <w:noWrap w:val="0"/>
            <w:vAlign w:val="center"/>
          </w:tcPr>
          <w:p w14:paraId="4C78ED8E">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货物名称</w:t>
            </w:r>
          </w:p>
        </w:tc>
        <w:tc>
          <w:tcPr>
            <w:tcW w:w="1985" w:type="dxa"/>
            <w:noWrap w:val="0"/>
            <w:vAlign w:val="center"/>
          </w:tcPr>
          <w:p w14:paraId="5615E803">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生产厂商</w:t>
            </w:r>
          </w:p>
        </w:tc>
        <w:tc>
          <w:tcPr>
            <w:tcW w:w="992" w:type="dxa"/>
            <w:noWrap w:val="0"/>
            <w:vAlign w:val="center"/>
          </w:tcPr>
          <w:p w14:paraId="15A6B740">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产地</w:t>
            </w:r>
          </w:p>
        </w:tc>
        <w:tc>
          <w:tcPr>
            <w:tcW w:w="1417" w:type="dxa"/>
            <w:noWrap w:val="0"/>
            <w:vAlign w:val="center"/>
          </w:tcPr>
          <w:p w14:paraId="2D40CC94">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规格型号</w:t>
            </w:r>
          </w:p>
        </w:tc>
        <w:tc>
          <w:tcPr>
            <w:tcW w:w="426" w:type="dxa"/>
            <w:noWrap w:val="0"/>
            <w:vAlign w:val="center"/>
          </w:tcPr>
          <w:p w14:paraId="6A8329AA">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单位</w:t>
            </w:r>
          </w:p>
        </w:tc>
        <w:tc>
          <w:tcPr>
            <w:tcW w:w="425" w:type="dxa"/>
            <w:noWrap w:val="0"/>
            <w:vAlign w:val="center"/>
          </w:tcPr>
          <w:p w14:paraId="09AC82CF">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数量</w:t>
            </w:r>
          </w:p>
        </w:tc>
        <w:tc>
          <w:tcPr>
            <w:tcW w:w="992" w:type="dxa"/>
            <w:noWrap w:val="0"/>
            <w:vAlign w:val="center"/>
          </w:tcPr>
          <w:p w14:paraId="7BA7D405">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单价</w:t>
            </w:r>
          </w:p>
          <w:p w14:paraId="78B852B8">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（万元）</w:t>
            </w:r>
          </w:p>
        </w:tc>
        <w:tc>
          <w:tcPr>
            <w:tcW w:w="995" w:type="dxa"/>
            <w:noWrap w:val="0"/>
            <w:vAlign w:val="center"/>
          </w:tcPr>
          <w:p w14:paraId="17412DD8">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总价</w:t>
            </w:r>
          </w:p>
          <w:p w14:paraId="74829D3C">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（万元）</w:t>
            </w:r>
          </w:p>
        </w:tc>
      </w:tr>
      <w:tr w14:paraId="11B1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C8F2381">
            <w:pPr>
              <w:spacing w:line="360" w:lineRule="auto"/>
              <w:contextualSpacing/>
              <w:jc w:val="center"/>
              <w:rPr>
                <w:rFonts w:hint="eastAsia" w:ascii="宋体" w:hAnsi="宋体" w:eastAsia="宋体" w:cs="宋体"/>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hint="eastAsia" w:ascii="宋体" w:hAnsi="宋体" w:eastAsia="宋体" w:cs="宋体"/>
              </w:rPr>
              <w:t>1</w:t>
            </w:r>
          </w:p>
        </w:tc>
        <w:tc>
          <w:tcPr>
            <w:tcW w:w="2551" w:type="dxa"/>
            <w:noWrap w:val="0"/>
            <w:vAlign w:val="center"/>
          </w:tcPr>
          <w:p w14:paraId="37789FB9">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rPr>
              <w:t xml:space="preserve"> </w:t>
            </w:r>
            <w:r>
              <w:rPr>
                <w:rFonts w:hint="eastAsia" w:ascii="宋体" w:hAnsi="宋体" w:eastAsia="宋体" w:cs="宋体"/>
                <w:szCs w:val="21"/>
              </w:rPr>
              <w:t>***</w:t>
            </w:r>
          </w:p>
        </w:tc>
        <w:tc>
          <w:tcPr>
            <w:tcW w:w="1985" w:type="dxa"/>
            <w:noWrap w:val="0"/>
            <w:vAlign w:val="center"/>
          </w:tcPr>
          <w:p w14:paraId="1C7544B7">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rPr>
              <w:t xml:space="preserve"> </w:t>
            </w:r>
            <w:r>
              <w:rPr>
                <w:rFonts w:hint="eastAsia" w:ascii="宋体" w:hAnsi="宋体" w:eastAsia="宋体" w:cs="宋体"/>
                <w:szCs w:val="21"/>
              </w:rPr>
              <w:t>***</w:t>
            </w:r>
          </w:p>
        </w:tc>
        <w:tc>
          <w:tcPr>
            <w:tcW w:w="992" w:type="dxa"/>
            <w:noWrap w:val="0"/>
            <w:vAlign w:val="center"/>
          </w:tcPr>
          <w:p w14:paraId="6A23840C">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rPr>
              <w:t xml:space="preserve"> </w:t>
            </w:r>
            <w:r>
              <w:rPr>
                <w:rFonts w:hint="eastAsia" w:ascii="宋体" w:hAnsi="宋体" w:eastAsia="宋体" w:cs="宋体"/>
                <w:szCs w:val="21"/>
              </w:rPr>
              <w:t>***</w:t>
            </w:r>
          </w:p>
        </w:tc>
        <w:tc>
          <w:tcPr>
            <w:tcW w:w="1417" w:type="dxa"/>
            <w:noWrap w:val="0"/>
            <w:vAlign w:val="center"/>
          </w:tcPr>
          <w:p w14:paraId="7872A08C">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szCs w:val="21"/>
              </w:rPr>
              <w:t>***</w:t>
            </w:r>
          </w:p>
        </w:tc>
        <w:tc>
          <w:tcPr>
            <w:tcW w:w="426" w:type="dxa"/>
            <w:noWrap w:val="0"/>
            <w:vAlign w:val="center"/>
          </w:tcPr>
          <w:p w14:paraId="3015C77D">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rPr>
              <w:t xml:space="preserve"> </w:t>
            </w:r>
            <w:r>
              <w:rPr>
                <w:rFonts w:hint="eastAsia" w:ascii="宋体" w:hAnsi="宋体" w:eastAsia="宋体" w:cs="宋体"/>
                <w:szCs w:val="21"/>
              </w:rPr>
              <w:t>***</w:t>
            </w:r>
          </w:p>
        </w:tc>
        <w:tc>
          <w:tcPr>
            <w:tcW w:w="425" w:type="dxa"/>
            <w:noWrap w:val="0"/>
            <w:vAlign w:val="center"/>
          </w:tcPr>
          <w:p w14:paraId="13298D22">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rPr>
              <w:t xml:space="preserve"> </w:t>
            </w:r>
            <w:r>
              <w:rPr>
                <w:rFonts w:hint="eastAsia" w:ascii="宋体" w:hAnsi="宋体" w:eastAsia="宋体" w:cs="宋体"/>
                <w:szCs w:val="21"/>
              </w:rPr>
              <w:t>***</w:t>
            </w:r>
          </w:p>
        </w:tc>
        <w:tc>
          <w:tcPr>
            <w:tcW w:w="992" w:type="dxa"/>
            <w:noWrap w:val="0"/>
            <w:vAlign w:val="center"/>
          </w:tcPr>
          <w:p w14:paraId="49FC1B41">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rPr>
              <w:t xml:space="preserve"> </w:t>
            </w:r>
            <w:r>
              <w:rPr>
                <w:rFonts w:hint="eastAsia" w:ascii="宋体" w:hAnsi="宋体" w:eastAsia="宋体" w:cs="宋体"/>
                <w:szCs w:val="21"/>
              </w:rPr>
              <w:t>***</w:t>
            </w:r>
          </w:p>
        </w:tc>
        <w:tc>
          <w:tcPr>
            <w:tcW w:w="995" w:type="dxa"/>
            <w:noWrap w:val="0"/>
            <w:vAlign w:val="center"/>
          </w:tcPr>
          <w:p w14:paraId="47BFED65">
            <w:pPr>
              <w:spacing w:line="360" w:lineRule="auto"/>
              <w:contextualSpacing/>
              <w:jc w:val="center"/>
              <w:rPr>
                <w:rFonts w:hint="eastAsia" w:ascii="宋体" w:hAnsi="宋体" w:eastAsia="宋体" w:cs="宋体"/>
                <w:b/>
                <w:bCs/>
                <w:color w:val="000000"/>
                <w:sz w:val="18"/>
                <w:szCs w:val="18"/>
              </w:rPr>
            </w:pPr>
            <w:r>
              <w:rPr>
                <w:rFonts w:hint="eastAsia" w:ascii="宋体" w:hAnsi="宋体" w:eastAsia="宋体" w:cs="宋体"/>
              </w:rPr>
              <w:t xml:space="preserve"> </w:t>
            </w:r>
            <w:r>
              <w:rPr>
                <w:rFonts w:hint="eastAsia" w:ascii="宋体" w:hAnsi="宋体" w:eastAsia="宋体" w:cs="宋体"/>
                <w:szCs w:val="21"/>
              </w:rPr>
              <w:t>***</w:t>
            </w:r>
          </w:p>
        </w:tc>
      </w:tr>
      <w:permEnd w:id="2"/>
      <w:permEnd w:id="3"/>
      <w:permEnd w:id="4"/>
      <w:permEnd w:id="5"/>
      <w:permEnd w:id="6"/>
      <w:permEnd w:id="7"/>
      <w:permEnd w:id="8"/>
      <w:permEnd w:id="9"/>
      <w:permEnd w:id="10"/>
      <w:tr w14:paraId="40DF7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F071BA8">
            <w:pPr>
              <w:spacing w:line="360" w:lineRule="auto"/>
              <w:contextualSpacing/>
              <w:jc w:val="center"/>
              <w:rPr>
                <w:rFonts w:hint="eastAsia" w:ascii="宋体" w:hAnsi="宋体" w:eastAsia="宋体" w:cs="宋体"/>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hint="eastAsia" w:ascii="宋体" w:hAnsi="宋体" w:eastAsia="宋体" w:cs="宋体"/>
              </w:rPr>
              <w:t>2</w:t>
            </w:r>
          </w:p>
        </w:tc>
        <w:tc>
          <w:tcPr>
            <w:tcW w:w="2551" w:type="dxa"/>
            <w:noWrap w:val="0"/>
            <w:vAlign w:val="center"/>
          </w:tcPr>
          <w:p w14:paraId="3FFC70A3">
            <w:pPr>
              <w:spacing w:line="360" w:lineRule="auto"/>
              <w:contextualSpacing/>
              <w:jc w:val="center"/>
              <w:rPr>
                <w:rFonts w:hint="eastAsia" w:ascii="宋体" w:hAnsi="宋体" w:eastAsia="宋体" w:cs="宋体"/>
              </w:rPr>
            </w:pPr>
          </w:p>
        </w:tc>
        <w:tc>
          <w:tcPr>
            <w:tcW w:w="1985" w:type="dxa"/>
            <w:noWrap w:val="0"/>
            <w:vAlign w:val="center"/>
          </w:tcPr>
          <w:p w14:paraId="1E9C82D2">
            <w:pPr>
              <w:spacing w:line="360" w:lineRule="auto"/>
              <w:contextualSpacing/>
              <w:jc w:val="center"/>
              <w:rPr>
                <w:rFonts w:hint="eastAsia" w:ascii="宋体" w:hAnsi="宋体" w:eastAsia="宋体" w:cs="宋体"/>
              </w:rPr>
            </w:pPr>
          </w:p>
        </w:tc>
        <w:tc>
          <w:tcPr>
            <w:tcW w:w="992" w:type="dxa"/>
            <w:noWrap w:val="0"/>
            <w:vAlign w:val="center"/>
          </w:tcPr>
          <w:p w14:paraId="1A5EDB3E">
            <w:pPr>
              <w:spacing w:line="360" w:lineRule="auto"/>
              <w:contextualSpacing/>
              <w:jc w:val="center"/>
              <w:rPr>
                <w:rFonts w:hint="eastAsia" w:ascii="宋体" w:hAnsi="宋体" w:eastAsia="宋体" w:cs="宋体"/>
              </w:rPr>
            </w:pPr>
          </w:p>
        </w:tc>
        <w:tc>
          <w:tcPr>
            <w:tcW w:w="1417" w:type="dxa"/>
            <w:noWrap w:val="0"/>
            <w:vAlign w:val="center"/>
          </w:tcPr>
          <w:p w14:paraId="292C87DB">
            <w:pPr>
              <w:spacing w:line="360" w:lineRule="auto"/>
              <w:contextualSpacing/>
              <w:jc w:val="center"/>
              <w:rPr>
                <w:rFonts w:hint="eastAsia" w:ascii="宋体" w:hAnsi="宋体" w:eastAsia="宋体" w:cs="宋体"/>
              </w:rPr>
            </w:pPr>
          </w:p>
        </w:tc>
        <w:tc>
          <w:tcPr>
            <w:tcW w:w="426" w:type="dxa"/>
            <w:noWrap w:val="0"/>
            <w:vAlign w:val="center"/>
          </w:tcPr>
          <w:p w14:paraId="3392AD32">
            <w:pPr>
              <w:spacing w:line="360" w:lineRule="auto"/>
              <w:contextualSpacing/>
              <w:jc w:val="center"/>
              <w:rPr>
                <w:rFonts w:hint="eastAsia" w:ascii="宋体" w:hAnsi="宋体" w:eastAsia="宋体" w:cs="宋体"/>
              </w:rPr>
            </w:pPr>
          </w:p>
        </w:tc>
        <w:tc>
          <w:tcPr>
            <w:tcW w:w="425" w:type="dxa"/>
            <w:noWrap w:val="0"/>
            <w:vAlign w:val="center"/>
          </w:tcPr>
          <w:p w14:paraId="3D9775AA">
            <w:pPr>
              <w:spacing w:line="360" w:lineRule="auto"/>
              <w:contextualSpacing/>
              <w:jc w:val="center"/>
              <w:rPr>
                <w:rFonts w:hint="eastAsia" w:ascii="宋体" w:hAnsi="宋体" w:eastAsia="宋体" w:cs="宋体"/>
              </w:rPr>
            </w:pPr>
          </w:p>
        </w:tc>
        <w:tc>
          <w:tcPr>
            <w:tcW w:w="992" w:type="dxa"/>
            <w:noWrap w:val="0"/>
            <w:vAlign w:val="center"/>
          </w:tcPr>
          <w:p w14:paraId="393F2D40">
            <w:pPr>
              <w:spacing w:line="360" w:lineRule="auto"/>
              <w:contextualSpacing/>
              <w:jc w:val="center"/>
              <w:rPr>
                <w:rFonts w:hint="eastAsia" w:ascii="宋体" w:hAnsi="宋体" w:eastAsia="宋体" w:cs="宋体"/>
              </w:rPr>
            </w:pPr>
          </w:p>
        </w:tc>
        <w:tc>
          <w:tcPr>
            <w:tcW w:w="995" w:type="dxa"/>
            <w:noWrap w:val="0"/>
            <w:vAlign w:val="center"/>
          </w:tcPr>
          <w:p w14:paraId="02AE6773">
            <w:pPr>
              <w:spacing w:line="360" w:lineRule="auto"/>
              <w:contextualSpacing/>
              <w:jc w:val="center"/>
              <w:rPr>
                <w:rFonts w:hint="eastAsia" w:ascii="宋体" w:hAnsi="宋体" w:eastAsia="宋体" w:cs="宋体"/>
              </w:rPr>
            </w:pPr>
          </w:p>
        </w:tc>
      </w:tr>
      <w:permEnd w:id="11"/>
      <w:permEnd w:id="12"/>
      <w:permEnd w:id="13"/>
      <w:permEnd w:id="14"/>
      <w:permEnd w:id="15"/>
      <w:permEnd w:id="16"/>
      <w:permEnd w:id="17"/>
      <w:permEnd w:id="18"/>
      <w:permEnd w:id="19"/>
      <w:tr w14:paraId="5883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6EDB490B">
            <w:pPr>
              <w:spacing w:line="360" w:lineRule="auto"/>
              <w:contextualSpacing/>
              <w:jc w:val="center"/>
              <w:rPr>
                <w:rFonts w:hint="eastAsia" w:ascii="宋体" w:hAnsi="宋体" w:eastAsia="宋体" w:cs="宋体"/>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hint="eastAsia" w:ascii="宋体" w:hAnsi="宋体" w:eastAsia="宋体" w:cs="宋体"/>
              </w:rPr>
              <w:t>...</w:t>
            </w:r>
          </w:p>
        </w:tc>
        <w:tc>
          <w:tcPr>
            <w:tcW w:w="2551" w:type="dxa"/>
            <w:noWrap w:val="0"/>
            <w:vAlign w:val="center"/>
          </w:tcPr>
          <w:p w14:paraId="07B76F52">
            <w:pPr>
              <w:spacing w:line="360" w:lineRule="auto"/>
              <w:contextualSpacing/>
              <w:jc w:val="center"/>
              <w:rPr>
                <w:rFonts w:hint="eastAsia" w:ascii="宋体" w:hAnsi="宋体" w:eastAsia="宋体" w:cs="宋体"/>
              </w:rPr>
            </w:pPr>
          </w:p>
        </w:tc>
        <w:tc>
          <w:tcPr>
            <w:tcW w:w="1985" w:type="dxa"/>
            <w:noWrap w:val="0"/>
            <w:vAlign w:val="center"/>
          </w:tcPr>
          <w:p w14:paraId="7330CCB0">
            <w:pPr>
              <w:spacing w:line="360" w:lineRule="auto"/>
              <w:contextualSpacing/>
              <w:jc w:val="center"/>
              <w:rPr>
                <w:rFonts w:hint="eastAsia" w:ascii="宋体" w:hAnsi="宋体" w:eastAsia="宋体" w:cs="宋体"/>
              </w:rPr>
            </w:pPr>
          </w:p>
        </w:tc>
        <w:tc>
          <w:tcPr>
            <w:tcW w:w="992" w:type="dxa"/>
            <w:noWrap w:val="0"/>
            <w:vAlign w:val="center"/>
          </w:tcPr>
          <w:p w14:paraId="0D99D672">
            <w:pPr>
              <w:spacing w:line="360" w:lineRule="auto"/>
              <w:contextualSpacing/>
              <w:jc w:val="center"/>
              <w:rPr>
                <w:rFonts w:hint="eastAsia" w:ascii="宋体" w:hAnsi="宋体" w:eastAsia="宋体" w:cs="宋体"/>
              </w:rPr>
            </w:pPr>
          </w:p>
        </w:tc>
        <w:tc>
          <w:tcPr>
            <w:tcW w:w="1417" w:type="dxa"/>
            <w:noWrap w:val="0"/>
            <w:vAlign w:val="center"/>
          </w:tcPr>
          <w:p w14:paraId="50B0BE00">
            <w:pPr>
              <w:spacing w:line="360" w:lineRule="auto"/>
              <w:contextualSpacing/>
              <w:jc w:val="center"/>
              <w:rPr>
                <w:rFonts w:hint="eastAsia" w:ascii="宋体" w:hAnsi="宋体" w:eastAsia="宋体" w:cs="宋体"/>
              </w:rPr>
            </w:pPr>
          </w:p>
        </w:tc>
        <w:tc>
          <w:tcPr>
            <w:tcW w:w="426" w:type="dxa"/>
            <w:noWrap w:val="0"/>
            <w:vAlign w:val="center"/>
          </w:tcPr>
          <w:p w14:paraId="5B340E8D">
            <w:pPr>
              <w:spacing w:line="360" w:lineRule="auto"/>
              <w:contextualSpacing/>
              <w:jc w:val="center"/>
              <w:rPr>
                <w:rFonts w:hint="eastAsia" w:ascii="宋体" w:hAnsi="宋体" w:eastAsia="宋体" w:cs="宋体"/>
              </w:rPr>
            </w:pPr>
          </w:p>
        </w:tc>
        <w:tc>
          <w:tcPr>
            <w:tcW w:w="425" w:type="dxa"/>
            <w:noWrap w:val="0"/>
            <w:vAlign w:val="center"/>
          </w:tcPr>
          <w:p w14:paraId="65128BCA">
            <w:pPr>
              <w:spacing w:line="360" w:lineRule="auto"/>
              <w:contextualSpacing/>
              <w:jc w:val="center"/>
              <w:rPr>
                <w:rFonts w:hint="eastAsia" w:ascii="宋体" w:hAnsi="宋体" w:eastAsia="宋体" w:cs="宋体"/>
              </w:rPr>
            </w:pPr>
          </w:p>
        </w:tc>
        <w:tc>
          <w:tcPr>
            <w:tcW w:w="992" w:type="dxa"/>
            <w:noWrap w:val="0"/>
            <w:vAlign w:val="center"/>
          </w:tcPr>
          <w:p w14:paraId="1C2AD2A1">
            <w:pPr>
              <w:spacing w:line="360" w:lineRule="auto"/>
              <w:contextualSpacing/>
              <w:jc w:val="center"/>
              <w:rPr>
                <w:rFonts w:hint="eastAsia" w:ascii="宋体" w:hAnsi="宋体" w:eastAsia="宋体" w:cs="宋体"/>
              </w:rPr>
            </w:pPr>
          </w:p>
        </w:tc>
        <w:tc>
          <w:tcPr>
            <w:tcW w:w="995" w:type="dxa"/>
            <w:noWrap w:val="0"/>
            <w:vAlign w:val="center"/>
          </w:tcPr>
          <w:p w14:paraId="2AA4FEC2">
            <w:pPr>
              <w:spacing w:line="360" w:lineRule="auto"/>
              <w:contextualSpacing/>
              <w:jc w:val="center"/>
              <w:rPr>
                <w:rFonts w:hint="eastAsia" w:ascii="宋体" w:hAnsi="宋体" w:eastAsia="宋体" w:cs="宋体"/>
              </w:rPr>
            </w:pPr>
          </w:p>
        </w:tc>
      </w:tr>
      <w:permEnd w:id="20"/>
      <w:permEnd w:id="21"/>
      <w:permEnd w:id="22"/>
      <w:permEnd w:id="23"/>
      <w:permEnd w:id="24"/>
      <w:permEnd w:id="25"/>
      <w:permEnd w:id="26"/>
      <w:permEnd w:id="27"/>
      <w:permEnd w:id="28"/>
    </w:tbl>
    <w:p w14:paraId="01F75E78">
      <w:pPr>
        <w:pStyle w:val="28"/>
        <w:numPr>
          <w:ilvl w:val="0"/>
          <w:numId w:val="13"/>
        </w:numPr>
        <w:spacing w:line="360" w:lineRule="auto"/>
        <w:ind w:left="0" w:firstLine="0" w:firstLineChars="0"/>
        <w:rPr>
          <w:rFonts w:hint="eastAsia" w:ascii="宋体" w:hAnsi="宋体" w:eastAsia="宋体" w:cs="宋体"/>
          <w:color w:val="000000"/>
          <w:szCs w:val="21"/>
        </w:rPr>
      </w:pPr>
      <w:r>
        <w:rPr>
          <w:rFonts w:hint="eastAsia" w:ascii="宋体" w:hAnsi="宋体" w:eastAsia="宋体" w:cs="宋体"/>
          <w:color w:val="000000"/>
          <w:szCs w:val="21"/>
        </w:rPr>
        <w:t>货物具体配置详见附件1：《配置清单》。</w:t>
      </w:r>
    </w:p>
    <w:p w14:paraId="1E6A1D2A">
      <w:pPr>
        <w:pStyle w:val="28"/>
        <w:numPr>
          <w:ilvl w:val="0"/>
          <w:numId w:val="13"/>
        </w:numPr>
        <w:spacing w:line="360" w:lineRule="auto"/>
        <w:ind w:left="0" w:firstLine="0" w:firstLineChars="0"/>
        <w:rPr>
          <w:rFonts w:hint="eastAsia" w:ascii="宋体" w:hAnsi="宋体" w:eastAsia="宋体" w:cs="宋体"/>
          <w:color w:val="000000"/>
          <w:szCs w:val="21"/>
        </w:rPr>
      </w:pPr>
      <w:r>
        <w:rPr>
          <w:rFonts w:hint="eastAsia" w:ascii="宋体" w:hAnsi="宋体" w:eastAsia="宋体" w:cs="宋体"/>
          <w:color w:val="000000"/>
          <w:szCs w:val="21"/>
        </w:rPr>
        <w:t>货物具体技术参数详见附件2：《货物技术参数》。</w:t>
      </w:r>
    </w:p>
    <w:p w14:paraId="7A3783F0">
      <w:pPr>
        <w:pStyle w:val="28"/>
        <w:numPr>
          <w:ilvl w:val="0"/>
          <w:numId w:val="12"/>
        </w:numPr>
        <w:snapToGrid w:val="0"/>
        <w:spacing w:line="360" w:lineRule="auto"/>
        <w:ind w:firstLineChars="0"/>
        <w:rPr>
          <w:rFonts w:hint="eastAsia" w:ascii="宋体" w:hAnsi="宋体" w:eastAsia="宋体" w:cs="宋体"/>
          <w:b/>
          <w:bCs/>
          <w:szCs w:val="21"/>
        </w:rPr>
      </w:pPr>
      <w:r>
        <w:rPr>
          <w:rFonts w:hint="eastAsia" w:ascii="宋体" w:hAnsi="宋体" w:eastAsia="宋体" w:cs="宋体"/>
          <w:b/>
          <w:bCs/>
          <w:szCs w:val="21"/>
        </w:rPr>
        <w:t>合同总价</w:t>
      </w:r>
    </w:p>
    <w:p w14:paraId="2837AD52">
      <w:pPr>
        <w:pStyle w:val="28"/>
        <w:spacing w:line="360" w:lineRule="auto"/>
        <w:ind w:firstLine="0" w:firstLineChars="0"/>
        <w:jc w:val="left"/>
        <w:rPr>
          <w:rFonts w:hint="eastAsia" w:ascii="宋体" w:hAnsi="宋体" w:eastAsia="宋体" w:cs="宋体"/>
          <w:szCs w:val="21"/>
        </w:rPr>
      </w:pPr>
      <w:r>
        <w:rPr>
          <w:rFonts w:hint="eastAsia" w:ascii="宋体" w:hAnsi="宋体" w:eastAsia="宋体" w:cs="宋体"/>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173A217C">
      <w:pPr>
        <w:pStyle w:val="28"/>
        <w:spacing w:line="360" w:lineRule="auto"/>
        <w:ind w:firstLine="0" w:firstLineChars="0"/>
        <w:rPr>
          <w:rFonts w:hint="eastAsia" w:ascii="宋体" w:hAnsi="宋体" w:eastAsia="宋体" w:cs="宋体"/>
          <w:szCs w:val="21"/>
        </w:rPr>
      </w:pPr>
      <w:r>
        <w:rPr>
          <w:rFonts w:hint="eastAsia" w:ascii="宋体" w:hAnsi="宋体" w:eastAsia="宋体" w:cs="宋体"/>
          <w:szCs w:val="21"/>
        </w:rPr>
        <w:t>2.本合同执行期间合同总价不变，甲方无须另向乙方支付本合同规定之外的其他任何费用。</w:t>
      </w:r>
    </w:p>
    <w:p w14:paraId="7906CD52">
      <w:pPr>
        <w:pStyle w:val="28"/>
        <w:numPr>
          <w:ilvl w:val="0"/>
          <w:numId w:val="12"/>
        </w:numPr>
        <w:snapToGrid w:val="0"/>
        <w:spacing w:line="360" w:lineRule="auto"/>
        <w:ind w:firstLineChars="0"/>
        <w:rPr>
          <w:rFonts w:hint="eastAsia" w:ascii="宋体" w:hAnsi="宋体" w:eastAsia="宋体" w:cs="宋体"/>
          <w:b/>
          <w:bCs/>
          <w:szCs w:val="21"/>
        </w:rPr>
      </w:pPr>
      <w:r>
        <w:rPr>
          <w:rFonts w:hint="eastAsia" w:ascii="宋体" w:hAnsi="宋体" w:eastAsia="宋体" w:cs="宋体"/>
          <w:b/>
          <w:bCs/>
          <w:szCs w:val="21"/>
        </w:rPr>
        <w:t>质量要求</w:t>
      </w:r>
    </w:p>
    <w:p w14:paraId="7CC3EA28">
      <w:pPr>
        <w:pStyle w:val="28"/>
        <w:numPr>
          <w:ilvl w:val="0"/>
          <w:numId w:val="14"/>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乙方须保证向甲方提供的货物（含零部件、配件等）是完整、全新的，并在性能、质量和设计方面满足安全、可靠和高效运行与方便维护的全部要求。</w:t>
      </w:r>
    </w:p>
    <w:p w14:paraId="7EE05381">
      <w:pPr>
        <w:pStyle w:val="28"/>
        <w:numPr>
          <w:ilvl w:val="0"/>
          <w:numId w:val="14"/>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货物必须符合或优于国家（行业）标准，以及本项目采购文件的质量要求和技术指标与出厂标准。</w:t>
      </w:r>
    </w:p>
    <w:p w14:paraId="16F15DD7">
      <w:pPr>
        <w:pStyle w:val="28"/>
        <w:numPr>
          <w:ilvl w:val="0"/>
          <w:numId w:val="14"/>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货物制造质量出现问题，乙方应负责按照第十条承担责任，费用由乙方负担。</w:t>
      </w:r>
    </w:p>
    <w:p w14:paraId="1FE09B81">
      <w:pPr>
        <w:pStyle w:val="28"/>
        <w:numPr>
          <w:ilvl w:val="0"/>
          <w:numId w:val="14"/>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如因货物质量问题导致甲方无法正常使用或影响使用效果，由此与患者发生纠纷而导致甲方赔偿，乙方对此承担全部责任。</w:t>
      </w:r>
    </w:p>
    <w:p w14:paraId="25CBD346">
      <w:pPr>
        <w:pStyle w:val="28"/>
        <w:numPr>
          <w:ilvl w:val="0"/>
          <w:numId w:val="14"/>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甲方人员参与合同货物开箱、调试等行为均不免除乙方及厂家对合同货物质量所应负责任。</w:t>
      </w:r>
    </w:p>
    <w:p w14:paraId="5C726A7B">
      <w:pPr>
        <w:pStyle w:val="28"/>
        <w:numPr>
          <w:ilvl w:val="0"/>
          <w:numId w:val="14"/>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本合同采购的货物涉及成品软件的，乙方应保证以下内容（本合同另有约定除外）：</w:t>
      </w:r>
    </w:p>
    <w:p w14:paraId="7A7DE7A7">
      <w:pPr>
        <w:pStyle w:val="28"/>
        <w:numPr>
          <w:ilvl w:val="0"/>
          <w:numId w:val="1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本合同中提供给甲方的软件产品是其产品原厂发布的最新版本。</w:t>
      </w:r>
    </w:p>
    <w:p w14:paraId="2870D66F">
      <w:pPr>
        <w:pStyle w:val="28"/>
        <w:numPr>
          <w:ilvl w:val="0"/>
          <w:numId w:val="1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负责软件功能的升级、维护和文档更新，不再收取任何费用。</w:t>
      </w:r>
    </w:p>
    <w:p w14:paraId="4CC9F529">
      <w:pPr>
        <w:pStyle w:val="28"/>
        <w:numPr>
          <w:ilvl w:val="0"/>
          <w:numId w:val="1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本合同中提供给甲方的软件产品不存在定期密码输入等使用和功能上的限制。</w:t>
      </w:r>
    </w:p>
    <w:p w14:paraId="5ABCBB48">
      <w:pPr>
        <w:pStyle w:val="28"/>
        <w:numPr>
          <w:ilvl w:val="0"/>
          <w:numId w:val="1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本合同中提供给甲方的软件产品不得隐含任何恶意功能，包括但不限于病毒、蠕虫和特洛伊木马等程序；在未获甲方授权的情况下，不得通过软件收集和扩散任何甲方及其相关联单位的信息。</w:t>
      </w:r>
    </w:p>
    <w:p w14:paraId="1B5E70D4">
      <w:pPr>
        <w:pStyle w:val="28"/>
        <w:numPr>
          <w:ilvl w:val="0"/>
          <w:numId w:val="1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本合同中提供给甲方的软件产品需要严格遵守相关网络信息安全规定。</w:t>
      </w:r>
    </w:p>
    <w:p w14:paraId="25578430">
      <w:pPr>
        <w:pStyle w:val="28"/>
        <w:numPr>
          <w:ilvl w:val="0"/>
          <w:numId w:val="1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2E8C0340">
      <w:pPr>
        <w:pStyle w:val="28"/>
        <w:numPr>
          <w:ilvl w:val="0"/>
          <w:numId w:val="12"/>
        </w:numPr>
        <w:snapToGrid w:val="0"/>
        <w:spacing w:line="360" w:lineRule="auto"/>
        <w:ind w:firstLineChars="0"/>
        <w:rPr>
          <w:rFonts w:hint="eastAsia" w:ascii="宋体" w:hAnsi="宋体" w:eastAsia="宋体" w:cs="宋体"/>
          <w:b/>
          <w:bCs/>
          <w:szCs w:val="21"/>
        </w:rPr>
      </w:pPr>
      <w:r>
        <w:rPr>
          <w:rFonts w:hint="eastAsia" w:ascii="宋体" w:hAnsi="宋体" w:eastAsia="宋体" w:cs="宋体"/>
          <w:b/>
          <w:bCs/>
          <w:szCs w:val="21"/>
        </w:rPr>
        <w:t>交付</w:t>
      </w:r>
    </w:p>
    <w:p w14:paraId="4337424C">
      <w:pPr>
        <w:pStyle w:val="28"/>
        <w:snapToGrid w:val="0"/>
        <w:spacing w:line="360" w:lineRule="auto"/>
        <w:rPr>
          <w:rFonts w:hint="eastAsia" w:ascii="宋体" w:hAnsi="宋体" w:eastAsia="宋体" w:cs="宋体"/>
          <w:szCs w:val="21"/>
        </w:rPr>
      </w:pPr>
      <w:r>
        <w:rPr>
          <w:rFonts w:hint="eastAsia" w:ascii="宋体" w:hAnsi="宋体" w:eastAsia="宋体" w:cs="宋体"/>
          <w:szCs w:val="21"/>
        </w:rPr>
        <w:t>本合同签订生效后***</w:t>
      </w:r>
      <w:r>
        <w:rPr>
          <w:rFonts w:hint="eastAsia" w:ascii="宋体" w:hAnsi="宋体" w:eastAsia="宋体" w:cs="宋体"/>
        </w:rPr>
        <w:t>天</w:t>
      </w:r>
      <w:r>
        <w:rPr>
          <w:rFonts w:hint="eastAsia" w:ascii="宋体" w:hAnsi="宋体" w:eastAsia="宋体" w:cs="宋体"/>
          <w:szCs w:val="21"/>
        </w:rPr>
        <w:t>内由乙方在***向甲方交付本合同约定的全部货物，并于***日内安装调试完毕且具备验收条件。货物验收合格前，毁损灭失的风险由乙方承担。</w:t>
      </w:r>
    </w:p>
    <w:p w14:paraId="5D398654">
      <w:pPr>
        <w:pStyle w:val="28"/>
        <w:numPr>
          <w:ilvl w:val="0"/>
          <w:numId w:val="12"/>
        </w:numPr>
        <w:snapToGrid w:val="0"/>
        <w:spacing w:line="360" w:lineRule="auto"/>
        <w:ind w:firstLineChars="0"/>
        <w:rPr>
          <w:rFonts w:hint="eastAsia" w:ascii="宋体" w:hAnsi="宋体" w:eastAsia="宋体" w:cs="宋体"/>
          <w:b/>
          <w:bCs/>
          <w:szCs w:val="21"/>
        </w:rPr>
      </w:pPr>
      <w:r>
        <w:rPr>
          <w:rFonts w:hint="eastAsia" w:ascii="宋体" w:hAnsi="宋体" w:eastAsia="宋体" w:cs="宋体"/>
          <w:b/>
          <w:bCs/>
          <w:szCs w:val="21"/>
        </w:rPr>
        <w:t>验收</w:t>
      </w:r>
    </w:p>
    <w:p w14:paraId="0F88D130">
      <w:pPr>
        <w:pStyle w:val="28"/>
        <w:numPr>
          <w:ilvl w:val="0"/>
          <w:numId w:val="16"/>
        </w:numPr>
        <w:snapToGrid w:val="0"/>
        <w:spacing w:line="360" w:lineRule="auto"/>
        <w:ind w:left="0" w:firstLine="0" w:firstLineChars="0"/>
        <w:contextualSpacing/>
        <w:rPr>
          <w:rFonts w:hint="eastAsia" w:ascii="宋体" w:hAnsi="宋体" w:eastAsia="宋体" w:cs="宋体"/>
        </w:rPr>
      </w:pPr>
      <w:r>
        <w:rPr>
          <w:rFonts w:hint="eastAsia" w:ascii="宋体" w:hAnsi="宋体" w:eastAsia="宋体" w:cs="宋体"/>
        </w:rPr>
        <w:t>甲、乙双方确定，按照本合同约定的验收方案对乙方交付的货物进行验收。</w:t>
      </w:r>
    </w:p>
    <w:p w14:paraId="1CDB554A">
      <w:pPr>
        <w:pStyle w:val="28"/>
        <w:numPr>
          <w:ilvl w:val="0"/>
          <w:numId w:val="16"/>
        </w:numPr>
        <w:snapToGrid w:val="0"/>
        <w:spacing w:line="360" w:lineRule="auto"/>
        <w:ind w:left="0" w:firstLine="0" w:firstLineChars="0"/>
        <w:contextualSpacing/>
        <w:rPr>
          <w:rFonts w:hint="eastAsia" w:ascii="宋体" w:hAnsi="宋体" w:eastAsia="宋体" w:cs="宋体"/>
        </w:rPr>
      </w:pPr>
      <w:r>
        <w:rPr>
          <w:rFonts w:hint="eastAsia" w:ascii="宋体" w:hAnsi="宋体" w:eastAsia="宋体" w:cs="宋体"/>
        </w:rPr>
        <w:t>验收方案：</w:t>
      </w:r>
    </w:p>
    <w:p w14:paraId="5A3B9726">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验收主体：甲方</w:t>
      </w:r>
    </w:p>
    <w:p w14:paraId="0AB0185C">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验收组织方式：自行验收</w:t>
      </w:r>
    </w:p>
    <w:p w14:paraId="1CC40374">
      <w:pPr>
        <w:pStyle w:val="28"/>
        <w:numPr>
          <w:ilvl w:val="0"/>
          <w:numId w:val="17"/>
        </w:numPr>
        <w:snapToGrid w:val="0"/>
        <w:spacing w:line="360" w:lineRule="auto"/>
        <w:ind w:left="525" w:hanging="525" w:hangingChars="250"/>
        <w:contextualSpacing/>
        <w:rPr>
          <w:rFonts w:hint="eastAsia" w:ascii="宋体" w:hAnsi="宋体" w:eastAsia="宋体" w:cs="宋体"/>
          <w:color w:val="333333"/>
          <w:kern w:val="0"/>
          <w:szCs w:val="21"/>
          <w:shd w:val="clear" w:color="auto" w:fill="FFFFFF"/>
        </w:rPr>
      </w:pPr>
      <w:r>
        <w:rPr>
          <w:rFonts w:hint="eastAsia" w:ascii="宋体" w:hAnsi="宋体" w:eastAsia="宋体" w:cs="宋体"/>
        </w:rPr>
        <w:t>验收程序：</w:t>
      </w:r>
      <w:r>
        <w:rPr>
          <w:rFonts w:hint="eastAsia" w:ascii="宋体" w:hAnsi="宋体" w:eastAsia="宋体" w:cs="宋体"/>
        </w:rPr>
        <w:sym w:font="Wingdings 2" w:char="F052"/>
      </w:r>
      <w:r>
        <w:rPr>
          <w:rFonts w:hint="eastAsia" w:ascii="宋体" w:hAnsi="宋体" w:eastAsia="宋体" w:cs="宋体"/>
          <w:kern w:val="0"/>
          <w:szCs w:val="21"/>
          <w:shd w:val="clear" w:color="auto" w:fill="FFFFFF"/>
        </w:rPr>
        <w:t xml:space="preserve">一次性验收   </w:t>
      </w:r>
      <w:r>
        <w:rPr>
          <w:rFonts w:hint="eastAsia" w:ascii="宋体" w:hAnsi="宋体" w:eastAsia="宋体" w:cs="宋体"/>
          <w:shd w:val="clear" w:color="auto" w:fill="FFFFFF"/>
        </w:rPr>
        <w:sym w:font="Wingdings" w:char="F0A8"/>
      </w:r>
      <w:r>
        <w:rPr>
          <w:rFonts w:hint="eastAsia" w:ascii="宋体" w:hAnsi="宋体" w:eastAsia="宋体" w:cs="宋体"/>
          <w:kern w:val="0"/>
          <w:szCs w:val="21"/>
          <w:shd w:val="clear" w:color="auto" w:fill="FFFFFF"/>
        </w:rPr>
        <w:t>分段/分期验收</w:t>
      </w:r>
    </w:p>
    <w:p w14:paraId="4416F367">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验收方式：现场整体验收</w:t>
      </w:r>
    </w:p>
    <w:p w14:paraId="49BAB57C">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履约验收内容：按照甲方采购文件要求及乙方响应文件情况，由乙方向甲方交付的全部内容。</w:t>
      </w:r>
    </w:p>
    <w:p w14:paraId="0E95C23B">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履约验收时间：供应商完成本项目涉及的所有货物的安装、调试并具备验收条件后于5日内通知甲方验收，甲方接乙方通知后10日内组织验收。</w:t>
      </w:r>
    </w:p>
    <w:p w14:paraId="36C1896D">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 xml:space="preserve">是否邀请本项目的其他供应商： </w:t>
      </w:r>
      <w:r>
        <w:rPr>
          <w:rFonts w:hint="eastAsia" w:ascii="宋体" w:hAnsi="宋体" w:eastAsia="宋体" w:cs="宋体"/>
        </w:rPr>
        <w:sym w:font="Wingdings" w:char="F0A8"/>
      </w:r>
      <w:r>
        <w:rPr>
          <w:rFonts w:hint="eastAsia" w:ascii="宋体" w:hAnsi="宋体" w:eastAsia="宋体" w:cs="宋体"/>
        </w:rPr>
        <w:t xml:space="preserve">是   </w:t>
      </w:r>
      <w:r>
        <w:rPr>
          <w:rFonts w:hint="eastAsia" w:ascii="宋体" w:hAnsi="宋体" w:eastAsia="宋体" w:cs="宋体"/>
        </w:rPr>
        <w:sym w:font="Wingdings 2" w:char="F052"/>
      </w:r>
      <w:r>
        <w:rPr>
          <w:rFonts w:hint="eastAsia" w:ascii="宋体" w:hAnsi="宋体" w:eastAsia="宋体" w:cs="宋体"/>
        </w:rPr>
        <w:t>否</w:t>
      </w:r>
    </w:p>
    <w:p w14:paraId="6C673182">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 xml:space="preserve">是否邀请专家： </w:t>
      </w:r>
      <w:r>
        <w:rPr>
          <w:rFonts w:hint="eastAsia" w:ascii="宋体" w:hAnsi="宋体" w:eastAsia="宋体" w:cs="宋体"/>
        </w:rPr>
        <w:sym w:font="Wingdings" w:char="F0A8"/>
      </w:r>
      <w:r>
        <w:rPr>
          <w:rFonts w:hint="eastAsia" w:ascii="宋体" w:hAnsi="宋体" w:eastAsia="宋体" w:cs="宋体"/>
        </w:rPr>
        <w:t xml:space="preserve">是   </w:t>
      </w:r>
      <w:r>
        <w:rPr>
          <w:rFonts w:hint="eastAsia" w:ascii="宋体" w:hAnsi="宋体" w:eastAsia="宋体" w:cs="宋体"/>
        </w:rPr>
        <w:sym w:font="Wingdings 2" w:char="F052"/>
      </w:r>
      <w:r>
        <w:rPr>
          <w:rFonts w:hint="eastAsia" w:ascii="宋体" w:hAnsi="宋体" w:eastAsia="宋体" w:cs="宋体"/>
        </w:rPr>
        <w:t>否</w:t>
      </w:r>
    </w:p>
    <w:p w14:paraId="5EC41B25">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 xml:space="preserve">是否邀请服务对象： </w:t>
      </w:r>
      <w:r>
        <w:rPr>
          <w:rFonts w:hint="eastAsia" w:ascii="宋体" w:hAnsi="宋体" w:eastAsia="宋体" w:cs="宋体"/>
        </w:rPr>
        <w:sym w:font="Wingdings" w:char="F0A8"/>
      </w:r>
      <w:r>
        <w:rPr>
          <w:rFonts w:hint="eastAsia" w:ascii="宋体" w:hAnsi="宋体" w:eastAsia="宋体" w:cs="宋体"/>
        </w:rPr>
        <w:t xml:space="preserve">是   </w:t>
      </w:r>
      <w:r>
        <w:rPr>
          <w:rFonts w:hint="eastAsia" w:ascii="宋体" w:hAnsi="宋体" w:eastAsia="宋体" w:cs="宋体"/>
        </w:rPr>
        <w:sym w:font="Wingdings 2" w:char="F052"/>
      </w:r>
      <w:r>
        <w:rPr>
          <w:rFonts w:hint="eastAsia" w:ascii="宋体" w:hAnsi="宋体" w:eastAsia="宋体" w:cs="宋体"/>
        </w:rPr>
        <w:t>否</w:t>
      </w:r>
    </w:p>
    <w:p w14:paraId="0C6662DB">
      <w:pPr>
        <w:pStyle w:val="28"/>
        <w:numPr>
          <w:ilvl w:val="0"/>
          <w:numId w:val="17"/>
        </w:numPr>
        <w:snapToGrid w:val="0"/>
        <w:spacing w:line="360" w:lineRule="auto"/>
        <w:ind w:left="525" w:hanging="525" w:hangingChars="250"/>
        <w:contextualSpacing/>
        <w:rPr>
          <w:rFonts w:hint="eastAsia" w:ascii="宋体" w:hAnsi="宋体" w:eastAsia="宋体" w:cs="宋体"/>
          <w:szCs w:val="21"/>
        </w:rPr>
      </w:pPr>
      <w:r>
        <w:rPr>
          <w:rFonts w:hint="eastAsia" w:ascii="宋体" w:hAnsi="宋体" w:eastAsia="宋体" w:cs="宋体"/>
          <w:szCs w:val="21"/>
        </w:rPr>
        <w:t xml:space="preserve">是否邀请第三方检测机构： </w:t>
      </w:r>
      <w:r>
        <w:rPr>
          <w:rFonts w:hint="eastAsia" w:ascii="宋体" w:hAnsi="宋体" w:eastAsia="宋体" w:cs="宋体"/>
          <w:szCs w:val="21"/>
        </w:rPr>
        <w:sym w:font="Wingdings" w:char="F0A8"/>
      </w:r>
      <w:r>
        <w:rPr>
          <w:rFonts w:hint="eastAsia" w:ascii="宋体" w:hAnsi="宋体" w:eastAsia="宋体" w:cs="宋体"/>
          <w:szCs w:val="21"/>
        </w:rPr>
        <w:t xml:space="preserve">是   </w:t>
      </w:r>
      <w:r>
        <w:rPr>
          <w:rFonts w:hint="eastAsia" w:ascii="宋体" w:hAnsi="宋体" w:eastAsia="宋体" w:cs="宋体"/>
          <w:szCs w:val="21"/>
        </w:rPr>
        <w:sym w:font="Wingdings 2" w:char="F052"/>
      </w:r>
      <w:r>
        <w:rPr>
          <w:rFonts w:hint="eastAsia" w:ascii="宋体" w:hAnsi="宋体" w:eastAsia="宋体" w:cs="宋体"/>
          <w:szCs w:val="21"/>
        </w:rPr>
        <w:t>否</w:t>
      </w:r>
    </w:p>
    <w:p w14:paraId="67601CD0">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验收标准：</w:t>
      </w:r>
    </w:p>
    <w:p w14:paraId="59A7B11F">
      <w:pPr>
        <w:pStyle w:val="16"/>
        <w:numPr>
          <w:ilvl w:val="0"/>
          <w:numId w:val="18"/>
        </w:numPr>
        <w:snapToGrid w:val="0"/>
        <w:spacing w:after="0" w:line="360" w:lineRule="auto"/>
        <w:ind w:firstLineChars="0"/>
        <w:contextualSpacing/>
        <w:rPr>
          <w:rFonts w:hint="eastAsia" w:ascii="宋体" w:hAnsi="宋体" w:eastAsia="宋体" w:cs="宋体"/>
          <w:szCs w:val="21"/>
        </w:rPr>
      </w:pPr>
      <w:r>
        <w:rPr>
          <w:rFonts w:hint="eastAsia" w:ascii="宋体" w:hAnsi="宋体" w:eastAsia="宋体" w:cs="宋体"/>
          <w:szCs w:val="21"/>
          <w:shd w:val="clear" w:color="auto" w:fill="FFFFFF"/>
        </w:rPr>
        <w:t>国家相关法律法规、行业标准、技术规范。</w:t>
      </w:r>
    </w:p>
    <w:p w14:paraId="36BCB773">
      <w:pPr>
        <w:pStyle w:val="16"/>
        <w:numPr>
          <w:ilvl w:val="0"/>
          <w:numId w:val="18"/>
        </w:numPr>
        <w:snapToGrid w:val="0"/>
        <w:spacing w:after="0" w:line="360" w:lineRule="auto"/>
        <w:ind w:firstLineChars="0"/>
        <w:contextualSpacing/>
        <w:rPr>
          <w:rFonts w:hint="eastAsia" w:ascii="宋体" w:hAnsi="宋体" w:eastAsia="宋体" w:cs="宋体"/>
          <w:szCs w:val="21"/>
        </w:rPr>
      </w:pPr>
      <w:r>
        <w:rPr>
          <w:rFonts w:hint="eastAsia" w:ascii="宋体" w:hAnsi="宋体" w:eastAsia="宋体" w:cs="宋体"/>
          <w:szCs w:val="21"/>
        </w:rPr>
        <w:t>甲方采购文件相关技术、服务要求、乙方响应文件相关响应内容。</w:t>
      </w:r>
    </w:p>
    <w:p w14:paraId="526CD6A5">
      <w:pPr>
        <w:pStyle w:val="16"/>
        <w:numPr>
          <w:ilvl w:val="0"/>
          <w:numId w:val="18"/>
        </w:numPr>
        <w:snapToGrid w:val="0"/>
        <w:spacing w:after="0" w:line="360" w:lineRule="auto"/>
        <w:ind w:firstLineChars="0"/>
        <w:contextualSpacing/>
        <w:rPr>
          <w:rFonts w:hint="eastAsia" w:ascii="宋体" w:hAnsi="宋体" w:eastAsia="宋体" w:cs="宋体"/>
          <w:szCs w:val="21"/>
        </w:rPr>
      </w:pPr>
      <w:r>
        <w:rPr>
          <w:rFonts w:hint="eastAsia" w:ascii="宋体" w:hAnsi="宋体" w:eastAsia="宋体" w:cs="宋体"/>
          <w:szCs w:val="21"/>
        </w:rPr>
        <w:t>成交产品生产厂家出具的产品说明书、技术白皮书等技术资料（如涉及）。</w:t>
      </w:r>
    </w:p>
    <w:p w14:paraId="62D49A25">
      <w:pPr>
        <w:pStyle w:val="16"/>
        <w:numPr>
          <w:ilvl w:val="0"/>
          <w:numId w:val="18"/>
        </w:numPr>
        <w:snapToGrid w:val="0"/>
        <w:spacing w:after="0" w:line="360" w:lineRule="auto"/>
        <w:ind w:firstLineChars="0"/>
        <w:contextualSpacing/>
        <w:rPr>
          <w:rFonts w:hint="eastAsia" w:ascii="宋体" w:hAnsi="宋体" w:eastAsia="宋体" w:cs="宋体"/>
          <w:szCs w:val="21"/>
        </w:rPr>
      </w:pPr>
      <w:r>
        <w:rPr>
          <w:rFonts w:hint="eastAsia" w:ascii="宋体" w:hAnsi="宋体" w:eastAsia="宋体" w:cs="宋体"/>
          <w:szCs w:val="21"/>
        </w:rPr>
        <w:t>如验收时，采购人与供应商认为本项目验收标准中的技术指标、质量要求等内容存在相互抵触或对其理解存在异议，应按照其中更严格的要求、标准等进行验收。</w:t>
      </w:r>
    </w:p>
    <w:p w14:paraId="0B48D50E">
      <w:pPr>
        <w:pStyle w:val="16"/>
        <w:numPr>
          <w:ilvl w:val="0"/>
          <w:numId w:val="18"/>
        </w:numPr>
        <w:snapToGrid w:val="0"/>
        <w:spacing w:after="0" w:line="360" w:lineRule="auto"/>
        <w:ind w:firstLineChars="0"/>
        <w:contextualSpacing/>
        <w:rPr>
          <w:rFonts w:hint="eastAsia" w:ascii="宋体" w:hAnsi="宋体" w:eastAsia="宋体" w:cs="宋体"/>
          <w:szCs w:val="21"/>
        </w:rPr>
      </w:pPr>
      <w:r>
        <w:rPr>
          <w:rFonts w:hint="eastAsia" w:ascii="宋体" w:hAnsi="宋体" w:eastAsia="宋体" w:cs="宋体"/>
          <w:szCs w:val="21"/>
        </w:rPr>
        <w:t>参照《财政部关于进一步加强政府采购需求和履约验收管理的指导意见》（财库〔2016〕205号）的要求进行验收。</w:t>
      </w:r>
    </w:p>
    <w:p w14:paraId="0C13471D">
      <w:pPr>
        <w:pStyle w:val="16"/>
        <w:numPr>
          <w:ilvl w:val="0"/>
          <w:numId w:val="18"/>
        </w:numPr>
        <w:snapToGrid w:val="0"/>
        <w:spacing w:after="0" w:line="360" w:lineRule="auto"/>
        <w:ind w:firstLineChars="0"/>
        <w:contextualSpacing/>
        <w:rPr>
          <w:rFonts w:hint="eastAsia" w:ascii="宋体" w:hAnsi="宋体" w:eastAsia="宋体" w:cs="宋体"/>
          <w:szCs w:val="21"/>
        </w:rPr>
      </w:pPr>
      <w:r>
        <w:rPr>
          <w:rFonts w:hint="eastAsia" w:ascii="宋体" w:hAnsi="宋体" w:eastAsia="宋体" w:cs="宋体"/>
          <w:szCs w:val="21"/>
        </w:rPr>
        <w:t>其它标准：无。</w:t>
      </w:r>
    </w:p>
    <w:p w14:paraId="777E811B">
      <w:pPr>
        <w:pStyle w:val="28"/>
        <w:numPr>
          <w:ilvl w:val="0"/>
          <w:numId w:val="17"/>
        </w:numPr>
        <w:snapToGrid w:val="0"/>
        <w:spacing w:line="360" w:lineRule="auto"/>
        <w:ind w:left="525" w:hanging="525" w:hangingChars="250"/>
        <w:contextualSpacing/>
        <w:rPr>
          <w:rFonts w:hint="eastAsia" w:ascii="宋体" w:hAnsi="宋体" w:eastAsia="宋体" w:cs="宋体"/>
        </w:rPr>
      </w:pPr>
      <w:r>
        <w:rPr>
          <w:rFonts w:hint="eastAsia" w:ascii="宋体" w:hAnsi="宋体" w:eastAsia="宋体" w:cs="宋体"/>
        </w:rPr>
        <w:t>履约验收其它事项：无。</w:t>
      </w:r>
      <w:r>
        <w:rPr>
          <w:rFonts w:hint="eastAsia" w:ascii="宋体" w:hAnsi="宋体" w:eastAsia="宋体" w:cs="宋体"/>
          <w:i/>
          <w:iCs/>
          <w:highlight w:val="yellow"/>
        </w:rPr>
        <w:t>&lt;如有请填写&gt;</w:t>
      </w:r>
    </w:p>
    <w:p w14:paraId="32034249">
      <w:pPr>
        <w:pStyle w:val="28"/>
        <w:numPr>
          <w:ilvl w:val="0"/>
          <w:numId w:val="16"/>
        </w:numPr>
        <w:snapToGrid w:val="0"/>
        <w:spacing w:line="360" w:lineRule="auto"/>
        <w:ind w:left="0" w:firstLine="0" w:firstLineChars="0"/>
        <w:contextualSpacing/>
        <w:rPr>
          <w:rFonts w:hint="eastAsia" w:ascii="宋体" w:hAnsi="宋体" w:eastAsia="宋体" w:cs="宋体"/>
          <w:szCs w:val="21"/>
        </w:rPr>
      </w:pPr>
      <w:r>
        <w:rPr>
          <w:rFonts w:hint="eastAsia" w:ascii="宋体" w:hAnsi="宋体" w:eastAsia="宋体" w:cs="宋体"/>
          <w:szCs w:val="21"/>
        </w:rPr>
        <w:t>乙方按照本合同向甲方交付的货物：</w:t>
      </w:r>
      <w:bookmarkStart w:id="95" w:name="OLE_LINK3"/>
      <w:r>
        <w:rPr>
          <w:rFonts w:hint="eastAsia" w:ascii="宋体" w:hAnsi="宋体" w:eastAsia="宋体" w:cs="宋体"/>
          <w:i/>
          <w:iCs/>
          <w:color w:val="000000"/>
          <w:szCs w:val="21"/>
          <w:highlight w:val="yellow"/>
        </w:rPr>
        <w:t>&lt;根据项目实际情况选择</w:t>
      </w:r>
      <w:bookmarkEnd w:id="95"/>
      <w:r>
        <w:rPr>
          <w:rFonts w:hint="eastAsia" w:ascii="宋体" w:hAnsi="宋体" w:eastAsia="宋体" w:cs="宋体"/>
          <w:i/>
          <w:iCs/>
          <w:color w:val="000000"/>
          <w:szCs w:val="21"/>
          <w:highlight w:val="yellow"/>
        </w:rPr>
        <w:t>&gt;</w:t>
      </w:r>
    </w:p>
    <w:p w14:paraId="6857139E">
      <w:pPr>
        <w:pStyle w:val="28"/>
        <w:snapToGrid w:val="0"/>
        <w:spacing w:line="360" w:lineRule="auto"/>
        <w:ind w:left="315" w:leftChars="150" w:firstLine="0" w:firstLineChars="0"/>
        <w:rPr>
          <w:rFonts w:hint="eastAsia" w:ascii="宋体" w:hAnsi="宋体" w:eastAsia="宋体" w:cs="宋体"/>
          <w:szCs w:val="21"/>
          <w:u w:val="single"/>
        </w:rPr>
      </w:pPr>
      <w:r>
        <w:rPr>
          <w:rFonts w:hint="eastAsia" w:ascii="宋体" w:hAnsi="宋体" w:eastAsia="宋体" w:cs="宋体"/>
          <w:szCs w:val="21"/>
        </w:rPr>
        <w:sym w:font="Wingdings 2" w:char="00A3"/>
      </w:r>
      <w:r>
        <w:rPr>
          <w:rFonts w:hint="eastAsia" w:ascii="宋体" w:hAnsi="宋体" w:eastAsia="宋体" w:cs="宋体"/>
          <w:szCs w:val="21"/>
          <w:u w:val="single"/>
        </w:rPr>
        <w:t>有试运行期</w:t>
      </w:r>
      <w:r>
        <w:rPr>
          <w:rFonts w:hint="eastAsia" w:ascii="宋体" w:hAnsi="宋体" w:eastAsia="宋体" w:cs="宋体"/>
          <w:szCs w:val="21"/>
        </w:rPr>
        <w:t>，试运行期为***，试运行期间，如发现货物有缺陷，或性能和质量不符合本项目要求时，乙方须对相关货物进行更换和相应处理，同时试运行期时限按照上述修改、更正期进行相应顺延。</w:t>
      </w:r>
    </w:p>
    <w:p w14:paraId="690032DC">
      <w:pPr>
        <w:pStyle w:val="28"/>
        <w:snapToGrid w:val="0"/>
        <w:spacing w:line="360" w:lineRule="auto"/>
        <w:ind w:left="315" w:leftChars="150" w:firstLine="0" w:firstLineChars="0"/>
        <w:rPr>
          <w:rFonts w:hint="eastAsia" w:ascii="宋体" w:hAnsi="宋体" w:eastAsia="宋体" w:cs="宋体"/>
          <w:szCs w:val="21"/>
        </w:rPr>
      </w:pPr>
      <w:r>
        <w:rPr>
          <w:rFonts w:hint="eastAsia" w:ascii="宋体" w:hAnsi="宋体" w:eastAsia="宋体" w:cs="宋体"/>
          <w:szCs w:val="21"/>
        </w:rPr>
        <w:sym w:font="Wingdings 2" w:char="0052"/>
      </w:r>
      <w:r>
        <w:rPr>
          <w:rFonts w:hint="eastAsia" w:ascii="宋体" w:hAnsi="宋体" w:eastAsia="宋体" w:cs="宋体"/>
          <w:szCs w:val="21"/>
          <w:u w:val="single"/>
        </w:rPr>
        <w:t>无试运行期</w:t>
      </w:r>
    </w:p>
    <w:p w14:paraId="24F0DC15">
      <w:pPr>
        <w:pStyle w:val="28"/>
        <w:numPr>
          <w:ilvl w:val="0"/>
          <w:numId w:val="16"/>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若验收交付内容涉及试运行的，经试运行达到设计使用要求、技术质量标准并经甲方认可后视为验收通过。</w:t>
      </w:r>
    </w:p>
    <w:p w14:paraId="13670957">
      <w:pPr>
        <w:pStyle w:val="28"/>
        <w:numPr>
          <w:ilvl w:val="0"/>
          <w:numId w:val="16"/>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不能交付而须支付合同总价</w:t>
      </w:r>
      <w:r>
        <w:rPr>
          <w:rFonts w:hint="eastAsia" w:ascii="宋体" w:hAnsi="宋体" w:eastAsia="宋体" w:cs="宋体"/>
          <w:szCs w:val="21"/>
          <w:u w:val="single"/>
        </w:rPr>
        <w:t>10</w:t>
      </w:r>
      <w:r>
        <w:rPr>
          <w:rFonts w:hint="eastAsia" w:ascii="宋体" w:hAnsi="宋体" w:eastAsia="宋体" w:cs="宋体"/>
          <w:szCs w:val="21"/>
        </w:rPr>
        <w:t>%的违约金给甲方，违约金不能弥补甲方损失的，乙方应全额赔偿。</w:t>
      </w:r>
    </w:p>
    <w:p w14:paraId="17F01013">
      <w:pPr>
        <w:pStyle w:val="28"/>
        <w:numPr>
          <w:ilvl w:val="0"/>
          <w:numId w:val="12"/>
        </w:numPr>
        <w:snapToGrid w:val="0"/>
        <w:spacing w:line="360" w:lineRule="auto"/>
        <w:ind w:firstLineChars="0"/>
        <w:rPr>
          <w:rFonts w:hint="eastAsia" w:ascii="宋体" w:hAnsi="宋体" w:eastAsia="宋体" w:cs="宋体"/>
          <w:b/>
          <w:bCs/>
          <w:szCs w:val="21"/>
        </w:rPr>
      </w:pPr>
      <w:r>
        <w:rPr>
          <w:rFonts w:hint="eastAsia" w:ascii="宋体" w:hAnsi="宋体" w:eastAsia="宋体" w:cs="宋体"/>
          <w:b/>
          <w:bCs/>
          <w:szCs w:val="21"/>
        </w:rPr>
        <w:t>主体资格及知识产权</w:t>
      </w:r>
    </w:p>
    <w:p w14:paraId="31BC3B60">
      <w:pPr>
        <w:pStyle w:val="28"/>
        <w:numPr>
          <w:ilvl w:val="0"/>
          <w:numId w:val="19"/>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主体资格：</w:t>
      </w:r>
    </w:p>
    <w:p w14:paraId="58BD21EB">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4FBCE4E1">
      <w:pPr>
        <w:pStyle w:val="28"/>
        <w:numPr>
          <w:ilvl w:val="0"/>
          <w:numId w:val="19"/>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知识产权：</w:t>
      </w:r>
    </w:p>
    <w:p w14:paraId="62CDD38C">
      <w:pPr>
        <w:pStyle w:val="28"/>
        <w:numPr>
          <w:ilvl w:val="0"/>
          <w:numId w:val="20"/>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乙方必须保证，甲方在中华人民共和国境内使用货物或者货物的某一部分时，如有第三方向甲方提出侵犯其专利权、商标权或其他知识产权的主张，由此造成的一切责任由乙方承担。</w:t>
      </w:r>
    </w:p>
    <w:p w14:paraId="68C6D15B">
      <w:pPr>
        <w:pStyle w:val="28"/>
        <w:numPr>
          <w:ilvl w:val="0"/>
          <w:numId w:val="20"/>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本合同费用包含向所有权人支付的专利权、商标权或其他知识产权的有关费用及税费。</w:t>
      </w:r>
    </w:p>
    <w:p w14:paraId="26475E9C">
      <w:pPr>
        <w:pStyle w:val="28"/>
        <w:numPr>
          <w:ilvl w:val="0"/>
          <w:numId w:val="20"/>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乙方承诺向甲方提供的货物上安装的软件已获得软件厂商的正规授权。</w:t>
      </w:r>
    </w:p>
    <w:p w14:paraId="73ABD8A0">
      <w:pPr>
        <w:pStyle w:val="28"/>
        <w:numPr>
          <w:ilvl w:val="0"/>
          <w:numId w:val="20"/>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甲、乙双方共同研发的该系统软件产品，知识产权归甲、乙双方共同拥有，软件所有数据归甲方所有</w:t>
      </w:r>
    </w:p>
    <w:p w14:paraId="6FB515AF">
      <w:pPr>
        <w:pStyle w:val="28"/>
        <w:numPr>
          <w:ilvl w:val="0"/>
          <w:numId w:val="20"/>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36385765">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付款方式</w:t>
      </w:r>
    </w:p>
    <w:p w14:paraId="62E30D43">
      <w:pPr>
        <w:pStyle w:val="28"/>
        <w:numPr>
          <w:ilvl w:val="0"/>
          <w:numId w:val="21"/>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履约保证金：</w:t>
      </w:r>
    </w:p>
    <w:p w14:paraId="406647EF">
      <w:pPr>
        <w:pStyle w:val="16"/>
        <w:snapToGrid w:val="0"/>
        <w:spacing w:after="0" w:line="360" w:lineRule="auto"/>
        <w:ind w:left="420" w:leftChars="200" w:firstLine="0" w:firstLineChars="0"/>
        <w:contextualSpacing/>
        <w:rPr>
          <w:rFonts w:hint="eastAsia" w:ascii="宋体" w:hAnsi="宋体" w:eastAsia="宋体" w:cs="宋体"/>
          <w:color w:val="000000"/>
          <w:szCs w:val="21"/>
        </w:rPr>
      </w:pPr>
      <w:r>
        <w:rPr>
          <w:rFonts w:hint="eastAsia" w:ascii="宋体" w:hAnsi="宋体" w:eastAsia="宋体" w:cs="宋体"/>
          <w:color w:val="000000"/>
          <w:szCs w:val="21"/>
        </w:rPr>
        <w:sym w:font="Wingdings 2" w:char="F052"/>
      </w:r>
      <w:r>
        <w:rPr>
          <w:rFonts w:hint="eastAsia" w:ascii="宋体" w:hAnsi="宋体" w:eastAsia="宋体" w:cs="宋体"/>
          <w:color w:val="000000"/>
          <w:szCs w:val="21"/>
        </w:rPr>
        <w:t>乙方在合同签订生效之日起的***个工作日内，按合同总价***%支付履约保证金；货物自验收合格之日满1年，甲方接到乙方付款申请后30个工作日内，甲方一次性无息退还乙方的履约保证金；经验收后乙方履约不合格的，履约保证金不予退还。</w:t>
      </w:r>
    </w:p>
    <w:p w14:paraId="38C1F6D8">
      <w:pPr>
        <w:pStyle w:val="16"/>
        <w:snapToGrid w:val="0"/>
        <w:spacing w:after="0" w:line="360" w:lineRule="auto"/>
        <w:ind w:left="420" w:leftChars="200" w:firstLine="0" w:firstLineChars="0"/>
        <w:contextualSpacing/>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本合同不涉及履约保证金。</w:t>
      </w:r>
    </w:p>
    <w:p w14:paraId="660205E9">
      <w:pPr>
        <w:pStyle w:val="28"/>
        <w:numPr>
          <w:ilvl w:val="0"/>
          <w:numId w:val="21"/>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本合同价款采用以下方式支付，以人民币结算：</w:t>
      </w:r>
    </w:p>
    <w:p w14:paraId="2348664D">
      <w:pPr>
        <w:pStyle w:val="16"/>
        <w:snapToGrid w:val="0"/>
        <w:spacing w:after="0" w:line="360" w:lineRule="auto"/>
        <w:ind w:left="420" w:leftChars="200" w:firstLine="0" w:firstLineChars="0"/>
        <w:contextualSpacing/>
        <w:rPr>
          <w:rFonts w:hint="eastAsia" w:ascii="宋体" w:hAnsi="宋体" w:eastAsia="宋体" w:cs="宋体"/>
          <w:color w:val="000000"/>
          <w:szCs w:val="21"/>
        </w:rPr>
      </w:pPr>
      <w:r>
        <w:rPr>
          <w:rFonts w:hint="eastAsia" w:ascii="宋体" w:hAnsi="宋体" w:eastAsia="宋体" w:cs="宋体"/>
          <w:color w:val="000000"/>
          <w:szCs w:val="21"/>
        </w:rPr>
        <w:sym w:font="Wingdings 2" w:char="F052"/>
      </w:r>
      <w:r>
        <w:rPr>
          <w:rFonts w:hint="eastAsia" w:ascii="宋体" w:hAnsi="宋体" w:eastAsia="宋体" w:cs="宋体"/>
          <w:color w:val="000000"/>
          <w:szCs w:val="21"/>
        </w:rPr>
        <w:t>一次性支付：</w:t>
      </w:r>
    </w:p>
    <w:p w14:paraId="23DF0DB6">
      <w:pPr>
        <w:pStyle w:val="16"/>
        <w:snapToGrid w:val="0"/>
        <w:spacing w:after="0" w:line="360" w:lineRule="auto"/>
        <w:ind w:left="840" w:leftChars="400" w:firstLineChars="200"/>
        <w:contextualSpacing/>
        <w:rPr>
          <w:rFonts w:hint="eastAsia" w:ascii="宋体" w:hAnsi="宋体" w:eastAsia="宋体" w:cs="宋体"/>
          <w:color w:val="000000"/>
          <w:szCs w:val="21"/>
        </w:rPr>
      </w:pPr>
      <w:r>
        <w:rPr>
          <w:rFonts w:hint="eastAsia" w:ascii="宋体" w:hAnsi="宋体" w:eastAsia="宋体" w:cs="宋体"/>
          <w:color w:val="000000"/>
          <w:szCs w:val="21"/>
        </w:rPr>
        <w:t>甲方验收合格后5日内，乙方须向甲方出具</w:t>
      </w:r>
      <w:r>
        <w:rPr>
          <w:rFonts w:hint="eastAsia" w:ascii="宋体" w:hAnsi="宋体" w:eastAsia="宋体" w:cs="宋体"/>
          <w:lang w:bidi="ar"/>
        </w:rPr>
        <w:t>合法有效票据及其它相关请款资料</w:t>
      </w:r>
      <w:r>
        <w:rPr>
          <w:rFonts w:hint="eastAsia" w:ascii="宋体" w:hAnsi="宋体" w:eastAsia="宋体" w:cs="宋体"/>
          <w:color w:val="000000"/>
          <w:szCs w:val="21"/>
        </w:rPr>
        <w:t>，甲方自收到上述发票及凭证资料后55日内支付合同总价100%的货款给乙方。</w:t>
      </w:r>
    </w:p>
    <w:p w14:paraId="391FC0E9">
      <w:pPr>
        <w:pStyle w:val="16"/>
        <w:snapToGrid w:val="0"/>
        <w:spacing w:after="0" w:line="360" w:lineRule="auto"/>
        <w:ind w:left="420" w:leftChars="200" w:firstLine="0" w:firstLineChars="0"/>
        <w:contextualSpacing/>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分阶段支付，支付期限及额度如下：</w:t>
      </w:r>
    </w:p>
    <w:p w14:paraId="50794D66">
      <w:pPr>
        <w:pStyle w:val="16"/>
        <w:snapToGrid w:val="0"/>
        <w:spacing w:after="0" w:line="360" w:lineRule="auto"/>
        <w:ind w:left="840" w:leftChars="400" w:firstLine="0" w:firstLineChars="0"/>
        <w:contextualSpacing/>
        <w:jc w:val="left"/>
        <w:rPr>
          <w:rFonts w:hint="eastAsia" w:ascii="宋体" w:hAnsi="宋体" w:eastAsia="宋体" w:cs="宋体"/>
          <w:color w:val="000000"/>
          <w:szCs w:val="21"/>
        </w:rPr>
      </w:pPr>
      <w:r>
        <w:rPr>
          <w:rFonts w:hint="eastAsia" w:ascii="宋体" w:hAnsi="宋体" w:eastAsia="宋体" w:cs="宋体"/>
          <w:color w:val="000000"/>
          <w:szCs w:val="21"/>
        </w:rPr>
        <w:t>（1）预付款：本合同生效后***个工作日内，甲方预付项目费用总额的***%，即人民币（大写） *** 圆整（RMB *** 元）。</w:t>
      </w:r>
    </w:p>
    <w:p w14:paraId="4F5E1DAB">
      <w:pPr>
        <w:pStyle w:val="16"/>
        <w:snapToGrid w:val="0"/>
        <w:spacing w:after="0" w:line="360" w:lineRule="auto"/>
        <w:ind w:left="840" w:leftChars="400" w:firstLine="0" w:firstLineChars="0"/>
        <w:contextualSpacing/>
        <w:jc w:val="left"/>
        <w:rPr>
          <w:rFonts w:hint="eastAsia" w:ascii="宋体" w:hAnsi="宋体" w:eastAsia="宋体" w:cs="宋体"/>
          <w:color w:val="000000"/>
          <w:szCs w:val="21"/>
        </w:rPr>
      </w:pPr>
      <w:r>
        <w:rPr>
          <w:rFonts w:hint="eastAsia" w:ascii="宋体" w:hAnsi="宋体" w:eastAsia="宋体" w:cs="宋体"/>
          <w:color w:val="000000"/>
          <w:szCs w:val="21"/>
        </w:rPr>
        <w:t>（2）进度款，甲方应当按照下列方式支付进度款：</w:t>
      </w:r>
    </w:p>
    <w:p w14:paraId="310AC9B5">
      <w:pPr>
        <w:pStyle w:val="16"/>
        <w:snapToGrid w:val="0"/>
        <w:spacing w:after="0" w:line="360" w:lineRule="auto"/>
        <w:ind w:left="1260" w:leftChars="600" w:firstLine="0" w:firstLineChars="0"/>
        <w:contextualSpacing/>
        <w:jc w:val="left"/>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乙方按照本合同约定完成阶段性工作后，甲方应于每一阶段性工作成果验收合格之日起***个工作日内，向乙方支付相应的费用。</w:t>
      </w:r>
    </w:p>
    <w:p w14:paraId="6A5B011C">
      <w:pPr>
        <w:pStyle w:val="16"/>
        <w:snapToGrid w:val="0"/>
        <w:spacing w:after="0" w:line="360" w:lineRule="auto"/>
        <w:ind w:left="1260" w:leftChars="600" w:firstLine="0" w:firstLineChars="0"/>
        <w:contextualSpacing/>
        <w:jc w:val="left"/>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乙方完成***，甲方支付项目费用总额的***%，即 人民币（大写）*** 圆整（RMB *** 元）。</w:t>
      </w:r>
    </w:p>
    <w:p w14:paraId="5ACFB262">
      <w:pPr>
        <w:pStyle w:val="16"/>
        <w:snapToGrid w:val="0"/>
        <w:spacing w:after="0" w:line="360" w:lineRule="auto"/>
        <w:ind w:left="945" w:leftChars="400" w:hanging="105" w:hangingChars="50"/>
        <w:contextualSpacing/>
        <w:jc w:val="left"/>
        <w:rPr>
          <w:rFonts w:hint="eastAsia" w:ascii="宋体" w:hAnsi="宋体" w:eastAsia="宋体" w:cs="宋体"/>
          <w:color w:val="000000"/>
          <w:szCs w:val="21"/>
        </w:rPr>
      </w:pPr>
      <w:r>
        <w:rPr>
          <w:rFonts w:hint="eastAsia" w:ascii="宋体" w:hAnsi="宋体" w:eastAsia="宋体" w:cs="宋体"/>
          <w:color w:val="000000"/>
          <w:szCs w:val="21"/>
        </w:rPr>
        <w:t>（3）结算款：本项目竣工验收合格后***个工作日内，甲方向乙方支付剩余价款人民币（大写）*** 圆整（RMB *** 元）。</w:t>
      </w:r>
    </w:p>
    <w:p w14:paraId="5ECA8E00">
      <w:pPr>
        <w:pStyle w:val="28"/>
        <w:numPr>
          <w:ilvl w:val="0"/>
          <w:numId w:val="21"/>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甲方付款前，乙方需出具</w:t>
      </w:r>
      <w:r>
        <w:rPr>
          <w:rFonts w:hint="eastAsia" w:ascii="宋体" w:hAnsi="宋体" w:eastAsia="宋体" w:cs="宋体"/>
          <w:lang w:bidi="ar"/>
        </w:rPr>
        <w:t>合法有效票据及其它相关请款资料</w:t>
      </w:r>
      <w:r>
        <w:rPr>
          <w:rFonts w:hint="eastAsia" w:ascii="宋体" w:hAnsi="宋体" w:eastAsia="宋体" w:cs="宋体"/>
          <w:szCs w:val="21"/>
        </w:rPr>
        <w:t>，否则甲方有权拒绝支付且不承担任何违约责任，且乙方不得因此停止履约。</w:t>
      </w:r>
    </w:p>
    <w:p w14:paraId="60DAC050">
      <w:pPr>
        <w:pStyle w:val="28"/>
        <w:numPr>
          <w:ilvl w:val="0"/>
          <w:numId w:val="21"/>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乙方开票信息中的货物名称与合同中货物名称应一致。</w:t>
      </w:r>
    </w:p>
    <w:p w14:paraId="6D0848C6">
      <w:pPr>
        <w:pStyle w:val="28"/>
        <w:numPr>
          <w:ilvl w:val="0"/>
          <w:numId w:val="21"/>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乙方开票信息应与合同预留账户信息一致，如有变更，乙方应当在变更后3日内通知甲方，否则，由此造成的损失由乙方自行承担。</w:t>
      </w:r>
    </w:p>
    <w:p w14:paraId="16D89CBE">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售后服务</w:t>
      </w:r>
    </w:p>
    <w:p w14:paraId="78366A05">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乙方应对甲方工作人员进行培训：***</w:t>
      </w:r>
      <w:r>
        <w:rPr>
          <w:rFonts w:hint="eastAsia" w:ascii="宋体" w:hAnsi="宋体" w:eastAsia="宋体" w:cs="宋体"/>
          <w:i/>
          <w:iCs/>
          <w:szCs w:val="21"/>
          <w:highlight w:val="yellow"/>
        </w:rPr>
        <w:t>&lt;具体培训内容可根据项目具体情况编制&gt;</w:t>
      </w:r>
      <w:r>
        <w:rPr>
          <w:rFonts w:hint="eastAsia" w:ascii="宋体" w:hAnsi="宋体" w:eastAsia="宋体" w:cs="宋体"/>
        </w:rPr>
        <w:t>。</w:t>
      </w:r>
      <w:r>
        <w:rPr>
          <w:rFonts w:hint="eastAsia" w:ascii="宋体" w:hAnsi="宋体" w:eastAsia="宋体" w:cs="宋体"/>
          <w:szCs w:val="21"/>
        </w:rPr>
        <w:t>货物如需安装调试，乙方应在安装调试前和安装调试中对甲方有关人员进行技术培训（操作、机械、电器维修等），提供成套培训资料。并保证甲方受训技术人员熟练掌握操作方法，保证正常运行并能排除一般性故障。乙方应对甲方维修工程师进行全系统维修培训。</w:t>
      </w:r>
    </w:p>
    <w:p w14:paraId="5CC3E4B9">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质保期为验收合格后 *** 年（合同签订后甲方出具验收报告之日起）</w:t>
      </w:r>
    </w:p>
    <w:p w14:paraId="2A2DCCC6">
      <w:pPr>
        <w:pStyle w:val="28"/>
        <w:numPr>
          <w:ilvl w:val="0"/>
          <w:numId w:val="22"/>
        </w:numPr>
        <w:snapToGrid w:val="0"/>
        <w:spacing w:line="360" w:lineRule="auto"/>
        <w:ind w:firstLineChars="0"/>
        <w:contextualSpacing/>
        <w:rPr>
          <w:rFonts w:hint="eastAsia" w:ascii="宋体" w:hAnsi="宋体" w:eastAsia="宋体" w:cs="宋体"/>
          <w:szCs w:val="21"/>
        </w:rPr>
      </w:pPr>
      <w:r>
        <w:rPr>
          <w:rFonts w:hint="eastAsia" w:ascii="宋体" w:hAnsi="宋体" w:eastAsia="宋体" w:cs="宋体"/>
          <w:szCs w:val="21"/>
        </w:rPr>
        <w:t>质保范围：</w:t>
      </w:r>
      <w:r>
        <w:rPr>
          <w:rFonts w:hint="eastAsia" w:ascii="宋体" w:hAnsi="宋体" w:eastAsia="宋体" w:cs="宋体"/>
        </w:rPr>
        <w:t>整机含所有部件（质保期内涉及维修,产品更换,人工费用等一切费用包含在本合同总价中）。</w:t>
      </w:r>
      <w:r>
        <w:rPr>
          <w:rFonts w:hint="eastAsia" w:ascii="宋体" w:hAnsi="宋体" w:eastAsia="宋体" w:cs="宋体"/>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ascii="宋体" w:hAnsi="宋体" w:eastAsia="宋体" w:cs="宋体"/>
        </w:rPr>
        <w:t>货物在质保期内因同一故障</w:t>
      </w:r>
      <w:r>
        <w:rPr>
          <w:rFonts w:hint="eastAsia" w:ascii="宋体" w:hAnsi="宋体" w:eastAsia="宋体" w:cs="宋体"/>
          <w:szCs w:val="21"/>
        </w:rPr>
        <w:t>经乙方两次维修仍不能达到本合同约定的</w:t>
      </w:r>
      <w:r>
        <w:rPr>
          <w:rFonts w:hint="eastAsia" w:ascii="宋体" w:hAnsi="宋体" w:eastAsia="宋体" w:cs="宋体"/>
        </w:rPr>
        <w:t>技术要求及国家法律法规规定的</w:t>
      </w:r>
      <w:r>
        <w:rPr>
          <w:rFonts w:hint="eastAsia" w:ascii="宋体" w:hAnsi="宋体" w:eastAsia="宋体" w:cs="宋体"/>
          <w:szCs w:val="21"/>
        </w:rPr>
        <w:t>质量标准，甲方有权采取要求乙方更换全新货物或退货并追究乙方违约责任等措施。质保期内，如需更换零配件，乙方应保证所更换的零配件与原货物相同规格和品质，费用包括在合同总价中。</w:t>
      </w:r>
    </w:p>
    <w:p w14:paraId="4B6F6126">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乙方须指派专人负责与甲方联系售后服务事宜，联系人：***，联系电话：***。</w:t>
      </w:r>
    </w:p>
    <w:p w14:paraId="572D94FD">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rPr>
        <w:t>质保期内，货物因自身故障导致的停机率不应超过5%（一年按365天计算），否则乙方应就超出部分（乙方已提供备用机并保障甲方正常使用的时间，不计算为停机时间）按天数向甲方赔偿经济损失</w:t>
      </w:r>
      <w:r>
        <w:rPr>
          <w:rFonts w:hint="eastAsia" w:ascii="宋体" w:hAnsi="宋体" w:eastAsia="宋体" w:cs="宋体"/>
          <w:szCs w:val="21"/>
        </w:rPr>
        <w:t>。</w:t>
      </w:r>
    </w:p>
    <w:p w14:paraId="03072751">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若货物涉及计算机软件系统的，乙方有义务为甲方此后对货物完全的使用（含维护）提供便利及支持，包括但不限于源代码、密码的提供，乙方不得拒绝或收取额外费用。</w:t>
      </w:r>
    </w:p>
    <w:p w14:paraId="1FF2D9BD">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rPr>
        <w:t>质保期内，如货物因维修无法使用，乙方应根据甲方需要向甲方提供</w:t>
      </w:r>
      <w:r>
        <w:rPr>
          <w:rFonts w:hint="eastAsia" w:ascii="宋体" w:hAnsi="宋体" w:eastAsia="宋体" w:cs="宋体"/>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030F94F4">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售后服务涉及费用均包含在合同总价中。</w:t>
      </w:r>
    </w:p>
    <w:p w14:paraId="75F795A6">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质保期外，若出现停机或不能使用等故障，乙方应按维修响应要求提供相应的技术支持提供，如乙方未能按上述约定及时履行维修义务，甲方有权按实际经济损失要求赔偿并追究相应的法律责任。</w:t>
      </w:r>
    </w:p>
    <w:p w14:paraId="4F2D6E4F">
      <w:pPr>
        <w:pStyle w:val="28"/>
        <w:numPr>
          <w:ilvl w:val="0"/>
          <w:numId w:val="22"/>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因乙方原因不能够达到上述货物质保及售后服务的约定，按甲方实际无法使用货物的天数自动延长其质保期,甲方有权延后履约保证金的退还时间，并追究乙方因此引发的相应的法律责任。</w:t>
      </w:r>
    </w:p>
    <w:p w14:paraId="08F7C47B">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双方的权利和义务</w:t>
      </w:r>
    </w:p>
    <w:p w14:paraId="0F022362">
      <w:pPr>
        <w:pStyle w:val="28"/>
        <w:numPr>
          <w:ilvl w:val="0"/>
          <w:numId w:val="23"/>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甲方的权利和义务：</w:t>
      </w:r>
    </w:p>
    <w:p w14:paraId="42954B54">
      <w:pPr>
        <w:pStyle w:val="28"/>
        <w:numPr>
          <w:ilvl w:val="0"/>
          <w:numId w:val="24"/>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甲方有权获得乙方所提供的货物及相关服务。</w:t>
      </w:r>
    </w:p>
    <w:p w14:paraId="5704C825">
      <w:pPr>
        <w:pStyle w:val="28"/>
        <w:numPr>
          <w:ilvl w:val="0"/>
          <w:numId w:val="24"/>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甲方有权及时了解和监督乙方备货的进展情况。</w:t>
      </w:r>
    </w:p>
    <w:p w14:paraId="3F2C0EF9">
      <w:pPr>
        <w:pStyle w:val="28"/>
        <w:numPr>
          <w:ilvl w:val="0"/>
          <w:numId w:val="24"/>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甲方应向乙方提供完成货物安装、调试等所必需的资料和工作条件。</w:t>
      </w:r>
    </w:p>
    <w:p w14:paraId="5F3C7D4C">
      <w:pPr>
        <w:pStyle w:val="28"/>
        <w:numPr>
          <w:ilvl w:val="0"/>
          <w:numId w:val="24"/>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甲方应按照合同约定向乙方支付合同价款。</w:t>
      </w:r>
    </w:p>
    <w:p w14:paraId="7CA5DAFA">
      <w:pPr>
        <w:pStyle w:val="28"/>
        <w:numPr>
          <w:ilvl w:val="0"/>
          <w:numId w:val="23"/>
        </w:numPr>
        <w:snapToGrid w:val="0"/>
        <w:spacing w:line="360" w:lineRule="auto"/>
        <w:ind w:firstLineChars="0"/>
        <w:rPr>
          <w:rFonts w:hint="eastAsia" w:ascii="宋体" w:hAnsi="宋体" w:eastAsia="宋体" w:cs="宋体"/>
          <w:szCs w:val="21"/>
        </w:rPr>
      </w:pPr>
      <w:r>
        <w:rPr>
          <w:rFonts w:hint="eastAsia" w:ascii="宋体" w:hAnsi="宋体" w:eastAsia="宋体" w:cs="宋体"/>
          <w:szCs w:val="21"/>
        </w:rPr>
        <w:t>乙方的权利和义务：</w:t>
      </w:r>
    </w:p>
    <w:p w14:paraId="42B5B382">
      <w:pPr>
        <w:pStyle w:val="28"/>
        <w:numPr>
          <w:ilvl w:val="0"/>
          <w:numId w:val="2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乙方有权按照本合同约定收取合同价款。</w:t>
      </w:r>
    </w:p>
    <w:p w14:paraId="2BEB6183">
      <w:pPr>
        <w:pStyle w:val="28"/>
        <w:numPr>
          <w:ilvl w:val="0"/>
          <w:numId w:val="2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乙方有权要求甲方提供货物安装、调试所必需的资料和工作条件。</w:t>
      </w:r>
    </w:p>
    <w:p w14:paraId="491FDD72">
      <w:pPr>
        <w:pStyle w:val="28"/>
        <w:numPr>
          <w:ilvl w:val="0"/>
          <w:numId w:val="2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乙方应派遣身体健康、有相关工作经验和相应技能的技术人员到甲方现场并提供安装、调试、测试、试运行、维护及培训等技术服务，该技术服务费用包括在本合同总价内。</w:t>
      </w:r>
    </w:p>
    <w:p w14:paraId="5F776D08">
      <w:pPr>
        <w:pStyle w:val="28"/>
        <w:numPr>
          <w:ilvl w:val="0"/>
          <w:numId w:val="2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7BBD12B6">
      <w:pPr>
        <w:pStyle w:val="28"/>
        <w:numPr>
          <w:ilvl w:val="0"/>
          <w:numId w:val="2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1470F666">
      <w:pPr>
        <w:pStyle w:val="28"/>
        <w:numPr>
          <w:ilvl w:val="0"/>
          <w:numId w:val="2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乙方保证其所交付的货物不存在任何权利瑕疵，如任何第三方就乙方交付的货物向甲方提起侵权索赔，乙方应负责与第三方交涉，并承担由此引起的一切法律责任，相关费用由乙方承担。</w:t>
      </w:r>
    </w:p>
    <w:p w14:paraId="70F0AA70">
      <w:pPr>
        <w:pStyle w:val="28"/>
        <w:numPr>
          <w:ilvl w:val="0"/>
          <w:numId w:val="2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2B8F4332">
      <w:pPr>
        <w:pStyle w:val="28"/>
        <w:numPr>
          <w:ilvl w:val="0"/>
          <w:numId w:val="25"/>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乙方对依照本合同向甲方提供的货物在安装、调试、使用、维修、保养等过程中所获得的所有数据及甲方商业秘密或其它技术及经营信息均负有保密义务，不得向任何第三方透露或泄露。</w:t>
      </w:r>
    </w:p>
    <w:p w14:paraId="0682B98C">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违约责任</w:t>
      </w:r>
      <w:r>
        <w:rPr>
          <w:rFonts w:hint="eastAsia" w:ascii="宋体" w:hAnsi="宋体" w:eastAsia="宋体" w:cs="宋体"/>
          <w:i/>
          <w:iCs/>
          <w:szCs w:val="21"/>
          <w:highlight w:val="yellow"/>
        </w:rPr>
        <w:t>&lt;本条款中违约金比例可根据项目实际情况确定&gt;</w:t>
      </w:r>
    </w:p>
    <w:p w14:paraId="49599DA3">
      <w:pPr>
        <w:pStyle w:val="28"/>
        <w:snapToGrid w:val="0"/>
        <w:spacing w:line="360" w:lineRule="auto"/>
        <w:ind w:firstLine="0" w:firstLineChars="0"/>
        <w:rPr>
          <w:rFonts w:hint="eastAsia" w:ascii="宋体" w:hAnsi="宋体" w:eastAsia="宋体" w:cs="宋体"/>
          <w:szCs w:val="21"/>
        </w:rPr>
      </w:pPr>
      <w:r>
        <w:rPr>
          <w:rFonts w:hint="eastAsia" w:ascii="宋体" w:hAnsi="宋体" w:eastAsia="宋体" w:cs="宋体"/>
          <w:szCs w:val="21"/>
        </w:rPr>
        <w:t>1.甲方违约责任：甲方无正当理由拒收货物的，甲方应偿付</w:t>
      </w:r>
      <w:r>
        <w:rPr>
          <w:rFonts w:hint="eastAsia" w:ascii="宋体" w:hAnsi="宋体" w:eastAsia="宋体" w:cs="宋体"/>
          <w:szCs w:val="21"/>
          <w:lang w:eastAsia="zh-CN"/>
        </w:rPr>
        <w:t>合同支付上限</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作为违约金。</w:t>
      </w:r>
    </w:p>
    <w:p w14:paraId="70AF9659">
      <w:pPr>
        <w:pStyle w:val="28"/>
        <w:snapToGrid w:val="0"/>
        <w:spacing w:line="360" w:lineRule="auto"/>
        <w:ind w:firstLine="0" w:firstLineChars="0"/>
        <w:rPr>
          <w:rFonts w:hint="eastAsia" w:ascii="宋体" w:hAnsi="宋体" w:eastAsia="宋体" w:cs="宋体"/>
          <w:szCs w:val="21"/>
        </w:rPr>
      </w:pPr>
      <w:r>
        <w:rPr>
          <w:rFonts w:hint="eastAsia" w:ascii="宋体" w:hAnsi="宋体" w:eastAsia="宋体" w:cs="宋体"/>
          <w:szCs w:val="21"/>
        </w:rPr>
        <w:t>2.乙方违约责任：</w:t>
      </w:r>
    </w:p>
    <w:p w14:paraId="092851B1">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乙方拒绝交付货物，或交付的货物经两次验收仍不符合本合同约定的验收标准，甲方有权解除合同，乙方须向甲方支付</w:t>
      </w:r>
      <w:r>
        <w:rPr>
          <w:rFonts w:hint="eastAsia" w:ascii="宋体" w:hAnsi="宋体" w:eastAsia="宋体" w:cs="宋体"/>
          <w:szCs w:val="21"/>
          <w:lang w:eastAsia="zh-CN"/>
        </w:rPr>
        <w:t>合同支付上限</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%作为违约金，并承担其它相应的经济损失，乙方已缴纳的履约保证金不予退还</w:t>
      </w:r>
      <w:r>
        <w:rPr>
          <w:rFonts w:hint="eastAsia" w:ascii="宋体" w:hAnsi="宋体" w:eastAsia="宋体" w:cs="宋体"/>
          <w:szCs w:val="21"/>
          <w:lang w:eastAsia="zh-CN"/>
        </w:rPr>
        <w:t>。</w:t>
      </w:r>
    </w:p>
    <w:p w14:paraId="2E460F10">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质保期内出现质量问题，</w:t>
      </w:r>
      <w:r>
        <w:rPr>
          <w:rFonts w:hint="eastAsia" w:ascii="宋体" w:hAnsi="宋体" w:eastAsia="宋体" w:cs="宋体"/>
        </w:rPr>
        <w:t>因同一故障经乙方两次维修</w:t>
      </w:r>
      <w:r>
        <w:rPr>
          <w:rFonts w:hint="eastAsia" w:ascii="宋体" w:hAnsi="宋体" w:eastAsia="宋体" w:cs="宋体"/>
          <w:szCs w:val="21"/>
        </w:rPr>
        <w:t>仍不能达到合同约定的功能要求和技术指标，甲方有权解除合同并要求退货，乙方按照</w:t>
      </w:r>
      <w:r>
        <w:rPr>
          <w:rFonts w:hint="eastAsia" w:ascii="宋体" w:hAnsi="宋体" w:eastAsia="宋体" w:cs="宋体"/>
          <w:szCs w:val="21"/>
          <w:lang w:eastAsia="zh-CN"/>
        </w:rPr>
        <w:t>合同支付上限</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%向甲方支付违约金</w:t>
      </w:r>
      <w:r>
        <w:rPr>
          <w:rFonts w:hint="eastAsia" w:ascii="宋体" w:hAnsi="宋体" w:eastAsia="宋体" w:cs="宋体"/>
          <w:szCs w:val="21"/>
          <w:lang w:eastAsia="zh-CN"/>
        </w:rPr>
        <w:t>，乙方已缴纳的履约保证金不予退还</w:t>
      </w:r>
      <w:r>
        <w:rPr>
          <w:rFonts w:hint="eastAsia" w:ascii="宋体" w:hAnsi="宋体" w:eastAsia="宋体" w:cs="宋体"/>
          <w:szCs w:val="21"/>
        </w:rPr>
        <w:t>。</w:t>
      </w:r>
    </w:p>
    <w:p w14:paraId="5D8E6013">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因乙方原因逾期交付，每逾期一天，须向甲方支付</w:t>
      </w:r>
      <w:r>
        <w:rPr>
          <w:rFonts w:hint="eastAsia" w:ascii="宋体" w:hAnsi="宋体" w:eastAsia="宋体" w:cs="宋体"/>
          <w:szCs w:val="21"/>
          <w:lang w:eastAsia="zh-CN"/>
        </w:rPr>
        <w:t>合同支付上限</w:t>
      </w:r>
      <w:r>
        <w:rPr>
          <w:rFonts w:hint="eastAsia" w:ascii="宋体" w:hAnsi="宋体" w:eastAsia="宋体" w:cs="宋体"/>
          <w:szCs w:val="21"/>
        </w:rPr>
        <w:t>的</w:t>
      </w:r>
      <w:r>
        <w:rPr>
          <w:rFonts w:hint="eastAsia" w:ascii="宋体" w:hAnsi="宋体" w:eastAsia="宋体" w:cs="宋体"/>
          <w:szCs w:val="21"/>
          <w:u w:val="single"/>
          <w:lang w:val="en-US" w:eastAsia="zh-CN"/>
        </w:rPr>
        <w:t>3</w:t>
      </w:r>
      <w:r>
        <w:rPr>
          <w:rFonts w:hint="eastAsia" w:ascii="宋体" w:hAnsi="宋体" w:eastAsia="宋体" w:cs="宋体"/>
          <w:szCs w:val="21"/>
        </w:rPr>
        <w:t>‰作为违约金。因乙方原因逾期交货超过</w:t>
      </w:r>
      <w:r>
        <w:rPr>
          <w:rFonts w:hint="eastAsia" w:ascii="宋体" w:hAnsi="宋体" w:eastAsia="宋体" w:cs="宋体"/>
          <w:szCs w:val="21"/>
          <w:u w:val="single"/>
        </w:rPr>
        <w:t>10</w:t>
      </w:r>
      <w:r>
        <w:rPr>
          <w:rFonts w:hint="eastAsia" w:ascii="宋体" w:hAnsi="宋体" w:eastAsia="宋体" w:cs="宋体"/>
          <w:szCs w:val="21"/>
        </w:rPr>
        <w:t>天，甲方有权单方面解除合同，乙方须按</w:t>
      </w:r>
      <w:r>
        <w:rPr>
          <w:rFonts w:hint="eastAsia" w:ascii="宋体" w:hAnsi="宋体" w:eastAsia="宋体" w:cs="宋体"/>
          <w:szCs w:val="21"/>
          <w:lang w:eastAsia="zh-CN"/>
        </w:rPr>
        <w:t>合同支付上限</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%向甲方支付违约金，乙方已缴纳的履约保证金不予退还</w:t>
      </w:r>
      <w:r>
        <w:rPr>
          <w:rFonts w:hint="eastAsia" w:ascii="宋体" w:hAnsi="宋体" w:eastAsia="宋体" w:cs="宋体"/>
          <w:szCs w:val="21"/>
          <w:lang w:eastAsia="zh-CN"/>
        </w:rPr>
        <w:t>。</w:t>
      </w:r>
    </w:p>
    <w:p w14:paraId="1747F48A">
      <w:pPr>
        <w:pStyle w:val="28"/>
        <w:numPr>
          <w:ilvl w:val="0"/>
          <w:numId w:val="26"/>
        </w:numPr>
        <w:snapToGrid w:val="0"/>
        <w:spacing w:line="360" w:lineRule="auto"/>
        <w:ind w:left="525" w:hanging="525" w:hangingChars="250"/>
        <w:rPr>
          <w:rFonts w:hint="eastAsia" w:ascii="宋体" w:hAnsi="宋体" w:eastAsia="宋体" w:cs="宋体"/>
          <w:szCs w:val="21"/>
        </w:rPr>
      </w:pPr>
      <w:bookmarkStart w:id="96" w:name="OLE_LINK18"/>
      <w:bookmarkStart w:id="97" w:name="OLE_LINK17"/>
      <w:r>
        <w:rPr>
          <w:rFonts w:hint="eastAsia" w:ascii="宋体" w:hAnsi="宋体" w:eastAsia="宋体" w:cs="宋体"/>
          <w:szCs w:val="21"/>
        </w:rPr>
        <w:t>乙方未按合同约定及时履行培训及维护义务时，每发生一次，乙方应按</w:t>
      </w:r>
      <w:r>
        <w:rPr>
          <w:rFonts w:hint="eastAsia" w:ascii="宋体" w:hAnsi="宋体" w:eastAsia="宋体" w:cs="宋体"/>
          <w:szCs w:val="21"/>
          <w:lang w:eastAsia="zh-CN"/>
        </w:rPr>
        <w:t>合同支付上限</w:t>
      </w:r>
      <w:r>
        <w:rPr>
          <w:rFonts w:hint="eastAsia" w:ascii="宋体" w:hAnsi="宋体" w:eastAsia="宋体" w:cs="宋体"/>
          <w:szCs w:val="21"/>
        </w:rPr>
        <w:t>的</w:t>
      </w:r>
      <w:r>
        <w:rPr>
          <w:rFonts w:hint="eastAsia" w:ascii="宋体" w:hAnsi="宋体" w:eastAsia="宋体" w:cs="宋体"/>
          <w:szCs w:val="21"/>
          <w:u w:val="single"/>
          <w:lang w:val="en-US" w:eastAsia="zh-CN"/>
        </w:rPr>
        <w:t>3</w:t>
      </w:r>
      <w:r>
        <w:rPr>
          <w:rFonts w:hint="eastAsia" w:ascii="宋体" w:hAnsi="宋体" w:eastAsia="宋体" w:cs="宋体"/>
          <w:szCs w:val="21"/>
        </w:rPr>
        <w:t>‰向甲方支付违约金，乙方支付违约金的同时，仍有义务对甲方进行培训及对货物进行维护。</w:t>
      </w:r>
    </w:p>
    <w:p w14:paraId="25B4FBF4">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乙方违反保密义务，甲方有权单方解除合同，乙方应按甲方实际损失向甲方进行赔偿并向甲方支付</w:t>
      </w:r>
      <w:r>
        <w:rPr>
          <w:rFonts w:hint="eastAsia" w:ascii="宋体" w:hAnsi="宋体" w:eastAsia="宋体" w:cs="宋体"/>
          <w:szCs w:val="21"/>
          <w:lang w:eastAsia="zh-CN"/>
        </w:rPr>
        <w:t>合同支付上限</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%作为违约金。</w:t>
      </w:r>
    </w:p>
    <w:bookmarkEnd w:id="96"/>
    <w:bookmarkEnd w:id="97"/>
    <w:p w14:paraId="59534100">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乙方偿付的违约金不足以弥补甲方损失的，还应按甲方损失尚未弥补的部分，支付赔偿金给甲方。</w:t>
      </w:r>
    </w:p>
    <w:p w14:paraId="67E035C9">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乙方交付货物因质量问题导致甲方及第三方人身、财产损失的，乙方承担由此造成的全部法律责任</w:t>
      </w:r>
      <w:r>
        <w:rPr>
          <w:rFonts w:hint="eastAsia" w:ascii="宋体" w:hAnsi="宋体" w:eastAsia="宋体" w:cs="宋体"/>
          <w:szCs w:val="21"/>
          <w:lang w:eastAsia="zh-CN"/>
        </w:rPr>
        <w:t>，乙方已缴纳的履约保证金不予退还</w:t>
      </w:r>
      <w:r>
        <w:rPr>
          <w:rFonts w:hint="eastAsia" w:ascii="宋体" w:hAnsi="宋体" w:eastAsia="宋体" w:cs="宋体"/>
          <w:szCs w:val="21"/>
        </w:rPr>
        <w:t>。</w:t>
      </w:r>
    </w:p>
    <w:p w14:paraId="4A5D4F85">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乙方未按照本合同约定的时限提供合法发票或提供发票瑕疵（包括但不限于发票种类有误、发票金额有误等），甲方付款时限相应顺延并不承担任何延期支付的违约责任。</w:t>
      </w:r>
    </w:p>
    <w:p w14:paraId="054349F9">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乙方在安装、调试及售后服务过程中，因未按规程操作、未采取必要的安全防范措施等原因直接或间接造成甲方及第三方人身、财产损失的，由乙方承担由此造成的全部法律责任</w:t>
      </w:r>
      <w:r>
        <w:rPr>
          <w:rFonts w:hint="eastAsia" w:ascii="宋体" w:hAnsi="宋体" w:eastAsia="宋体" w:cs="宋体"/>
          <w:szCs w:val="21"/>
          <w:lang w:eastAsia="zh-CN"/>
        </w:rPr>
        <w:t>，乙方已缴纳的履约保证金不予退还</w:t>
      </w:r>
      <w:r>
        <w:rPr>
          <w:rFonts w:hint="eastAsia" w:ascii="宋体" w:hAnsi="宋体" w:eastAsia="宋体" w:cs="宋体"/>
          <w:szCs w:val="21"/>
        </w:rPr>
        <w:t>。</w:t>
      </w:r>
    </w:p>
    <w:p w14:paraId="37BEA60A">
      <w:pPr>
        <w:pStyle w:val="28"/>
        <w:numPr>
          <w:ilvl w:val="0"/>
          <w:numId w:val="26"/>
        </w:numPr>
        <w:snapToGrid w:val="0"/>
        <w:spacing w:line="360" w:lineRule="auto"/>
        <w:ind w:left="525" w:hanging="525" w:hangingChars="250"/>
        <w:rPr>
          <w:rFonts w:hint="eastAsia" w:ascii="宋体" w:hAnsi="宋体" w:eastAsia="宋体" w:cs="宋体"/>
          <w:szCs w:val="21"/>
        </w:rPr>
      </w:pPr>
      <w:r>
        <w:rPr>
          <w:rFonts w:hint="eastAsia" w:ascii="宋体" w:hAnsi="宋体" w:eastAsia="宋体" w:cs="宋体"/>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FD5610B">
      <w:pPr>
        <w:pStyle w:val="28"/>
        <w:snapToGrid w:val="0"/>
        <w:spacing w:line="360" w:lineRule="auto"/>
        <w:ind w:firstLine="0" w:firstLineChars="0"/>
        <w:rPr>
          <w:rFonts w:hint="eastAsia" w:ascii="宋体" w:hAnsi="宋体" w:eastAsia="宋体" w:cs="宋体"/>
          <w:szCs w:val="21"/>
        </w:rPr>
      </w:pPr>
      <w:r>
        <w:rPr>
          <w:rFonts w:hint="eastAsia" w:ascii="宋体" w:hAnsi="宋体" w:eastAsia="宋体" w:cs="宋体"/>
          <w:szCs w:val="21"/>
        </w:rPr>
        <w:t>3.本合同履行中如有任何一方违约，那么守约方为保障自己合法权益而产生的律师费、诉讼费、差旅费、公告费等，均由违约方承担。</w:t>
      </w:r>
    </w:p>
    <w:p w14:paraId="372D4CC7">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不可抗力</w:t>
      </w:r>
    </w:p>
    <w:p w14:paraId="7C5B6983">
      <w:pPr>
        <w:pStyle w:val="28"/>
        <w:snapToGrid w:val="0"/>
        <w:spacing w:line="360" w:lineRule="auto"/>
        <w:rPr>
          <w:rFonts w:hint="eastAsia" w:ascii="宋体" w:hAnsi="宋体" w:eastAsia="宋体" w:cs="宋体"/>
          <w:bCs/>
          <w:szCs w:val="21"/>
        </w:rPr>
      </w:pPr>
      <w:r>
        <w:rPr>
          <w:rFonts w:hint="eastAsia" w:ascii="宋体" w:hAnsi="宋体" w:eastAsia="宋体" w:cs="宋体"/>
          <w:bCs/>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Cs w:val="21"/>
          <w:lang w:val="en-US" w:eastAsia="zh-CN"/>
        </w:rPr>
        <w:t>30</w:t>
      </w:r>
      <w:r>
        <w:rPr>
          <w:rFonts w:hint="eastAsia" w:ascii="宋体" w:hAnsi="宋体" w:eastAsia="宋体" w:cs="宋体"/>
          <w:bCs/>
          <w:szCs w:val="21"/>
        </w:rPr>
        <w:t>日，甲方有权解除合同，双方互不承担违约责任。</w:t>
      </w:r>
    </w:p>
    <w:p w14:paraId="157DF0AE">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争议解决办法</w:t>
      </w:r>
    </w:p>
    <w:p w14:paraId="22C79DFD">
      <w:pPr>
        <w:pStyle w:val="28"/>
        <w:numPr>
          <w:ilvl w:val="0"/>
          <w:numId w:val="27"/>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因货物的质量问题发生争议，由质量技术监督部门或其指定的质量鉴定机构进行质量鉴定。货物符合标准的，鉴定费由甲方承担；货物不符合质量标准的，鉴定费由乙方承担。</w:t>
      </w:r>
    </w:p>
    <w:p w14:paraId="670E28D2">
      <w:pPr>
        <w:pStyle w:val="28"/>
        <w:numPr>
          <w:ilvl w:val="0"/>
          <w:numId w:val="27"/>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合同履行期间,若双方发生争议，可协商或由有关部门调解解决，协商或调解不成的，任何一方均有权向甲方所在地具有管辖权的人民法院起诉。</w:t>
      </w:r>
    </w:p>
    <w:p w14:paraId="4FA1AB45">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送达（送达地址是司法机关、执法机关和仲裁机关将法律文书送达给当事人的收件地址）</w:t>
      </w:r>
    </w:p>
    <w:p w14:paraId="0900FD4A">
      <w:pPr>
        <w:pStyle w:val="33"/>
        <w:numPr>
          <w:ilvl w:val="0"/>
          <w:numId w:val="28"/>
        </w:numPr>
        <w:snapToGrid w:val="0"/>
        <w:spacing w:line="360" w:lineRule="auto"/>
        <w:ind w:left="0" w:firstLine="0"/>
        <w:rPr>
          <w:rFonts w:hint="eastAsia" w:ascii="宋体" w:hAnsi="宋体" w:eastAsia="宋体" w:cs="宋体"/>
          <w:color w:val="auto"/>
        </w:rPr>
      </w:pPr>
      <w:r>
        <w:rPr>
          <w:rFonts w:hint="eastAsia" w:ascii="宋体" w:hAnsi="宋体" w:eastAsia="宋体" w:cs="宋体"/>
          <w:color w:val="auto"/>
        </w:rPr>
        <w:t>甲方送达地址：四川省成都市青羊区一环路西二段32号。</w:t>
      </w:r>
    </w:p>
    <w:p w14:paraId="130AE59B">
      <w:pPr>
        <w:pStyle w:val="33"/>
        <w:numPr>
          <w:ilvl w:val="0"/>
          <w:numId w:val="28"/>
        </w:numPr>
        <w:snapToGrid w:val="0"/>
        <w:spacing w:line="360" w:lineRule="auto"/>
        <w:ind w:left="0" w:firstLine="0"/>
        <w:rPr>
          <w:rFonts w:hint="eastAsia" w:ascii="宋体" w:hAnsi="宋体" w:eastAsia="宋体" w:cs="宋体"/>
          <w:color w:val="auto"/>
        </w:rPr>
      </w:pPr>
      <w:r>
        <w:rPr>
          <w:rFonts w:hint="eastAsia" w:ascii="宋体" w:hAnsi="宋体" w:eastAsia="宋体" w:cs="宋体"/>
          <w:color w:val="auto"/>
        </w:rPr>
        <w:t>乙方送达地址：***</w:t>
      </w:r>
    </w:p>
    <w:p w14:paraId="35C1B847">
      <w:pPr>
        <w:pStyle w:val="33"/>
        <w:numPr>
          <w:ilvl w:val="0"/>
          <w:numId w:val="28"/>
        </w:numPr>
        <w:snapToGrid w:val="0"/>
        <w:spacing w:line="360" w:lineRule="auto"/>
        <w:ind w:left="0" w:firstLine="0"/>
        <w:rPr>
          <w:rFonts w:hint="eastAsia" w:ascii="宋体" w:hAnsi="宋体" w:eastAsia="宋体" w:cs="宋体"/>
          <w:color w:val="auto"/>
        </w:rPr>
      </w:pPr>
      <w:r>
        <w:rPr>
          <w:rFonts w:hint="eastAsia" w:ascii="宋体" w:hAnsi="宋体" w:eastAsia="宋体" w:cs="宋体"/>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74BBC094">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其他</w:t>
      </w:r>
    </w:p>
    <w:p w14:paraId="4DD8C84C">
      <w:pPr>
        <w:pStyle w:val="28"/>
        <w:numPr>
          <w:ilvl w:val="0"/>
          <w:numId w:val="29"/>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如有未尽事宜，由双方依法订立补充合同。补充合同及本合同附件均为本合同的组成部分，与本合同具有同等法律效力。</w:t>
      </w:r>
    </w:p>
    <w:p w14:paraId="048A6CB5">
      <w:pPr>
        <w:pStyle w:val="28"/>
        <w:numPr>
          <w:ilvl w:val="0"/>
          <w:numId w:val="29"/>
        </w:numPr>
        <w:snapToGrid w:val="0"/>
        <w:spacing w:line="360" w:lineRule="auto"/>
        <w:ind w:left="0" w:firstLine="0" w:firstLineChars="0"/>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lang w:val="en-US" w:eastAsia="zh-CN"/>
        </w:rPr>
        <w:t>五</w:t>
      </w:r>
      <w:r>
        <w:rPr>
          <w:rFonts w:hint="eastAsia" w:ascii="宋体" w:hAnsi="宋体" w:eastAsia="宋体" w:cs="宋体"/>
          <w:szCs w:val="21"/>
        </w:rPr>
        <w:t>份，自双方签字且盖章之日起生效。甲方</w:t>
      </w:r>
      <w:r>
        <w:rPr>
          <w:rFonts w:hint="eastAsia" w:ascii="宋体" w:hAnsi="宋体" w:eastAsia="宋体" w:cs="宋体"/>
          <w:szCs w:val="21"/>
          <w:lang w:val="en-US" w:eastAsia="zh-CN"/>
        </w:rPr>
        <w:t>四</w:t>
      </w:r>
      <w:r>
        <w:rPr>
          <w:rFonts w:hint="eastAsia" w:ascii="宋体" w:hAnsi="宋体" w:eastAsia="宋体" w:cs="宋体"/>
          <w:szCs w:val="21"/>
        </w:rPr>
        <w:t>份，乙方一份。</w:t>
      </w:r>
    </w:p>
    <w:p w14:paraId="18EDDB56">
      <w:pPr>
        <w:pStyle w:val="28"/>
        <w:numPr>
          <w:ilvl w:val="0"/>
          <w:numId w:val="12"/>
        </w:numPr>
        <w:snapToGrid w:val="0"/>
        <w:spacing w:line="360" w:lineRule="auto"/>
        <w:ind w:left="0" w:firstLine="0" w:firstLineChars="0"/>
        <w:rPr>
          <w:rFonts w:hint="eastAsia" w:ascii="宋体" w:hAnsi="宋体" w:eastAsia="宋体" w:cs="宋体"/>
          <w:b/>
          <w:bCs/>
          <w:szCs w:val="21"/>
        </w:rPr>
      </w:pPr>
      <w:r>
        <w:rPr>
          <w:rFonts w:hint="eastAsia" w:ascii="宋体" w:hAnsi="宋体" w:eastAsia="宋体" w:cs="宋体"/>
          <w:b/>
          <w:bCs/>
          <w:szCs w:val="21"/>
        </w:rPr>
        <w:t>合同附件</w:t>
      </w:r>
    </w:p>
    <w:p w14:paraId="427626C2">
      <w:pPr>
        <w:snapToGrid w:val="0"/>
        <w:spacing w:line="360" w:lineRule="auto"/>
        <w:rPr>
          <w:rFonts w:hint="eastAsia" w:ascii="宋体" w:hAnsi="宋体" w:eastAsia="宋体" w:cs="宋体"/>
          <w:szCs w:val="21"/>
        </w:rPr>
      </w:pPr>
      <w:r>
        <w:rPr>
          <w:rFonts w:hint="eastAsia" w:ascii="宋体" w:hAnsi="宋体" w:eastAsia="宋体" w:cs="宋体"/>
          <w:szCs w:val="21"/>
        </w:rPr>
        <w:t>附件1：配置清单</w:t>
      </w:r>
    </w:p>
    <w:p w14:paraId="0E390053">
      <w:pPr>
        <w:snapToGrid w:val="0"/>
        <w:spacing w:line="360" w:lineRule="auto"/>
        <w:jc w:val="left"/>
        <w:rPr>
          <w:rFonts w:hint="eastAsia" w:ascii="宋体" w:hAnsi="宋体" w:eastAsia="宋体" w:cs="宋体"/>
          <w:szCs w:val="21"/>
        </w:rPr>
      </w:pPr>
      <w:r>
        <w:rPr>
          <w:rFonts w:hint="eastAsia" w:ascii="宋体" w:hAnsi="宋体" w:eastAsia="宋体" w:cs="宋体"/>
          <w:szCs w:val="21"/>
        </w:rPr>
        <w:t>附件2：货物技术参数</w:t>
      </w:r>
    </w:p>
    <w:p w14:paraId="31F69D99">
      <w:pPr>
        <w:spacing w:line="360" w:lineRule="auto"/>
        <w:jc w:val="center"/>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 w:val="18"/>
          <w:szCs w:val="18"/>
        </w:rPr>
        <w:t>以下无正文</w:t>
      </w:r>
      <w:r>
        <w:rPr>
          <w:rFonts w:hint="eastAsia" w:ascii="宋体" w:hAnsi="宋体" w:eastAsia="宋体" w:cs="宋体"/>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6849D974">
        <w:tblPrEx>
          <w:tblCellMar>
            <w:top w:w="0" w:type="dxa"/>
            <w:left w:w="0" w:type="dxa"/>
            <w:bottom w:w="0" w:type="dxa"/>
            <w:right w:w="0" w:type="dxa"/>
          </w:tblCellMar>
        </w:tblPrEx>
        <w:trPr>
          <w:trHeight w:val="519" w:hRule="atLeast"/>
          <w:jc w:val="center"/>
        </w:trPr>
        <w:tc>
          <w:tcPr>
            <w:tcW w:w="10214" w:type="dxa"/>
            <w:gridSpan w:val="2"/>
            <w:noWrap w:val="0"/>
            <w:vAlign w:val="top"/>
          </w:tcPr>
          <w:p w14:paraId="45056EDD">
            <w:pPr>
              <w:spacing w:line="360" w:lineRule="auto"/>
              <w:rPr>
                <w:rFonts w:hint="eastAsia" w:ascii="宋体" w:hAnsi="宋体" w:eastAsia="宋体" w:cs="宋体"/>
                <w:szCs w:val="21"/>
              </w:rPr>
            </w:pPr>
            <w:r>
              <w:rPr>
                <w:rFonts w:hint="eastAsia" w:ascii="宋体" w:hAnsi="宋体" w:eastAsia="宋体" w:cs="宋体"/>
                <w:szCs w:val="21"/>
              </w:rPr>
              <w:t>签订时间：</w:t>
            </w:r>
            <w:r>
              <w:rPr>
                <w:rFonts w:hint="eastAsia" w:ascii="宋体" w:hAnsi="宋体" w:eastAsia="宋体" w:cs="宋体"/>
              </w:rPr>
              <w:t>202*</w:t>
            </w:r>
            <w:r>
              <w:rPr>
                <w:rFonts w:hint="eastAsia" w:ascii="宋体" w:hAnsi="宋体" w:eastAsia="宋体" w:cs="宋体"/>
                <w:szCs w:val="21"/>
              </w:rPr>
              <w:t>年</w:t>
            </w:r>
            <w:permStart w:id="29" w:edGrp="everyone"/>
            <w:r>
              <w:rPr>
                <w:rFonts w:hint="eastAsia" w:ascii="宋体" w:hAnsi="宋体" w:eastAsia="宋体" w:cs="宋体"/>
                <w:szCs w:val="21"/>
              </w:rPr>
              <w:t>***</w:t>
            </w:r>
            <w:permEnd w:id="29"/>
            <w:r>
              <w:rPr>
                <w:rFonts w:hint="eastAsia" w:ascii="宋体" w:hAnsi="宋体" w:eastAsia="宋体" w:cs="宋体"/>
                <w:szCs w:val="21"/>
              </w:rPr>
              <w:t>月</w:t>
            </w:r>
            <w:permStart w:id="30" w:edGrp="everyone"/>
            <w:r>
              <w:rPr>
                <w:rFonts w:hint="eastAsia" w:ascii="宋体" w:hAnsi="宋体" w:eastAsia="宋体" w:cs="宋体"/>
                <w:szCs w:val="21"/>
              </w:rPr>
              <w:t>***日</w:t>
            </w:r>
            <w:permEnd w:id="30"/>
          </w:p>
        </w:tc>
      </w:tr>
      <w:tr w14:paraId="6E5E90B1">
        <w:tblPrEx>
          <w:tblCellMar>
            <w:top w:w="0" w:type="dxa"/>
            <w:left w:w="0" w:type="dxa"/>
            <w:bottom w:w="0" w:type="dxa"/>
            <w:right w:w="0" w:type="dxa"/>
          </w:tblCellMar>
        </w:tblPrEx>
        <w:trPr>
          <w:jc w:val="center"/>
        </w:trPr>
        <w:tc>
          <w:tcPr>
            <w:tcW w:w="4967" w:type="dxa"/>
            <w:noWrap w:val="0"/>
            <w:vAlign w:val="top"/>
          </w:tcPr>
          <w:p w14:paraId="742377C8">
            <w:pPr>
              <w:spacing w:line="360" w:lineRule="auto"/>
              <w:rPr>
                <w:rFonts w:hint="eastAsia" w:ascii="宋体" w:hAnsi="宋体" w:eastAsia="宋体" w:cs="宋体"/>
                <w:szCs w:val="21"/>
              </w:rPr>
            </w:pPr>
            <w:r>
              <w:rPr>
                <w:rFonts w:hint="eastAsia" w:ascii="宋体" w:hAnsi="宋体" w:eastAsia="宋体" w:cs="宋体"/>
                <w:szCs w:val="21"/>
              </w:rPr>
              <w:t>甲方：四川省人民医院（盖章）</w:t>
            </w:r>
          </w:p>
          <w:p w14:paraId="3B4FB646">
            <w:pPr>
              <w:spacing w:line="360" w:lineRule="auto"/>
              <w:rPr>
                <w:rFonts w:hint="eastAsia" w:ascii="宋体" w:hAnsi="宋体" w:eastAsia="宋体" w:cs="宋体"/>
                <w:szCs w:val="21"/>
              </w:rPr>
            </w:pPr>
            <w:r>
              <w:rPr>
                <w:rFonts w:hint="eastAsia" w:ascii="宋体" w:hAnsi="宋体" w:eastAsia="宋体" w:cs="宋体"/>
                <w:szCs w:val="21"/>
              </w:rPr>
              <w:t>法定代表人（授权代表签字）：</w:t>
            </w:r>
          </w:p>
          <w:p w14:paraId="503C42C9">
            <w:pPr>
              <w:spacing w:line="360" w:lineRule="auto"/>
              <w:rPr>
                <w:rFonts w:hint="eastAsia" w:ascii="宋体" w:hAnsi="宋体" w:eastAsia="宋体" w:cs="宋体"/>
                <w:szCs w:val="21"/>
              </w:rPr>
            </w:pPr>
            <w:r>
              <w:rPr>
                <w:rFonts w:hint="eastAsia" w:ascii="宋体" w:hAnsi="宋体" w:eastAsia="宋体" w:cs="宋体"/>
                <w:szCs w:val="21"/>
              </w:rPr>
              <w:t>地    址：四川省成都市一环路西二段32号</w:t>
            </w:r>
          </w:p>
          <w:p w14:paraId="184CF191">
            <w:pPr>
              <w:spacing w:line="360" w:lineRule="auto"/>
              <w:rPr>
                <w:rFonts w:hint="eastAsia" w:ascii="宋体" w:hAnsi="宋体" w:eastAsia="宋体" w:cs="宋体"/>
                <w:szCs w:val="21"/>
              </w:rPr>
            </w:pPr>
            <w:r>
              <w:rPr>
                <w:rFonts w:hint="eastAsia" w:ascii="宋体" w:hAnsi="宋体" w:eastAsia="宋体" w:cs="宋体"/>
                <w:szCs w:val="21"/>
              </w:rPr>
              <w:t>开户银行：建设银行成都青羊支行</w:t>
            </w:r>
          </w:p>
          <w:p w14:paraId="01FEB144">
            <w:pPr>
              <w:spacing w:line="360" w:lineRule="auto"/>
              <w:rPr>
                <w:rFonts w:hint="eastAsia" w:ascii="宋体" w:hAnsi="宋体" w:eastAsia="宋体" w:cs="宋体"/>
                <w:szCs w:val="21"/>
              </w:rPr>
            </w:pPr>
            <w:r>
              <w:rPr>
                <w:rFonts w:hint="eastAsia" w:ascii="宋体" w:hAnsi="宋体" w:eastAsia="宋体" w:cs="宋体"/>
                <w:szCs w:val="21"/>
              </w:rPr>
              <w:t>账号：5100 1446 4360 5037 4282</w:t>
            </w:r>
          </w:p>
        </w:tc>
        <w:tc>
          <w:tcPr>
            <w:tcW w:w="5247" w:type="dxa"/>
            <w:noWrap w:val="0"/>
            <w:vAlign w:val="top"/>
          </w:tcPr>
          <w:p w14:paraId="0C44EA6F">
            <w:pPr>
              <w:spacing w:line="360" w:lineRule="auto"/>
              <w:rPr>
                <w:rFonts w:hint="eastAsia" w:ascii="宋体" w:hAnsi="宋体" w:eastAsia="宋体" w:cs="宋体"/>
                <w:szCs w:val="21"/>
              </w:rPr>
            </w:pPr>
            <w:r>
              <w:rPr>
                <w:rFonts w:hint="eastAsia" w:ascii="宋体" w:hAnsi="宋体" w:eastAsia="宋体" w:cs="宋体"/>
                <w:szCs w:val="21"/>
              </w:rPr>
              <w:t>乙方：</w:t>
            </w:r>
            <w:permStart w:id="31" w:edGrp="everyone"/>
            <w:r>
              <w:rPr>
                <w:rFonts w:hint="eastAsia" w:ascii="宋体" w:hAnsi="宋体" w:eastAsia="宋体" w:cs="宋体"/>
                <w:szCs w:val="21"/>
              </w:rPr>
              <w:t>***</w:t>
            </w:r>
            <w:permEnd w:id="31"/>
            <w:r>
              <w:rPr>
                <w:rFonts w:hint="eastAsia" w:ascii="宋体" w:hAnsi="宋体" w:eastAsia="宋体" w:cs="宋体"/>
                <w:szCs w:val="21"/>
              </w:rPr>
              <w:t>（盖章）</w:t>
            </w:r>
          </w:p>
          <w:p w14:paraId="522CBC9C">
            <w:pPr>
              <w:spacing w:line="360" w:lineRule="auto"/>
              <w:rPr>
                <w:rFonts w:hint="eastAsia" w:ascii="宋体" w:hAnsi="宋体" w:eastAsia="宋体" w:cs="宋体"/>
                <w:szCs w:val="21"/>
              </w:rPr>
            </w:pPr>
            <w:r>
              <w:rPr>
                <w:rFonts w:hint="eastAsia" w:ascii="宋体" w:hAnsi="宋体" w:eastAsia="宋体" w:cs="宋体"/>
                <w:szCs w:val="21"/>
              </w:rPr>
              <w:t>法定代表人（授权代表签字）：</w:t>
            </w:r>
          </w:p>
          <w:p w14:paraId="6FF8537D">
            <w:pPr>
              <w:spacing w:line="360" w:lineRule="auto"/>
              <w:rPr>
                <w:rFonts w:hint="eastAsia" w:ascii="宋体" w:hAnsi="宋体" w:eastAsia="宋体" w:cs="宋体"/>
                <w:szCs w:val="21"/>
              </w:rPr>
            </w:pPr>
            <w:r>
              <w:rPr>
                <w:rFonts w:hint="eastAsia" w:ascii="宋体" w:hAnsi="宋体" w:eastAsia="宋体" w:cs="宋体"/>
                <w:szCs w:val="21"/>
              </w:rPr>
              <w:t>地址：</w:t>
            </w:r>
            <w:permStart w:id="32" w:edGrp="everyone"/>
            <w:r>
              <w:rPr>
                <w:rFonts w:hint="eastAsia" w:ascii="宋体" w:hAnsi="宋体" w:eastAsia="宋体" w:cs="宋体"/>
                <w:szCs w:val="21"/>
              </w:rPr>
              <w:t>***</w:t>
            </w:r>
            <w:permEnd w:id="32"/>
          </w:p>
          <w:p w14:paraId="138362F7">
            <w:pPr>
              <w:spacing w:line="360" w:lineRule="auto"/>
              <w:rPr>
                <w:rFonts w:hint="eastAsia" w:ascii="宋体" w:hAnsi="宋体" w:eastAsia="宋体" w:cs="宋体"/>
                <w:szCs w:val="21"/>
              </w:rPr>
            </w:pPr>
            <w:r>
              <w:rPr>
                <w:rFonts w:hint="eastAsia" w:ascii="宋体" w:hAnsi="宋体" w:eastAsia="宋体" w:cs="宋体"/>
                <w:szCs w:val="21"/>
              </w:rPr>
              <w:t>开户银行：</w:t>
            </w:r>
            <w:permStart w:id="33" w:edGrp="everyone"/>
            <w:r>
              <w:rPr>
                <w:rFonts w:hint="eastAsia" w:ascii="宋体" w:hAnsi="宋体" w:eastAsia="宋体" w:cs="宋体"/>
                <w:szCs w:val="21"/>
              </w:rPr>
              <w:t>***</w:t>
            </w:r>
          </w:p>
          <w:permEnd w:id="33"/>
          <w:p w14:paraId="57618CAF">
            <w:pPr>
              <w:widowControl/>
              <w:spacing w:line="360" w:lineRule="auto"/>
              <w:jc w:val="left"/>
              <w:rPr>
                <w:rFonts w:hint="eastAsia" w:ascii="宋体" w:hAnsi="宋体" w:eastAsia="宋体" w:cs="宋体"/>
              </w:rPr>
            </w:pPr>
            <w:r>
              <w:rPr>
                <w:rFonts w:hint="eastAsia" w:ascii="宋体" w:hAnsi="宋体" w:eastAsia="宋体" w:cs="宋体"/>
                <w:szCs w:val="21"/>
              </w:rPr>
              <w:t>账号：</w:t>
            </w:r>
            <w:permStart w:id="34" w:edGrp="everyone"/>
            <w:r>
              <w:rPr>
                <w:rFonts w:hint="eastAsia" w:ascii="宋体" w:hAnsi="宋体" w:eastAsia="宋体" w:cs="宋体"/>
                <w:szCs w:val="21"/>
              </w:rPr>
              <w:t>***</w:t>
            </w:r>
            <w:permEnd w:id="34"/>
          </w:p>
        </w:tc>
      </w:tr>
    </w:tbl>
    <w:p w14:paraId="01610AEA">
      <w:pPr>
        <w:rPr>
          <w:rFonts w:hint="eastAsia" w:ascii="宋体" w:hAnsi="宋体" w:eastAsia="宋体" w:cs="宋体"/>
          <w:b/>
          <w:bCs/>
          <w:szCs w:val="21"/>
        </w:rPr>
      </w:pPr>
      <w:r>
        <w:rPr>
          <w:rFonts w:hint="eastAsia" w:ascii="宋体" w:hAnsi="宋体" w:eastAsia="宋体" w:cs="宋体"/>
          <w:b/>
          <w:bCs/>
          <w:szCs w:val="21"/>
        </w:rPr>
        <w:br w:type="page"/>
      </w:r>
    </w:p>
    <w:p w14:paraId="1D428BF2">
      <w:pPr>
        <w:widowControl/>
        <w:spacing w:line="360" w:lineRule="auto"/>
        <w:jc w:val="left"/>
        <w:rPr>
          <w:rFonts w:hint="eastAsia" w:ascii="宋体" w:hAnsi="宋体" w:eastAsia="宋体" w:cs="宋体"/>
          <w:b/>
          <w:bCs/>
          <w:szCs w:val="21"/>
        </w:rPr>
      </w:pPr>
      <w:r>
        <w:rPr>
          <w:rFonts w:hint="eastAsia" w:ascii="宋体" w:hAnsi="宋体" w:eastAsia="宋体" w:cs="宋体"/>
          <w:b/>
          <w:bCs/>
          <w:szCs w:val="21"/>
        </w:rPr>
        <w:t>附件1：配置清单</w:t>
      </w:r>
    </w:p>
    <w:p w14:paraId="1504B343">
      <w:pPr>
        <w:pStyle w:val="2"/>
        <w:spacing w:line="360" w:lineRule="auto"/>
        <w:rPr>
          <w:rFonts w:hint="eastAsia" w:ascii="宋体" w:hAnsi="宋体" w:eastAsia="宋体" w:cs="宋体"/>
        </w:rPr>
      </w:pPr>
    </w:p>
    <w:p w14:paraId="112138ED">
      <w:pPr>
        <w:spacing w:line="360" w:lineRule="auto"/>
        <w:rPr>
          <w:rFonts w:hint="eastAsia" w:ascii="宋体" w:hAnsi="宋体" w:eastAsia="宋体" w:cs="宋体"/>
          <w:szCs w:val="21"/>
        </w:rPr>
      </w:pPr>
      <w:r>
        <w:rPr>
          <w:rFonts w:hint="eastAsia" w:ascii="宋体" w:hAnsi="宋体" w:eastAsia="宋体" w:cs="宋体"/>
          <w:szCs w:val="21"/>
        </w:rPr>
        <w:t>注：本合同第一条中写明的货物均须单独填写配置清单。</w:t>
      </w:r>
    </w:p>
    <w:p w14:paraId="23140B70">
      <w:pPr>
        <w:spacing w:line="360" w:lineRule="auto"/>
        <w:rPr>
          <w:rFonts w:hint="eastAsia" w:ascii="宋体" w:hAnsi="宋体" w:eastAsia="宋体" w:cs="宋体"/>
          <w:szCs w:val="21"/>
        </w:rPr>
      </w:pPr>
      <w:r>
        <w:rPr>
          <w:rFonts w:hint="eastAsia" w:ascii="宋体" w:hAnsi="宋体" w:eastAsia="宋体" w:cs="宋体"/>
          <w:szCs w:val="21"/>
        </w:rPr>
        <w:t>序号1：货物名称：</w:t>
      </w:r>
      <w:permStart w:id="35" w:edGrp="everyone"/>
      <w:r>
        <w:rPr>
          <w:rFonts w:hint="eastAsia" w:ascii="宋体" w:hAnsi="宋体" w:eastAsia="宋体" w:cs="宋体"/>
          <w:szCs w:val="21"/>
        </w:rPr>
        <w:t>***</w:t>
      </w:r>
      <w:permEnd w:id="35"/>
    </w:p>
    <w:p w14:paraId="2F171C04">
      <w:pPr>
        <w:spacing w:line="360" w:lineRule="auto"/>
        <w:rPr>
          <w:rFonts w:hint="eastAsia" w:ascii="宋体" w:hAnsi="宋体" w:eastAsia="宋体" w:cs="宋体"/>
          <w:szCs w:val="21"/>
        </w:rPr>
      </w:pPr>
      <w:r>
        <w:rPr>
          <w:rFonts w:hint="eastAsia" w:ascii="宋体" w:hAnsi="宋体" w:eastAsia="宋体" w:cs="宋体"/>
          <w:szCs w:val="21"/>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4"/>
        <w:gridCol w:w="2845"/>
        <w:gridCol w:w="2415"/>
        <w:gridCol w:w="1446"/>
        <w:gridCol w:w="1305"/>
        <w:gridCol w:w="1022"/>
      </w:tblGrid>
      <w:tr w14:paraId="33ADE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A8E7A09">
            <w:pPr>
              <w:spacing w:line="360" w:lineRule="auto"/>
              <w:contextualSpacing/>
              <w:jc w:val="center"/>
              <w:outlineLvl w:val="0"/>
              <w:rPr>
                <w:rFonts w:hint="eastAsia" w:ascii="宋体" w:hAnsi="宋体" w:eastAsia="宋体" w:cs="宋体"/>
                <w:b/>
                <w:kern w:val="0"/>
                <w:szCs w:val="21"/>
              </w:rPr>
            </w:pPr>
            <w:r>
              <w:rPr>
                <w:rFonts w:hint="eastAsia" w:ascii="宋体" w:hAnsi="宋体" w:eastAsia="宋体" w:cs="宋体"/>
                <w:b/>
                <w:kern w:val="0"/>
                <w:szCs w:val="21"/>
              </w:rPr>
              <w:t>序号</w:t>
            </w:r>
          </w:p>
        </w:tc>
        <w:tc>
          <w:tcPr>
            <w:tcW w:w="3073" w:type="dxa"/>
            <w:noWrap w:val="0"/>
            <w:vAlign w:val="center"/>
          </w:tcPr>
          <w:p w14:paraId="29B83303">
            <w:pPr>
              <w:spacing w:line="360" w:lineRule="auto"/>
              <w:contextualSpacing/>
              <w:jc w:val="center"/>
              <w:outlineLvl w:val="0"/>
              <w:rPr>
                <w:rFonts w:hint="eastAsia" w:ascii="宋体" w:hAnsi="宋体" w:eastAsia="宋体" w:cs="宋体"/>
                <w:b/>
                <w:kern w:val="0"/>
                <w:szCs w:val="21"/>
              </w:rPr>
            </w:pPr>
            <w:r>
              <w:rPr>
                <w:rFonts w:hint="eastAsia" w:ascii="宋体" w:hAnsi="宋体" w:eastAsia="宋体" w:cs="宋体"/>
                <w:b/>
                <w:kern w:val="0"/>
                <w:szCs w:val="21"/>
              </w:rPr>
              <w:t>组件名称</w:t>
            </w:r>
          </w:p>
        </w:tc>
        <w:tc>
          <w:tcPr>
            <w:tcW w:w="2609" w:type="dxa"/>
            <w:noWrap w:val="0"/>
            <w:vAlign w:val="center"/>
          </w:tcPr>
          <w:p w14:paraId="50872004">
            <w:pPr>
              <w:spacing w:line="360" w:lineRule="auto"/>
              <w:contextualSpacing/>
              <w:jc w:val="center"/>
              <w:outlineLvl w:val="0"/>
              <w:rPr>
                <w:rFonts w:hint="eastAsia" w:ascii="宋体" w:hAnsi="宋体" w:eastAsia="宋体" w:cs="宋体"/>
                <w:b/>
                <w:kern w:val="0"/>
                <w:szCs w:val="21"/>
              </w:rPr>
            </w:pPr>
            <w:r>
              <w:rPr>
                <w:rFonts w:hint="eastAsia" w:ascii="宋体" w:hAnsi="宋体" w:eastAsia="宋体" w:cs="宋体"/>
                <w:b/>
                <w:kern w:val="0"/>
                <w:szCs w:val="21"/>
              </w:rPr>
              <w:t>型号/规格（如有）</w:t>
            </w:r>
          </w:p>
        </w:tc>
        <w:tc>
          <w:tcPr>
            <w:tcW w:w="1562" w:type="dxa"/>
            <w:noWrap w:val="0"/>
            <w:vAlign w:val="center"/>
          </w:tcPr>
          <w:p w14:paraId="782EF69C">
            <w:pPr>
              <w:spacing w:line="360" w:lineRule="auto"/>
              <w:contextualSpacing/>
              <w:jc w:val="center"/>
              <w:outlineLvl w:val="0"/>
              <w:rPr>
                <w:rFonts w:hint="eastAsia" w:ascii="宋体" w:hAnsi="宋体" w:eastAsia="宋体" w:cs="宋体"/>
                <w:b/>
                <w:kern w:val="0"/>
                <w:szCs w:val="21"/>
              </w:rPr>
            </w:pPr>
            <w:r>
              <w:rPr>
                <w:rFonts w:hint="eastAsia" w:ascii="宋体" w:hAnsi="宋体" w:eastAsia="宋体" w:cs="宋体"/>
                <w:b/>
                <w:kern w:val="0"/>
                <w:szCs w:val="21"/>
              </w:rPr>
              <w:t>单位</w:t>
            </w:r>
          </w:p>
        </w:tc>
        <w:tc>
          <w:tcPr>
            <w:tcW w:w="1410" w:type="dxa"/>
            <w:noWrap w:val="0"/>
            <w:vAlign w:val="center"/>
          </w:tcPr>
          <w:p w14:paraId="13CC9623">
            <w:pPr>
              <w:spacing w:line="360" w:lineRule="auto"/>
              <w:contextualSpacing/>
              <w:jc w:val="center"/>
              <w:outlineLvl w:val="0"/>
              <w:rPr>
                <w:rFonts w:hint="eastAsia" w:ascii="宋体" w:hAnsi="宋体" w:eastAsia="宋体" w:cs="宋体"/>
                <w:b/>
                <w:kern w:val="0"/>
                <w:szCs w:val="21"/>
              </w:rPr>
            </w:pPr>
            <w:r>
              <w:rPr>
                <w:rFonts w:hint="eastAsia" w:ascii="宋体" w:hAnsi="宋体" w:eastAsia="宋体" w:cs="宋体"/>
                <w:b/>
                <w:kern w:val="0"/>
                <w:szCs w:val="21"/>
              </w:rPr>
              <w:t>数量</w:t>
            </w:r>
          </w:p>
        </w:tc>
        <w:tc>
          <w:tcPr>
            <w:tcW w:w="1104" w:type="dxa"/>
            <w:noWrap w:val="0"/>
            <w:vAlign w:val="center"/>
          </w:tcPr>
          <w:p w14:paraId="29424753">
            <w:pPr>
              <w:spacing w:line="360" w:lineRule="auto"/>
              <w:contextualSpacing/>
              <w:jc w:val="center"/>
              <w:outlineLvl w:val="0"/>
              <w:rPr>
                <w:rFonts w:hint="eastAsia" w:ascii="宋体" w:hAnsi="宋体" w:eastAsia="宋体" w:cs="宋体"/>
                <w:b/>
                <w:kern w:val="0"/>
                <w:szCs w:val="21"/>
              </w:rPr>
            </w:pPr>
            <w:r>
              <w:rPr>
                <w:rFonts w:hint="eastAsia" w:ascii="宋体" w:hAnsi="宋体" w:eastAsia="宋体" w:cs="宋体"/>
                <w:b/>
                <w:kern w:val="0"/>
                <w:szCs w:val="21"/>
              </w:rPr>
              <w:t>备注</w:t>
            </w:r>
          </w:p>
        </w:tc>
      </w:tr>
      <w:tr w14:paraId="0EC7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5E66D08A">
            <w:pPr>
              <w:pStyle w:val="2"/>
              <w:spacing w:after="0" w:line="360" w:lineRule="auto"/>
              <w:contextualSpacing/>
              <w:jc w:val="center"/>
              <w:rPr>
                <w:rFonts w:hint="eastAsia" w:ascii="宋体" w:hAnsi="宋体" w:eastAsia="宋体" w:cs="宋体"/>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hint="eastAsia" w:ascii="宋体" w:hAnsi="宋体" w:eastAsia="宋体" w:cs="宋体"/>
                <w:szCs w:val="21"/>
              </w:rPr>
              <w:t>1</w:t>
            </w:r>
          </w:p>
        </w:tc>
        <w:tc>
          <w:tcPr>
            <w:tcW w:w="3073" w:type="dxa"/>
            <w:noWrap w:val="0"/>
            <w:vAlign w:val="center"/>
          </w:tcPr>
          <w:p w14:paraId="54518FC1">
            <w:pPr>
              <w:pStyle w:val="2"/>
              <w:spacing w:after="0" w:line="360" w:lineRule="auto"/>
              <w:contextualSpacing/>
              <w:rPr>
                <w:rFonts w:hint="eastAsia" w:ascii="宋体" w:hAnsi="宋体" w:eastAsia="宋体" w:cs="宋体"/>
                <w:b/>
                <w:bCs/>
                <w:szCs w:val="21"/>
              </w:rPr>
            </w:pPr>
          </w:p>
        </w:tc>
        <w:tc>
          <w:tcPr>
            <w:tcW w:w="2609" w:type="dxa"/>
            <w:noWrap w:val="0"/>
            <w:vAlign w:val="center"/>
          </w:tcPr>
          <w:p w14:paraId="368D0798">
            <w:pPr>
              <w:pStyle w:val="2"/>
              <w:spacing w:after="0" w:line="360" w:lineRule="auto"/>
              <w:contextualSpacing/>
              <w:rPr>
                <w:rFonts w:hint="eastAsia" w:ascii="宋体" w:hAnsi="宋体" w:eastAsia="宋体" w:cs="宋体"/>
                <w:b/>
                <w:bCs/>
                <w:szCs w:val="21"/>
              </w:rPr>
            </w:pPr>
          </w:p>
        </w:tc>
        <w:tc>
          <w:tcPr>
            <w:tcW w:w="1562" w:type="dxa"/>
            <w:noWrap w:val="0"/>
            <w:vAlign w:val="center"/>
          </w:tcPr>
          <w:p w14:paraId="15E72DF9">
            <w:pPr>
              <w:pStyle w:val="2"/>
              <w:spacing w:after="0" w:line="360" w:lineRule="auto"/>
              <w:contextualSpacing/>
              <w:rPr>
                <w:rFonts w:hint="eastAsia" w:ascii="宋体" w:hAnsi="宋体" w:eastAsia="宋体" w:cs="宋体"/>
                <w:b/>
                <w:bCs/>
                <w:szCs w:val="21"/>
              </w:rPr>
            </w:pPr>
          </w:p>
        </w:tc>
        <w:tc>
          <w:tcPr>
            <w:tcW w:w="1410" w:type="dxa"/>
            <w:noWrap w:val="0"/>
            <w:vAlign w:val="center"/>
          </w:tcPr>
          <w:p w14:paraId="57A72F92">
            <w:pPr>
              <w:pStyle w:val="2"/>
              <w:spacing w:after="0" w:line="360" w:lineRule="auto"/>
              <w:contextualSpacing/>
              <w:rPr>
                <w:rFonts w:hint="eastAsia" w:ascii="宋体" w:hAnsi="宋体" w:eastAsia="宋体" w:cs="宋体"/>
                <w:b/>
                <w:bCs/>
                <w:szCs w:val="21"/>
              </w:rPr>
            </w:pPr>
          </w:p>
        </w:tc>
        <w:tc>
          <w:tcPr>
            <w:tcW w:w="1104" w:type="dxa"/>
            <w:noWrap w:val="0"/>
            <w:vAlign w:val="center"/>
          </w:tcPr>
          <w:p w14:paraId="38597E4F">
            <w:pPr>
              <w:spacing w:line="360" w:lineRule="auto"/>
              <w:contextualSpacing/>
              <w:rPr>
                <w:rFonts w:hint="eastAsia" w:ascii="宋体" w:hAnsi="宋体" w:eastAsia="宋体" w:cs="宋体"/>
                <w:b/>
                <w:bCs/>
                <w:szCs w:val="21"/>
              </w:rPr>
            </w:pPr>
          </w:p>
        </w:tc>
      </w:tr>
      <w:permEnd w:id="36"/>
      <w:permEnd w:id="37"/>
      <w:permEnd w:id="38"/>
      <w:permEnd w:id="39"/>
      <w:permEnd w:id="40"/>
      <w:permEnd w:id="41"/>
      <w:tr w14:paraId="23D4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76397FFA">
            <w:pPr>
              <w:pStyle w:val="2"/>
              <w:spacing w:after="0" w:line="360" w:lineRule="auto"/>
              <w:contextualSpacing/>
              <w:jc w:val="center"/>
              <w:rPr>
                <w:rFonts w:hint="eastAsia" w:ascii="宋体" w:hAnsi="宋体" w:eastAsia="宋体" w:cs="宋体"/>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hint="eastAsia" w:ascii="宋体" w:hAnsi="宋体" w:eastAsia="宋体" w:cs="宋体"/>
                <w:szCs w:val="21"/>
              </w:rPr>
              <w:t>2</w:t>
            </w:r>
          </w:p>
        </w:tc>
        <w:tc>
          <w:tcPr>
            <w:tcW w:w="3073" w:type="dxa"/>
            <w:noWrap w:val="0"/>
            <w:vAlign w:val="center"/>
          </w:tcPr>
          <w:p w14:paraId="2F2A7DF3">
            <w:pPr>
              <w:pStyle w:val="2"/>
              <w:spacing w:after="0" w:line="360" w:lineRule="auto"/>
              <w:contextualSpacing/>
              <w:rPr>
                <w:rFonts w:hint="eastAsia" w:ascii="宋体" w:hAnsi="宋体" w:eastAsia="宋体" w:cs="宋体"/>
                <w:b/>
                <w:bCs/>
                <w:szCs w:val="21"/>
              </w:rPr>
            </w:pPr>
          </w:p>
        </w:tc>
        <w:tc>
          <w:tcPr>
            <w:tcW w:w="2609" w:type="dxa"/>
            <w:noWrap w:val="0"/>
            <w:vAlign w:val="center"/>
          </w:tcPr>
          <w:p w14:paraId="6E24939A">
            <w:pPr>
              <w:pStyle w:val="2"/>
              <w:spacing w:after="0" w:line="360" w:lineRule="auto"/>
              <w:contextualSpacing/>
              <w:rPr>
                <w:rFonts w:hint="eastAsia" w:ascii="宋体" w:hAnsi="宋体" w:eastAsia="宋体" w:cs="宋体"/>
                <w:b/>
                <w:bCs/>
                <w:szCs w:val="21"/>
              </w:rPr>
            </w:pPr>
          </w:p>
        </w:tc>
        <w:tc>
          <w:tcPr>
            <w:tcW w:w="1562" w:type="dxa"/>
            <w:noWrap w:val="0"/>
            <w:vAlign w:val="center"/>
          </w:tcPr>
          <w:p w14:paraId="72764082">
            <w:pPr>
              <w:spacing w:line="360" w:lineRule="auto"/>
              <w:contextualSpacing/>
              <w:rPr>
                <w:rFonts w:hint="eastAsia" w:ascii="宋体" w:hAnsi="宋体" w:eastAsia="宋体" w:cs="宋体"/>
                <w:b/>
                <w:bCs/>
                <w:szCs w:val="21"/>
              </w:rPr>
            </w:pPr>
          </w:p>
        </w:tc>
        <w:tc>
          <w:tcPr>
            <w:tcW w:w="1410" w:type="dxa"/>
            <w:noWrap w:val="0"/>
            <w:vAlign w:val="center"/>
          </w:tcPr>
          <w:p w14:paraId="52258878">
            <w:pPr>
              <w:spacing w:line="360" w:lineRule="auto"/>
              <w:contextualSpacing/>
              <w:rPr>
                <w:rFonts w:hint="eastAsia" w:ascii="宋体" w:hAnsi="宋体" w:eastAsia="宋体" w:cs="宋体"/>
                <w:b/>
                <w:bCs/>
                <w:szCs w:val="21"/>
              </w:rPr>
            </w:pPr>
          </w:p>
        </w:tc>
        <w:tc>
          <w:tcPr>
            <w:tcW w:w="1104" w:type="dxa"/>
            <w:noWrap w:val="0"/>
            <w:vAlign w:val="center"/>
          </w:tcPr>
          <w:p w14:paraId="3C3BF76C">
            <w:pPr>
              <w:spacing w:line="360" w:lineRule="auto"/>
              <w:contextualSpacing/>
              <w:rPr>
                <w:rFonts w:hint="eastAsia" w:ascii="宋体" w:hAnsi="宋体" w:eastAsia="宋体" w:cs="宋体"/>
                <w:b/>
                <w:bCs/>
                <w:szCs w:val="21"/>
              </w:rPr>
            </w:pPr>
          </w:p>
        </w:tc>
      </w:tr>
      <w:permEnd w:id="42"/>
      <w:permEnd w:id="43"/>
      <w:permEnd w:id="44"/>
      <w:permEnd w:id="45"/>
      <w:permEnd w:id="46"/>
      <w:permEnd w:id="47"/>
      <w:tr w14:paraId="2BBB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66F3FBFA">
            <w:pPr>
              <w:pStyle w:val="2"/>
              <w:spacing w:after="0" w:line="360" w:lineRule="auto"/>
              <w:contextualSpacing/>
              <w:jc w:val="center"/>
              <w:rPr>
                <w:rFonts w:hint="eastAsia" w:ascii="宋体" w:hAnsi="宋体" w:eastAsia="宋体" w:cs="宋体"/>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hint="eastAsia" w:ascii="宋体" w:hAnsi="宋体" w:eastAsia="宋体" w:cs="宋体"/>
                <w:b/>
                <w:bCs/>
                <w:szCs w:val="21"/>
              </w:rPr>
              <w:t>...</w:t>
            </w:r>
          </w:p>
        </w:tc>
        <w:tc>
          <w:tcPr>
            <w:tcW w:w="3073" w:type="dxa"/>
            <w:noWrap w:val="0"/>
            <w:vAlign w:val="center"/>
          </w:tcPr>
          <w:p w14:paraId="76EEF879">
            <w:pPr>
              <w:pStyle w:val="2"/>
              <w:spacing w:after="0" w:line="360" w:lineRule="auto"/>
              <w:contextualSpacing/>
              <w:rPr>
                <w:rFonts w:hint="eastAsia" w:ascii="宋体" w:hAnsi="宋体" w:eastAsia="宋体" w:cs="宋体"/>
                <w:b/>
                <w:bCs/>
                <w:szCs w:val="21"/>
              </w:rPr>
            </w:pPr>
          </w:p>
        </w:tc>
        <w:tc>
          <w:tcPr>
            <w:tcW w:w="2609" w:type="dxa"/>
            <w:noWrap w:val="0"/>
            <w:vAlign w:val="center"/>
          </w:tcPr>
          <w:p w14:paraId="6F1C2A0A">
            <w:pPr>
              <w:pStyle w:val="2"/>
              <w:spacing w:after="0" w:line="360" w:lineRule="auto"/>
              <w:contextualSpacing/>
              <w:rPr>
                <w:rFonts w:hint="eastAsia" w:ascii="宋体" w:hAnsi="宋体" w:eastAsia="宋体" w:cs="宋体"/>
                <w:b/>
                <w:bCs/>
                <w:szCs w:val="21"/>
              </w:rPr>
            </w:pPr>
          </w:p>
        </w:tc>
        <w:tc>
          <w:tcPr>
            <w:tcW w:w="1562" w:type="dxa"/>
            <w:noWrap w:val="0"/>
            <w:vAlign w:val="center"/>
          </w:tcPr>
          <w:p w14:paraId="2BF08841">
            <w:pPr>
              <w:spacing w:line="360" w:lineRule="auto"/>
              <w:contextualSpacing/>
              <w:rPr>
                <w:rFonts w:hint="eastAsia" w:ascii="宋体" w:hAnsi="宋体" w:eastAsia="宋体" w:cs="宋体"/>
                <w:b/>
                <w:bCs/>
                <w:szCs w:val="21"/>
              </w:rPr>
            </w:pPr>
          </w:p>
        </w:tc>
        <w:tc>
          <w:tcPr>
            <w:tcW w:w="1410" w:type="dxa"/>
            <w:noWrap w:val="0"/>
            <w:vAlign w:val="center"/>
          </w:tcPr>
          <w:p w14:paraId="691C51E8">
            <w:pPr>
              <w:spacing w:line="360" w:lineRule="auto"/>
              <w:contextualSpacing/>
              <w:rPr>
                <w:rFonts w:hint="eastAsia" w:ascii="宋体" w:hAnsi="宋体" w:eastAsia="宋体" w:cs="宋体"/>
                <w:b/>
                <w:bCs/>
                <w:szCs w:val="21"/>
              </w:rPr>
            </w:pPr>
          </w:p>
        </w:tc>
        <w:tc>
          <w:tcPr>
            <w:tcW w:w="1104" w:type="dxa"/>
            <w:noWrap w:val="0"/>
            <w:vAlign w:val="center"/>
          </w:tcPr>
          <w:p w14:paraId="577FA89A">
            <w:pPr>
              <w:spacing w:line="360" w:lineRule="auto"/>
              <w:contextualSpacing/>
              <w:rPr>
                <w:rFonts w:hint="eastAsia" w:ascii="宋体" w:hAnsi="宋体" w:eastAsia="宋体" w:cs="宋体"/>
                <w:b/>
                <w:bCs/>
                <w:szCs w:val="21"/>
              </w:rPr>
            </w:pPr>
          </w:p>
        </w:tc>
      </w:tr>
      <w:permEnd w:id="48"/>
      <w:permEnd w:id="49"/>
      <w:permEnd w:id="50"/>
      <w:permEnd w:id="51"/>
      <w:permEnd w:id="52"/>
      <w:permEnd w:id="53"/>
    </w:tbl>
    <w:p w14:paraId="0130D3A1">
      <w:pPr>
        <w:rPr>
          <w:rFonts w:hint="eastAsia" w:ascii="宋体" w:hAnsi="宋体" w:eastAsia="宋体" w:cs="宋体"/>
          <w:b/>
          <w:bCs/>
        </w:rPr>
      </w:pPr>
      <w:r>
        <w:rPr>
          <w:rFonts w:hint="eastAsia" w:ascii="宋体" w:hAnsi="宋体" w:eastAsia="宋体" w:cs="宋体"/>
          <w:b/>
          <w:bCs/>
        </w:rPr>
        <w:br w:type="page"/>
      </w:r>
    </w:p>
    <w:p w14:paraId="7679FE4A">
      <w:pPr>
        <w:pStyle w:val="2"/>
        <w:spacing w:line="360" w:lineRule="auto"/>
        <w:rPr>
          <w:rFonts w:hint="eastAsia" w:ascii="宋体" w:hAnsi="宋体" w:eastAsia="宋体" w:cs="宋体"/>
          <w:b/>
          <w:bCs/>
        </w:rPr>
      </w:pPr>
      <w:r>
        <w:rPr>
          <w:rFonts w:hint="eastAsia" w:ascii="宋体" w:hAnsi="宋体" w:eastAsia="宋体" w:cs="宋体"/>
          <w:b/>
          <w:bCs/>
        </w:rPr>
        <w:t>附件2：货物技术参数</w:t>
      </w:r>
    </w:p>
    <w:p w14:paraId="721D2E39">
      <w:pPr>
        <w:pStyle w:val="2"/>
        <w:spacing w:line="360" w:lineRule="auto"/>
        <w:rPr>
          <w:rFonts w:hint="eastAsia" w:ascii="宋体" w:hAnsi="宋体" w:eastAsia="宋体" w:cs="宋体"/>
        </w:rPr>
      </w:pPr>
    </w:p>
    <w:p w14:paraId="0D26DB44">
      <w:pPr>
        <w:pStyle w:val="16"/>
        <w:spacing w:line="360" w:lineRule="auto"/>
        <w:ind w:firstLine="0" w:firstLineChars="0"/>
        <w:rPr>
          <w:rFonts w:hint="eastAsia" w:ascii="宋体" w:hAnsi="宋体" w:eastAsia="宋体" w:cs="宋体"/>
        </w:rPr>
      </w:pPr>
      <w:r>
        <w:rPr>
          <w:rFonts w:hint="eastAsia" w:ascii="宋体" w:hAnsi="宋体" w:eastAsia="宋体" w:cs="宋体"/>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F9C9605-CF71-4BCB-A07E-E17EB28CF34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BDA950A-147F-41E5-A55F-89332210D9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0F2CA65-81F1-4162-B2AD-91905F02509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96E8764-95B6-4A2B-BC9D-D75B5065B187}"/>
  </w:font>
  <w:font w:name="Segoe UI Symbol">
    <w:panose1 w:val="020B0502040204020203"/>
    <w:charset w:val="00"/>
    <w:family w:val="swiss"/>
    <w:pitch w:val="default"/>
    <w:sig w:usb0="800001E3" w:usb1="1200FFEF" w:usb2="00040000" w:usb3="04000000" w:csb0="00000001" w:csb1="40000000"/>
    <w:embedRegular r:id="rId5" w:fontKey="{E18AB53B-C219-405F-8313-935BDDC00C17}"/>
  </w:font>
  <w:font w:name="Wingdings 2">
    <w:altName w:val="Wingdings"/>
    <w:panose1 w:val="05020102010507070707"/>
    <w:charset w:val="4D"/>
    <w:family w:val="decorative"/>
    <w:pitch w:val="default"/>
    <w:sig w:usb0="00000000" w:usb1="00000000" w:usb2="00000000" w:usb3="00000000" w:csb0="80000001" w:csb1="00000000"/>
    <w:embedRegular r:id="rId6" w:fontKey="{0739322F-7889-4592-A520-B8B043A21E5F}"/>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0A56E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20A56E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41</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8">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3"/>
  </w:num>
  <w:num w:numId="3">
    <w:abstractNumId w:val="17"/>
  </w:num>
  <w:num w:numId="4">
    <w:abstractNumId w:val="27"/>
  </w:num>
  <w:num w:numId="5">
    <w:abstractNumId w:val="11"/>
  </w:num>
  <w:num w:numId="6">
    <w:abstractNumId w:val="22"/>
  </w:num>
  <w:num w:numId="7">
    <w:abstractNumId w:val="16"/>
  </w:num>
  <w:num w:numId="8">
    <w:abstractNumId w:val="2"/>
  </w:num>
  <w:num w:numId="9">
    <w:abstractNumId w:val="1"/>
  </w:num>
  <w:num w:numId="10">
    <w:abstractNumId w:val="0"/>
  </w:num>
  <w:num w:numId="11">
    <w:abstractNumId w:val="4"/>
  </w:num>
  <w:num w:numId="12">
    <w:abstractNumId w:val="7"/>
  </w:num>
  <w:num w:numId="13">
    <w:abstractNumId w:val="24"/>
  </w:num>
  <w:num w:numId="14">
    <w:abstractNumId w:val="5"/>
  </w:num>
  <w:num w:numId="15">
    <w:abstractNumId w:val="28"/>
  </w:num>
  <w:num w:numId="16">
    <w:abstractNumId w:val="26"/>
  </w:num>
  <w:num w:numId="17">
    <w:abstractNumId w:val="20"/>
  </w:num>
  <w:num w:numId="18">
    <w:abstractNumId w:val="8"/>
  </w:num>
  <w:num w:numId="19">
    <w:abstractNumId w:val="12"/>
  </w:num>
  <w:num w:numId="20">
    <w:abstractNumId w:val="6"/>
  </w:num>
  <w:num w:numId="21">
    <w:abstractNumId w:val="15"/>
  </w:num>
  <w:num w:numId="22">
    <w:abstractNumId w:val="25"/>
  </w:num>
  <w:num w:numId="23">
    <w:abstractNumId w:val="23"/>
  </w:num>
  <w:num w:numId="24">
    <w:abstractNumId w:val="18"/>
  </w:num>
  <w:num w:numId="25">
    <w:abstractNumId w:val="14"/>
  </w:num>
  <w:num w:numId="26">
    <w:abstractNumId w:val="9"/>
  </w:num>
  <w:num w:numId="27">
    <w:abstractNumId w:val="19"/>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3532F7"/>
    <w:rsid w:val="058C78B0"/>
    <w:rsid w:val="05910721"/>
    <w:rsid w:val="05BE3479"/>
    <w:rsid w:val="05E13064"/>
    <w:rsid w:val="078A573C"/>
    <w:rsid w:val="093A3733"/>
    <w:rsid w:val="0B4508AE"/>
    <w:rsid w:val="0CF161C9"/>
    <w:rsid w:val="0E0B7FF0"/>
    <w:rsid w:val="117A5014"/>
    <w:rsid w:val="127F05A0"/>
    <w:rsid w:val="136D78F8"/>
    <w:rsid w:val="15CC4977"/>
    <w:rsid w:val="162A4F7D"/>
    <w:rsid w:val="16A82A66"/>
    <w:rsid w:val="1994787E"/>
    <w:rsid w:val="1DD000AF"/>
    <w:rsid w:val="1E09745A"/>
    <w:rsid w:val="1E176351"/>
    <w:rsid w:val="1EAA2419"/>
    <w:rsid w:val="22935D1D"/>
    <w:rsid w:val="23D4489F"/>
    <w:rsid w:val="25BC1C48"/>
    <w:rsid w:val="262001B9"/>
    <w:rsid w:val="27B87AF9"/>
    <w:rsid w:val="27E80EA9"/>
    <w:rsid w:val="280414A1"/>
    <w:rsid w:val="28570368"/>
    <w:rsid w:val="29C5318E"/>
    <w:rsid w:val="2B502F98"/>
    <w:rsid w:val="2C9A0A9E"/>
    <w:rsid w:val="2DA70D65"/>
    <w:rsid w:val="2E5070CD"/>
    <w:rsid w:val="2E8533A0"/>
    <w:rsid w:val="2E9412E4"/>
    <w:rsid w:val="33DF511C"/>
    <w:rsid w:val="3427766B"/>
    <w:rsid w:val="343706EB"/>
    <w:rsid w:val="351A08D0"/>
    <w:rsid w:val="36334CE5"/>
    <w:rsid w:val="36D03DD2"/>
    <w:rsid w:val="38FB7F54"/>
    <w:rsid w:val="3A551407"/>
    <w:rsid w:val="3B033C36"/>
    <w:rsid w:val="3E5D4E8E"/>
    <w:rsid w:val="3FE25336"/>
    <w:rsid w:val="41076015"/>
    <w:rsid w:val="413271A0"/>
    <w:rsid w:val="42075FF8"/>
    <w:rsid w:val="42842020"/>
    <w:rsid w:val="455F7078"/>
    <w:rsid w:val="468567BB"/>
    <w:rsid w:val="4782487D"/>
    <w:rsid w:val="4B31068E"/>
    <w:rsid w:val="4BA55220"/>
    <w:rsid w:val="4BAD0151"/>
    <w:rsid w:val="4BAF0EA8"/>
    <w:rsid w:val="4C184E09"/>
    <w:rsid w:val="4C8F75A2"/>
    <w:rsid w:val="4D2C5674"/>
    <w:rsid w:val="4DAD4403"/>
    <w:rsid w:val="4E8C008E"/>
    <w:rsid w:val="4FEF758C"/>
    <w:rsid w:val="501952FF"/>
    <w:rsid w:val="50771A9C"/>
    <w:rsid w:val="51C47F6D"/>
    <w:rsid w:val="52B65218"/>
    <w:rsid w:val="53224FE0"/>
    <w:rsid w:val="5455382C"/>
    <w:rsid w:val="57530294"/>
    <w:rsid w:val="5BAA37CD"/>
    <w:rsid w:val="5D0A3490"/>
    <w:rsid w:val="5D7E0D39"/>
    <w:rsid w:val="5E9D3F29"/>
    <w:rsid w:val="5F2218F4"/>
    <w:rsid w:val="60384CD1"/>
    <w:rsid w:val="60655808"/>
    <w:rsid w:val="60F86CEE"/>
    <w:rsid w:val="630F6FF1"/>
    <w:rsid w:val="63A9427A"/>
    <w:rsid w:val="63D462B1"/>
    <w:rsid w:val="641A3596"/>
    <w:rsid w:val="64D96647"/>
    <w:rsid w:val="6536258F"/>
    <w:rsid w:val="655B51E5"/>
    <w:rsid w:val="65E40ADA"/>
    <w:rsid w:val="66330B86"/>
    <w:rsid w:val="66E22203"/>
    <w:rsid w:val="68B812C9"/>
    <w:rsid w:val="69D50CF4"/>
    <w:rsid w:val="6C487AFD"/>
    <w:rsid w:val="6CB24363"/>
    <w:rsid w:val="6EA93466"/>
    <w:rsid w:val="6FCF0795"/>
    <w:rsid w:val="706268E2"/>
    <w:rsid w:val="71381023"/>
    <w:rsid w:val="73714961"/>
    <w:rsid w:val="74C06141"/>
    <w:rsid w:val="754D1D92"/>
    <w:rsid w:val="756528EE"/>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6"/>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7"/>
    <w:qFormat/>
    <w:uiPriority w:val="0"/>
    <w:rPr>
      <w:b/>
      <w:bCs/>
    </w:rPr>
  </w:style>
  <w:style w:type="paragraph" w:styleId="16">
    <w:name w:val="Body Text First Indent"/>
    <w:basedOn w:val="2"/>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Emphasis"/>
    <w:basedOn w:val="20"/>
    <w:qFormat/>
    <w:uiPriority w:val="0"/>
    <w:rPr>
      <w:i/>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7"/>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4"/>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51718251-916f-46d3-993a-f3d5a11c04e2</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ffdb36ad-367b-4463-b5b1-24dc2896fd70</errorID>
      <errorWord>(</errorWord>
      <group>L1_Format</group>
      <groupName>格式问题</groupName>
      <ability>L2_HalfPunc_CN</ability>
      <abilityName>全半角检查</abilityName>
      <candidateList>
        <item>（</item>
      </candidateList>
      <explain>文本全半角错误。</explain>
      <paraID>  EA646A</paraID>
      <start>43</start>
      <end>44</end>
      <status>ignored</status>
      <modifiedWord/>
      <trackRevisions>false</trackRevisions>
    </reviewItem>
    <reviewItem>
      <errorID>0805dc75-3388-4077-906f-aae1f9fc7ff6</errorID>
      <errorWord>)</errorWord>
      <group>L1_Format</group>
      <groupName>格式问题</groupName>
      <ability>L2_HalfPunc_CN</ability>
      <abilityName>全半角检查</abilityName>
      <candidateList>
        <item>）</item>
      </candidateList>
      <explain>文本全半角错误。</explain>
      <paraID>  EA646A</paraID>
      <start>56</start>
      <end>57</end>
      <status>ignored</status>
      <modifiedWord/>
      <trackRevisions>false</trackRevisions>
    </reviewItem>
    <reviewItem>
      <errorID>3a28652f-7be6-4535-a564-58acd558da55</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cba91cf3-c99c-4e64-8f84-39b51a5ba78e</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04a1bfe7-26b9-46d3-b1ec-8537b3549a96</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087eea20-5bb7-4a5c-96e0-ce52b55a673e</errorID>
      <errorWord>托</errorWord>
      <group>L1_Word</group>
      <groupName>字词问题</groupName>
      <ability>L2_Typo</ability>
      <abilityName>字词错误</abilityName>
      <candidateList>
        <item>托书</item>
      </candidateList>
      <explain/>
      <paraID>7F89AD46</paraID>
      <start>30</start>
      <end>31</end>
      <status>ignored</status>
      <modifiedWord/>
      <trackRevisions>false</trackRevisions>
    </reviewItem>
    <reviewItem>
      <errorID>8d030643-eee8-49e9-b91b-dfa763b591dc</errorID>
      <errorWord>（</errorWord>
      <group>L1_Punc</group>
      <groupName>标点问题</groupName>
      <ability>L2_Punc_CN</ability>
      <abilityName>标点符号检查</abilityName>
      <candidateList/>
      <explain>同一形式括号套用。</explain>
      <paraID>6097ABE2</paraID>
      <start>138</start>
      <end>139</end>
      <status>ignored</status>
      <modifiedWord/>
      <trackRevisions>false</trackRevisions>
    </reviewItem>
    <reviewItem>
      <errorID>31685a40-e454-4eb0-99cc-02544593c6a3</errorID>
      <errorWord>）</errorWord>
      <group>L1_Punc</group>
      <groupName>标点问题</groupName>
      <ability>L2_Punc_CN</ability>
      <abilityName>标点符号检查</abilityName>
      <candidateList/>
      <explain>同一形式括号套用。</explain>
      <paraID>6097ABE2</paraID>
      <start>143</start>
      <end>144</end>
      <status>ignored</status>
      <modifiedWord/>
      <trackRevisions>false</trackRevisions>
    </reviewItem>
    <reviewItem>
      <errorID>8d1ebc51-8d2f-46a4-a603-73b75b6f04d6</errorID>
      <errorWord>程</errorWord>
      <group>L1_Word</group>
      <groupName>字词问题</groupName>
      <ability>L2_Typo</ability>
      <abilityName>字词错误</abilityName>
      <candidateList>
        <item>程中</item>
      </candidateList>
      <explain/>
      <paraID> 2C45B52</paraID>
      <start>28</start>
      <end>29</end>
      <status>ignored</status>
      <modifiedWord/>
      <trackRevisions>false</trackRevisions>
    </reviewItem>
    <reviewItem>
      <errorID>347db2ce-14db-408f-94be-3abae8c8d0a9</errorID>
      <errorWord>接</errorWord>
      <group>L1_Word</group>
      <groupName>字词问题</groupName>
      <ability>L2_Typo</ability>
      <abilityName>字词错误</abilityName>
      <candidateList>
        <item>接到</item>
      </candidateList>
      <explain/>
      <paraID>1A169849</paraID>
      <start>40</start>
      <end>41</end>
      <status>ignored</status>
      <modifiedWord/>
      <trackRevisions>false</trackRevisions>
    </reviewItem>
    <reviewItem>
      <errorID>54abc93a-6380-429b-8ec8-28075e5c071c</errorID>
      <errorWord>(</errorWord>
      <group>L1_Format</group>
      <groupName>格式问题</groupName>
      <ability>L2_HalfPunc_CN</ability>
      <abilityName>全半角检查</abilityName>
      <candidateList>
        <item>（</item>
      </candidateList>
      <explain>文本全半角错误。</explain>
      <paraID>6DEB5B46</paraID>
      <start>38</start>
      <end>39</end>
      <status>modified</status>
      <modifiedWord>（</modifiedWord>
      <trackRevisions>false</trackRevisions>
    </reviewItem>
    <reviewItem>
      <errorID>438ee220-5b51-4c80-b3ed-c79c401d2bf5</errorID>
      <errorWord>)</errorWord>
      <group>L1_Format</group>
      <groupName>格式问题</groupName>
      <ability>L2_HalfPunc_CN</ability>
      <abilityName>全半角检查</abilityName>
      <candidateList>
        <item>）</item>
      </candidateList>
      <explain>文本全半角错误。</explain>
      <paraID>6DEB5B46</paraID>
      <start>45</start>
      <end>46</end>
      <status>modified</status>
      <modifiedWord>）</modifiedWord>
      <trackRevisions>false</trackRevisions>
    </reviewItem>
    <reviewItem>
      <errorID>29782401-b2af-465e-a7fb-a9c404c75cb5</errorID>
      <errorWord>平正</errorWord>
      <group>L1_Word</group>
      <groupName>字词问题</groupName>
      <ability>L2_Typo</ability>
      <abilityName>字词错误</abilityName>
      <candidateList>
        <item>平整</item>
      </candidateList>
      <explain>❶〈动〉填挖土方使土地平坦整齐：～土地。❷〈形〉平正整齐；（土地）平坦整齐：马路又宽又～。</explain>
      <paraID> 13FD707</paraID>
      <start>41</start>
      <end>43</end>
      <status>modified</status>
      <modifiedWord>平整</modifiedWord>
      <trackRevisions>false</trackRevisions>
    </reviewItem>
    <reviewItem>
      <errorID>d676fe25-a02e-415e-8174-bb6c3d6f1246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928DA46</paraID>
      <start>4</start>
      <end>5</end>
      <status>ignored</status>
      <modifiedWord/>
      <trackRevisions>false</trackRevisions>
    </reviewItem>
    <reviewItem>
      <errorID>ba0515b7-1f25-4b8e-99da-b416970b5fd4</errorID>
      <errorWord>"</errorWord>
      <group>L1_Format</group>
      <groupName>格式问题</groupName>
      <ability>L2_HalfPunc_CN</ability>
      <abilityName>全半角检查</abilityName>
      <candidateList>
        <item>”</item>
      </candidateList>
      <explain>文本全半角错误。</explain>
      <paraID> 928DA46</paraID>
      <start>7</start>
      <end>8</end>
      <status>ignored</status>
      <modifiedWord/>
      <trackRevisions>false</trackRevisions>
    </reviewItem>
    <reviewItem>
      <errorID>fb0a9e1b-c70b-484e-b47f-b1de1e22066e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00cd8cd3-b63a-47a5-8793-0637a8673e82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2ce4ceb3-2b75-4f37-9c44-e23dd0e42876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a3de921b-1f7e-4131-8a32-be87851074d7</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41b9e183-1840-4b80-a312-f622be7a3226</errorID>
      <errorWord>:</errorWord>
      <group>L1_Format</group>
      <groupName>格式问题</groupName>
      <ability>L2_HalfPunc_CN</ability>
      <abilityName>全半角检查</abilityName>
      <candidateList>
        <item>：</item>
      </candidateList>
      <explain>文本全半角错误。</explain>
      <paraID>679907F1</paraID>
      <start>10</start>
      <end>11</end>
      <status>unmodified</status>
      <modifiedWord/>
      <trackRevisions>false</trackRevisions>
    </reviewItem>
    <reviewItem>
      <errorID>a9b4c823-0d0f-4180-84e8-b1f16da629cc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b4f0c7e2-2a77-4b34-8d42-5e758ce0108f</errorID>
      <errorWord>（…</errorWord>
      <group>L1_Punc</group>
      <groupName>标点问题</groupName>
      <ability>L2_Punc_CN</ability>
      <abilityName>标点符号检查</abilityName>
      <candidateList>
        <item>（</item>
      </candidateList>
      <explain/>
      <paraID>3E54F355</paraID>
      <start>105</start>
      <end>107</end>
      <status>unmodified</status>
      <modifiedWord/>
      <trackRevisions>false</trackRevisions>
    </reviewItem>
    <reviewItem>
      <errorID>856cb6ab-edcd-4335-bd9c-838f6e08c8aa</errorID>
      <errorWord>(…</errorWord>
      <group>L1_Punc</group>
      <groupName>标点问题</groupName>
      <ability>L2_Punc_CN</ability>
      <abilityName>标点符号检查</abilityName>
      <candidateList>
        <item>(</item>
      </candidateList>
      <explain/>
      <paraID>4B45D6C3</paraID>
      <start>0</start>
      <end>2</end>
      <status>unmodified</status>
      <modifiedWord/>
      <trackRevisions>false</trackRevisions>
    </reviewItem>
    <reviewItem>
      <errorID>02008b73-c840-41ef-9a39-caed499871fb</errorID>
      <errorWord>(…</errorWord>
      <group>L1_Punc</group>
      <groupName>标点问题</groupName>
      <ability>L2_Punc_CN</ability>
      <abilityName>标点符号检查</abilityName>
      <candidateList>
        <item>(</item>
      </candidateList>
      <explain/>
      <paraID>536E90FE</paraID>
      <start>0</start>
      <end>2</end>
      <status>unmodified</status>
      <modifiedWord/>
      <trackRevisions>false</trackRevisions>
    </reviewItem>
    <reviewItem>
      <errorID>9531fda3-8305-4b62-9881-d8aa796495b1</errorID>
      <errorWord>(…</errorWord>
      <group>L1_Punc</group>
      <groupName>标点问题</groupName>
      <ability>L2_Punc_CN</ability>
      <abilityName>标点符号检查</abilityName>
      <candidateList>
        <item>(</item>
      </candidateList>
      <explain/>
      <paraID>3556051C</paraID>
      <start>0</start>
      <end>2</end>
      <status>unmodified</status>
      <modifiedWord/>
      <trackRevisions>false</trackRevisions>
    </reviewItem>
    <reviewItem>
      <errorID>d664cac2-916c-4c1d-aa18-f6332d4c7798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29D8DF47</paraID>
      <start>110</start>
      <end>113</end>
      <status>unmodified</status>
      <modifiedWord/>
      <trackRevisions>false</trackRevisions>
    </reviewItem>
    <reviewItem>
      <errorID>b7727aa3-d96c-479a-8882-e749f37d48c6</errorID>
      <errorWord>获</errorWord>
      <group>L1_Word</group>
      <groupName>字词问题</groupName>
      <ability>L2_Typo</ability>
      <abilityName>字词错误</abilityName>
      <candidateList>
        <item>获得</item>
      </candidateList>
      <explain>〈动〉取得；得到（多用于抽象事物）：～好评｜～宝贵的经验｜～显著的成绩。</explain>
      <paraID>5ABCBB48</paraID>
      <start>48</start>
      <end>49</end>
      <status>unmodified</status>
      <modifiedWord/>
      <trackRevisions>false</trackRevisions>
    </reviewItem>
    <reviewItem>
      <errorID>da9c7cf8-7e71-4b7a-85af-2d3367f49d8d</errorID>
      <errorWord>接</errorWord>
      <group>L1_Word</group>
      <groupName>字词问题</groupName>
      <ability>L2_Typo</ability>
      <abilityName>字词错误</abilityName>
      <candidateList>
        <item>接到</item>
      </candidateList>
      <explain/>
      <paraID> E95C23B</paraID>
      <start>49</start>
      <end>50</end>
      <status>unmodified</status>
      <modifiedWord/>
      <trackRevisions>false</trackRevisions>
    </reviewItem>
    <reviewItem>
      <errorID>1275b0af-dab1-4944-927f-f2808f0a8994</errorID>
      <errorWord>其它</errorWord>
      <group>L1_Word</group>
      <groupName>字词问题</groupName>
      <ability>L2_Alias</ability>
      <abilityName>也作/曾用词</abilityName>
      <candidateList>
        <item>其他</item>
      </candidateList>
      <explain>词汇[其它]为不规范表述或旧称，其规范书面表述为[其他]。</explain>
      <paraID> C13471D</paraID>
      <start>0</start>
      <end>2</end>
      <status>unmodified</status>
      <modifiedWord/>
      <trackRevisions>false</trackRevisions>
    </reviewItem>
    <reviewItem>
      <errorID>7cf6379d-5abf-46e9-9d5d-0fafab6b9bb5</errorID>
      <errorWord>其它</errorWord>
      <group>L1_Word</group>
      <groupName>字词问题</groupName>
      <ability>L2_Alias</ability>
      <abilityName>也作/曾用词</abilityName>
      <candidateList>
        <item>其他</item>
      </candidateList>
      <explain>词汇[其它]为不规范表述或旧称，其规范书面表述为[其他]。</explain>
      <paraID>777E811B</paraID>
      <start>4</start>
      <end>6</end>
      <status>unmodified</status>
      <modifiedWord/>
      <trackRevisions>false</trackRevisions>
    </reviewItem>
    <reviewItem>
      <errorID>ebc4ab4a-cda4-4938-aac4-6d64ad8a0912</errorID>
      <errorWord>&lt;</errorWord>
      <group>L1_Format</group>
      <groupName>格式问题</groupName>
      <ability>L2_HalfPunc_CN</ability>
      <abilityName>全半角检查</abilityName>
      <candidateList>
        <item>〈</item>
      </candidateList>
      <explain>文本全半角错误。</explain>
      <paraID>777E811B</paraID>
      <start>11</start>
      <end>12</end>
      <status>unmodified</status>
      <modifiedWord/>
      <trackRevisions>false</trackRevisions>
    </reviewItem>
    <reviewItem>
      <errorID>9eadf0bb-58f6-47fa-927f-700d11ecfee7</errorID>
      <errorWord>&gt;</errorWord>
      <group>L1_Format</group>
      <groupName>格式问题</groupName>
      <ability>L2_HalfPunc_CN</ability>
      <abilityName>全半角检查</abilityName>
      <candidateList>
        <item>〉</item>
      </candidateList>
      <explain>文本全半角错误。</explain>
      <paraID>777E811B</paraID>
      <start>17</start>
      <end>18</end>
      <status>unmodified</status>
      <modifiedWord/>
      <trackRevisions>false</trackRevisions>
    </reviewItem>
    <reviewItem>
      <errorID>6fdc3185-c26b-44e7-8a85-30132c47e79c</errorID>
      <errorWord>&lt;</errorWord>
      <group>L1_Format</group>
      <groupName>格式问题</groupName>
      <ability>L2_HalfPunc_CN</ability>
      <abilityName>全半角检查</abilityName>
      <candidateList>
        <item>〈</item>
      </candidateList>
      <explain>文本全半角错误。</explain>
      <paraID>32034249</paraID>
      <start>16</start>
      <end>17</end>
      <status>unmodified</status>
      <modifiedWord/>
      <trackRevisions>false</trackRevisions>
    </reviewItem>
    <reviewItem>
      <errorID>48a55f5e-4c1e-4302-810b-190cb0099a33</errorID>
      <errorWord>&gt;</errorWord>
      <group>L1_Format</group>
      <groupName>格式问题</groupName>
      <ability>L2_HalfPunc_CN</ability>
      <abilityName>全半角检查</abilityName>
      <candidateList>
        <item>〉</item>
      </candidateList>
      <explain>文本全半角错误。</explain>
      <paraID>32034249</paraID>
      <start>27</start>
      <end>28</end>
      <status>unmodified</status>
      <modifiedWord/>
      <trackRevisions>false</trackRevisions>
    </reviewItem>
    <reviewItem>
      <errorID>9a675ce5-de3c-43b2-ac74-e40dfc2da97c</errorID>
      <errorWord>负</errorWord>
      <group>L1_Word</group>
      <groupName>字词问题</groupName>
      <ability>L2_Typo</ability>
      <abilityName>字词错误</abilityName>
      <candidateList>
        <item>负有</item>
      </candidateList>
      <explain/>
      <paraID>6FB515AF</paraID>
      <start>47</start>
      <end>48</end>
      <status>unmodified</status>
      <modifiedWord/>
      <trackRevisions>false</trackRevisions>
    </reviewItem>
    <reviewItem>
      <errorID>3b9c52ab-12ef-4cca-88df-1c49085288d4</errorID>
      <errorWord>日</errorWord>
      <group>L1_Word</group>
      <groupName>字词问题</groupName>
      <ability>L2_Typo</ability>
      <abilityName>字词错误</abilityName>
      <candidateList>
        <item>日起</item>
      </candidateList>
      <explain/>
      <paraID>406647EF</paraID>
      <start>48</start>
      <end>49</end>
      <status>unmodified</status>
      <modifiedWord/>
      <trackRevisions>false</trackRevisions>
    </reviewItem>
    <reviewItem>
      <errorID>2b3ebb58-6f4c-4310-af00-7c6b66d85c30</errorID>
      <errorWord>&lt;</errorWord>
      <group>L1_Format</group>
      <groupName>格式问题</groupName>
      <ability>L2_HalfPunc_CN</ability>
      <abilityName>全半角检查</abilityName>
      <candidateList>
        <item>〈</item>
      </candidateList>
      <explain>文本全半角错误。</explain>
      <paraID>78366A05</paraID>
      <start>18</start>
      <end>19</end>
      <status>unmodified</status>
      <modifiedWord/>
      <trackRevisions>false</trackRevisions>
    </reviewItem>
    <reviewItem>
      <errorID>527734a9-1ad0-4615-9fe9-843318fbfd23</errorID>
      <errorWord>&gt;。</errorWord>
      <group>L1_Punc</group>
      <groupName>标点问题</groupName>
      <ability>L2_Punc_CN</ability>
      <abilityName>标点符号检查</abilityName>
      <candidateList>
        <item>&gt;</item>
      </candidateList>
      <explain/>
      <paraID>78366A05</paraID>
      <start>36</start>
      <end>38</end>
      <status>unmodified</status>
      <modifiedWord/>
      <trackRevisions>false</trackRevisions>
    </reviewItem>
    <reviewItem>
      <errorID>5c0fd008-960a-4cc1-a8d9-e93a05c35c70</errorID>
      <errorWord>,</errorWord>
      <group>L1_Format</group>
      <groupName>格式问题</groupName>
      <ability>L2_HalfPunc_CN</ability>
      <abilityName>全半角检查</abilityName>
      <candidateList>
        <item>，</item>
      </candidateList>
      <explain>文本全半角错误。</explain>
      <paraID>2A2DCCC6</paraID>
      <start>21</start>
      <end>22</end>
      <status>unmodified</status>
      <modifiedWord/>
      <trackRevisions>false</trackRevisions>
    </reviewItem>
    <reviewItem>
      <errorID>1ca55094-133f-4dd9-a6ab-e5ab7acd918e</errorID>
      <errorWord>,</errorWord>
      <group>L1_Format</group>
      <groupName>格式问题</groupName>
      <ability>L2_HalfPunc_CN</ability>
      <abilityName>全半角检查</abilityName>
      <candidateList>
        <item>，</item>
      </candidateList>
      <explain>文本全半角错误。</explain>
      <paraID>2A2DCCC6</paraID>
      <start>26</start>
      <end>27</end>
      <status>unmodified</status>
      <modifiedWord/>
      <trackRevisions>false</trackRevisions>
    </reviewItem>
    <reviewItem>
      <errorID>08eaaec0-7be3-44d4-84b9-9c53326a5ea9</errorID>
      <errorWord>,</errorWord>
      <group>L1_Format</group>
      <groupName>格式问题</groupName>
      <ability>L2_HalfPunc_CN</ability>
      <abilityName>全半角检查</abilityName>
      <candidateList>
        <item>，</item>
      </candidateList>
      <explain>文本全半角错误。</explain>
      <paraID>4F2D6E4F</paraID>
      <start>48</start>
      <end>49</end>
      <status>unmodified</status>
      <modifiedWord/>
      <trackRevisions>false</trackRevisions>
    </reviewItem>
    <reviewItem>
      <errorID>a65c4001-2496-4b66-b099-b244bb9271f7</errorID>
      <errorWord>符</errorWord>
      <group>L1_Word</group>
      <groupName>字词问题</groupName>
      <ability>L2_Typo</ability>
      <abilityName>字词错误</abilityName>
      <candidateList>
        <item>符合</item>
      </candidateList>
      <explain>〈动〉（数量、形状、情节等）相合：～事实｜这些产品不～质量标准。</explain>
      <paraID>5F776D08</paraID>
      <start>24</start>
      <end>25</end>
      <status>unmodified</status>
      <modifiedWord/>
      <trackRevisions>false</trackRevisions>
    </reviewItem>
    <reviewItem>
      <errorID>f5b71dbf-35c7-4e2e-98b1-d8f4e56c2b19</errorID>
      <errorWord>(</errorWord>
      <group>L1_Format</group>
      <groupName>格式问题</groupName>
      <ability>L2_HalfPunc_CN</ability>
      <abilityName>全半角检查</abilityName>
      <candidateList>
        <item>（</item>
      </candidateList>
      <explain>文本全半角错误。</explain>
      <paraID>70F0AA70</paraID>
      <start>34</start>
      <end>35</end>
      <status>unmodified</status>
      <modifiedWord/>
      <trackRevisions>false</trackRevisions>
    </reviewItem>
    <reviewItem>
      <errorID>b9d563ed-cea2-438d-97fe-5499015896ec</errorID>
      <errorWord>)</errorWord>
      <group>L1_Format</group>
      <groupName>格式问题</groupName>
      <ability>L2_HalfPunc_CN</ability>
      <abilityName>全半角检查</abilityName>
      <candidateList>
        <item>）</item>
      </candidateList>
      <explain>文本全半角错误。</explain>
      <paraID>70F0AA70</paraID>
      <start>56</start>
      <end>57</end>
      <status>unmodified</status>
      <modifiedWord/>
      <trackRevisions>false</trackRevisions>
    </reviewItem>
    <reviewItem>
      <errorID>aed09177-e751-4b57-91e1-6af64e1215de</errorID>
      <errorWord>其它</errorWord>
      <group>L1_Word</group>
      <groupName>字词问题</groupName>
      <ability>L2_Alias</ability>
      <abilityName>也作/曾用词</abilityName>
      <candidateList>
        <item>其他</item>
      </candidateList>
      <explain>词汇[其它]为不规范表述或旧称，其规范书面表述为[其他]。</explain>
      <paraID>2B8F4332</paraID>
      <start>51</start>
      <end>53</end>
      <status>unmodified</status>
      <modifiedWord/>
      <trackRevisions>false</trackRevisions>
    </reviewItem>
    <reviewItem>
      <errorID>0ef00397-c70e-40d0-85a3-460c4e0a4cf7</errorID>
      <errorWord>&lt;</errorWord>
      <group>L1_Format</group>
      <groupName>格式问题</groupName>
      <ability>L2_HalfPunc_CN</ability>
      <abilityName>全半角检查</abilityName>
      <candidateList>
        <item>〈</item>
      </candidateList>
      <explain>文本全半角错误。</explain>
      <paraID> 682B98C</paraID>
      <start>4</start>
      <end>5</end>
      <status>unmodified</status>
      <modifiedWord/>
      <trackRevisions>false</trackRevisions>
    </reviewItem>
    <reviewItem>
      <errorID>82f3b2d4-acfc-4c04-8d5a-ddacf4f0f827</errorID>
      <errorWord>&gt;</errorWord>
      <group>L1_Format</group>
      <groupName>格式问题</groupName>
      <ability>L2_HalfPunc_CN</ability>
      <abilityName>全半角检查</abilityName>
      <candidateList>
        <item>〉</item>
      </candidateList>
      <explain>文本全半角错误。</explain>
      <paraID> 682B98C</paraID>
      <start>25</start>
      <end>26</end>
      <status>unmodified</status>
      <modifiedWord/>
      <trackRevisions>false</trackRevisions>
    </reviewItem>
    <reviewItem>
      <errorID>67d481f7-4304-41fc-821e-c27b286233f0</errorID>
      <errorWord>其它</errorWord>
      <group>L1_Word</group>
      <groupName>字词问题</groupName>
      <ability>L2_Alias</ability>
      <abilityName>也作/曾用词</abilityName>
      <candidateList>
        <item>其他</item>
      </candidateList>
      <explain>词汇[其它]为不规范表述或旧称，其规范书面表述为[其他]。</explain>
      <paraID> 92851B1</paraID>
      <start>71</start>
      <end>73</end>
      <status>unmodified</status>
      <modifiedWord/>
      <trackRevisions>false</trackRevisions>
    </reviewItem>
    <reviewItem>
      <errorID>e67c4856-065d-4c89-989c-bafb912c3396</errorID>
      <errorWord>,</errorWord>
      <group>L1_Format</group>
      <groupName>格式问题</groupName>
      <ability>L2_HalfPunc_CN</ability>
      <abilityName>全半角检查</abilityName>
      <candidateList>
        <item>，</item>
      </candidateList>
      <explain>文本全半角错误。</explain>
      <paraID>670E28D2</paraID>
      <start>6</start>
      <end>7</end>
      <status>unmodified</status>
      <modifiedWord/>
      <trackRevisions>false</trackRevisions>
    </reviewItem>
    <reviewItem>
      <errorID>74335336-6072-4477-a7e4-33442a4da49c</errorID>
      <errorWord>送达至</errorWord>
      <group>L1_Word</group>
      <groupName>字词问题</groupName>
      <ability>L2_Typo</ability>
      <abilityName>字词错误</abilityName>
      <candidateList>
        <item>送达</item>
      </candidateList>
      <explain/>
      <paraID>35C1B847</paraID>
      <start>70</start>
      <end>73</end>
      <status>unmodified</status>
      <modifiedWord/>
      <trackRevisions>false</trackRevisions>
    </reviewItem>
    <reviewItem>
      <errorID>c3e2e8e0-ee89-4f7a-a38c-da21e5f9b64c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35C1B847</paraID>
      <start>129</start>
      <end>131</end>
      <status>unmodified</status>
      <modifiedWord/>
      <trackRevisions>false</trackRevisions>
    </reviewItem>
    <reviewItem>
      <errorID>02fc8d26-31c2-4cd2-b57d-3d3255390184</errorID>
      <errorWord>围</errorWord>
      <group>L1_Word</group>
      <groupName>字词问题</groupName>
      <ability>L2_Typo</ability>
      <abilityName>字词错误</abilityName>
      <candidateList>
        <item>围内</item>
      </candidateList>
      <explain/>
      <paraID>2792751C</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f80ff8-5bcd-440e-a383-42e0cd003a14}">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1241</Words>
  <Characters>1327</Characters>
  <Lines>72</Lines>
  <Paragraphs>20</Paragraphs>
  <TotalTime>19</TotalTime>
  <ScaleCrop>false</ScaleCrop>
  <LinksUpToDate>false</LinksUpToDate>
  <CharactersWithSpaces>1399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好嘞</cp:lastModifiedBy>
  <dcterms:modified xsi:type="dcterms:W3CDTF">2026-06-01T02:34:27Z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57EB7A2434744399A951BBFC278C5099_13</vt:lpwstr>
  </property>
  <property fmtid="{D5CDD505-2E9C-101B-9397-08002B2CF9AE}" pid="4" name="KSOTemplateDocerSaveRecord">
    <vt:lpwstr>eyJoZGlkIjoiYzBmNjVkODg4YTI3YTdkZTY0YmRiY2Y4YmFkMWQ1OTIiLCJ1c2VySWQiOiI2NDE5ODgzNDAifQ==</vt:lpwstr>
  </property>
</Properties>
</file>