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四川省精神医学中心劳务派遣制残疾人就业服务项目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8</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bookmarkStart w:id="104" w:name="_GoBack"/>
      <w:bookmarkEnd w:id="104"/>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32</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471310326"/>
      <w:bookmarkStart w:id="1" w:name="_Toc1907"/>
      <w:bookmarkStart w:id="2" w:name="_Toc20358"/>
      <w:bookmarkStart w:id="3" w:name="_Toc62832406"/>
      <w:bookmarkStart w:id="4" w:name="_Toc3240"/>
      <w:bookmarkStart w:id="5" w:name="_Toc21919"/>
      <w:r>
        <w:rPr>
          <w:rFonts w:ascii="Times New Roman" w:hAnsi="Times New Roman" w:cs="Times New Roman"/>
        </w:rPr>
        <w:t>谈判邀请</w:t>
      </w:r>
      <w:bookmarkEnd w:id="0"/>
      <w:bookmarkEnd w:id="1"/>
      <w:bookmarkEnd w:id="2"/>
      <w:bookmarkEnd w:id="3"/>
      <w:bookmarkEnd w:id="4"/>
      <w:bookmarkEnd w:id="5"/>
    </w:p>
    <w:tbl>
      <w:tblPr>
        <w:tblStyle w:val="18"/>
        <w:tblW w:w="5023" w:type="pct"/>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5"/>
        <w:gridCol w:w="1869"/>
        <w:gridCol w:w="7204"/>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trPr>
        <w:tc>
          <w:tcPr>
            <w:tcW w:w="568"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68"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1A50A3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四川省精神医学中心</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68"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4727E328">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四川省精神医学中心劳务派遣制残疾人就业服务项目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trPr>
        <w:tc>
          <w:tcPr>
            <w:tcW w:w="568"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2EC7640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CGZX-KJB20261201</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trPr>
        <w:tc>
          <w:tcPr>
            <w:tcW w:w="568"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trPr>
        <w:tc>
          <w:tcPr>
            <w:tcW w:w="568"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509B01AF">
            <w:pPr>
              <w:spacing w:line="360" w:lineRule="auto"/>
              <w:ind w:left="210" w:leftChars="100"/>
              <w:rPr>
                <w:rFonts w:hint="eastAsia" w:ascii="Times New Roman" w:hAnsi="Times New Roman" w:eastAsia="仿宋" w:cs="Times New Roman"/>
                <w:sz w:val="22"/>
              </w:rPr>
            </w:pPr>
            <w:r>
              <w:rPr>
                <w:rFonts w:hint="eastAsia" w:ascii="Times New Roman" w:hAnsi="Times New Roman" w:eastAsia="仿宋" w:cs="Times New Roman"/>
                <w:sz w:val="22"/>
                <w:lang w:val="en-US" w:eastAsia="zh-CN"/>
              </w:rPr>
              <w:t>本项目为据实结算项目</w:t>
            </w:r>
            <w:r>
              <w:rPr>
                <w:rFonts w:hint="eastAsia" w:ascii="Times New Roman" w:hAnsi="Times New Roman" w:eastAsia="仿宋" w:cs="Times New Roman"/>
                <w:sz w:val="22"/>
              </w:rPr>
              <w:t>，支付上限</w:t>
            </w:r>
            <w:r>
              <w:rPr>
                <w:rFonts w:hint="eastAsia" w:ascii="Times New Roman" w:hAnsi="Times New Roman" w:eastAsia="仿宋" w:cs="Times New Roman"/>
                <w:sz w:val="22"/>
                <w:lang w:val="en-US" w:eastAsia="zh-CN"/>
              </w:rPr>
              <w:t>为1.5</w:t>
            </w:r>
            <w:r>
              <w:rPr>
                <w:rFonts w:hint="eastAsia" w:ascii="Times New Roman" w:hAnsi="Times New Roman" w:eastAsia="仿宋" w:cs="Times New Roman"/>
                <w:sz w:val="22"/>
              </w:rPr>
              <w:t>万元。</w:t>
            </w:r>
          </w:p>
          <w:p w14:paraId="0C78E882">
            <w:pPr>
              <w:spacing w:line="360" w:lineRule="auto"/>
              <w:ind w:left="210" w:leftChars="100"/>
              <w:rPr>
                <w:rFonts w:hint="eastAsia" w:ascii="Times New Roman" w:hAnsi="Times New Roman" w:eastAsia="仿宋" w:cs="Times New Roman"/>
                <w:sz w:val="22"/>
                <w:lang w:val="en-US" w:eastAsia="zh-CN"/>
              </w:rPr>
            </w:pPr>
            <w:r>
              <w:rPr>
                <w:rFonts w:hint="eastAsia" w:ascii="Times New Roman" w:hAnsi="Times New Roman" w:eastAsia="仿宋" w:cs="Times New Roman"/>
                <w:sz w:val="22"/>
                <w:lang w:val="en-US" w:eastAsia="zh-CN"/>
              </w:rPr>
              <w:t>限高单价为590元/人/月。</w:t>
            </w:r>
          </w:p>
          <w:p w14:paraId="61337AB8">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lang w:val="en-US" w:eastAsia="zh-CN"/>
              </w:rPr>
              <w:t>超过限高单价的报价，其</w:t>
            </w:r>
            <w:r>
              <w:rPr>
                <w:rFonts w:hint="eastAsia" w:ascii="Times New Roman" w:hAnsi="Times New Roman" w:eastAsia="仿宋" w:cs="Times New Roman"/>
                <w:sz w:val="22"/>
                <w:lang w:val="en-US" w:eastAsia="zh-CN"/>
              </w:rPr>
              <w:t>响应</w:t>
            </w:r>
            <w:r>
              <w:rPr>
                <w:rFonts w:hint="default" w:ascii="Times New Roman" w:hAnsi="Times New Roman" w:eastAsia="仿宋" w:cs="Times New Roman"/>
                <w:sz w:val="22"/>
                <w:lang w:val="en-US" w:eastAsia="zh-CN"/>
              </w:rPr>
              <w:t>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trPr>
        <w:tc>
          <w:tcPr>
            <w:tcW w:w="568"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68"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68"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trPr>
        <w:tc>
          <w:tcPr>
            <w:tcW w:w="568"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trPr>
        <w:tc>
          <w:tcPr>
            <w:tcW w:w="568"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B8AEE40">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时间内签到的供应商，视为自行放弃参与本项目踏勘。未在规定时间内签到或未参加探勘的供应商，均视为无效供应商，其响应文件作无效处理，所引起的不利因素以及相关安全责任等问题均由供应商自行承担。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trPr>
        <w:tc>
          <w:tcPr>
            <w:tcW w:w="568"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trPr>
        <w:tc>
          <w:tcPr>
            <w:tcW w:w="568"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trPr>
        <w:tc>
          <w:tcPr>
            <w:tcW w:w="568"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14:paraId="514FE3FE">
            <w:pPr>
              <w:pStyle w:val="28"/>
              <w:numPr>
                <w:ilvl w:val="0"/>
                <w:numId w:val="0"/>
              </w:numPr>
              <w:tabs>
                <w:tab w:val="left" w:pos="220"/>
              </w:tabs>
              <w:spacing w:line="360" w:lineRule="auto"/>
              <w:ind w:left="210" w:leftChars="100" w:firstLine="10" w:firstLineChars="0"/>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bidi="ar-SA"/>
              </w:rPr>
              <w:t>1.</w:t>
            </w: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en-US" w:eastAsia="zh-CN"/>
              </w:rPr>
              <w:t>合同支付上限的10%</w:t>
            </w:r>
          </w:p>
          <w:p w14:paraId="00EA646A">
            <w:pPr>
              <w:pStyle w:val="28"/>
              <w:numPr>
                <w:ilvl w:val="0"/>
                <w:numId w:val="0"/>
              </w:numPr>
              <w:tabs>
                <w:tab w:val="left" w:pos="220"/>
              </w:tabs>
              <w:spacing w:line="360" w:lineRule="auto"/>
              <w:ind w:left="210" w:leftChars="100" w:firstLine="10" w:firstLineChars="0"/>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bidi="ar-SA"/>
              </w:rPr>
              <w:t>2.</w:t>
            </w:r>
            <w:r>
              <w:rPr>
                <w:rFonts w:ascii="Times New Roman" w:hAnsi="Times New Roman" w:eastAsia="仿宋" w:cs="Times New Roman"/>
                <w:sz w:val="22"/>
                <w:szCs w:val="22"/>
                <w:lang w:val="zh-CN"/>
              </w:rPr>
              <w:t>交款方式：</w:t>
            </w:r>
            <w:r>
              <w:rPr>
                <w:rFonts w:hint="eastAsia" w:ascii="Times New Roman" w:hAnsi="Times New Roman" w:eastAsia="仿宋" w:cs="Times New Roman"/>
                <w:sz w:val="22"/>
                <w:szCs w:val="22"/>
                <w:lang w:val="zh-CN"/>
              </w:rPr>
              <w:t>供应商应当以支票、汇票、本票或者金融机构、担保机构出具的保函等非现金形式(包括网银转账，电汇等方式)提交</w:t>
            </w:r>
            <w:r>
              <w:rPr>
                <w:rFonts w:ascii="Times New Roman" w:hAnsi="Times New Roman" w:eastAsia="仿宋" w:cs="Times New Roman"/>
                <w:sz w:val="22"/>
                <w:szCs w:val="22"/>
                <w:lang w:val="zh-CN"/>
              </w:rPr>
              <w:t>；</w:t>
            </w:r>
          </w:p>
          <w:p w14:paraId="29152F6D">
            <w:pPr>
              <w:pStyle w:val="28"/>
              <w:numPr>
                <w:ilvl w:val="0"/>
                <w:numId w:val="0"/>
              </w:numPr>
              <w:tabs>
                <w:tab w:val="left" w:pos="220"/>
              </w:tabs>
              <w:spacing w:line="360" w:lineRule="auto"/>
              <w:ind w:left="210" w:leftChars="100" w:firstLine="10" w:firstLineChars="0"/>
              <w:jc w:val="both"/>
              <w:rPr>
                <w:rFonts w:hint="default" w:ascii="Times New Roman" w:hAnsi="Times New Roman" w:eastAsia="仿宋" w:cs="Times New Roman"/>
                <w:sz w:val="22"/>
                <w:szCs w:val="22"/>
                <w:lang w:val="zh-CN" w:eastAsia="zh-CN" w:bidi="ar-SA"/>
              </w:rPr>
            </w:pPr>
            <w:r>
              <w:rPr>
                <w:rFonts w:hint="default" w:ascii="Times New Roman" w:hAnsi="Times New Roman" w:eastAsia="仿宋" w:cs="Times New Roman"/>
                <w:sz w:val="22"/>
                <w:szCs w:val="22"/>
                <w:lang w:val="zh-CN" w:eastAsia="zh-CN" w:bidi="ar-SA"/>
              </w:rPr>
              <w:t>(1)收款单位：四川省精神医学中心</w:t>
            </w:r>
          </w:p>
          <w:p w14:paraId="10A7DEA9">
            <w:pPr>
              <w:pStyle w:val="28"/>
              <w:numPr>
                <w:ilvl w:val="0"/>
                <w:numId w:val="0"/>
              </w:numPr>
              <w:tabs>
                <w:tab w:val="left" w:pos="220"/>
              </w:tabs>
              <w:spacing w:line="360" w:lineRule="auto"/>
              <w:ind w:left="210" w:leftChars="100" w:firstLine="10" w:firstLineChars="0"/>
              <w:jc w:val="both"/>
              <w:rPr>
                <w:rFonts w:hint="default" w:ascii="Times New Roman" w:hAnsi="Times New Roman" w:eastAsia="仿宋" w:cs="Times New Roman"/>
                <w:sz w:val="22"/>
                <w:szCs w:val="22"/>
                <w:lang w:val="zh-CN" w:eastAsia="zh-CN" w:bidi="ar-SA"/>
              </w:rPr>
            </w:pPr>
            <w:r>
              <w:rPr>
                <w:rFonts w:hint="default" w:ascii="Times New Roman" w:hAnsi="Times New Roman" w:eastAsia="仿宋" w:cs="Times New Roman"/>
                <w:sz w:val="22"/>
                <w:szCs w:val="22"/>
                <w:lang w:val="zh-CN" w:eastAsia="zh-CN" w:bidi="ar-SA"/>
              </w:rPr>
              <w:t>(2)开户行：成都银行股份有限公司光华大道支行</w:t>
            </w:r>
          </w:p>
          <w:p w14:paraId="6A42700C">
            <w:pPr>
              <w:pStyle w:val="28"/>
              <w:numPr>
                <w:ilvl w:val="0"/>
                <w:numId w:val="0"/>
              </w:numPr>
              <w:tabs>
                <w:tab w:val="left" w:pos="220"/>
              </w:tabs>
              <w:spacing w:line="360" w:lineRule="auto"/>
              <w:ind w:left="210" w:leftChars="100" w:firstLine="10" w:firstLineChars="0"/>
              <w:jc w:val="both"/>
              <w:rPr>
                <w:rFonts w:hint="default" w:ascii="Times New Roman" w:hAnsi="Times New Roman" w:eastAsia="仿宋" w:cs="Times New Roman"/>
                <w:sz w:val="22"/>
                <w:szCs w:val="22"/>
                <w:lang w:val="zh-CN" w:eastAsia="zh-CN" w:bidi="ar-SA"/>
              </w:rPr>
            </w:pPr>
            <w:r>
              <w:rPr>
                <w:rFonts w:hint="default" w:ascii="Times New Roman" w:hAnsi="Times New Roman" w:eastAsia="仿宋" w:cs="Times New Roman"/>
                <w:sz w:val="22"/>
                <w:szCs w:val="22"/>
                <w:lang w:val="zh-CN" w:eastAsia="zh-CN" w:bidi="ar-SA"/>
              </w:rPr>
              <w:t>(3)银行账号；1001300000618249</w:t>
            </w:r>
          </w:p>
          <w:p w14:paraId="3C3D12D3">
            <w:pPr>
              <w:pStyle w:val="28"/>
              <w:numPr>
                <w:ilvl w:val="0"/>
                <w:numId w:val="0"/>
              </w:numPr>
              <w:tabs>
                <w:tab w:val="left" w:pos="220"/>
              </w:tabs>
              <w:spacing w:line="360" w:lineRule="auto"/>
              <w:ind w:left="210" w:leftChars="100" w:firstLine="10" w:firstLineChars="0"/>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bidi="ar-SA"/>
              </w:rPr>
              <w:t>3.</w:t>
            </w: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0"/>
              </w:numPr>
              <w:tabs>
                <w:tab w:val="left" w:pos="220"/>
              </w:tabs>
              <w:spacing w:line="360" w:lineRule="auto"/>
              <w:ind w:left="210" w:leftChars="100" w:firstLine="10" w:firstLineChars="0"/>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bidi="ar-SA"/>
              </w:rPr>
              <w:t>4.</w:t>
            </w: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rPr>
              <w:t>服务期结束且经采购人验收合格后，采购人接到供应商退还申请后30个工作日内，一次性无息退还全部履约保证金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28"/>
              <w:numPr>
                <w:ilvl w:val="0"/>
                <w:numId w:val="0"/>
              </w:numPr>
              <w:tabs>
                <w:tab w:val="left" w:pos="220"/>
              </w:tabs>
              <w:spacing w:line="360" w:lineRule="auto"/>
              <w:ind w:left="210" w:leftChars="100" w:firstLine="10" w:firstLineChars="0"/>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bidi="ar-SA"/>
              </w:rPr>
              <w:t>5.</w:t>
            </w:r>
            <w:r>
              <w:rPr>
                <w:rFonts w:ascii="Times New Roman" w:hAnsi="Times New Roman" w:eastAsia="仿宋" w:cs="Times New Roman"/>
                <w:sz w:val="22"/>
                <w:szCs w:val="22"/>
                <w:lang w:val="zh-CN"/>
              </w:rPr>
              <w:t>履约保证金不予退还情形：</w:t>
            </w:r>
          </w:p>
          <w:p w14:paraId="7A65F462">
            <w:pPr>
              <w:pStyle w:val="28"/>
              <w:numPr>
                <w:ilvl w:val="0"/>
                <w:numId w:val="0"/>
              </w:numPr>
              <w:tabs>
                <w:tab w:val="left" w:pos="218"/>
              </w:tabs>
              <w:spacing w:line="360" w:lineRule="auto"/>
              <w:ind w:left="218" w:leftChars="104" w:firstLine="0" w:firstLineChars="0"/>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bidi="ar-SA"/>
              </w:rPr>
              <w:t>(1)</w:t>
            </w: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345D4C50">
            <w:pPr>
              <w:pStyle w:val="28"/>
              <w:numPr>
                <w:ilvl w:val="0"/>
                <w:numId w:val="0"/>
              </w:numPr>
              <w:tabs>
                <w:tab w:val="left" w:pos="218"/>
              </w:tabs>
              <w:spacing w:line="360" w:lineRule="auto"/>
              <w:ind w:left="218" w:leftChars="104" w:firstLine="0" w:firstLineChars="0"/>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bidi="ar-SA"/>
              </w:rPr>
              <w:t>(2)</w:t>
            </w:r>
            <w:r>
              <w:rPr>
                <w:rFonts w:ascii="Times New Roman" w:hAnsi="Times New Roman" w:eastAsia="仿宋" w:cs="Times New Roman"/>
                <w:sz w:val="22"/>
                <w:szCs w:val="22"/>
                <w:lang w:val="zh-CN"/>
              </w:rPr>
              <w:t>项目验收结果不合格的；</w:t>
            </w:r>
          </w:p>
          <w:p w14:paraId="7A456483">
            <w:pPr>
              <w:pStyle w:val="28"/>
              <w:numPr>
                <w:ilvl w:val="0"/>
                <w:numId w:val="0"/>
              </w:numPr>
              <w:tabs>
                <w:tab w:val="left" w:pos="218"/>
              </w:tabs>
              <w:spacing w:line="360" w:lineRule="auto"/>
              <w:ind w:left="218" w:leftChars="104" w:firstLine="0" w:firstLineChars="0"/>
              <w:jc w:val="both"/>
              <w:rPr>
                <w:rFonts w:ascii="Times New Roman" w:hAnsi="Times New Roman" w:eastAsia="仿宋" w:cs="Times New Roman"/>
                <w:sz w:val="22"/>
                <w:szCs w:val="22"/>
              </w:rPr>
            </w:pPr>
            <w:r>
              <w:rPr>
                <w:rFonts w:hint="default" w:ascii="Times New Roman" w:hAnsi="Times New Roman" w:eastAsia="仿宋" w:cs="Times New Roman"/>
                <w:sz w:val="22"/>
                <w:szCs w:val="22"/>
                <w:lang w:val="en-US" w:eastAsia="zh-CN" w:bidi="ar-SA"/>
              </w:rPr>
              <w:t>(3)</w:t>
            </w:r>
            <w:r>
              <w:rPr>
                <w:rFonts w:ascii="Times New Roman" w:hAnsi="Times New Roman" w:eastAsia="仿宋" w:cs="Times New Roman"/>
                <w:sz w:val="22"/>
                <w:szCs w:val="22"/>
                <w:lang w:val="zh-CN"/>
              </w:rPr>
              <w:t>其他违反国家相关法律法规的情形。</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trPr>
        <w:tc>
          <w:tcPr>
            <w:tcW w:w="568"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通过资格、符合性审查且满足谈判文件全部实质性要求的供应商达到3家以上(含3家)，若合格供应商只有2家，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w:t>
            </w:r>
            <w:r>
              <w:rPr>
                <w:rFonts w:hint="eastAsia" w:ascii="Times New Roman" w:hAnsi="Times New Roman" w:eastAsia="仿宋" w:cs="Times New Roman"/>
                <w:sz w:val="22"/>
                <w:lang w:val="en-US" w:eastAsia="zh-CN"/>
              </w:rPr>
              <w:t>最低</w:t>
            </w:r>
            <w:r>
              <w:rPr>
                <w:rFonts w:ascii="Times New Roman" w:hAnsi="Times New Roman" w:eastAsia="仿宋" w:cs="Times New Roman"/>
                <w:sz w:val="22"/>
              </w:rPr>
              <w:t>的为成交供应商，</w:t>
            </w:r>
            <w:r>
              <w:rPr>
                <w:rFonts w:hint="eastAsia" w:ascii="Times New Roman" w:hAnsi="Times New Roman" w:eastAsia="仿宋" w:cs="Times New Roman"/>
                <w:sz w:val="22"/>
              </w:rPr>
              <w:t>若得分相同且报价亦相同，则采取随机抽取的方式确定成交供应商</w:t>
            </w:r>
            <w:r>
              <w:rPr>
                <w:rFonts w:hint="eastAsia" w:ascii="Times New Roman" w:hAnsi="Times New Roman" w:eastAsia="仿宋" w:cs="Times New Roman"/>
                <w:sz w:val="22"/>
                <w:lang w:eastAsia="zh-CN"/>
              </w:rPr>
              <w:t>。</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通过资格、符合性审查且所有技术、服务和商务条件均符合谈判文件要求的供应商视为合格供应商，合格供应商应达到3家以上(含3家)。若合格供应商只有2家，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trPr>
        <w:tc>
          <w:tcPr>
            <w:tcW w:w="568"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trPr>
        <w:tc>
          <w:tcPr>
            <w:tcW w:w="568"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6"/>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6"/>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6"/>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trPr>
        <w:tc>
          <w:tcPr>
            <w:tcW w:w="568"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1B7BA4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716ADC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甘</w:t>
            </w:r>
            <w:r>
              <w:rPr>
                <w:rFonts w:ascii="Times New Roman" w:hAnsi="Times New Roman" w:eastAsia="仿宋" w:cs="Times New Roman"/>
                <w:sz w:val="22"/>
              </w:rPr>
              <w:t>老师</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t>028-</w:t>
            </w:r>
            <w:r>
              <w:rPr>
                <w:rFonts w:hint="eastAsia" w:ascii="Times New Roman" w:hAnsi="Times New Roman" w:eastAsia="仿宋" w:cs="Times New Roman"/>
                <w:sz w:val="22"/>
              </w:rPr>
              <w:t>87393665</w:t>
            </w:r>
          </w:p>
          <w:p w14:paraId="32CEDDED">
            <w:pPr>
              <w:spacing w:line="360" w:lineRule="auto"/>
              <w:ind w:left="210" w:leftChars="100"/>
              <w:rPr>
                <w:rFonts w:hint="eastAsia" w:ascii="仿宋" w:hAnsi="仿宋" w:eastAsia="仿宋" w:cs="仿宋"/>
                <w:b/>
                <w:bCs/>
                <w:color w:val="auto"/>
                <w:sz w:val="22"/>
                <w:szCs w:val="22"/>
                <w:lang w:eastAsia="zh-CN"/>
              </w:rPr>
            </w:pPr>
            <w:r>
              <w:rPr>
                <w:rFonts w:ascii="Times New Roman" w:hAnsi="Times New Roman" w:eastAsia="仿宋" w:cs="Times New Roman"/>
                <w:sz w:val="22"/>
              </w:rPr>
              <w:t>（2）归口部门：</w:t>
            </w:r>
            <w:r>
              <w:rPr>
                <w:rFonts w:hint="eastAsia" w:ascii="Times New Roman" w:hAnsi="Times New Roman" w:eastAsia="仿宋" w:cs="Times New Roman"/>
                <w:sz w:val="22"/>
                <w:lang w:eastAsia="zh-CN"/>
              </w:rPr>
              <w:t>四川省精神医学中心</w:t>
            </w:r>
          </w:p>
          <w:p w14:paraId="4524AB95">
            <w:pPr>
              <w:spacing w:line="360" w:lineRule="auto"/>
              <w:ind w:left="210" w:leftChars="100"/>
              <w:rPr>
                <w:rFonts w:hint="default" w:ascii="仿宋" w:hAnsi="仿宋" w:eastAsia="仿宋" w:cs="仿宋"/>
                <w:color w:val="auto"/>
                <w:sz w:val="22"/>
                <w:szCs w:val="22"/>
                <w:lang w:val="en-US" w:eastAsia="zh-CN"/>
              </w:rPr>
            </w:pPr>
            <w:r>
              <w:rPr>
                <w:rFonts w:ascii="仿宋" w:hAnsi="仿宋" w:eastAsia="仿宋" w:cs="仿宋"/>
                <w:color w:val="auto"/>
                <w:sz w:val="22"/>
                <w:szCs w:val="22"/>
              </w:rPr>
              <w:t>联系方式：</w:t>
            </w:r>
            <w:r>
              <w:rPr>
                <w:rFonts w:hint="eastAsia" w:ascii="仿宋" w:hAnsi="仿宋" w:eastAsia="仿宋" w:cs="仿宋"/>
                <w:color w:val="auto"/>
                <w:sz w:val="22"/>
                <w:szCs w:val="22"/>
                <w:lang w:val="en-US" w:eastAsia="zh-CN"/>
              </w:rPr>
              <w:t>李老师 028-87393665</w:t>
            </w:r>
          </w:p>
          <w:p w14:paraId="418C3619">
            <w:pPr>
              <w:spacing w:line="360" w:lineRule="auto"/>
              <w:ind w:firstLine="220" w:firstLineChars="100"/>
              <w:rPr>
                <w:rFonts w:ascii="Times New Roman" w:hAnsi="Times New Roman" w:eastAsia="仿宋" w:cs="Times New Roman"/>
                <w:sz w:val="22"/>
              </w:rPr>
            </w:pPr>
            <w:r>
              <w:rPr>
                <w:rFonts w:ascii="Times New Roman" w:hAnsi="Times New Roman" w:eastAsia="仿宋" w:cs="Times New Roman"/>
                <w:sz w:val="22"/>
              </w:rPr>
              <w:t>（3）监督部门：审计部</w:t>
            </w:r>
          </w:p>
          <w:p w14:paraId="3B04243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28ED2DB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24154"/>
      <w:bookmarkStart w:id="7" w:name="_Toc14460"/>
      <w:bookmarkStart w:id="8" w:name="_Toc22329"/>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1"/>
        <w:gridCol w:w="1995"/>
        <w:gridCol w:w="7008"/>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7"/>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7"/>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7"/>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供应商应保证谈判文件中所写明的法定代表人或委托代理人的联系方式（手机或邮箱）的畅通，并确保其具备澄清、说明或者更正及在我单位使用的电子化招采平台上进行操作等条件（在接到通知后的在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7"/>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7"/>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7"/>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7"/>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7"/>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7"/>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7"/>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u w:val="single"/>
              </w:rPr>
              <w:t>3665</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u w:val="single"/>
              </w:rPr>
              <w:t>630325390@qq.com</w:t>
            </w:r>
            <w:r>
              <w:rPr>
                <w:rFonts w:ascii="Times New Roman" w:hAnsi="Times New Roman" w:eastAsia="仿宋" w:cs="Times New Roman"/>
                <w:sz w:val="22"/>
                <w:szCs w:val="22"/>
              </w:rPr>
              <w:t>。</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7"/>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8"/>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8"/>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8"/>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w:t>
            </w:r>
            <w:r>
              <w:rPr>
                <w:rFonts w:hint="eastAsia" w:ascii="Times New Roman" w:hAnsi="Times New Roman" w:eastAsia="仿宋" w:cs="Times New Roman"/>
                <w:sz w:val="22"/>
                <w:szCs w:val="22"/>
                <w:lang w:eastAsia="zh-CN"/>
              </w:rPr>
              <w:t>四川省精神医学中心</w:t>
            </w:r>
            <w:r>
              <w:rPr>
                <w:rFonts w:ascii="Times New Roman" w:hAnsi="Times New Roman" w:eastAsia="仿宋" w:cs="Times New Roman"/>
                <w:sz w:val="22"/>
                <w:szCs w:val="22"/>
              </w:rPr>
              <w:t>；</w:t>
            </w:r>
          </w:p>
          <w:p w14:paraId="019DFEFC">
            <w:pPr>
              <w:pStyle w:val="28"/>
              <w:numPr>
                <w:ilvl w:val="0"/>
                <w:numId w:val="8"/>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8"/>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8"/>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32181"/>
      <w:bookmarkStart w:id="10" w:name="_Toc19400"/>
      <w:bookmarkStart w:id="11" w:name="_Toc28050"/>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3"/>
        <w:gridCol w:w="2820"/>
        <w:gridCol w:w="5915"/>
      </w:tblGrid>
      <w:tr w14:paraId="6B0D0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54" w:type="dxa"/>
            <w:gridSpan w:val="3"/>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4" w:type="dxa"/>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886" w:type="dxa"/>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6054" w:type="dxa"/>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p w14:paraId="6ECBD189">
            <w:pPr>
              <w:widowControl/>
              <w:jc w:val="center"/>
              <w:rPr>
                <w:rFonts w:ascii="Times New Roman" w:hAnsi="Times New Roman" w:eastAsia="仿宋" w:cs="Times New Roman"/>
                <w:b/>
                <w:bCs/>
                <w:sz w:val="22"/>
              </w:rPr>
            </w:pP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914" w:type="dxa"/>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2886" w:type="dxa"/>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6054" w:type="dxa"/>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p w14:paraId="1F8A68B8">
            <w:pPr>
              <w:widowControl/>
              <w:jc w:val="left"/>
              <w:rPr>
                <w:rFonts w:ascii="Times New Roman" w:hAnsi="Times New Roman" w:eastAsia="仿宋" w:cs="Times New Roman"/>
                <w:bCs/>
                <w:kern w:val="0"/>
                <w:sz w:val="22"/>
              </w:rPr>
            </w:pP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914" w:type="dxa"/>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2886" w:type="dxa"/>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6054" w:type="dxa"/>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p w14:paraId="3B196BA3">
            <w:pPr>
              <w:jc w:val="left"/>
              <w:rPr>
                <w:rFonts w:ascii="Times New Roman" w:hAnsi="Times New Roman" w:eastAsia="仿宋" w:cs="Times New Roman"/>
                <w:bCs/>
                <w:kern w:val="0"/>
                <w:sz w:val="22"/>
              </w:rPr>
            </w:pP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914" w:type="dxa"/>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2886" w:type="dxa"/>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6054" w:type="dxa"/>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p w14:paraId="4A214CC3">
            <w:pPr>
              <w:jc w:val="left"/>
              <w:rPr>
                <w:rFonts w:ascii="Times New Roman" w:hAnsi="Times New Roman" w:eastAsia="仿宋" w:cs="Times New Roman"/>
                <w:bCs/>
                <w:kern w:val="0"/>
                <w:sz w:val="22"/>
              </w:rPr>
            </w:pP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4" w:type="dxa"/>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2886" w:type="dxa"/>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6054" w:type="dxa"/>
            <w:vMerge w:val="continue"/>
            <w:vAlign w:val="center"/>
          </w:tcPr>
          <w:p w14:paraId="6CEC038F">
            <w:pPr>
              <w:jc w:val="left"/>
              <w:rPr>
                <w:rFonts w:ascii="Times New Roman" w:hAnsi="Times New Roman" w:eastAsia="仿宋" w:cs="Times New Roman"/>
                <w:bCs/>
                <w:kern w:val="0"/>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4" w:type="dxa"/>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2886" w:type="dxa"/>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6054" w:type="dxa"/>
            <w:vMerge w:val="continue"/>
            <w:vAlign w:val="center"/>
          </w:tcPr>
          <w:p w14:paraId="4207E63E">
            <w:pPr>
              <w:jc w:val="left"/>
              <w:rPr>
                <w:rFonts w:ascii="Times New Roman" w:hAnsi="Times New Roman" w:eastAsia="仿宋" w:cs="Times New Roman"/>
                <w:bCs/>
                <w:kern w:val="0"/>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4" w:type="dxa"/>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2886" w:type="dxa"/>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6054" w:type="dxa"/>
            <w:vMerge w:val="continue"/>
            <w:vAlign w:val="center"/>
          </w:tcPr>
          <w:p w14:paraId="6DD5AEEF">
            <w:pPr>
              <w:jc w:val="left"/>
              <w:rPr>
                <w:rFonts w:ascii="Times New Roman" w:hAnsi="Times New Roman" w:eastAsia="仿宋" w:cs="Times New Roman"/>
                <w:bCs/>
                <w:kern w:val="0"/>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4" w:type="dxa"/>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2886" w:type="dxa"/>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6054" w:type="dxa"/>
            <w:vMerge w:val="continue"/>
            <w:vAlign w:val="center"/>
          </w:tcPr>
          <w:p w14:paraId="65D00101">
            <w:pPr>
              <w:jc w:val="left"/>
              <w:rPr>
                <w:rFonts w:ascii="Times New Roman" w:hAnsi="Times New Roman" w:eastAsia="仿宋" w:cs="Times New Roman"/>
                <w:bCs/>
                <w:kern w:val="0"/>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914" w:type="dxa"/>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2886" w:type="dxa"/>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6054" w:type="dxa"/>
            <w:vMerge w:val="continue"/>
            <w:vAlign w:val="center"/>
          </w:tcPr>
          <w:p w14:paraId="653C02A3">
            <w:pPr>
              <w:jc w:val="left"/>
              <w:rPr>
                <w:rFonts w:ascii="Times New Roman" w:hAnsi="Times New Roman" w:eastAsia="仿宋" w:cs="Times New Roman"/>
                <w:bCs/>
                <w:kern w:val="0"/>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914" w:type="dxa"/>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2886" w:type="dxa"/>
            <w:vAlign w:val="center"/>
          </w:tcPr>
          <w:p w14:paraId="1D430456">
            <w:pPr>
              <w:widowControl/>
              <w:jc w:val="left"/>
              <w:rPr>
                <w:rFonts w:hint="eastAsia" w:ascii="Times New Roman" w:hAnsi="Times New Roman" w:eastAsia="仿宋" w:cs="Times New Roman"/>
                <w:b/>
                <w:bCs/>
                <w:sz w:val="22"/>
                <w:lang w:val="en-US" w:eastAsia="zh-CN"/>
              </w:rPr>
            </w:pPr>
            <w:r>
              <w:rPr>
                <w:rFonts w:ascii="Times New Roman" w:hAnsi="Times New Roman" w:eastAsia="仿宋" w:cs="Times New Roman"/>
                <w:b/>
                <w:bCs/>
                <w:sz w:val="22"/>
              </w:rPr>
              <w:t>本项目其他资格条件：</w:t>
            </w:r>
            <w:r>
              <w:rPr>
                <w:rFonts w:hint="eastAsia" w:ascii="Times New Roman" w:hAnsi="Times New Roman" w:eastAsia="仿宋" w:cs="Times New Roman"/>
                <w:b/>
                <w:bCs/>
                <w:sz w:val="22"/>
                <w:lang w:val="en-US" w:eastAsia="zh-CN"/>
              </w:rPr>
              <w:t>无</w:t>
            </w:r>
          </w:p>
        </w:tc>
        <w:tc>
          <w:tcPr>
            <w:tcW w:w="6054" w:type="dxa"/>
            <w:vAlign w:val="center"/>
          </w:tcPr>
          <w:p w14:paraId="2F64669A">
            <w:pPr>
              <w:jc w:val="left"/>
              <w:rPr>
                <w:rFonts w:hint="eastAsia" w:ascii="Times New Roman" w:hAnsi="Times New Roman" w:eastAsia="仿宋" w:cs="Times New Roman"/>
                <w:bCs/>
                <w:kern w:val="0"/>
                <w:sz w:val="22"/>
                <w:lang w:eastAsia="zh-CN"/>
              </w:rPr>
            </w:pP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3"/>
        <w:gridCol w:w="2297"/>
        <w:gridCol w:w="6438"/>
      </w:tblGrid>
      <w:tr w14:paraId="32952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54" w:type="dxa"/>
            <w:gridSpan w:val="3"/>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0" w:type="dxa"/>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49" w:type="dxa"/>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6595" w:type="dxa"/>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p w14:paraId="30A8CAA8">
            <w:pPr>
              <w:widowControl/>
              <w:jc w:val="center"/>
              <w:rPr>
                <w:rFonts w:ascii="Times New Roman" w:hAnsi="Times New Roman" w:eastAsia="仿宋" w:cs="Times New Roman"/>
                <w:b/>
                <w:bCs/>
                <w:sz w:val="22"/>
              </w:rPr>
            </w:pP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910" w:type="dxa"/>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2349" w:type="dxa"/>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6595" w:type="dxa"/>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p w14:paraId="5FC94B64">
            <w:pPr>
              <w:widowControl/>
              <w:jc w:val="left"/>
              <w:rPr>
                <w:rFonts w:ascii="Times New Roman" w:hAnsi="Times New Roman" w:eastAsia="仿宋" w:cs="Times New Roman"/>
                <w:bCs/>
                <w:kern w:val="0"/>
                <w:sz w:val="22"/>
              </w:rPr>
            </w:pP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910" w:type="dxa"/>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349" w:type="dxa"/>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6595" w:type="dxa"/>
            <w:vAlign w:val="center"/>
          </w:tcPr>
          <w:p w14:paraId="0531C463">
            <w:pPr>
              <w:rPr>
                <w:rFonts w:ascii="Times New Roman" w:hAnsi="Times New Roman" w:eastAsia="仿宋" w:cs="Times New Roman"/>
                <w:bCs/>
                <w:kern w:val="0"/>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910" w:type="dxa"/>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2349" w:type="dxa"/>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6595" w:type="dxa"/>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399C722E">
            <w:pPr>
              <w:rPr>
                <w:rFonts w:ascii="Times New Roman" w:hAnsi="Times New Roman" w:eastAsia="仿宋" w:cs="Times New Roman"/>
                <w:bCs/>
                <w:kern w:val="0"/>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910" w:type="dxa"/>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2349" w:type="dxa"/>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6595" w:type="dxa"/>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p>
          <w:p w14:paraId="7F723107">
            <w:pPr>
              <w:rPr>
                <w:rFonts w:ascii="Times New Roman" w:hAnsi="Times New Roman" w:eastAsia="仿宋" w:cs="Times New Roman"/>
                <w:bCs/>
                <w:kern w:val="0"/>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910" w:type="dxa"/>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2349" w:type="dxa"/>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6595" w:type="dxa"/>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p w14:paraId="014228C2">
            <w:pPr>
              <w:widowControl/>
              <w:jc w:val="left"/>
              <w:rPr>
                <w:rFonts w:ascii="Times New Roman" w:hAnsi="Times New Roman" w:eastAsia="仿宋" w:cs="Times New Roman"/>
                <w:bCs/>
                <w:kern w:val="0"/>
                <w:sz w:val="22"/>
              </w:rPr>
            </w:pP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3988"/>
      <w:bookmarkStart w:id="13" w:name="_Toc16403"/>
      <w:bookmarkStart w:id="14" w:name="_Toc12668"/>
      <w:r>
        <w:rPr>
          <w:rFonts w:ascii="Times New Roman" w:hAnsi="Times New Roman" w:cs="Times New Roman"/>
        </w:rPr>
        <w:t>采购需求</w:t>
      </w:r>
      <w:bookmarkEnd w:id="12"/>
      <w:bookmarkEnd w:id="13"/>
      <w:bookmarkEnd w:id="14"/>
    </w:p>
    <w:p w14:paraId="7573BCC1">
      <w:pPr>
        <w:pStyle w:val="16"/>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textAlignment w:val="auto"/>
        <w:rPr>
          <w:rFonts w:hint="default" w:ascii="仿宋" w:hAnsi="仿宋" w:eastAsia="仿宋"/>
          <w:b/>
          <w:bCs/>
          <w:sz w:val="24"/>
          <w:szCs w:val="24"/>
          <w:lang w:val="en-US" w:eastAsia="zh-CN"/>
        </w:rPr>
      </w:pPr>
      <w:r>
        <w:rPr>
          <w:rFonts w:hint="default" w:ascii="仿宋" w:hAnsi="仿宋" w:eastAsia="仿宋"/>
          <w:b/>
          <w:bCs/>
          <w:sz w:val="24"/>
          <w:szCs w:val="24"/>
          <w:lang w:val="en-US" w:eastAsia="zh-CN"/>
        </w:rPr>
        <w:t>一、项目简介</w:t>
      </w:r>
    </w:p>
    <w:p w14:paraId="054EEA32">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根据四川省精神医学中心工作需要，需要第三方公司提供劳务派遣制残疾人就业服务。本项目不接受合同分包</w:t>
      </w:r>
      <w:r>
        <w:rPr>
          <w:rFonts w:hint="eastAsia" w:ascii="仿宋" w:hAnsi="仿宋" w:eastAsia="仿宋"/>
          <w:sz w:val="24"/>
          <w:szCs w:val="24"/>
          <w:lang w:val="en-US" w:eastAsia="zh-CN"/>
        </w:rPr>
        <w:t>。</w:t>
      </w:r>
    </w:p>
    <w:p w14:paraId="5ADE2625">
      <w:pPr>
        <w:pStyle w:val="16"/>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textAlignment w:val="auto"/>
        <w:rPr>
          <w:rFonts w:hint="default" w:ascii="仿宋" w:hAnsi="仿宋" w:eastAsia="仿宋"/>
          <w:b/>
          <w:bCs/>
          <w:sz w:val="24"/>
          <w:szCs w:val="24"/>
          <w:lang w:val="en-US" w:eastAsia="zh-CN"/>
        </w:rPr>
      </w:pPr>
      <w:r>
        <w:rPr>
          <w:rFonts w:hint="default" w:ascii="仿宋" w:hAnsi="仿宋" w:eastAsia="仿宋"/>
          <w:b/>
          <w:bCs/>
          <w:sz w:val="24"/>
          <w:szCs w:val="24"/>
          <w:lang w:val="en-US" w:eastAsia="zh-CN"/>
        </w:rPr>
        <w:t>★二、服务</w:t>
      </w:r>
      <w:r>
        <w:rPr>
          <w:rFonts w:hint="eastAsia" w:ascii="仿宋" w:hAnsi="仿宋" w:eastAsia="仿宋"/>
          <w:b/>
          <w:bCs/>
          <w:sz w:val="24"/>
          <w:szCs w:val="24"/>
          <w:lang w:val="en-US" w:eastAsia="zh-CN"/>
        </w:rPr>
        <w:t>清单及限高价</w:t>
      </w:r>
    </w:p>
    <w:tbl>
      <w:tblPr>
        <w:tblStyle w:val="18"/>
        <w:tblW w:w="498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63"/>
        <w:gridCol w:w="1993"/>
        <w:gridCol w:w="4655"/>
        <w:gridCol w:w="2192"/>
      </w:tblGrid>
      <w:tr w14:paraId="1BD29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735" w:hRule="atLeast"/>
        </w:trPr>
        <w:tc>
          <w:tcPr>
            <w:tcW w:w="772" w:type="dxa"/>
            <w:shd w:val="clear" w:color="auto" w:fill="auto"/>
            <w:tcMar>
              <w:top w:w="0" w:type="dxa"/>
              <w:left w:w="105" w:type="dxa"/>
              <w:bottom w:w="0" w:type="dxa"/>
              <w:right w:w="105" w:type="dxa"/>
            </w:tcMar>
            <w:vAlign w:val="top"/>
          </w:tcPr>
          <w:p w14:paraId="1CEF97CB">
            <w:pPr>
              <w:pStyle w:val="14"/>
              <w:keepNext w:val="0"/>
              <w:keepLines w:val="0"/>
              <w:widowControl/>
              <w:suppressLineNumbers w:val="0"/>
              <w:jc w:val="center"/>
              <w:rPr>
                <w:rFonts w:hint="default"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序号</w:t>
            </w:r>
          </w:p>
        </w:tc>
        <w:tc>
          <w:tcPr>
            <w:tcW w:w="2039" w:type="dxa"/>
            <w:shd w:val="clear" w:color="auto" w:fill="auto"/>
            <w:tcMar>
              <w:top w:w="0" w:type="dxa"/>
              <w:left w:w="105" w:type="dxa"/>
              <w:bottom w:w="0" w:type="dxa"/>
              <w:right w:w="105" w:type="dxa"/>
            </w:tcMar>
            <w:vAlign w:val="top"/>
          </w:tcPr>
          <w:p w14:paraId="3CFBF0C6">
            <w:pPr>
              <w:pStyle w:val="14"/>
              <w:keepNext w:val="0"/>
              <w:keepLines w:val="0"/>
              <w:widowControl/>
              <w:suppressLineNumbers w:val="0"/>
              <w:jc w:val="center"/>
              <w:rPr>
                <w:rFonts w:hint="default"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服务名称</w:t>
            </w:r>
          </w:p>
        </w:tc>
        <w:tc>
          <w:tcPr>
            <w:tcW w:w="4773" w:type="dxa"/>
            <w:shd w:val="clear" w:color="auto" w:fill="auto"/>
            <w:tcMar>
              <w:top w:w="0" w:type="dxa"/>
              <w:left w:w="105" w:type="dxa"/>
              <w:bottom w:w="0" w:type="dxa"/>
              <w:right w:w="105" w:type="dxa"/>
            </w:tcMar>
            <w:vAlign w:val="top"/>
          </w:tcPr>
          <w:p w14:paraId="7893251D">
            <w:pPr>
              <w:pStyle w:val="14"/>
              <w:keepNext w:val="0"/>
              <w:keepLines w:val="0"/>
              <w:widowControl/>
              <w:suppressLineNumbers w:val="0"/>
              <w:ind w:left="0" w:firstLine="0"/>
              <w:jc w:val="center"/>
              <w:rPr>
                <w:rFonts w:hint="default"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类别</w:t>
            </w:r>
          </w:p>
        </w:tc>
        <w:tc>
          <w:tcPr>
            <w:tcW w:w="2240" w:type="dxa"/>
            <w:shd w:val="clear" w:color="auto" w:fill="auto"/>
            <w:tcMar>
              <w:top w:w="0" w:type="dxa"/>
              <w:left w:w="105" w:type="dxa"/>
              <w:bottom w:w="0" w:type="dxa"/>
              <w:right w:w="105" w:type="dxa"/>
            </w:tcMar>
            <w:vAlign w:val="top"/>
          </w:tcPr>
          <w:p w14:paraId="2B481A4E">
            <w:pPr>
              <w:pStyle w:val="14"/>
              <w:keepNext w:val="0"/>
              <w:keepLines w:val="0"/>
              <w:widowControl/>
              <w:suppressLineNumbers w:val="0"/>
              <w:jc w:val="center"/>
              <w:rPr>
                <w:rFonts w:hint="default"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限高单价</w:t>
            </w:r>
          </w:p>
        </w:tc>
      </w:tr>
      <w:tr w14:paraId="63D71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675" w:hRule="atLeast"/>
        </w:trPr>
        <w:tc>
          <w:tcPr>
            <w:tcW w:w="772" w:type="dxa"/>
            <w:shd w:val="clear" w:color="auto" w:fill="auto"/>
            <w:tcMar>
              <w:top w:w="0" w:type="dxa"/>
              <w:left w:w="105" w:type="dxa"/>
              <w:bottom w:w="0" w:type="dxa"/>
              <w:right w:w="105" w:type="dxa"/>
            </w:tcMar>
            <w:vAlign w:val="center"/>
          </w:tcPr>
          <w:p w14:paraId="42704E12">
            <w:pPr>
              <w:pStyle w:val="14"/>
              <w:keepNext w:val="0"/>
              <w:keepLines w:val="0"/>
              <w:widowControl/>
              <w:suppressLineNumbers w:val="0"/>
              <w:jc w:val="center"/>
              <w:rPr>
                <w:rFonts w:hint="default" w:ascii="仿宋" w:hAnsi="仿宋" w:eastAsia="仿宋" w:cstheme="minorBidi"/>
                <w:kern w:val="2"/>
                <w:sz w:val="24"/>
                <w:szCs w:val="24"/>
                <w:lang w:val="en-US" w:eastAsia="zh-CN" w:bidi="ar-SA"/>
              </w:rPr>
            </w:pPr>
            <w:r>
              <w:rPr>
                <w:rFonts w:hint="default" w:ascii="仿宋" w:hAnsi="仿宋" w:eastAsia="仿宋" w:cstheme="minorBidi"/>
                <w:kern w:val="2"/>
                <w:sz w:val="24"/>
                <w:szCs w:val="24"/>
                <w:lang w:val="en-US" w:eastAsia="zh-CN" w:bidi="ar-SA"/>
              </w:rPr>
              <w:t>1</w:t>
            </w:r>
          </w:p>
        </w:tc>
        <w:tc>
          <w:tcPr>
            <w:tcW w:w="2039" w:type="dxa"/>
            <w:shd w:val="clear" w:color="auto" w:fill="auto"/>
            <w:tcMar>
              <w:top w:w="0" w:type="dxa"/>
              <w:left w:w="105" w:type="dxa"/>
              <w:bottom w:w="0" w:type="dxa"/>
              <w:right w:w="105" w:type="dxa"/>
            </w:tcMar>
            <w:vAlign w:val="top"/>
          </w:tcPr>
          <w:p w14:paraId="01F673F4">
            <w:pPr>
              <w:pStyle w:val="14"/>
              <w:keepNext w:val="0"/>
              <w:keepLines w:val="0"/>
              <w:widowControl/>
              <w:suppressLineNumbers w:val="0"/>
              <w:jc w:val="center"/>
              <w:rPr>
                <w:rFonts w:hint="default"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劳务派遣制残疾人就业服务</w:t>
            </w:r>
          </w:p>
        </w:tc>
        <w:tc>
          <w:tcPr>
            <w:tcW w:w="4773" w:type="dxa"/>
            <w:shd w:val="clear" w:color="auto" w:fill="auto"/>
            <w:tcMar>
              <w:top w:w="0" w:type="dxa"/>
              <w:left w:w="105" w:type="dxa"/>
              <w:bottom w:w="0" w:type="dxa"/>
              <w:right w:w="105" w:type="dxa"/>
            </w:tcMar>
            <w:vAlign w:val="top"/>
          </w:tcPr>
          <w:p w14:paraId="26267EC8">
            <w:pPr>
              <w:pStyle w:val="14"/>
              <w:keepNext w:val="0"/>
              <w:keepLines w:val="0"/>
              <w:widowControl/>
              <w:suppressLineNumbers w:val="0"/>
              <w:ind w:left="0" w:firstLine="0"/>
              <w:jc w:val="center"/>
              <w:rPr>
                <w:rFonts w:hint="default"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具有</w:t>
            </w:r>
            <w:r>
              <w:rPr>
                <w:rFonts w:hint="default" w:ascii="仿宋" w:hAnsi="仿宋" w:eastAsia="仿宋" w:cstheme="minorBidi"/>
                <w:kern w:val="2"/>
                <w:sz w:val="24"/>
                <w:szCs w:val="24"/>
                <w:lang w:val="en-US" w:eastAsia="zh-CN" w:bidi="ar-SA"/>
              </w:rPr>
              <w:t>1</w:t>
            </w:r>
            <w:r>
              <w:rPr>
                <w:rFonts w:hint="eastAsia" w:ascii="仿宋" w:hAnsi="仿宋" w:eastAsia="仿宋" w:cstheme="minorBidi"/>
                <w:kern w:val="2"/>
                <w:sz w:val="24"/>
                <w:szCs w:val="24"/>
                <w:lang w:val="en-US" w:eastAsia="zh-CN" w:bidi="ar-SA"/>
              </w:rPr>
              <w:t>至</w:t>
            </w:r>
            <w:r>
              <w:rPr>
                <w:rFonts w:hint="default" w:ascii="仿宋" w:hAnsi="仿宋" w:eastAsia="仿宋" w:cstheme="minorBidi"/>
                <w:kern w:val="2"/>
                <w:sz w:val="24"/>
                <w:szCs w:val="24"/>
                <w:lang w:val="en-US" w:eastAsia="zh-CN" w:bidi="ar-SA"/>
              </w:rPr>
              <w:t>2</w:t>
            </w:r>
            <w:r>
              <w:rPr>
                <w:rFonts w:hint="eastAsia" w:ascii="仿宋" w:hAnsi="仿宋" w:eastAsia="仿宋" w:cstheme="minorBidi"/>
                <w:kern w:val="2"/>
                <w:sz w:val="24"/>
                <w:szCs w:val="24"/>
                <w:lang w:val="en-US" w:eastAsia="zh-CN" w:bidi="ar-SA"/>
              </w:rPr>
              <w:t>级《中华人民共和国残疾人证》</w:t>
            </w:r>
          </w:p>
        </w:tc>
        <w:tc>
          <w:tcPr>
            <w:tcW w:w="2240" w:type="dxa"/>
            <w:shd w:val="clear" w:color="auto" w:fill="auto"/>
            <w:tcMar>
              <w:top w:w="0" w:type="dxa"/>
              <w:left w:w="105" w:type="dxa"/>
              <w:bottom w:w="0" w:type="dxa"/>
              <w:right w:w="105" w:type="dxa"/>
            </w:tcMar>
            <w:vAlign w:val="top"/>
          </w:tcPr>
          <w:p w14:paraId="02E05CA2">
            <w:pPr>
              <w:pStyle w:val="14"/>
              <w:keepNext w:val="0"/>
              <w:keepLines w:val="0"/>
              <w:widowControl/>
              <w:suppressLineNumbers w:val="0"/>
              <w:jc w:val="center"/>
              <w:rPr>
                <w:rFonts w:hint="default" w:ascii="仿宋" w:hAnsi="仿宋" w:eastAsia="仿宋" w:cstheme="minorBidi"/>
                <w:kern w:val="2"/>
                <w:sz w:val="24"/>
                <w:szCs w:val="24"/>
                <w:lang w:val="en-US" w:eastAsia="zh-CN" w:bidi="ar-SA"/>
              </w:rPr>
            </w:pPr>
            <w:r>
              <w:rPr>
                <w:rFonts w:hint="default" w:ascii="仿宋" w:hAnsi="仿宋" w:eastAsia="仿宋" w:cstheme="minorBidi"/>
                <w:kern w:val="2"/>
                <w:sz w:val="24"/>
                <w:szCs w:val="24"/>
                <w:lang w:val="en-US" w:eastAsia="zh-CN" w:bidi="ar-SA"/>
              </w:rPr>
              <w:t>590</w:t>
            </w:r>
            <w:r>
              <w:rPr>
                <w:rFonts w:hint="eastAsia" w:ascii="仿宋" w:hAnsi="仿宋" w:eastAsia="仿宋" w:cstheme="minorBidi"/>
                <w:kern w:val="2"/>
                <w:sz w:val="24"/>
                <w:szCs w:val="24"/>
                <w:lang w:val="en-US" w:eastAsia="zh-CN" w:bidi="ar-SA"/>
              </w:rPr>
              <w:t>元</w:t>
            </w:r>
            <w:r>
              <w:rPr>
                <w:rFonts w:hint="default" w:ascii="仿宋" w:hAnsi="仿宋" w:eastAsia="仿宋" w:cstheme="minorBidi"/>
                <w:kern w:val="2"/>
                <w:sz w:val="24"/>
                <w:szCs w:val="24"/>
                <w:lang w:val="en-US" w:eastAsia="zh-CN" w:bidi="ar-SA"/>
              </w:rPr>
              <w:t>/</w:t>
            </w:r>
            <w:r>
              <w:rPr>
                <w:rFonts w:hint="eastAsia" w:ascii="仿宋" w:hAnsi="仿宋" w:eastAsia="仿宋" w:cstheme="minorBidi"/>
                <w:kern w:val="2"/>
                <w:sz w:val="24"/>
                <w:szCs w:val="24"/>
                <w:lang w:val="en-US" w:eastAsia="zh-CN" w:bidi="ar-SA"/>
              </w:rPr>
              <w:t>人</w:t>
            </w:r>
            <w:r>
              <w:rPr>
                <w:rFonts w:hint="default" w:ascii="仿宋" w:hAnsi="仿宋" w:eastAsia="仿宋" w:cstheme="minorBidi"/>
                <w:kern w:val="2"/>
                <w:sz w:val="24"/>
                <w:szCs w:val="24"/>
                <w:lang w:val="en-US" w:eastAsia="zh-CN" w:bidi="ar-SA"/>
              </w:rPr>
              <w:t>/</w:t>
            </w:r>
            <w:r>
              <w:rPr>
                <w:rFonts w:hint="eastAsia" w:ascii="仿宋" w:hAnsi="仿宋" w:eastAsia="仿宋" w:cstheme="minorBidi"/>
                <w:kern w:val="2"/>
                <w:sz w:val="24"/>
                <w:szCs w:val="24"/>
                <w:lang w:val="en-US" w:eastAsia="zh-CN" w:bidi="ar-SA"/>
              </w:rPr>
              <w:t>月</w:t>
            </w:r>
          </w:p>
        </w:tc>
      </w:tr>
      <w:tr w14:paraId="2368C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675" w:hRule="atLeast"/>
        </w:trPr>
        <w:tc>
          <w:tcPr>
            <w:tcW w:w="9824" w:type="dxa"/>
            <w:gridSpan w:val="4"/>
            <w:shd w:val="clear" w:color="auto" w:fill="auto"/>
            <w:tcMar>
              <w:top w:w="0" w:type="dxa"/>
              <w:left w:w="105" w:type="dxa"/>
              <w:bottom w:w="0" w:type="dxa"/>
              <w:right w:w="105" w:type="dxa"/>
            </w:tcMar>
            <w:vAlign w:val="center"/>
          </w:tcPr>
          <w:p w14:paraId="6D52578D">
            <w:pPr>
              <w:pStyle w:val="14"/>
              <w:keepNext w:val="0"/>
              <w:keepLines w:val="0"/>
              <w:widowControl/>
              <w:suppressLineNumbers w:val="0"/>
              <w:jc w:val="center"/>
              <w:rPr>
                <w:rFonts w:hint="default"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支付上限：15000元</w:t>
            </w:r>
          </w:p>
        </w:tc>
      </w:tr>
    </w:tbl>
    <w:p w14:paraId="70FD7A47">
      <w:pPr>
        <w:pStyle w:val="16"/>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textAlignment w:val="auto"/>
        <w:rPr>
          <w:rFonts w:hint="default" w:ascii="仿宋" w:hAnsi="仿宋" w:eastAsia="仿宋"/>
          <w:b/>
          <w:bCs/>
          <w:sz w:val="24"/>
          <w:szCs w:val="24"/>
          <w:lang w:val="en-US" w:eastAsia="zh-CN"/>
        </w:rPr>
      </w:pPr>
      <w:r>
        <w:rPr>
          <w:rFonts w:hint="default" w:ascii="仿宋" w:hAnsi="仿宋" w:eastAsia="仿宋"/>
          <w:b/>
          <w:bCs/>
          <w:sz w:val="24"/>
          <w:szCs w:val="24"/>
          <w:lang w:val="en-US" w:eastAsia="zh-CN"/>
        </w:rPr>
        <w:t>★三、服务内容及要求</w:t>
      </w:r>
    </w:p>
    <w:p w14:paraId="5BC507B7">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根据采购人实际需求，向四川省精神医学中心提供劳务派遣制残疾人，依据采购人用工需求统一协助安置残疾人为医院工作，将残疾人派至医院或供应商提供的就业基地进行统一的线上或线下管理。</w:t>
      </w:r>
    </w:p>
    <w:p w14:paraId="4F7EC686">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（一）提供给本项目的残疾人员的基本要求</w:t>
      </w:r>
    </w:p>
    <w:p w14:paraId="208F8394">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预计每月提供持有有效的《中华人民共和国残疾人证》（1至</w:t>
      </w:r>
      <w:r>
        <w:rPr>
          <w:rFonts w:hint="eastAsia" w:ascii="仿宋" w:hAnsi="仿宋" w:eastAsia="仿宋"/>
          <w:sz w:val="24"/>
          <w:szCs w:val="24"/>
          <w:lang w:val="en-US" w:eastAsia="zh-CN"/>
        </w:rPr>
        <w:t>2</w:t>
      </w:r>
      <w:r>
        <w:rPr>
          <w:rFonts w:hint="default" w:ascii="仿宋" w:hAnsi="仿宋" w:eastAsia="仿宋"/>
          <w:sz w:val="24"/>
          <w:szCs w:val="24"/>
          <w:lang w:val="en-US" w:eastAsia="zh-CN"/>
        </w:rPr>
        <w:t>级）的残疾人员不少于2名（具体需求数量根据采购人实际安置需求进行安排，据实结算）。</w:t>
      </w:r>
    </w:p>
    <w:p w14:paraId="74D183F8">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（二）管理方式</w:t>
      </w:r>
    </w:p>
    <w:p w14:paraId="50EFE791">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1．采购人与供应商签订劳务派遣制残疾人就业服务协议，供应商为用人单位，采购人为用工单位，供应商将残疾人员派至采购人的辅助岗位或供应商的就业基地提供服务，采购人与供应商提供的派遣人员不发生任何劳动和雇佣关系。供应商须遵守《中华人民共和国劳动法》《中华人民共和国劳动合同法》《中华人民共和国社会保险法》《中华人民共和国民法典》履行对本项目残疾人员的义务，按法律法规及本项目要求与残疾人员签订劳动合同并为残疾人员发放工资、购买社保。供应商应自行处理本项目产生的劳动纠纷，承担本服务项目的所有责任(包括但不限于法律、法规规定的经济补偿金、赔偿金，本项目残疾人员工伤、工亡、患病、非因公伤亡等导致的相关费用等）。</w:t>
      </w:r>
    </w:p>
    <w:p w14:paraId="3E617539">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2．供应商根据采购人实际安置需要向采购人每月提供符合要求的劳务派遣制残疾人员，残疾人用工数计入采购人的残疾人就业人数和在职职工人数。</w:t>
      </w:r>
    </w:p>
    <w:p w14:paraId="48E8B64D">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3．本项目劳务派遣制残疾人员执行标准工时制</w:t>
      </w:r>
      <w:r>
        <w:rPr>
          <w:rFonts w:hint="eastAsia" w:ascii="仿宋" w:hAnsi="仿宋" w:eastAsia="仿宋"/>
          <w:sz w:val="24"/>
          <w:szCs w:val="24"/>
          <w:lang w:val="en-US" w:eastAsia="zh-CN"/>
        </w:rPr>
        <w:t>（</w:t>
      </w:r>
      <w:r>
        <w:rPr>
          <w:rFonts w:hint="default" w:ascii="仿宋" w:hAnsi="仿宋" w:eastAsia="仿宋"/>
          <w:sz w:val="24"/>
          <w:szCs w:val="24"/>
          <w:lang w:val="en-US" w:eastAsia="zh-CN"/>
        </w:rPr>
        <w:t>8小时工作制，每周工作不超过40小时</w:t>
      </w:r>
      <w:r>
        <w:rPr>
          <w:rFonts w:hint="eastAsia" w:ascii="仿宋" w:hAnsi="仿宋" w:eastAsia="仿宋"/>
          <w:sz w:val="24"/>
          <w:szCs w:val="24"/>
          <w:lang w:val="en-US" w:eastAsia="zh-CN"/>
        </w:rPr>
        <w:t>）</w:t>
      </w:r>
      <w:r>
        <w:rPr>
          <w:rFonts w:hint="default" w:ascii="仿宋" w:hAnsi="仿宋" w:eastAsia="仿宋"/>
          <w:sz w:val="24"/>
          <w:szCs w:val="24"/>
          <w:lang w:val="en-US" w:eastAsia="zh-CN"/>
        </w:rPr>
        <w:t>，不安排加班，不产生加班费用。服务期内，供应商为劳务派遣制残疾人员发放工资、购买社保（单位部分）的费用由采购人向供应商另行结算，从采购人自有资金预算中支付：</w:t>
      </w:r>
    </w:p>
    <w:p w14:paraId="321758E4">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（1）劳务派遣制残疾人员工资、社保费用结算标准：当年成都市温江区最低工资标准、成都市社保缴费基数最低档的下限。</w:t>
      </w:r>
    </w:p>
    <w:p w14:paraId="0AA2044F">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2）工资、社保费用支付：合同服务期结束并经采购人验收合格后，根据供应商实际提供的残疾人员人数和本项目要求的费用标准据实结算。供应商在验收合格后5日内向采购人提交合法有效票据及其它相关请款资料，采购人在接到上述票据及资料后的55日内，向供应商全额支付上述结算费用。</w:t>
      </w:r>
    </w:p>
    <w:p w14:paraId="2F9180E5">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4.除本项目采购文件规定的服务费用及上述工资和社保费用外，采购人无需向供应商支付任何其它费用。</w:t>
      </w:r>
    </w:p>
    <w:p w14:paraId="7EBC7845">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（三）用工服务</w:t>
      </w:r>
    </w:p>
    <w:p w14:paraId="4979F830">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1．供应商负责做好本项目残疾人员的招聘、背景调查和劳动能力考核工作，履行相关告知义务，为被派遣人员提供工装，进行上岗知识、劳动安全和心理健康教育的培训。</w:t>
      </w:r>
    </w:p>
    <w:p w14:paraId="56E54D0D">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2．供应商应与被派遣人员签订劳动合同（合同期限应当涵盖本项目服务期限）并负责劳动合同的保管，向采购人推荐符合要求的残疾人，用工期间供应商不得将该残疾人员再派至其他用工单位。</w:t>
      </w:r>
    </w:p>
    <w:p w14:paraId="1B6329F7">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3．供应商负责本项目劳务派遣制残疾人员的日常管理与风险防控：包括劳务派遣人员的录用、考勤考核、薪酬管理、党（团）关系管理、安全培训、工会会员注册、劳动争议调解、档案管理、工伤、工亡、离职、退休、退工、解除合同等手续办理，建立人员台账、残疾人日常管理办法、应急方案、突发事件处置预案，确保劳务派遣人员录用、离职等手续齐全、管理规范。</w:t>
      </w:r>
    </w:p>
    <w:p w14:paraId="2E914F96">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供应商为本项目劳务派遣制残疾人员发放工资、提供代报税服务:残疾人员的月工资标准应不低于当年成都市温江区最低工资标准。供应商代扣社会保险个人承担部分、个人所得税等依法应扣缴部分后须按月足额以银行转账形式支付本项目残疾人员工资并代缴个人所得税，供应商按季度向采购人提供工资支付的清单和银行转账业务回单。</w:t>
      </w:r>
    </w:p>
    <w:p w14:paraId="6D472D9C">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5．供应商应为本项目劳务派遣制残疾人员缴纳社会保险及提供管理服务：按照国家相关规定，为残疾人办理各项社会保险参保手续，按照国家规定及约定标准按时、足额缴纳社会保险，及时办理增员、减员、转移、基数核定及有关待遇等相关的申报办理。供应商按季度向采购人提供残疾人员社保缴费明细资料。</w:t>
      </w:r>
    </w:p>
    <w:p w14:paraId="10B0D18B">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6．供应商负责组织本项目劳务派遣制残疾人员在采购人院区或供应商提供的就业基地实施工作任务，进行统一的线上或线下管理和签到打卡，并提供相关工作过程资料及劳动成果。</w:t>
      </w:r>
    </w:p>
    <w:p w14:paraId="7EE4FD54">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7．供应商负责保管本项目劳务派遣制残疾人员的劳动合同、个人证件信息、工资薪酬转账回单、社保参保凭证等资料，采购人有权随时查验和向供应商了解残疾人员的基本信息。</w:t>
      </w:r>
    </w:p>
    <w:p w14:paraId="07C41414">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8．被派遣残疾人员不能胜任采购人安排的工作的、违反法律法规或采购人规章制度的、因工作失误给采购人造成损失的、被派遣人员考核不合格的，采购人有权无条件将其退回供应商并不承担由此产生的任何劳动纠纷责任，从退工之日起不再支付该人员当月的服务费用和其他所有费用。供应商应当自人员被退回3日内向采购人重新派遣符合要求的人员。</w:t>
      </w:r>
    </w:p>
    <w:p w14:paraId="24F71036">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9．服务期间如有残疾人员达到国家法定退休年龄的，供应商按规定办理该人员退休手续，并在解除派遣工作的3日内向采购人重新补充符合要求的人员。</w:t>
      </w:r>
    </w:p>
    <w:p w14:paraId="0C6DE279">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10．本项目劳务派遣制残疾人员对合同、劳动报酬等有异议时，供应商做好解释或解决纠纷的工作，残疾人员提起工作相关仲裁或诉讼的，由供应商负责处理和承担全部责任。</w:t>
      </w:r>
    </w:p>
    <w:p w14:paraId="1C660093">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11．本项目劳务派遣制残疾人员在工作过程中的安全责任由供应商负责。如发生工伤工亡事故的，供应商应采取应急处理措施，及时送医救治、进行调查处理，负责后续一切事宜（包括但不限于向社保机构申请工伤/工亡认定、申请进行伤残劳动能力鉴定、申请工伤保险待遇赔付，承担一次性伤残就业补助金、慰问金、医疗费用、丧葬抚恤费用等），由供应商承担全部责任和经济补偿。采购人只予以必要的协助配合，不承担任何责任。</w:t>
      </w:r>
    </w:p>
    <w:p w14:paraId="276B4E4C">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12．本项目劳务派遣制残疾人员发生伤、病、非因工死亡、造成他人或自身伤害、死亡、损失等，由供应商负责进行调查处理和负责后续一切事宜，并承担法律规定的用人单位应承担的全部责任和经济赔偿（包括但不限于法律、法规规定的经济补偿金、赔偿金），采购人不承担任何责任及连带责任。</w:t>
      </w:r>
    </w:p>
    <w:p w14:paraId="4FD2C1C1">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default" w:ascii="仿宋" w:hAnsi="仿宋" w:eastAsia="仿宋"/>
          <w:sz w:val="24"/>
          <w:szCs w:val="24"/>
          <w:lang w:val="en-US" w:eastAsia="zh-CN"/>
        </w:rPr>
        <w:t>13．服务期间劳务派遣制残疾人员若出现人员流失、缺岗等情况，要及时补足人员；若在工作中发生突发事件，供应商应在24小时内响应并立刻开展应急处理措施。</w:t>
      </w:r>
      <w:r>
        <w:rPr>
          <w:rFonts w:hint="eastAsia" w:ascii="Times New Roman" w:hAnsi="Times New Roman" w:eastAsia="仿宋" w:cs="Times New Roman"/>
          <w:sz w:val="24"/>
          <w:szCs w:val="24"/>
        </w:rPr>
        <w:t>发生工伤、工亡等突发事件或接到采购人关于派遣人员的问题反馈后，2小时内响应并进行处理</w:t>
      </w:r>
      <w:r>
        <w:rPr>
          <w:rFonts w:hint="eastAsia" w:ascii="Times New Roman" w:hAnsi="Times New Roman" w:eastAsia="仿宋" w:cs="Times New Roman"/>
          <w:sz w:val="24"/>
          <w:szCs w:val="24"/>
          <w:lang w:eastAsia="zh-CN"/>
        </w:rPr>
        <w:t>。</w:t>
      </w:r>
    </w:p>
    <w:p w14:paraId="7C084153">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14．供应商应做好劳务派遣人员的风险防控，建立应急方案、突发事件处置预案等。若在项目服务过程中发生突发事件（包括但不限于舆情、信访、上访、罢工、人身伤害等），供应商应在24小时内响应并立刻开展应急处理措施。</w:t>
      </w:r>
    </w:p>
    <w:p w14:paraId="23F08697">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15.本项目服务到期，供应商应负责按照采购人要求协调劳务派遣人员离场，采购人不承担由此产生的任何劳动纠纷责任。</w:t>
      </w:r>
    </w:p>
    <w:p w14:paraId="7D413D6B">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（四）其他服务</w:t>
      </w:r>
    </w:p>
    <w:p w14:paraId="2B84A2C2">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1．根据采购人现状和需求，供应商提供本项目实施方案、减免残疾人就业保障金服务方案，按政策及采购人要求推荐残疾人，如与当地政策冲突，以当地政策为准。包括政策背景分析、采购人需求分析、项目方案与建议、项目具体服务介绍、项目进度计划、分享以往类似成功案例的服务经验等。</w:t>
      </w:r>
    </w:p>
    <w:p w14:paraId="37683903">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2．按照政策要求，供应商提供合法合规安置残疾人承诺书，向采购人提供残疾人就业保障金认定手续、采购人按比例安排残疾人就业情况线上认证审核申报、各类补贴申领等事项的办理服务，并提供国家政策法规咨询服务等。</w:t>
      </w:r>
    </w:p>
    <w:p w14:paraId="5ED7416B">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3．供应商应提供残疾人就业保障金申报资料的预审，协助完成残疾人就业保障金减免申报事项工作。如供应商提供的残疾人员不符合采购人要求数量的、不能达到采购人减免残疾人就业保障金要求的，视为供应商违约，采购人有权解除合同，由供应商承担采购人的全额损失（包括但不限于：需采购人缴纳的当年度全额残疾人就业保障金及滞纳金，采购人已支付或需要支付的全额服务费、工资及社保费用)。</w:t>
      </w:r>
    </w:p>
    <w:p w14:paraId="59FE81B2">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4．供应商为采购人提供参与就业基地融合活动的方案和组织融合活动。</w:t>
      </w:r>
    </w:p>
    <w:p w14:paraId="2DEE8BF8">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5．供应商有责任配合采购人接受上级主管部门的监督、检查，提供必须的资料。</w:t>
      </w:r>
    </w:p>
    <w:p w14:paraId="5019378D">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6．供应商为采购人提供劳动法律政策方面的咨询，定期为采购人开展相关培训服务。协助医院制定有关管理制度。</w:t>
      </w:r>
    </w:p>
    <w:p w14:paraId="0683595C">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7．若因不可抗力、政策变更等因素（如上级主管部门要求停止劳务派遣服务），采购人终止实施本项目的，采购人从次月起不再向供应商支付服务费且不承担任何违约责任，供应商应配合办理人员离场工作。</w:t>
      </w:r>
    </w:p>
    <w:p w14:paraId="7138C425">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（五）服务保障要求</w:t>
      </w:r>
    </w:p>
    <w:p w14:paraId="19A408BC">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eastAsia" w:ascii="仿宋" w:hAnsi="仿宋" w:eastAsia="仿宋"/>
          <w:sz w:val="24"/>
          <w:szCs w:val="24"/>
          <w:lang w:val="en-US" w:eastAsia="zh-CN"/>
        </w:rPr>
        <w:t>1</w:t>
      </w:r>
      <w:r>
        <w:rPr>
          <w:rFonts w:hint="default" w:ascii="仿宋" w:hAnsi="仿宋" w:eastAsia="仿宋"/>
          <w:sz w:val="24"/>
          <w:szCs w:val="24"/>
          <w:lang w:val="en-US" w:eastAsia="zh-CN"/>
        </w:rPr>
        <w:t>．采购人有权对本项目劳务派遣制残疾人员的工资发放情况、社保缴纳情况进行监督、检查，供应商须予以配合并提供相关资料。供应商须按照约定工资标准向本项目残疾人员按月足额发放工资薪酬，不能截留或要求残疾人员返还，一旦发现此类情形，视为供应商违约，采购人有权立即解除合同，由供应商赔偿采购人的全额损失（包括但不限于：需采购人缴纳的当年度全额残疾人就业保障金及滞纳金，采购人已支付或需要支付的全额服务费、工资及社保费用)。</w:t>
      </w:r>
    </w:p>
    <w:p w14:paraId="6D67D3C3">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eastAsia" w:ascii="仿宋" w:hAnsi="仿宋" w:eastAsia="仿宋"/>
          <w:sz w:val="24"/>
          <w:szCs w:val="24"/>
          <w:lang w:val="en-US" w:eastAsia="zh-CN"/>
        </w:rPr>
        <w:t>2</w:t>
      </w:r>
      <w:r>
        <w:rPr>
          <w:rFonts w:hint="default" w:ascii="仿宋" w:hAnsi="仿宋" w:eastAsia="仿宋"/>
          <w:sz w:val="24"/>
          <w:szCs w:val="24"/>
          <w:lang w:val="en-US" w:eastAsia="zh-CN"/>
        </w:rPr>
        <w:t>．供应商为本项目提供的劳务派遣制残疾人员应专职服务本项目，如遇特殊情况需调整本项目工作人员的，在保证本项目正常运行的前提下，报请采购人书面同意后方可实施。</w:t>
      </w:r>
    </w:p>
    <w:p w14:paraId="4EBDB004">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highlight w:val="none"/>
          <w:lang w:val="en-US" w:eastAsia="zh-CN"/>
        </w:rPr>
      </w:pPr>
      <w:r>
        <w:rPr>
          <w:rFonts w:hint="eastAsia" w:ascii="仿宋" w:hAnsi="仿宋" w:eastAsia="仿宋"/>
          <w:sz w:val="24"/>
          <w:szCs w:val="24"/>
          <w:lang w:val="en-US" w:eastAsia="zh-CN"/>
        </w:rPr>
        <w:t>3</w:t>
      </w:r>
      <w:r>
        <w:rPr>
          <w:rFonts w:hint="default" w:ascii="仿宋" w:hAnsi="仿宋" w:eastAsia="仿宋"/>
          <w:sz w:val="24"/>
          <w:szCs w:val="24"/>
          <w:lang w:val="en-US" w:eastAsia="zh-CN"/>
        </w:rPr>
        <w:t>．供应商为本项目配备</w:t>
      </w:r>
      <w:r>
        <w:rPr>
          <w:rFonts w:hint="eastAsia" w:ascii="仿宋" w:hAnsi="仿宋" w:eastAsia="仿宋"/>
          <w:sz w:val="24"/>
          <w:szCs w:val="24"/>
          <w:lang w:val="en-US" w:eastAsia="zh-CN"/>
        </w:rPr>
        <w:t>1名主要负责人</w:t>
      </w:r>
      <w:r>
        <w:rPr>
          <w:rFonts w:hint="default" w:ascii="仿宋" w:hAnsi="仿宋" w:eastAsia="仿宋"/>
          <w:sz w:val="24"/>
          <w:szCs w:val="24"/>
          <w:lang w:val="en-US" w:eastAsia="zh-CN"/>
        </w:rPr>
        <w:t>与采购人对接，并积极配合采购人工作</w:t>
      </w:r>
      <w:r>
        <w:rPr>
          <w:rFonts w:hint="eastAsia" w:ascii="仿宋" w:hAnsi="仿宋" w:eastAsia="仿宋"/>
          <w:sz w:val="24"/>
          <w:szCs w:val="24"/>
          <w:lang w:val="en-US" w:eastAsia="zh-CN"/>
        </w:rPr>
        <w:t>。主要负责人</w:t>
      </w:r>
      <w:r>
        <w:rPr>
          <w:rFonts w:hint="default" w:ascii="仿宋" w:hAnsi="仿宋" w:eastAsia="仿宋"/>
          <w:sz w:val="24"/>
          <w:szCs w:val="24"/>
          <w:highlight w:val="none"/>
          <w:lang w:val="en-US" w:eastAsia="zh-CN"/>
        </w:rPr>
        <w:t>应具有3年（含）及以上劳务派遣业务从业经验，负责统筹本项目相关服务</w:t>
      </w:r>
      <w:r>
        <w:rPr>
          <w:rFonts w:hint="eastAsia" w:ascii="仿宋" w:hAnsi="仿宋" w:eastAsia="仿宋"/>
          <w:sz w:val="24"/>
          <w:szCs w:val="24"/>
          <w:highlight w:val="none"/>
          <w:lang w:val="en-US" w:eastAsia="zh-CN"/>
        </w:rPr>
        <w:t>，负责本项目的实施，进行人员日常管理、薪资发放、应急响应等</w:t>
      </w:r>
      <w:r>
        <w:rPr>
          <w:rFonts w:hint="default" w:ascii="仿宋" w:hAnsi="仿宋" w:eastAsia="仿宋"/>
          <w:sz w:val="24"/>
          <w:szCs w:val="24"/>
          <w:highlight w:val="none"/>
          <w:lang w:val="en-US" w:eastAsia="zh-CN"/>
        </w:rPr>
        <w:t>。</w:t>
      </w:r>
    </w:p>
    <w:p w14:paraId="6CFA5BB4">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highlight w:val="none"/>
          <w:lang w:val="en-US" w:eastAsia="zh-CN"/>
        </w:rPr>
      </w:pPr>
      <w:r>
        <w:rPr>
          <w:rFonts w:hint="eastAsia" w:ascii="仿宋" w:hAnsi="仿宋" w:eastAsia="仿宋"/>
          <w:sz w:val="24"/>
          <w:szCs w:val="24"/>
          <w:highlight w:val="none"/>
          <w:lang w:val="en-US" w:eastAsia="zh-CN"/>
        </w:rPr>
        <w:t>注：</w:t>
      </w:r>
      <w:r>
        <w:rPr>
          <w:rFonts w:hint="default" w:ascii="仿宋" w:hAnsi="仿宋" w:eastAsia="仿宋"/>
          <w:sz w:val="24"/>
          <w:szCs w:val="24"/>
          <w:highlight w:val="none"/>
          <w:lang w:val="en-US" w:eastAsia="zh-CN"/>
        </w:rPr>
        <w:t>在</w:t>
      </w:r>
      <w:r>
        <w:rPr>
          <w:rFonts w:hint="eastAsia" w:ascii="仿宋" w:hAnsi="仿宋" w:eastAsia="仿宋"/>
          <w:sz w:val="24"/>
          <w:szCs w:val="24"/>
          <w:highlight w:val="none"/>
          <w:lang w:val="en-US" w:eastAsia="zh-CN"/>
        </w:rPr>
        <w:t>响应</w:t>
      </w:r>
      <w:r>
        <w:rPr>
          <w:rFonts w:hint="default" w:ascii="仿宋" w:hAnsi="仿宋" w:eastAsia="仿宋"/>
          <w:sz w:val="24"/>
          <w:szCs w:val="24"/>
          <w:highlight w:val="none"/>
          <w:lang w:val="en-US" w:eastAsia="zh-CN"/>
        </w:rPr>
        <w:t>文件中提供人员名单、身份证扫描件、工作经历证明</w:t>
      </w:r>
      <w:r>
        <w:rPr>
          <w:rFonts w:hint="eastAsia" w:ascii="仿宋" w:hAnsi="仿宋" w:eastAsia="仿宋"/>
          <w:sz w:val="24"/>
          <w:szCs w:val="24"/>
          <w:highlight w:val="none"/>
          <w:lang w:val="en-US" w:eastAsia="zh-CN"/>
        </w:rPr>
        <w:t>。</w:t>
      </w:r>
    </w:p>
    <w:p w14:paraId="070FA253">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eastAsia" w:ascii="仿宋" w:hAnsi="仿宋" w:eastAsia="仿宋"/>
          <w:sz w:val="24"/>
          <w:szCs w:val="24"/>
          <w:lang w:val="en-US" w:eastAsia="zh-CN"/>
        </w:rPr>
        <w:t>4</w:t>
      </w:r>
      <w:r>
        <w:rPr>
          <w:rFonts w:hint="default" w:ascii="仿宋" w:hAnsi="仿宋" w:eastAsia="仿宋"/>
          <w:sz w:val="24"/>
          <w:szCs w:val="24"/>
          <w:lang w:val="en-US" w:eastAsia="zh-CN"/>
        </w:rPr>
        <w:t>．供应商应具备合法经营场地和建立独立使用的残疾人就业服务基地（非合建或共用办</w:t>
      </w:r>
      <w:r>
        <w:rPr>
          <w:rFonts w:hint="default" w:ascii="仿宋" w:hAnsi="仿宋" w:eastAsia="仿宋"/>
          <w:sz w:val="24"/>
          <w:szCs w:val="24"/>
          <w:highlight w:val="none"/>
          <w:lang w:val="en-US" w:eastAsia="zh-CN"/>
        </w:rPr>
        <w:t>公地，位于四川省内）不少于1个，服务基地具有就业指导等服务区，能承载本项目残疾人开展职业测评、就业指导、就职体验、培训实训、实际工作等服务。供应商应具有快速响应能力，供应商能在2小时内将残疾人员从就业服务基地调度至采购人处工作。</w:t>
      </w:r>
      <w:r>
        <w:rPr>
          <w:rFonts w:hint="default" w:ascii="仿宋" w:hAnsi="仿宋" w:eastAsia="仿宋"/>
          <w:sz w:val="24"/>
          <w:szCs w:val="24"/>
          <w:lang w:val="en-US" w:eastAsia="zh-CN"/>
        </w:rPr>
        <w:t>（需提供基地及相应服务区照片、租赁合同或房屋产权证并加盖供应商公章作为证明材料。）</w:t>
      </w:r>
    </w:p>
    <w:p w14:paraId="23325A48">
      <w:pPr>
        <w:pStyle w:val="16"/>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textAlignment w:val="auto"/>
        <w:rPr>
          <w:rFonts w:hint="eastAsia" w:ascii="仿宋" w:hAnsi="仿宋" w:eastAsia="仿宋"/>
          <w:b/>
          <w:bCs/>
          <w:sz w:val="24"/>
          <w:szCs w:val="24"/>
          <w:lang w:val="en-US" w:eastAsia="zh-CN"/>
        </w:rPr>
      </w:pPr>
      <w:r>
        <w:rPr>
          <w:rFonts w:hint="eastAsia" w:ascii="仿宋" w:hAnsi="仿宋" w:eastAsia="仿宋"/>
          <w:b/>
          <w:bCs/>
          <w:sz w:val="24"/>
          <w:szCs w:val="24"/>
          <w:lang w:val="en-US" w:eastAsia="zh-CN"/>
        </w:rPr>
        <w:t>四、其他要求</w:t>
      </w:r>
    </w:p>
    <w:p w14:paraId="28E4A494">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default" w:ascii="仿宋" w:hAnsi="仿宋" w:eastAsia="仿宋" w:cstheme="minorBidi"/>
          <w:kern w:val="2"/>
          <w:sz w:val="24"/>
          <w:szCs w:val="24"/>
          <w:lang w:val="en-US" w:eastAsia="zh-CN" w:bidi="ar-SA"/>
        </w:rPr>
      </w:pPr>
      <w:r>
        <w:rPr>
          <w:rFonts w:hint="default" w:ascii="仿宋" w:hAnsi="仿宋" w:eastAsia="仿宋" w:cstheme="minorBidi"/>
          <w:kern w:val="2"/>
          <w:sz w:val="24"/>
          <w:szCs w:val="24"/>
          <w:lang w:val="en-US" w:eastAsia="zh-CN" w:bidi="ar-SA"/>
        </w:rPr>
        <w:t>1.</w:t>
      </w:r>
      <w:r>
        <w:rPr>
          <w:rFonts w:hint="eastAsia" w:ascii="仿宋" w:hAnsi="仿宋" w:eastAsia="仿宋" w:cstheme="minorBidi"/>
          <w:kern w:val="2"/>
          <w:sz w:val="24"/>
          <w:szCs w:val="24"/>
          <w:lang w:val="en-US" w:eastAsia="zh-CN" w:bidi="ar-SA"/>
        </w:rPr>
        <w:t>供应商提供自</w:t>
      </w:r>
      <w:r>
        <w:rPr>
          <w:rFonts w:hint="default" w:ascii="仿宋" w:hAnsi="仿宋" w:eastAsia="仿宋" w:cstheme="minorBidi"/>
          <w:kern w:val="2"/>
          <w:sz w:val="24"/>
          <w:szCs w:val="24"/>
          <w:lang w:val="en-US" w:eastAsia="zh-CN" w:bidi="ar-SA"/>
        </w:rPr>
        <w:t>2023</w:t>
      </w:r>
      <w:r>
        <w:rPr>
          <w:rFonts w:hint="eastAsia" w:ascii="仿宋" w:hAnsi="仿宋" w:eastAsia="仿宋" w:cstheme="minorBidi"/>
          <w:kern w:val="2"/>
          <w:sz w:val="24"/>
          <w:szCs w:val="24"/>
          <w:lang w:val="en-US" w:eastAsia="zh-CN" w:bidi="ar-SA"/>
        </w:rPr>
        <w:t>年</w:t>
      </w:r>
      <w:r>
        <w:rPr>
          <w:rFonts w:hint="default" w:ascii="仿宋" w:hAnsi="仿宋" w:eastAsia="仿宋" w:cstheme="minorBidi"/>
          <w:kern w:val="2"/>
          <w:sz w:val="24"/>
          <w:szCs w:val="24"/>
          <w:lang w:val="en-US" w:eastAsia="zh-CN" w:bidi="ar-SA"/>
        </w:rPr>
        <w:t>1</w:t>
      </w:r>
      <w:r>
        <w:rPr>
          <w:rFonts w:hint="eastAsia" w:ascii="仿宋" w:hAnsi="仿宋" w:eastAsia="仿宋" w:cstheme="minorBidi"/>
          <w:kern w:val="2"/>
          <w:sz w:val="24"/>
          <w:szCs w:val="24"/>
          <w:lang w:val="en-US" w:eastAsia="zh-CN" w:bidi="ar-SA"/>
        </w:rPr>
        <w:t>月</w:t>
      </w:r>
      <w:r>
        <w:rPr>
          <w:rFonts w:hint="default" w:ascii="仿宋" w:hAnsi="仿宋" w:eastAsia="仿宋" w:cstheme="minorBidi"/>
          <w:kern w:val="2"/>
          <w:sz w:val="24"/>
          <w:szCs w:val="24"/>
          <w:lang w:val="en-US" w:eastAsia="zh-CN" w:bidi="ar-SA"/>
        </w:rPr>
        <w:t>1</w:t>
      </w:r>
      <w:r>
        <w:rPr>
          <w:rFonts w:hint="eastAsia" w:ascii="仿宋" w:hAnsi="仿宋" w:eastAsia="仿宋" w:cstheme="minorBidi"/>
          <w:kern w:val="2"/>
          <w:sz w:val="24"/>
          <w:szCs w:val="24"/>
          <w:lang w:val="en-US" w:eastAsia="zh-CN" w:bidi="ar-SA"/>
        </w:rPr>
        <w:t>日（含）至递交响应文件截止日已完成的残疾人就业服务项目履约经验。</w:t>
      </w:r>
    </w:p>
    <w:p w14:paraId="64D67E68">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default" w:ascii="仿宋" w:hAnsi="仿宋" w:eastAsia="仿宋" w:cstheme="minorBidi"/>
          <w:kern w:val="2"/>
          <w:sz w:val="24"/>
          <w:szCs w:val="24"/>
          <w:lang w:val="en-US" w:eastAsia="zh-CN" w:bidi="ar-SA"/>
        </w:rPr>
      </w:pPr>
      <w:r>
        <w:rPr>
          <w:rFonts w:hint="default" w:ascii="仿宋" w:hAnsi="仿宋" w:eastAsia="仿宋" w:cstheme="minorBidi"/>
          <w:kern w:val="2"/>
          <w:sz w:val="24"/>
          <w:szCs w:val="24"/>
          <w:lang w:val="en-US" w:eastAsia="zh-CN" w:bidi="ar-SA"/>
        </w:rPr>
        <w:t>2.</w:t>
      </w:r>
      <w:r>
        <w:rPr>
          <w:rFonts w:hint="eastAsia" w:ascii="仿宋" w:hAnsi="仿宋" w:eastAsia="仿宋" w:cstheme="minorBidi"/>
          <w:kern w:val="2"/>
          <w:sz w:val="24"/>
          <w:szCs w:val="24"/>
          <w:lang w:val="en-US" w:eastAsia="zh-CN" w:bidi="ar-SA"/>
        </w:rPr>
        <w:t>供应商具备以下综合实力：供应商与省级或市级残联相关部门有过残疾人就业服务相关合作经验。</w:t>
      </w:r>
    </w:p>
    <w:p w14:paraId="2672A4F2">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default" w:ascii="仿宋" w:hAnsi="仿宋" w:eastAsia="仿宋" w:cstheme="minorBidi"/>
          <w:kern w:val="2"/>
          <w:sz w:val="24"/>
          <w:szCs w:val="24"/>
          <w:lang w:val="en-US" w:eastAsia="zh-CN" w:bidi="ar-SA"/>
        </w:rPr>
      </w:pPr>
      <w:r>
        <w:rPr>
          <w:rFonts w:hint="default" w:ascii="仿宋" w:hAnsi="仿宋" w:eastAsia="仿宋" w:cstheme="minorBidi"/>
          <w:kern w:val="2"/>
          <w:sz w:val="24"/>
          <w:szCs w:val="24"/>
          <w:lang w:val="en-US" w:eastAsia="zh-CN" w:bidi="ar-SA"/>
        </w:rPr>
        <w:t>3.</w:t>
      </w:r>
      <w:r>
        <w:rPr>
          <w:rFonts w:hint="eastAsia" w:ascii="仿宋" w:hAnsi="仿宋" w:eastAsia="仿宋" w:cstheme="minorBidi"/>
          <w:kern w:val="2"/>
          <w:sz w:val="24"/>
          <w:szCs w:val="24"/>
          <w:lang w:val="en-US" w:eastAsia="zh-CN" w:bidi="ar-SA"/>
        </w:rPr>
        <w:t>供应商为本项目配备的主要负责人具备《专业技术人员职业资格证书》（人力资源管理专业）。</w:t>
      </w:r>
    </w:p>
    <w:p w14:paraId="10B2EC35">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default" w:ascii="仿宋" w:hAnsi="仿宋" w:eastAsia="仿宋" w:cstheme="minorBidi"/>
          <w:kern w:val="2"/>
          <w:sz w:val="24"/>
          <w:szCs w:val="24"/>
          <w:lang w:val="en-US" w:eastAsia="zh-CN" w:bidi="ar-SA"/>
        </w:rPr>
      </w:pPr>
      <w:r>
        <w:rPr>
          <w:rFonts w:hint="default" w:ascii="仿宋" w:hAnsi="仿宋" w:eastAsia="仿宋" w:cstheme="minorBidi"/>
          <w:kern w:val="2"/>
          <w:sz w:val="24"/>
          <w:szCs w:val="24"/>
          <w:lang w:val="en-US" w:eastAsia="zh-CN" w:bidi="ar-SA"/>
        </w:rPr>
        <w:t>4.</w:t>
      </w:r>
      <w:r>
        <w:rPr>
          <w:rFonts w:hint="eastAsia" w:ascii="仿宋" w:hAnsi="仿宋" w:eastAsia="仿宋" w:cstheme="minorBidi"/>
          <w:kern w:val="2"/>
          <w:sz w:val="24"/>
          <w:szCs w:val="24"/>
          <w:lang w:val="en-US" w:eastAsia="zh-CN" w:bidi="ar-SA"/>
        </w:rPr>
        <w:t>供应商为采购人制定残疾人就业服务整体实施方案，包括：（</w:t>
      </w:r>
      <w:r>
        <w:rPr>
          <w:rFonts w:hint="default" w:ascii="仿宋" w:hAnsi="仿宋" w:eastAsia="仿宋" w:cstheme="minorBidi"/>
          <w:kern w:val="2"/>
          <w:sz w:val="24"/>
          <w:szCs w:val="24"/>
          <w:lang w:val="en-US" w:eastAsia="zh-CN" w:bidi="ar-SA"/>
        </w:rPr>
        <w:t>1</w:t>
      </w:r>
      <w:r>
        <w:rPr>
          <w:rFonts w:hint="eastAsia" w:ascii="仿宋" w:hAnsi="仿宋" w:eastAsia="仿宋" w:cstheme="minorBidi"/>
          <w:kern w:val="2"/>
          <w:sz w:val="24"/>
          <w:szCs w:val="24"/>
          <w:lang w:val="en-US" w:eastAsia="zh-CN" w:bidi="ar-SA"/>
        </w:rPr>
        <w:t>）残疾员工的花名册及工作规划；（</w:t>
      </w:r>
      <w:r>
        <w:rPr>
          <w:rFonts w:hint="default" w:ascii="仿宋" w:hAnsi="仿宋" w:eastAsia="仿宋" w:cstheme="minorBidi"/>
          <w:kern w:val="2"/>
          <w:sz w:val="24"/>
          <w:szCs w:val="24"/>
          <w:lang w:val="en-US" w:eastAsia="zh-CN" w:bidi="ar-SA"/>
        </w:rPr>
        <w:t>2</w:t>
      </w:r>
      <w:r>
        <w:rPr>
          <w:rFonts w:hint="eastAsia" w:ascii="仿宋" w:hAnsi="仿宋" w:eastAsia="仿宋" w:cstheme="minorBidi"/>
          <w:kern w:val="2"/>
          <w:sz w:val="24"/>
          <w:szCs w:val="24"/>
          <w:lang w:val="en-US" w:eastAsia="zh-CN" w:bidi="ar-SA"/>
        </w:rPr>
        <w:t>）招聘和培训计划；（</w:t>
      </w:r>
      <w:r>
        <w:rPr>
          <w:rFonts w:hint="default" w:ascii="仿宋" w:hAnsi="仿宋" w:eastAsia="仿宋" w:cstheme="minorBidi"/>
          <w:kern w:val="2"/>
          <w:sz w:val="24"/>
          <w:szCs w:val="24"/>
          <w:lang w:val="en-US" w:eastAsia="zh-CN" w:bidi="ar-SA"/>
        </w:rPr>
        <w:t>3</w:t>
      </w:r>
      <w:r>
        <w:rPr>
          <w:rFonts w:hint="eastAsia" w:ascii="仿宋" w:hAnsi="仿宋" w:eastAsia="仿宋" w:cstheme="minorBidi"/>
          <w:kern w:val="2"/>
          <w:sz w:val="24"/>
          <w:szCs w:val="24"/>
          <w:lang w:val="en-US" w:eastAsia="zh-CN" w:bidi="ar-SA"/>
        </w:rPr>
        <w:t>）考勤方案；（</w:t>
      </w:r>
      <w:r>
        <w:rPr>
          <w:rFonts w:hint="default" w:ascii="仿宋" w:hAnsi="仿宋" w:eastAsia="仿宋" w:cstheme="minorBidi"/>
          <w:kern w:val="2"/>
          <w:sz w:val="24"/>
          <w:szCs w:val="24"/>
          <w:lang w:val="en-US" w:eastAsia="zh-CN" w:bidi="ar-SA"/>
        </w:rPr>
        <w:t>4</w:t>
      </w:r>
      <w:r>
        <w:rPr>
          <w:rFonts w:hint="eastAsia" w:ascii="仿宋" w:hAnsi="仿宋" w:eastAsia="仿宋" w:cstheme="minorBidi"/>
          <w:kern w:val="2"/>
          <w:sz w:val="24"/>
          <w:szCs w:val="24"/>
          <w:lang w:val="en-US" w:eastAsia="zh-CN" w:bidi="ar-SA"/>
        </w:rPr>
        <w:t>）工作交付方案；（</w:t>
      </w:r>
      <w:r>
        <w:rPr>
          <w:rFonts w:hint="default" w:ascii="仿宋" w:hAnsi="仿宋" w:eastAsia="仿宋" w:cstheme="minorBidi"/>
          <w:kern w:val="2"/>
          <w:sz w:val="24"/>
          <w:szCs w:val="24"/>
          <w:lang w:val="en-US" w:eastAsia="zh-CN" w:bidi="ar-SA"/>
        </w:rPr>
        <w:t>5</w:t>
      </w:r>
      <w:r>
        <w:rPr>
          <w:rFonts w:hint="eastAsia" w:ascii="仿宋" w:hAnsi="仿宋" w:eastAsia="仿宋" w:cstheme="minorBidi"/>
          <w:kern w:val="2"/>
          <w:sz w:val="24"/>
          <w:szCs w:val="24"/>
          <w:lang w:val="en-US" w:eastAsia="zh-CN" w:bidi="ar-SA"/>
        </w:rPr>
        <w:t>）纠纷处理方案；（</w:t>
      </w:r>
      <w:r>
        <w:rPr>
          <w:rFonts w:hint="default" w:ascii="仿宋" w:hAnsi="仿宋" w:eastAsia="仿宋" w:cstheme="minorBidi"/>
          <w:kern w:val="2"/>
          <w:sz w:val="24"/>
          <w:szCs w:val="24"/>
          <w:lang w:val="en-US" w:eastAsia="zh-CN" w:bidi="ar-SA"/>
        </w:rPr>
        <w:t>6</w:t>
      </w:r>
      <w:r>
        <w:rPr>
          <w:rFonts w:hint="eastAsia" w:ascii="仿宋" w:hAnsi="仿宋" w:eastAsia="仿宋" w:cstheme="minorBidi"/>
          <w:kern w:val="2"/>
          <w:sz w:val="24"/>
          <w:szCs w:val="24"/>
          <w:lang w:val="en-US" w:eastAsia="zh-CN" w:bidi="ar-SA"/>
        </w:rPr>
        <w:t>）应急方案。</w:t>
      </w:r>
    </w:p>
    <w:p w14:paraId="3ACD4F2E">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default" w:ascii="仿宋" w:hAnsi="仿宋" w:eastAsia="仿宋"/>
          <w:b/>
          <w:bCs/>
          <w:sz w:val="24"/>
          <w:szCs w:val="24"/>
          <w:lang w:val="en-US" w:eastAsia="zh-CN"/>
        </w:rPr>
      </w:pPr>
      <w:r>
        <w:rPr>
          <w:rFonts w:hint="eastAsia" w:ascii="仿宋" w:hAnsi="仿宋" w:eastAsia="仿宋" w:cstheme="minorBidi"/>
          <w:kern w:val="2"/>
          <w:sz w:val="24"/>
          <w:szCs w:val="24"/>
          <w:lang w:val="en-US" w:eastAsia="zh-CN" w:bidi="ar-SA"/>
        </w:rPr>
        <w:t>5</w:t>
      </w:r>
      <w:r>
        <w:rPr>
          <w:rFonts w:hint="default" w:ascii="仿宋" w:hAnsi="仿宋" w:eastAsia="仿宋" w:cstheme="minorBidi"/>
          <w:kern w:val="2"/>
          <w:sz w:val="24"/>
          <w:szCs w:val="24"/>
          <w:lang w:val="en-US" w:eastAsia="zh-CN" w:bidi="ar-SA"/>
        </w:rPr>
        <w:t>.</w:t>
      </w:r>
      <w:r>
        <w:rPr>
          <w:rFonts w:hint="eastAsia" w:ascii="仿宋" w:hAnsi="仿宋" w:eastAsia="仿宋" w:cstheme="minorBidi"/>
          <w:kern w:val="2"/>
          <w:sz w:val="24"/>
          <w:szCs w:val="24"/>
          <w:lang w:val="en-US" w:eastAsia="zh-CN" w:bidi="ar-SA"/>
        </w:rPr>
        <w:t>供应商与律师事务所签订了常年法律顾问合同，为本项目服务的律师团队成员具有有效的律师执业证书。</w:t>
      </w:r>
    </w:p>
    <w:p w14:paraId="41BCBE4D">
      <w:pPr>
        <w:pStyle w:val="16"/>
        <w:keepNext w:val="0"/>
        <w:keepLines w:val="0"/>
        <w:pageBreakBefore w:val="0"/>
        <w:widowControl w:val="0"/>
        <w:kinsoku/>
        <w:wordWrap/>
        <w:overflowPunct/>
        <w:topLinePunct w:val="0"/>
        <w:autoSpaceDE/>
        <w:autoSpaceDN/>
        <w:bidi w:val="0"/>
        <w:adjustRightInd/>
        <w:snapToGrid w:val="0"/>
        <w:spacing w:line="360" w:lineRule="auto"/>
        <w:ind w:left="482" w:leftChars="0" w:hanging="482" w:hangingChars="200"/>
        <w:textAlignment w:val="auto"/>
        <w:rPr>
          <w:rFonts w:hint="default" w:ascii="仿宋" w:hAnsi="仿宋" w:eastAsia="仿宋"/>
          <w:b/>
          <w:bCs/>
          <w:sz w:val="24"/>
          <w:szCs w:val="24"/>
          <w:lang w:val="en-US" w:eastAsia="zh-CN"/>
        </w:rPr>
      </w:pPr>
      <w:r>
        <w:rPr>
          <w:rFonts w:hint="default" w:ascii="仿宋" w:hAnsi="仿宋" w:eastAsia="仿宋"/>
          <w:b/>
          <w:bCs/>
          <w:sz w:val="24"/>
          <w:szCs w:val="24"/>
          <w:lang w:val="en-US" w:eastAsia="zh-CN"/>
        </w:rPr>
        <w:t>★</w:t>
      </w:r>
      <w:r>
        <w:rPr>
          <w:rFonts w:hint="eastAsia" w:ascii="仿宋" w:hAnsi="仿宋" w:eastAsia="仿宋"/>
          <w:b/>
          <w:bCs/>
          <w:sz w:val="24"/>
          <w:szCs w:val="24"/>
          <w:lang w:val="en-US" w:eastAsia="zh-CN"/>
        </w:rPr>
        <w:t>五</w:t>
      </w:r>
      <w:r>
        <w:rPr>
          <w:rFonts w:hint="default" w:ascii="仿宋" w:hAnsi="仿宋" w:eastAsia="仿宋"/>
          <w:b/>
          <w:bCs/>
          <w:sz w:val="24"/>
          <w:szCs w:val="24"/>
          <w:lang w:val="en-US" w:eastAsia="zh-CN"/>
        </w:rPr>
        <w:t>、商务要求</w:t>
      </w:r>
    </w:p>
    <w:p w14:paraId="73B49588">
      <w:pPr>
        <w:pStyle w:val="16"/>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1、资金支付条款：</w:t>
      </w:r>
      <w:r>
        <w:rPr>
          <w:rFonts w:hint="eastAsia" w:ascii="仿宋" w:hAnsi="仿宋" w:eastAsia="仿宋" w:cs="仿宋"/>
          <w:kern w:val="2"/>
          <w:sz w:val="24"/>
          <w:szCs w:val="24"/>
        </w:rPr>
        <w:t>本项目按实结算。合同服务期结束并经采购人验收合格后，供应商须根据本项目成交单价及实际服务情况（实际提供的劳务派遣制残疾人员人数）向采购人提供结算费用清单进行确认，并在确认后</w:t>
      </w:r>
      <w:r>
        <w:rPr>
          <w:rFonts w:hint="default" w:ascii="Times New Roman" w:hAnsi="Times New Roman" w:eastAsia="仿宋" w:cs="Times New Roman"/>
          <w:kern w:val="2"/>
          <w:sz w:val="24"/>
          <w:szCs w:val="24"/>
        </w:rPr>
        <w:t>5</w:t>
      </w:r>
      <w:r>
        <w:rPr>
          <w:rFonts w:hint="eastAsia" w:ascii="仿宋" w:hAnsi="仿宋" w:eastAsia="仿宋" w:cs="仿宋"/>
          <w:kern w:val="2"/>
          <w:sz w:val="24"/>
          <w:szCs w:val="24"/>
        </w:rPr>
        <w:t>日内按确认金额向采购人提供合法有效票据及其他相关请款资料，采购人接到上述票据及资料后的</w:t>
      </w:r>
      <w:r>
        <w:rPr>
          <w:rFonts w:hint="default" w:ascii="Times New Roman" w:hAnsi="Times New Roman" w:eastAsia="仿宋" w:cs="Times New Roman"/>
          <w:kern w:val="2"/>
          <w:sz w:val="24"/>
          <w:szCs w:val="24"/>
        </w:rPr>
        <w:t>55</w:t>
      </w:r>
      <w:r>
        <w:rPr>
          <w:rFonts w:hint="eastAsia" w:ascii="仿宋" w:hAnsi="仿宋" w:eastAsia="仿宋" w:cs="仿宋"/>
          <w:kern w:val="2"/>
          <w:sz w:val="24"/>
          <w:szCs w:val="24"/>
        </w:rPr>
        <w:t>日内，向供应商全额支付上述结算费用。如存在因考核等原因导致的扣款，应在支付前予以扣除。本项目结算支付上限为</w:t>
      </w:r>
      <w:r>
        <w:rPr>
          <w:rFonts w:hint="eastAsia" w:ascii="仿宋" w:hAnsi="仿宋" w:eastAsia="仿宋" w:cs="仿宋"/>
          <w:kern w:val="2"/>
          <w:sz w:val="24"/>
          <w:szCs w:val="24"/>
          <w:lang w:val="en-US" w:eastAsia="zh-CN"/>
        </w:rPr>
        <w:t>1.5</w:t>
      </w:r>
      <w:r>
        <w:rPr>
          <w:rFonts w:hint="eastAsia" w:ascii="仿宋" w:hAnsi="仿宋" w:eastAsia="仿宋" w:cs="仿宋"/>
          <w:kern w:val="2"/>
          <w:sz w:val="24"/>
          <w:szCs w:val="24"/>
        </w:rPr>
        <w:t>万元</w:t>
      </w:r>
      <w:r>
        <w:rPr>
          <w:rFonts w:hint="default" w:ascii="Times New Roman" w:hAnsi="Times New Roman" w:eastAsia="仿宋" w:cs="Times New Roman"/>
          <w:kern w:val="2"/>
          <w:sz w:val="24"/>
          <w:szCs w:val="24"/>
        </w:rPr>
        <w:t>/</w:t>
      </w:r>
      <w:r>
        <w:rPr>
          <w:rFonts w:hint="eastAsia" w:ascii="仿宋" w:hAnsi="仿宋" w:eastAsia="仿宋" w:cs="仿宋"/>
          <w:kern w:val="2"/>
          <w:sz w:val="24"/>
          <w:szCs w:val="24"/>
        </w:rPr>
        <w:t>年。</w:t>
      </w:r>
    </w:p>
    <w:p w14:paraId="6BFBA814">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2、服务地点：采购人院区及供应商提供的就业基地</w:t>
      </w:r>
    </w:p>
    <w:p w14:paraId="4FAD29C4">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3、服务期限：合同签订之日起三年，合同一年一签，在合同期满前1个月内，采购人通知供应商进行考核，考核合格后续签下一年度合同（考核合格标准：考核分数≥90分，考核评价表见附件1）。</w:t>
      </w:r>
    </w:p>
    <w:p w14:paraId="5136FA32">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4、验收方案：</w:t>
      </w:r>
    </w:p>
    <w:p w14:paraId="2ED8E1DC">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4.1验收时间：服务期满且供应商完成所有服务内容后5日内通知采购人验收，采购人接供应商通知后10日内组织验收。</w:t>
      </w:r>
    </w:p>
    <w:p w14:paraId="76D4AA6A">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4.2验收主体：采购人</w:t>
      </w:r>
    </w:p>
    <w:p w14:paraId="683B7AAC">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4.3验收组织方式：自行验收</w:t>
      </w:r>
    </w:p>
    <w:p w14:paraId="09BC9385">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 xml:space="preserve">4.4验收方式：考核验收  </w:t>
      </w:r>
    </w:p>
    <w:p w14:paraId="340B196B">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4.5验收程序：</w:t>
      </w:r>
      <w:r>
        <w:rPr>
          <w:rFonts w:hint="eastAsia" w:ascii="仿宋" w:hAnsi="仿宋" w:eastAsia="仿宋" w:cs="仿宋"/>
          <w:kern w:val="2"/>
          <w:sz w:val="24"/>
          <w:szCs w:val="24"/>
        </w:rPr>
        <w:t>一次性验收</w:t>
      </w:r>
    </w:p>
    <w:p w14:paraId="1A3A6615">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4.6验收内容：</w:t>
      </w:r>
      <w:r>
        <w:rPr>
          <w:rFonts w:hint="eastAsia" w:ascii="仿宋" w:hAnsi="仿宋" w:eastAsia="仿宋" w:cs="仿宋"/>
          <w:kern w:val="2"/>
          <w:sz w:val="24"/>
          <w:szCs w:val="24"/>
        </w:rPr>
        <w:t>按照基于本项目采购需求编制的采购文件要求及供应商响应文件情况，由供应商向采购人提供的全部服务</w:t>
      </w:r>
      <w:r>
        <w:rPr>
          <w:rFonts w:hint="default" w:ascii="仿宋" w:hAnsi="仿宋" w:eastAsia="仿宋"/>
          <w:sz w:val="24"/>
          <w:szCs w:val="24"/>
          <w:lang w:val="en-US" w:eastAsia="zh-CN"/>
        </w:rPr>
        <w:t>。</w:t>
      </w:r>
    </w:p>
    <w:p w14:paraId="6A6E951A">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4.7验收标准：</w:t>
      </w:r>
    </w:p>
    <w:p w14:paraId="7EF008DD">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4.7.1国家相关法律法规、行业标准、技术规范。</w:t>
      </w:r>
    </w:p>
    <w:p w14:paraId="27CEAEDA">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4.7.2基于本项目采购需求编制的谈判文件相关技术、服务要求、成交供应商响应文件相关响应内容。</w:t>
      </w:r>
    </w:p>
    <w:p w14:paraId="28E51018">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4.7.</w:t>
      </w:r>
      <w:r>
        <w:rPr>
          <w:rFonts w:hint="eastAsia" w:ascii="仿宋" w:hAnsi="仿宋" w:eastAsia="仿宋"/>
          <w:sz w:val="24"/>
          <w:szCs w:val="24"/>
          <w:lang w:val="en-US" w:eastAsia="zh-CN"/>
        </w:rPr>
        <w:t>3</w:t>
      </w:r>
      <w:r>
        <w:rPr>
          <w:rFonts w:hint="default" w:ascii="仿宋" w:hAnsi="仿宋" w:eastAsia="仿宋"/>
          <w:sz w:val="24"/>
          <w:szCs w:val="24"/>
          <w:lang w:val="en-US" w:eastAsia="zh-CN"/>
        </w:rPr>
        <w:t>如验收时，采购人与供应商认为本项目验收标准中的技术指标、质量要求等内容存在相互抵触或对其理解存在异议，应按照其中更严格的要求、标准等进行验收。</w:t>
      </w:r>
    </w:p>
    <w:p w14:paraId="2AA5EE5A">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4.7.</w:t>
      </w:r>
      <w:r>
        <w:rPr>
          <w:rFonts w:hint="eastAsia" w:ascii="仿宋" w:hAnsi="仿宋" w:eastAsia="仿宋"/>
          <w:sz w:val="24"/>
          <w:szCs w:val="24"/>
          <w:lang w:val="en-US" w:eastAsia="zh-CN"/>
        </w:rPr>
        <w:t>4</w:t>
      </w:r>
      <w:r>
        <w:rPr>
          <w:rFonts w:hint="default" w:ascii="仿宋" w:hAnsi="仿宋" w:eastAsia="仿宋"/>
          <w:sz w:val="24"/>
          <w:szCs w:val="24"/>
          <w:lang w:val="en-US" w:eastAsia="zh-CN"/>
        </w:rPr>
        <w:t>参照《财政部关于进一步加强政府采购需求和履约验收管理的指导意见》（财库〔2016〕205号）的要求进行验收。</w:t>
      </w:r>
    </w:p>
    <w:p w14:paraId="0FF882C1">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4.7.</w:t>
      </w:r>
      <w:r>
        <w:rPr>
          <w:rFonts w:hint="eastAsia" w:ascii="仿宋" w:hAnsi="仿宋" w:eastAsia="仿宋"/>
          <w:sz w:val="24"/>
          <w:szCs w:val="24"/>
          <w:lang w:val="en-US" w:eastAsia="zh-CN"/>
        </w:rPr>
        <w:t>5</w:t>
      </w:r>
      <w:r>
        <w:rPr>
          <w:rFonts w:hint="default" w:ascii="仿宋" w:hAnsi="仿宋" w:eastAsia="仿宋"/>
          <w:sz w:val="24"/>
          <w:szCs w:val="24"/>
          <w:lang w:val="en-US" w:eastAsia="zh-CN"/>
        </w:rPr>
        <w:t>如本项目验收方式为考核验收，则考核结果须为合格。</w:t>
      </w:r>
    </w:p>
    <w:p w14:paraId="21725F91">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4.7.7其他验收标准：</w:t>
      </w:r>
    </w:p>
    <w:p w14:paraId="548C3910">
      <w:pPr>
        <w:pStyle w:val="16"/>
        <w:keepNext w:val="0"/>
        <w:keepLines w:val="0"/>
        <w:pageBreakBefore w:val="0"/>
        <w:widowControl w:val="0"/>
        <w:numPr>
          <w:ilvl w:val="0"/>
          <w:numId w:val="9"/>
        </w:numPr>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供应商</w:t>
      </w:r>
      <w:r>
        <w:rPr>
          <w:rFonts w:hint="eastAsia" w:ascii="仿宋" w:hAnsi="仿宋" w:eastAsia="仿宋"/>
          <w:sz w:val="24"/>
          <w:szCs w:val="24"/>
          <w:lang w:val="en-US" w:eastAsia="zh-CN"/>
        </w:rPr>
        <w:t>将</w:t>
      </w:r>
      <w:r>
        <w:rPr>
          <w:rFonts w:hint="default" w:ascii="仿宋" w:hAnsi="仿宋" w:eastAsia="仿宋"/>
          <w:sz w:val="24"/>
          <w:szCs w:val="24"/>
          <w:lang w:val="en-US" w:eastAsia="zh-CN"/>
        </w:rPr>
        <w:t>本项目相关资料移交给采购人，并配合采购人准备和应对相关检查。</w:t>
      </w:r>
    </w:p>
    <w:p w14:paraId="78A25EAD">
      <w:pPr>
        <w:pStyle w:val="16"/>
        <w:keepNext w:val="0"/>
        <w:keepLines w:val="0"/>
        <w:pageBreakBefore w:val="0"/>
        <w:widowControl w:val="0"/>
        <w:numPr>
          <w:ilvl w:val="0"/>
          <w:numId w:val="9"/>
        </w:numPr>
        <w:kinsoku/>
        <w:wordWrap/>
        <w:overflowPunct/>
        <w:topLinePunct w:val="0"/>
        <w:autoSpaceDE/>
        <w:autoSpaceDN/>
        <w:bidi w:val="0"/>
        <w:adjustRightInd/>
        <w:snapToGrid w:val="0"/>
        <w:spacing w:line="360" w:lineRule="auto"/>
        <w:ind w:left="0" w:leftChars="0" w:firstLine="482" w:firstLineChars="0"/>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采购人完成年度残疾人就业保障金申报且残疾人就业保障金年缴纳额为0元</w:t>
      </w:r>
    </w:p>
    <w:p w14:paraId="469BD7EF">
      <w:pPr>
        <w:pStyle w:val="16"/>
        <w:keepNext w:val="0"/>
        <w:keepLines w:val="0"/>
        <w:pageBreakBefore w:val="0"/>
        <w:widowControl w:val="0"/>
        <w:numPr>
          <w:ilvl w:val="0"/>
          <w:numId w:val="9"/>
        </w:numPr>
        <w:kinsoku/>
        <w:wordWrap/>
        <w:overflowPunct/>
        <w:topLinePunct w:val="0"/>
        <w:autoSpaceDE/>
        <w:autoSpaceDN/>
        <w:bidi w:val="0"/>
        <w:adjustRightInd/>
        <w:snapToGrid w:val="0"/>
        <w:spacing w:line="360" w:lineRule="auto"/>
        <w:ind w:left="0" w:leftChars="0" w:firstLine="482" w:firstLineChars="0"/>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验收合格标准：考核分数≥90分</w:t>
      </w:r>
      <w:r>
        <w:rPr>
          <w:rFonts w:hint="eastAsia" w:ascii="仿宋" w:hAnsi="仿宋" w:eastAsia="仿宋"/>
          <w:sz w:val="24"/>
          <w:szCs w:val="24"/>
          <w:lang w:val="en-US" w:eastAsia="zh-CN"/>
        </w:rPr>
        <w:t>。</w:t>
      </w:r>
    </w:p>
    <w:p w14:paraId="2DDD0E60">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4.8其它验收要求：无</w:t>
      </w:r>
    </w:p>
    <w:p w14:paraId="09F50951">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4.9是否委托第三方机构验收：否。</w:t>
      </w:r>
    </w:p>
    <w:p w14:paraId="4ACC97F5">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4.10是否邀请本项目的其他供应商：否</w:t>
      </w:r>
    </w:p>
    <w:p w14:paraId="0B99570A">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4.11是否邀请服务对象：否</w:t>
      </w:r>
    </w:p>
    <w:p w14:paraId="2CD8D0F3">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4.12是否邀请专家：否</w:t>
      </w:r>
    </w:p>
    <w:p w14:paraId="3A307837">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Times New Roman" w:hAnsi="Times New Roman" w:eastAsia="仿宋" w:cs="Times New Roman"/>
          <w:sz w:val="24"/>
          <w:szCs w:val="24"/>
        </w:rPr>
      </w:pPr>
    </w:p>
    <w:p w14:paraId="00106AC9">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附件1</w:t>
      </w:r>
    </w:p>
    <w:p w14:paraId="0FC42355">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劳务派遣制残疾人就业服务项目年度考核评价表</w:t>
      </w:r>
    </w:p>
    <w:tbl>
      <w:tblPr>
        <w:tblStyle w:val="18"/>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0" w:type="dxa"/>
          <w:bottom w:w="0" w:type="dxa"/>
          <w:right w:w="0" w:type="dxa"/>
        </w:tblCellMar>
      </w:tblPr>
      <w:tblGrid>
        <w:gridCol w:w="849"/>
        <w:gridCol w:w="1686"/>
        <w:gridCol w:w="3748"/>
        <w:gridCol w:w="1859"/>
        <w:gridCol w:w="1482"/>
      </w:tblGrid>
      <w:tr w14:paraId="0D1855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30" w:hRule="atLeast"/>
          <w:jc w:val="center"/>
        </w:trPr>
        <w:tc>
          <w:tcPr>
            <w:tcW w:w="864" w:type="dxa"/>
            <w:tcBorders>
              <w:tl2br w:val="nil"/>
              <w:tr2bl w:val="nil"/>
            </w:tcBorders>
            <w:noWrap w:val="0"/>
            <w:tcMar>
              <w:top w:w="150" w:type="dxa"/>
              <w:left w:w="210" w:type="dxa"/>
              <w:bottom w:w="150" w:type="dxa"/>
              <w:right w:w="210" w:type="dxa"/>
            </w:tcMar>
            <w:vAlign w:val="center"/>
          </w:tcPr>
          <w:p w14:paraId="3F9B6340">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序号</w:t>
            </w:r>
          </w:p>
        </w:tc>
        <w:tc>
          <w:tcPr>
            <w:tcW w:w="1747" w:type="dxa"/>
            <w:tcBorders>
              <w:tl2br w:val="nil"/>
              <w:tr2bl w:val="nil"/>
            </w:tcBorders>
            <w:noWrap w:val="0"/>
            <w:tcMar>
              <w:top w:w="150" w:type="dxa"/>
              <w:left w:w="210" w:type="dxa"/>
              <w:bottom w:w="150" w:type="dxa"/>
              <w:right w:w="210" w:type="dxa"/>
            </w:tcMar>
            <w:vAlign w:val="center"/>
          </w:tcPr>
          <w:p w14:paraId="335A0F62">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评价模块</w:t>
            </w:r>
          </w:p>
        </w:tc>
        <w:tc>
          <w:tcPr>
            <w:tcW w:w="3950" w:type="dxa"/>
            <w:tcBorders>
              <w:tl2br w:val="nil"/>
              <w:tr2bl w:val="nil"/>
            </w:tcBorders>
            <w:noWrap w:val="0"/>
            <w:tcMar>
              <w:top w:w="150" w:type="dxa"/>
              <w:left w:w="210" w:type="dxa"/>
              <w:bottom w:w="150" w:type="dxa"/>
              <w:right w:w="210" w:type="dxa"/>
            </w:tcMar>
            <w:vAlign w:val="center"/>
          </w:tcPr>
          <w:p w14:paraId="3F0C5F1D">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评价内容及分值</w:t>
            </w:r>
          </w:p>
        </w:tc>
        <w:tc>
          <w:tcPr>
            <w:tcW w:w="1952" w:type="dxa"/>
            <w:tcBorders>
              <w:tl2br w:val="nil"/>
              <w:tr2bl w:val="nil"/>
            </w:tcBorders>
            <w:noWrap w:val="0"/>
            <w:tcMar>
              <w:top w:w="150" w:type="dxa"/>
              <w:left w:w="210" w:type="dxa"/>
              <w:bottom w:w="150" w:type="dxa"/>
              <w:right w:w="210" w:type="dxa"/>
            </w:tcMar>
            <w:vAlign w:val="center"/>
          </w:tcPr>
          <w:p w14:paraId="576687CC">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评分标准</w:t>
            </w:r>
          </w:p>
        </w:tc>
        <w:tc>
          <w:tcPr>
            <w:tcW w:w="1545" w:type="dxa"/>
            <w:tcBorders>
              <w:tl2br w:val="nil"/>
              <w:tr2bl w:val="nil"/>
            </w:tcBorders>
            <w:noWrap w:val="0"/>
            <w:tcMar>
              <w:top w:w="150" w:type="dxa"/>
              <w:left w:w="210" w:type="dxa"/>
              <w:bottom w:w="150" w:type="dxa"/>
              <w:right w:w="210" w:type="dxa"/>
            </w:tcMar>
            <w:vAlign w:val="center"/>
          </w:tcPr>
          <w:p w14:paraId="754411F7">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得分</w:t>
            </w:r>
          </w:p>
        </w:tc>
      </w:tr>
      <w:tr w14:paraId="678410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0" w:hRule="atLeast"/>
          <w:jc w:val="center"/>
        </w:trPr>
        <w:tc>
          <w:tcPr>
            <w:tcW w:w="864" w:type="dxa"/>
            <w:tcBorders>
              <w:tl2br w:val="nil"/>
              <w:tr2bl w:val="nil"/>
            </w:tcBorders>
            <w:noWrap w:val="0"/>
            <w:tcMar>
              <w:top w:w="150" w:type="dxa"/>
              <w:left w:w="210" w:type="dxa"/>
              <w:bottom w:w="150" w:type="dxa"/>
              <w:right w:w="210" w:type="dxa"/>
            </w:tcMar>
            <w:vAlign w:val="center"/>
          </w:tcPr>
          <w:p w14:paraId="5FDE8707">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w:t>
            </w:r>
          </w:p>
        </w:tc>
        <w:tc>
          <w:tcPr>
            <w:tcW w:w="1747" w:type="dxa"/>
            <w:tcBorders>
              <w:tl2br w:val="nil"/>
              <w:tr2bl w:val="nil"/>
            </w:tcBorders>
            <w:noWrap w:val="0"/>
            <w:tcMar>
              <w:top w:w="150" w:type="dxa"/>
              <w:left w:w="210" w:type="dxa"/>
              <w:bottom w:w="150" w:type="dxa"/>
              <w:right w:w="210" w:type="dxa"/>
            </w:tcMar>
            <w:vAlign w:val="center"/>
          </w:tcPr>
          <w:p w14:paraId="53AB6199">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项目管理（25 分）</w:t>
            </w:r>
          </w:p>
        </w:tc>
        <w:tc>
          <w:tcPr>
            <w:tcW w:w="3950" w:type="dxa"/>
            <w:tcBorders>
              <w:tl2br w:val="nil"/>
              <w:tr2bl w:val="nil"/>
            </w:tcBorders>
            <w:noWrap w:val="0"/>
            <w:tcMar>
              <w:top w:w="150" w:type="dxa"/>
              <w:left w:w="210" w:type="dxa"/>
              <w:bottom w:w="150" w:type="dxa"/>
              <w:right w:w="210" w:type="dxa"/>
            </w:tcMar>
            <w:vAlign w:val="center"/>
          </w:tcPr>
          <w:p w14:paraId="6FD070D0">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①按法律规定与被派遣人员签订劳动合同（5分）；</w:t>
            </w:r>
          </w:p>
          <w:p w14:paraId="7D201445">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②对派遣人员进行岗前培训、安全培训等（5分）；</w:t>
            </w:r>
          </w:p>
          <w:p w14:paraId="66D399C4">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③提供合法合规安置残疾人承诺书等申报资料（15分）。</w:t>
            </w:r>
          </w:p>
        </w:tc>
        <w:tc>
          <w:tcPr>
            <w:tcW w:w="1952" w:type="dxa"/>
            <w:tcBorders>
              <w:tl2br w:val="nil"/>
              <w:tr2bl w:val="nil"/>
            </w:tcBorders>
            <w:noWrap w:val="0"/>
            <w:tcMar>
              <w:top w:w="150" w:type="dxa"/>
              <w:left w:w="210" w:type="dxa"/>
              <w:bottom w:w="150" w:type="dxa"/>
              <w:right w:w="210" w:type="dxa"/>
            </w:tcMar>
            <w:vAlign w:val="center"/>
          </w:tcPr>
          <w:p w14:paraId="29E7FC22">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每有一项不满足按相应分值扣分</w:t>
            </w:r>
          </w:p>
        </w:tc>
        <w:tc>
          <w:tcPr>
            <w:tcW w:w="1545" w:type="dxa"/>
            <w:tcBorders>
              <w:tl2br w:val="nil"/>
              <w:tr2bl w:val="nil"/>
            </w:tcBorders>
            <w:noWrap w:val="0"/>
            <w:tcMar>
              <w:top w:w="150" w:type="dxa"/>
              <w:left w:w="210" w:type="dxa"/>
              <w:bottom w:w="150" w:type="dxa"/>
              <w:right w:w="210" w:type="dxa"/>
            </w:tcMar>
            <w:vAlign w:val="center"/>
          </w:tcPr>
          <w:p w14:paraId="3CB989E3">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textAlignment w:val="auto"/>
              <w:rPr>
                <w:rFonts w:hint="eastAsia" w:ascii="Times New Roman" w:hAnsi="Times New Roman" w:eastAsia="仿宋" w:cs="Times New Roman"/>
                <w:sz w:val="24"/>
                <w:szCs w:val="24"/>
              </w:rPr>
            </w:pPr>
          </w:p>
        </w:tc>
      </w:tr>
      <w:tr w14:paraId="7F1926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1065" w:hRule="atLeast"/>
          <w:jc w:val="center"/>
        </w:trPr>
        <w:tc>
          <w:tcPr>
            <w:tcW w:w="864" w:type="dxa"/>
            <w:tcBorders>
              <w:tl2br w:val="nil"/>
              <w:tr2bl w:val="nil"/>
            </w:tcBorders>
            <w:noWrap w:val="0"/>
            <w:tcMar>
              <w:top w:w="150" w:type="dxa"/>
              <w:left w:w="210" w:type="dxa"/>
              <w:bottom w:w="150" w:type="dxa"/>
              <w:right w:w="210" w:type="dxa"/>
            </w:tcMar>
            <w:vAlign w:val="center"/>
          </w:tcPr>
          <w:p w14:paraId="673F484E">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2</w:t>
            </w:r>
          </w:p>
        </w:tc>
        <w:tc>
          <w:tcPr>
            <w:tcW w:w="1747" w:type="dxa"/>
            <w:tcBorders>
              <w:tl2br w:val="nil"/>
              <w:tr2bl w:val="nil"/>
            </w:tcBorders>
            <w:noWrap w:val="0"/>
            <w:tcMar>
              <w:top w:w="150" w:type="dxa"/>
              <w:left w:w="210" w:type="dxa"/>
              <w:bottom w:w="150" w:type="dxa"/>
              <w:right w:w="210" w:type="dxa"/>
            </w:tcMar>
            <w:vAlign w:val="center"/>
          </w:tcPr>
          <w:p w14:paraId="39A0417E">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人员派遣（20分）</w:t>
            </w:r>
          </w:p>
        </w:tc>
        <w:tc>
          <w:tcPr>
            <w:tcW w:w="3950" w:type="dxa"/>
            <w:tcBorders>
              <w:tl2br w:val="nil"/>
              <w:tr2bl w:val="nil"/>
            </w:tcBorders>
            <w:noWrap w:val="0"/>
            <w:tcMar>
              <w:top w:w="150" w:type="dxa"/>
              <w:left w:w="210" w:type="dxa"/>
              <w:bottom w:w="150" w:type="dxa"/>
              <w:right w:w="210" w:type="dxa"/>
            </w:tcMar>
            <w:vAlign w:val="center"/>
          </w:tcPr>
          <w:p w14:paraId="20AA6A53">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按照采购人实际安置需求每月足额派遣符合要求的残疾人员（20分）。</w:t>
            </w:r>
          </w:p>
        </w:tc>
        <w:tc>
          <w:tcPr>
            <w:tcW w:w="1952" w:type="dxa"/>
            <w:tcBorders>
              <w:tl2br w:val="nil"/>
              <w:tr2bl w:val="nil"/>
            </w:tcBorders>
            <w:noWrap w:val="0"/>
            <w:tcMar>
              <w:top w:w="150" w:type="dxa"/>
              <w:left w:w="210" w:type="dxa"/>
              <w:bottom w:w="150" w:type="dxa"/>
              <w:right w:w="210" w:type="dxa"/>
            </w:tcMar>
            <w:vAlign w:val="center"/>
          </w:tcPr>
          <w:p w14:paraId="05CBAC84">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每有一项不满足按相应分值扣分</w:t>
            </w:r>
          </w:p>
        </w:tc>
        <w:tc>
          <w:tcPr>
            <w:tcW w:w="1545" w:type="dxa"/>
            <w:tcBorders>
              <w:tl2br w:val="nil"/>
              <w:tr2bl w:val="nil"/>
            </w:tcBorders>
            <w:noWrap w:val="0"/>
            <w:tcMar>
              <w:top w:w="150" w:type="dxa"/>
              <w:left w:w="210" w:type="dxa"/>
              <w:bottom w:w="150" w:type="dxa"/>
              <w:right w:w="210" w:type="dxa"/>
            </w:tcMar>
            <w:vAlign w:val="center"/>
          </w:tcPr>
          <w:p w14:paraId="119D8A1E">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textAlignment w:val="auto"/>
              <w:rPr>
                <w:rFonts w:hint="eastAsia" w:ascii="Times New Roman" w:hAnsi="Times New Roman" w:eastAsia="仿宋" w:cs="Times New Roman"/>
                <w:sz w:val="24"/>
                <w:szCs w:val="24"/>
              </w:rPr>
            </w:pPr>
          </w:p>
        </w:tc>
      </w:tr>
      <w:tr w14:paraId="07C07B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1696" w:hRule="atLeast"/>
          <w:jc w:val="center"/>
        </w:trPr>
        <w:tc>
          <w:tcPr>
            <w:tcW w:w="864" w:type="dxa"/>
            <w:tcBorders>
              <w:tl2br w:val="nil"/>
              <w:tr2bl w:val="nil"/>
            </w:tcBorders>
            <w:noWrap w:val="0"/>
            <w:tcMar>
              <w:top w:w="150" w:type="dxa"/>
              <w:left w:w="210" w:type="dxa"/>
              <w:bottom w:w="150" w:type="dxa"/>
              <w:right w:w="210" w:type="dxa"/>
            </w:tcMar>
            <w:vAlign w:val="center"/>
          </w:tcPr>
          <w:p w14:paraId="409A120A">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3</w:t>
            </w:r>
          </w:p>
        </w:tc>
        <w:tc>
          <w:tcPr>
            <w:tcW w:w="1747" w:type="dxa"/>
            <w:tcBorders>
              <w:tl2br w:val="nil"/>
              <w:tr2bl w:val="nil"/>
            </w:tcBorders>
            <w:noWrap w:val="0"/>
            <w:tcMar>
              <w:top w:w="150" w:type="dxa"/>
              <w:left w:w="210" w:type="dxa"/>
              <w:bottom w:w="150" w:type="dxa"/>
              <w:right w:w="210" w:type="dxa"/>
            </w:tcMar>
            <w:vAlign w:val="center"/>
          </w:tcPr>
          <w:p w14:paraId="5620F7BE">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工资发放、社保购买（30 分）</w:t>
            </w:r>
          </w:p>
        </w:tc>
        <w:tc>
          <w:tcPr>
            <w:tcW w:w="3950" w:type="dxa"/>
            <w:tcBorders>
              <w:tl2br w:val="nil"/>
              <w:tr2bl w:val="nil"/>
            </w:tcBorders>
            <w:noWrap w:val="0"/>
            <w:tcMar>
              <w:top w:w="150" w:type="dxa"/>
              <w:left w:w="210" w:type="dxa"/>
              <w:bottom w:w="150" w:type="dxa"/>
              <w:right w:w="210" w:type="dxa"/>
            </w:tcMar>
            <w:vAlign w:val="center"/>
          </w:tcPr>
          <w:p w14:paraId="5CF4CC1A">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①每月按时向派遣人员发放薪资，发放的薪资（税前）不低于双方约定标准（15分）；</w:t>
            </w:r>
          </w:p>
          <w:p w14:paraId="61E7E68D">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②按国家规定及约定标准为派遣人员按时缴纳社会保险（养老、医疗、失业、工伤、生育保险），无拖欠情况（15 分）。</w:t>
            </w:r>
          </w:p>
        </w:tc>
        <w:tc>
          <w:tcPr>
            <w:tcW w:w="1952" w:type="dxa"/>
            <w:tcBorders>
              <w:tl2br w:val="nil"/>
              <w:tr2bl w:val="nil"/>
            </w:tcBorders>
            <w:noWrap w:val="0"/>
            <w:tcMar>
              <w:top w:w="150" w:type="dxa"/>
              <w:left w:w="210" w:type="dxa"/>
              <w:bottom w:w="150" w:type="dxa"/>
              <w:right w:w="210" w:type="dxa"/>
            </w:tcMar>
            <w:vAlign w:val="center"/>
          </w:tcPr>
          <w:p w14:paraId="6E9B651C">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每有一项不满足按相应分值扣分</w:t>
            </w:r>
          </w:p>
        </w:tc>
        <w:tc>
          <w:tcPr>
            <w:tcW w:w="1545" w:type="dxa"/>
            <w:tcBorders>
              <w:tl2br w:val="nil"/>
              <w:tr2bl w:val="nil"/>
            </w:tcBorders>
            <w:noWrap w:val="0"/>
            <w:tcMar>
              <w:top w:w="150" w:type="dxa"/>
              <w:left w:w="210" w:type="dxa"/>
              <w:bottom w:w="150" w:type="dxa"/>
              <w:right w:w="210" w:type="dxa"/>
            </w:tcMar>
            <w:vAlign w:val="center"/>
          </w:tcPr>
          <w:p w14:paraId="5CB93253">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textAlignment w:val="auto"/>
              <w:rPr>
                <w:rFonts w:hint="eastAsia" w:ascii="Times New Roman" w:hAnsi="Times New Roman" w:eastAsia="仿宋" w:cs="Times New Roman"/>
                <w:sz w:val="24"/>
                <w:szCs w:val="24"/>
              </w:rPr>
            </w:pPr>
          </w:p>
        </w:tc>
      </w:tr>
      <w:tr w14:paraId="0808BE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1020" w:hRule="atLeast"/>
          <w:jc w:val="center"/>
        </w:trPr>
        <w:tc>
          <w:tcPr>
            <w:tcW w:w="864" w:type="dxa"/>
            <w:tcBorders>
              <w:tl2br w:val="nil"/>
              <w:tr2bl w:val="nil"/>
            </w:tcBorders>
            <w:noWrap w:val="0"/>
            <w:tcMar>
              <w:top w:w="150" w:type="dxa"/>
              <w:left w:w="210" w:type="dxa"/>
              <w:bottom w:w="150" w:type="dxa"/>
              <w:right w:w="210" w:type="dxa"/>
            </w:tcMar>
            <w:vAlign w:val="center"/>
          </w:tcPr>
          <w:p w14:paraId="0D040B9A">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4</w:t>
            </w:r>
          </w:p>
        </w:tc>
        <w:tc>
          <w:tcPr>
            <w:tcW w:w="1747" w:type="dxa"/>
            <w:tcBorders>
              <w:tl2br w:val="nil"/>
              <w:tr2bl w:val="nil"/>
            </w:tcBorders>
            <w:noWrap w:val="0"/>
            <w:tcMar>
              <w:top w:w="150" w:type="dxa"/>
              <w:left w:w="210" w:type="dxa"/>
              <w:bottom w:w="150" w:type="dxa"/>
              <w:right w:w="210" w:type="dxa"/>
            </w:tcMar>
            <w:vAlign w:val="center"/>
          </w:tcPr>
          <w:p w14:paraId="0842C1A5">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lang w:val="en-US" w:eastAsia="zh-CN"/>
              </w:rPr>
              <w:t>主要负责人</w:t>
            </w:r>
            <w:r>
              <w:rPr>
                <w:rFonts w:hint="eastAsia" w:ascii="Times New Roman" w:hAnsi="Times New Roman" w:eastAsia="仿宋" w:cs="Times New Roman"/>
                <w:sz w:val="24"/>
                <w:szCs w:val="24"/>
              </w:rPr>
              <w:t>考核（10分）</w:t>
            </w:r>
          </w:p>
        </w:tc>
        <w:tc>
          <w:tcPr>
            <w:tcW w:w="3950" w:type="dxa"/>
            <w:tcBorders>
              <w:tl2br w:val="nil"/>
              <w:tr2bl w:val="nil"/>
            </w:tcBorders>
            <w:noWrap w:val="0"/>
            <w:tcMar>
              <w:top w:w="150" w:type="dxa"/>
              <w:left w:w="210" w:type="dxa"/>
              <w:bottom w:w="150" w:type="dxa"/>
              <w:right w:w="210" w:type="dxa"/>
            </w:tcMar>
            <w:vAlign w:val="center"/>
          </w:tcPr>
          <w:p w14:paraId="25FC5160">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工作积极，及时完成采购人的工作任务，遵守采购人的劳动纪律要求和规章制度（10 分）。</w:t>
            </w:r>
          </w:p>
        </w:tc>
        <w:tc>
          <w:tcPr>
            <w:tcW w:w="1952" w:type="dxa"/>
            <w:tcBorders>
              <w:tl2br w:val="nil"/>
              <w:tr2bl w:val="nil"/>
            </w:tcBorders>
            <w:noWrap w:val="0"/>
            <w:tcMar>
              <w:top w:w="150" w:type="dxa"/>
              <w:left w:w="210" w:type="dxa"/>
              <w:bottom w:w="150" w:type="dxa"/>
              <w:right w:w="210" w:type="dxa"/>
            </w:tcMar>
            <w:vAlign w:val="center"/>
          </w:tcPr>
          <w:p w14:paraId="6D454943">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每有一项不满足按相应分值扣分</w:t>
            </w:r>
          </w:p>
        </w:tc>
        <w:tc>
          <w:tcPr>
            <w:tcW w:w="1545" w:type="dxa"/>
            <w:tcBorders>
              <w:tl2br w:val="nil"/>
              <w:tr2bl w:val="nil"/>
            </w:tcBorders>
            <w:noWrap w:val="0"/>
            <w:tcMar>
              <w:top w:w="150" w:type="dxa"/>
              <w:left w:w="210" w:type="dxa"/>
              <w:bottom w:w="150" w:type="dxa"/>
              <w:right w:w="210" w:type="dxa"/>
            </w:tcMar>
            <w:vAlign w:val="center"/>
          </w:tcPr>
          <w:p w14:paraId="270DD188">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textAlignment w:val="auto"/>
              <w:rPr>
                <w:rFonts w:hint="eastAsia" w:ascii="Times New Roman" w:hAnsi="Times New Roman" w:eastAsia="仿宋" w:cs="Times New Roman"/>
                <w:sz w:val="24"/>
                <w:szCs w:val="24"/>
              </w:rPr>
            </w:pPr>
          </w:p>
        </w:tc>
      </w:tr>
      <w:tr w14:paraId="1E755D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1726" w:hRule="atLeast"/>
          <w:jc w:val="center"/>
        </w:trPr>
        <w:tc>
          <w:tcPr>
            <w:tcW w:w="864" w:type="dxa"/>
            <w:tcBorders>
              <w:tl2br w:val="nil"/>
              <w:tr2bl w:val="nil"/>
            </w:tcBorders>
            <w:noWrap w:val="0"/>
            <w:tcMar>
              <w:top w:w="150" w:type="dxa"/>
              <w:left w:w="210" w:type="dxa"/>
              <w:bottom w:w="150" w:type="dxa"/>
              <w:right w:w="210" w:type="dxa"/>
            </w:tcMar>
            <w:vAlign w:val="center"/>
          </w:tcPr>
          <w:p w14:paraId="4695D6F4">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5</w:t>
            </w:r>
          </w:p>
        </w:tc>
        <w:tc>
          <w:tcPr>
            <w:tcW w:w="1747" w:type="dxa"/>
            <w:tcBorders>
              <w:tl2br w:val="nil"/>
              <w:tr2bl w:val="nil"/>
            </w:tcBorders>
            <w:noWrap w:val="0"/>
            <w:tcMar>
              <w:top w:w="150" w:type="dxa"/>
              <w:left w:w="210" w:type="dxa"/>
              <w:bottom w:w="150" w:type="dxa"/>
              <w:right w:w="210" w:type="dxa"/>
            </w:tcMar>
            <w:vAlign w:val="center"/>
          </w:tcPr>
          <w:p w14:paraId="66E31394">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应急响应（15 分）</w:t>
            </w:r>
          </w:p>
        </w:tc>
        <w:tc>
          <w:tcPr>
            <w:tcW w:w="3950" w:type="dxa"/>
            <w:tcBorders>
              <w:tl2br w:val="nil"/>
              <w:tr2bl w:val="nil"/>
            </w:tcBorders>
            <w:noWrap w:val="0"/>
            <w:tcMar>
              <w:top w:w="150" w:type="dxa"/>
              <w:left w:w="210" w:type="dxa"/>
              <w:bottom w:w="150" w:type="dxa"/>
              <w:right w:w="210" w:type="dxa"/>
            </w:tcMar>
            <w:vAlign w:val="center"/>
          </w:tcPr>
          <w:p w14:paraId="5A28D250">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①派遣人员离职或岗位空缺时， 3天内补齐符合要求人员（5分）；</w:t>
            </w:r>
          </w:p>
          <w:p w14:paraId="4A515ED2">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②发生工伤、工亡等突发事件或接到采购人关于派遣人员的问题反馈后，2小时内响应并进行处理</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（10 分）。</w:t>
            </w:r>
          </w:p>
        </w:tc>
        <w:tc>
          <w:tcPr>
            <w:tcW w:w="1952" w:type="dxa"/>
            <w:tcBorders>
              <w:tl2br w:val="nil"/>
              <w:tr2bl w:val="nil"/>
            </w:tcBorders>
            <w:noWrap w:val="0"/>
            <w:tcMar>
              <w:top w:w="150" w:type="dxa"/>
              <w:left w:w="210" w:type="dxa"/>
              <w:bottom w:w="150" w:type="dxa"/>
              <w:right w:w="210" w:type="dxa"/>
            </w:tcMar>
            <w:vAlign w:val="center"/>
          </w:tcPr>
          <w:p w14:paraId="6787920F">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每有一项不满足按相应分值扣分</w:t>
            </w:r>
          </w:p>
        </w:tc>
        <w:tc>
          <w:tcPr>
            <w:tcW w:w="1545" w:type="dxa"/>
            <w:tcBorders>
              <w:tl2br w:val="nil"/>
              <w:tr2bl w:val="nil"/>
            </w:tcBorders>
            <w:noWrap w:val="0"/>
            <w:tcMar>
              <w:top w:w="15" w:type="dxa"/>
              <w:left w:w="15" w:type="dxa"/>
              <w:bottom w:w="15" w:type="dxa"/>
              <w:right w:w="15" w:type="dxa"/>
            </w:tcMar>
            <w:vAlign w:val="center"/>
          </w:tcPr>
          <w:p w14:paraId="652AB7FB">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textAlignment w:val="auto"/>
              <w:rPr>
                <w:rFonts w:hint="eastAsia" w:ascii="Times New Roman" w:hAnsi="Times New Roman" w:eastAsia="仿宋" w:cs="Times New Roman"/>
                <w:sz w:val="24"/>
                <w:szCs w:val="24"/>
              </w:rPr>
            </w:pPr>
          </w:p>
        </w:tc>
      </w:tr>
      <w:tr w14:paraId="0D18DB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16" w:hRule="atLeast"/>
          <w:jc w:val="center"/>
        </w:trPr>
        <w:tc>
          <w:tcPr>
            <w:tcW w:w="6561" w:type="dxa"/>
            <w:gridSpan w:val="3"/>
            <w:tcBorders>
              <w:tl2br w:val="nil"/>
              <w:tr2bl w:val="nil"/>
            </w:tcBorders>
            <w:noWrap w:val="0"/>
            <w:tcMar>
              <w:top w:w="150" w:type="dxa"/>
              <w:left w:w="210" w:type="dxa"/>
              <w:bottom w:w="150" w:type="dxa"/>
              <w:right w:w="210" w:type="dxa"/>
            </w:tcMar>
            <w:vAlign w:val="center"/>
          </w:tcPr>
          <w:p w14:paraId="56262DDA">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考核得分</w:t>
            </w:r>
          </w:p>
        </w:tc>
        <w:tc>
          <w:tcPr>
            <w:tcW w:w="3497" w:type="dxa"/>
            <w:gridSpan w:val="2"/>
            <w:tcBorders>
              <w:tl2br w:val="nil"/>
              <w:tr2bl w:val="nil"/>
            </w:tcBorders>
            <w:noWrap w:val="0"/>
            <w:tcMar>
              <w:top w:w="150" w:type="dxa"/>
              <w:left w:w="210" w:type="dxa"/>
              <w:bottom w:w="150" w:type="dxa"/>
              <w:right w:w="210" w:type="dxa"/>
            </w:tcMar>
            <w:vAlign w:val="center"/>
          </w:tcPr>
          <w:p w14:paraId="322A4DE8">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textAlignment w:val="auto"/>
              <w:rPr>
                <w:rFonts w:hint="eastAsia" w:ascii="Times New Roman" w:hAnsi="Times New Roman" w:eastAsia="仿宋" w:cs="Times New Roman"/>
                <w:sz w:val="24"/>
                <w:szCs w:val="24"/>
              </w:rPr>
            </w:pPr>
          </w:p>
        </w:tc>
      </w:tr>
    </w:tbl>
    <w:p w14:paraId="78DF3966">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Times New Roman" w:hAnsi="Times New Roman" w:eastAsia="仿宋" w:cs="Times New Roman"/>
          <w:sz w:val="24"/>
          <w:szCs w:val="24"/>
        </w:rPr>
      </w:pPr>
    </w:p>
    <w:p w14:paraId="3F7D2672">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合格标准：考核得分≥90分</w:t>
      </w:r>
    </w:p>
    <w:p w14:paraId="755488E8">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Times New Roman" w:hAnsi="Times New Roman" w:eastAsia="仿宋" w:cs="Times New Roman"/>
          <w:sz w:val="24"/>
          <w:szCs w:val="24"/>
        </w:rPr>
      </w:pPr>
    </w:p>
    <w:p w14:paraId="476325FA">
      <w:pPr>
        <w:pStyle w:val="16"/>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textAlignment w:val="auto"/>
        <w:rPr>
          <w:rFonts w:ascii="Times New Roman" w:hAnsi="Times New Roman" w:eastAsia="仿宋"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4A6A2942">
      <w:pPr>
        <w:rPr>
          <w:rFonts w:ascii="Times New Roman" w:hAnsi="Times New Roman" w:eastAsia="仿宋" w:cs="Times New Roman"/>
          <w:sz w:val="24"/>
          <w:szCs w:val="24"/>
        </w:rPr>
      </w:pPr>
      <w:r>
        <w:rPr>
          <w:rFonts w:ascii="Times New Roman" w:hAnsi="Times New Roman" w:eastAsia="仿宋" w:cs="Times New Roman"/>
          <w:sz w:val="24"/>
          <w:szCs w:val="24"/>
        </w:rPr>
        <w:br w:type="page"/>
      </w:r>
    </w:p>
    <w:p w14:paraId="307F749D">
      <w:pPr>
        <w:rPr>
          <w:rFonts w:ascii="Times New Roman" w:hAnsi="Times New Roman" w:eastAsia="仿宋" w:cs="Times New Roman"/>
          <w:sz w:val="24"/>
          <w:szCs w:val="24"/>
        </w:rPr>
      </w:pPr>
    </w:p>
    <w:p w14:paraId="1E53B04C">
      <w:pPr>
        <w:pStyle w:val="2"/>
        <w:rPr>
          <w:rFonts w:ascii="Times New Roman" w:hAnsi="Times New Roman" w:cs="Times New Roman"/>
        </w:rPr>
      </w:pPr>
      <w:bookmarkStart w:id="15" w:name="_Toc22588"/>
      <w:bookmarkStart w:id="16" w:name="_Toc28789"/>
      <w:bookmarkStart w:id="17" w:name="_Toc13768"/>
      <w:r>
        <w:rPr>
          <w:rFonts w:ascii="Times New Roman" w:hAnsi="Times New Roman" w:cs="Times New Roman"/>
        </w:rPr>
        <w:t>评分标准</w:t>
      </w:r>
      <w:bookmarkEnd w:id="15"/>
      <w:bookmarkEnd w:id="16"/>
      <w:bookmarkEnd w:id="17"/>
    </w:p>
    <w:p w14:paraId="7E701686">
      <w:pPr>
        <w:rPr>
          <w:rFonts w:ascii="Times New Roman" w:hAnsi="Times New Roman" w:cs="Times New Roman"/>
        </w:rPr>
      </w:pPr>
    </w:p>
    <w:tbl>
      <w:tblPr>
        <w:tblStyle w:val="18"/>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6"/>
        <w:gridCol w:w="1384"/>
        <w:gridCol w:w="709"/>
        <w:gridCol w:w="6520"/>
      </w:tblGrid>
      <w:tr w14:paraId="0F523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596" w:type="dxa"/>
            <w:noWrap/>
            <w:vAlign w:val="center"/>
          </w:tcPr>
          <w:p w14:paraId="2EDAB20C">
            <w:pPr>
              <w:rPr>
                <w:rFonts w:ascii="仿宋" w:hAnsi="仿宋" w:eastAsia="仿宋" w:cs="宋体"/>
                <w:b/>
                <w:bCs/>
                <w:sz w:val="24"/>
              </w:rPr>
            </w:pPr>
            <w:r>
              <w:br w:type="page"/>
            </w:r>
            <w:r>
              <w:rPr>
                <w:rFonts w:hint="eastAsia" w:ascii="仿宋" w:hAnsi="仿宋" w:eastAsia="仿宋" w:cs="宋体"/>
                <w:b/>
                <w:bCs/>
                <w:sz w:val="24"/>
              </w:rPr>
              <w:t>序号</w:t>
            </w:r>
          </w:p>
        </w:tc>
        <w:tc>
          <w:tcPr>
            <w:tcW w:w="1384" w:type="dxa"/>
            <w:noWrap/>
            <w:vAlign w:val="center"/>
          </w:tcPr>
          <w:p w14:paraId="16ED5299">
            <w:pPr>
              <w:spacing w:line="400" w:lineRule="exact"/>
              <w:ind w:firstLine="28"/>
              <w:jc w:val="center"/>
              <w:rPr>
                <w:rFonts w:ascii="仿宋" w:hAnsi="仿宋" w:eastAsia="仿宋" w:cs="宋体"/>
                <w:b/>
                <w:bCs/>
                <w:sz w:val="24"/>
              </w:rPr>
            </w:pPr>
            <w:r>
              <w:rPr>
                <w:rFonts w:hint="eastAsia" w:ascii="仿宋" w:hAnsi="仿宋" w:eastAsia="仿宋" w:cs="宋体"/>
                <w:b/>
                <w:bCs/>
                <w:sz w:val="24"/>
              </w:rPr>
              <w:t>评分因素</w:t>
            </w:r>
          </w:p>
          <w:p w14:paraId="29868210">
            <w:pPr>
              <w:spacing w:line="400" w:lineRule="exact"/>
              <w:ind w:firstLine="28"/>
              <w:jc w:val="center"/>
              <w:rPr>
                <w:rFonts w:ascii="仿宋" w:hAnsi="仿宋" w:eastAsia="仿宋" w:cs="宋体"/>
                <w:b/>
                <w:bCs/>
                <w:sz w:val="24"/>
              </w:rPr>
            </w:pPr>
            <w:r>
              <w:rPr>
                <w:rFonts w:hint="eastAsia" w:ascii="仿宋" w:hAnsi="仿宋" w:eastAsia="仿宋" w:cs="宋体"/>
                <w:b/>
                <w:bCs/>
                <w:sz w:val="24"/>
              </w:rPr>
              <w:t>及权重</w:t>
            </w:r>
          </w:p>
        </w:tc>
        <w:tc>
          <w:tcPr>
            <w:tcW w:w="709" w:type="dxa"/>
            <w:noWrap/>
            <w:vAlign w:val="center"/>
          </w:tcPr>
          <w:p w14:paraId="2838686B">
            <w:pPr>
              <w:spacing w:line="400" w:lineRule="exact"/>
              <w:ind w:firstLine="28"/>
              <w:jc w:val="center"/>
              <w:rPr>
                <w:rFonts w:ascii="仿宋" w:hAnsi="仿宋" w:eastAsia="仿宋" w:cs="宋体"/>
                <w:b/>
                <w:bCs/>
                <w:sz w:val="24"/>
              </w:rPr>
            </w:pPr>
            <w:r>
              <w:rPr>
                <w:rFonts w:hint="eastAsia" w:ascii="仿宋" w:hAnsi="仿宋" w:eastAsia="仿宋" w:cs="宋体"/>
                <w:b/>
                <w:bCs/>
                <w:sz w:val="24"/>
              </w:rPr>
              <w:t>分值</w:t>
            </w:r>
          </w:p>
        </w:tc>
        <w:tc>
          <w:tcPr>
            <w:tcW w:w="6520" w:type="dxa"/>
            <w:noWrap/>
            <w:vAlign w:val="center"/>
          </w:tcPr>
          <w:p w14:paraId="170AAB16">
            <w:pPr>
              <w:spacing w:line="400" w:lineRule="exact"/>
              <w:ind w:firstLine="28"/>
              <w:jc w:val="center"/>
              <w:rPr>
                <w:rFonts w:ascii="仿宋" w:hAnsi="仿宋" w:eastAsia="仿宋" w:cs="宋体"/>
                <w:b/>
                <w:bCs/>
                <w:sz w:val="24"/>
              </w:rPr>
            </w:pPr>
            <w:r>
              <w:rPr>
                <w:rFonts w:hint="eastAsia" w:ascii="仿宋" w:hAnsi="仿宋" w:eastAsia="仿宋" w:cs="宋体"/>
                <w:b/>
                <w:bCs/>
                <w:sz w:val="24"/>
              </w:rPr>
              <w:t>评分标准</w:t>
            </w:r>
          </w:p>
        </w:tc>
      </w:tr>
      <w:tr w14:paraId="00CCB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596" w:type="dxa"/>
            <w:noWrap/>
            <w:vAlign w:val="center"/>
          </w:tcPr>
          <w:p w14:paraId="60670539">
            <w:pPr>
              <w:spacing w:line="400" w:lineRule="exact"/>
              <w:ind w:firstLine="28"/>
              <w:jc w:val="center"/>
              <w:rPr>
                <w:rFonts w:ascii="仿宋" w:hAnsi="仿宋" w:eastAsia="仿宋" w:cs="宋体"/>
                <w:sz w:val="24"/>
              </w:rPr>
            </w:pPr>
            <w:r>
              <w:rPr>
                <w:rFonts w:hint="eastAsia" w:ascii="仿宋" w:hAnsi="仿宋" w:eastAsia="仿宋" w:cs="宋体"/>
                <w:sz w:val="24"/>
              </w:rPr>
              <w:t>1</w:t>
            </w:r>
          </w:p>
        </w:tc>
        <w:tc>
          <w:tcPr>
            <w:tcW w:w="1384" w:type="dxa"/>
            <w:noWrap/>
            <w:vAlign w:val="center"/>
          </w:tcPr>
          <w:p w14:paraId="61990E7A">
            <w:pPr>
              <w:spacing w:line="400" w:lineRule="exact"/>
              <w:ind w:firstLine="28"/>
              <w:jc w:val="center"/>
              <w:rPr>
                <w:rFonts w:ascii="仿宋" w:hAnsi="仿宋" w:eastAsia="仿宋" w:cs="宋体"/>
                <w:sz w:val="24"/>
              </w:rPr>
            </w:pPr>
            <w:r>
              <w:rPr>
                <w:rFonts w:hint="eastAsia" w:ascii="仿宋" w:hAnsi="仿宋" w:eastAsia="仿宋" w:cs="宋体"/>
                <w:sz w:val="24"/>
              </w:rPr>
              <w:t>报价</w:t>
            </w:r>
          </w:p>
          <w:p w14:paraId="6B40522B">
            <w:pPr>
              <w:spacing w:line="400" w:lineRule="exact"/>
              <w:ind w:firstLine="28"/>
              <w:jc w:val="center"/>
              <w:rPr>
                <w:rFonts w:ascii="仿宋" w:hAnsi="仿宋" w:eastAsia="仿宋" w:cs="宋体"/>
                <w:sz w:val="24"/>
              </w:rPr>
            </w:pPr>
            <w:r>
              <w:rPr>
                <w:rFonts w:hint="eastAsia" w:ascii="仿宋" w:hAnsi="仿宋" w:eastAsia="仿宋" w:cs="宋体"/>
                <w:sz w:val="24"/>
                <w:lang w:val="en-US" w:eastAsia="zh-CN"/>
              </w:rPr>
              <w:t>10</w:t>
            </w:r>
            <w:r>
              <w:rPr>
                <w:rFonts w:hint="eastAsia" w:ascii="仿宋" w:hAnsi="仿宋" w:eastAsia="仿宋" w:cs="宋体"/>
                <w:sz w:val="24"/>
              </w:rPr>
              <w:t>%</w:t>
            </w:r>
          </w:p>
        </w:tc>
        <w:tc>
          <w:tcPr>
            <w:tcW w:w="709" w:type="dxa"/>
            <w:noWrap/>
            <w:vAlign w:val="center"/>
          </w:tcPr>
          <w:p w14:paraId="1D9D1C22">
            <w:pPr>
              <w:spacing w:line="400" w:lineRule="exact"/>
              <w:ind w:firstLine="28"/>
              <w:jc w:val="center"/>
              <w:rPr>
                <w:rFonts w:ascii="仿宋" w:hAnsi="仿宋" w:eastAsia="仿宋" w:cs="宋体"/>
                <w:sz w:val="24"/>
              </w:rPr>
            </w:pPr>
            <w:r>
              <w:rPr>
                <w:rFonts w:hint="eastAsia" w:ascii="仿宋" w:hAnsi="仿宋" w:eastAsia="仿宋" w:cs="宋体"/>
                <w:sz w:val="24"/>
              </w:rPr>
              <w:t>1</w:t>
            </w:r>
            <w:r>
              <w:rPr>
                <w:rFonts w:ascii="仿宋" w:hAnsi="仿宋" w:eastAsia="仿宋" w:cs="宋体"/>
                <w:sz w:val="24"/>
              </w:rPr>
              <w:t>0</w:t>
            </w:r>
          </w:p>
        </w:tc>
        <w:tc>
          <w:tcPr>
            <w:tcW w:w="6520" w:type="dxa"/>
            <w:noWrap/>
            <w:vAlign w:val="center"/>
          </w:tcPr>
          <w:p w14:paraId="3CD35F6C">
            <w:pPr>
              <w:spacing w:line="360" w:lineRule="auto"/>
              <w:rPr>
                <w:rFonts w:ascii="仿宋" w:hAnsi="仿宋" w:eastAsia="仿宋" w:cs="宋体"/>
                <w:sz w:val="24"/>
              </w:rPr>
            </w:pPr>
            <w:r>
              <w:rPr>
                <w:rFonts w:hint="eastAsia" w:ascii="仿宋" w:hAnsi="仿宋" w:eastAsia="仿宋" w:cs="宋体"/>
                <w:sz w:val="24"/>
                <w:lang w:val="en-US" w:eastAsia="zh-CN"/>
              </w:rPr>
              <w:t>以满足谈判文件要求且有效报价最低的为评审基准价，其价格分为满分。其他供应商的报价得分按照下列公式计算：报价得分= 基准价／报价*10。</w:t>
            </w:r>
          </w:p>
        </w:tc>
      </w:tr>
      <w:tr w14:paraId="63835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96" w:type="dxa"/>
            <w:noWrap/>
            <w:vAlign w:val="center"/>
          </w:tcPr>
          <w:p w14:paraId="48E02DE0">
            <w:pPr>
              <w:spacing w:line="360" w:lineRule="auto"/>
              <w:jc w:val="center"/>
              <w:rPr>
                <w:rFonts w:ascii="仿宋" w:hAnsi="仿宋" w:eastAsia="仿宋" w:cs="宋体"/>
                <w:sz w:val="24"/>
              </w:rPr>
            </w:pPr>
            <w:r>
              <w:rPr>
                <w:rFonts w:hint="eastAsia" w:ascii="仿宋" w:hAnsi="仿宋" w:eastAsia="仿宋"/>
                <w:sz w:val="24"/>
              </w:rPr>
              <w:t>2</w:t>
            </w:r>
          </w:p>
        </w:tc>
        <w:tc>
          <w:tcPr>
            <w:tcW w:w="1384" w:type="dxa"/>
            <w:noWrap/>
            <w:vAlign w:val="center"/>
          </w:tcPr>
          <w:p w14:paraId="5B4CBDEB">
            <w:pPr>
              <w:spacing w:line="360" w:lineRule="auto"/>
              <w:jc w:val="center"/>
              <w:rPr>
                <w:rFonts w:ascii="仿宋" w:hAnsi="仿宋" w:eastAsia="仿宋" w:cs="宋体"/>
                <w:sz w:val="24"/>
              </w:rPr>
            </w:pPr>
            <w:r>
              <w:rPr>
                <w:rFonts w:hint="eastAsia" w:ascii="仿宋" w:hAnsi="仿宋" w:eastAsia="仿宋"/>
                <w:sz w:val="24"/>
              </w:rPr>
              <w:t>残疾人就业服务整体实施方案15%</w:t>
            </w:r>
          </w:p>
        </w:tc>
        <w:tc>
          <w:tcPr>
            <w:tcW w:w="709" w:type="dxa"/>
            <w:noWrap/>
            <w:vAlign w:val="center"/>
          </w:tcPr>
          <w:p w14:paraId="2A1ED9FB">
            <w:pPr>
              <w:spacing w:line="360" w:lineRule="auto"/>
              <w:jc w:val="center"/>
              <w:rPr>
                <w:rFonts w:ascii="仿宋" w:hAnsi="仿宋" w:eastAsia="仿宋" w:cs="宋体"/>
                <w:sz w:val="24"/>
              </w:rPr>
            </w:pPr>
            <w:r>
              <w:rPr>
                <w:rFonts w:hint="eastAsia" w:ascii="仿宋" w:hAnsi="仿宋" w:eastAsia="仿宋"/>
                <w:sz w:val="24"/>
              </w:rPr>
              <w:t>15</w:t>
            </w:r>
          </w:p>
        </w:tc>
        <w:tc>
          <w:tcPr>
            <w:tcW w:w="6520" w:type="dxa"/>
            <w:noWrap/>
            <w:vAlign w:val="center"/>
          </w:tcPr>
          <w:p w14:paraId="083423AB">
            <w:pPr>
              <w:spacing w:line="360" w:lineRule="auto"/>
              <w:rPr>
                <w:rFonts w:hint="eastAsia" w:ascii="仿宋" w:hAnsi="仿宋" w:eastAsia="仿宋" w:cs="宋体"/>
                <w:color w:val="000000"/>
                <w:sz w:val="24"/>
                <w:lang w:val="en-US" w:eastAsia="zh-CN"/>
              </w:rPr>
            </w:pPr>
            <w:r>
              <w:rPr>
                <w:rFonts w:hint="eastAsia" w:ascii="仿宋" w:hAnsi="仿宋" w:eastAsia="仿宋" w:cs="宋体"/>
                <w:color w:val="000000"/>
                <w:sz w:val="24"/>
                <w:lang w:val="en-US" w:eastAsia="zh-CN"/>
              </w:rPr>
              <w:t>供应商针对本项目制定完整的</w:t>
            </w:r>
            <w:r>
              <w:rPr>
                <w:rFonts w:hint="eastAsia" w:ascii="仿宋" w:hAnsi="仿宋" w:eastAsia="仿宋" w:cs="仿宋"/>
                <w:kern w:val="2"/>
                <w:sz w:val="24"/>
                <w:szCs w:val="24"/>
              </w:rPr>
              <w:t>残疾人就业服务整体实施方案</w:t>
            </w:r>
            <w:r>
              <w:rPr>
                <w:rFonts w:hint="eastAsia" w:ascii="仿宋" w:hAnsi="仿宋" w:eastAsia="仿宋" w:cs="宋体"/>
                <w:color w:val="000000"/>
                <w:sz w:val="24"/>
                <w:lang w:val="en-US" w:eastAsia="zh-CN"/>
              </w:rPr>
              <w:t>，包括以下内容：（1）残疾员工的花名册及工作规划；（2）招聘和培训计划；（3）考勤方案；（4）工作交付方案；（5）纠纷处理方案；（6）应急方案。</w:t>
            </w:r>
          </w:p>
          <w:p w14:paraId="632753E0">
            <w:pPr>
              <w:spacing w:line="360" w:lineRule="auto"/>
              <w:rPr>
                <w:rFonts w:hint="eastAsia" w:ascii="仿宋" w:hAnsi="仿宋" w:eastAsia="仿宋" w:cs="宋体"/>
                <w:color w:val="000000"/>
                <w:sz w:val="24"/>
                <w:lang w:val="en-US" w:eastAsia="zh-CN"/>
              </w:rPr>
            </w:pPr>
            <w:r>
              <w:rPr>
                <w:rFonts w:hint="eastAsia" w:ascii="仿宋" w:hAnsi="仿宋" w:eastAsia="仿宋" w:cs="宋体"/>
                <w:color w:val="000000"/>
                <w:sz w:val="24"/>
                <w:lang w:val="en-US" w:eastAsia="zh-CN"/>
              </w:rPr>
              <w:t>每有一项内容缺失扣2.5分，每有一处内容有缺陷的扣1.25分，直至本项分值扣完为止。</w:t>
            </w:r>
          </w:p>
          <w:p w14:paraId="01FE128D">
            <w:pPr>
              <w:spacing w:line="360" w:lineRule="auto"/>
              <w:rPr>
                <w:rFonts w:ascii="仿宋" w:hAnsi="仿宋" w:eastAsia="仿宋" w:cs="宋体"/>
                <w:color w:val="000000"/>
                <w:sz w:val="24"/>
              </w:rPr>
            </w:pPr>
            <w:r>
              <w:rPr>
                <w:rFonts w:hint="eastAsia" w:ascii="仿宋" w:hAnsi="仿宋" w:eastAsia="仿宋" w:cs="宋体"/>
                <w:color w:val="000000"/>
                <w:sz w:val="24"/>
                <w:lang w:val="en-US" w:eastAsia="zh-CN"/>
              </w:rPr>
              <w:t>注：缺陷包括但不限于：非专门针对本项目或不适用项目特性的情形、内容不完整或缺少关键节点、套用其他项目方案、内容前后矛盾、涉及的规范及标准错误、不利于项目实施、不可能实现的情形或明显错误等任意一种情形。</w:t>
            </w:r>
          </w:p>
        </w:tc>
      </w:tr>
      <w:tr w14:paraId="6757A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596" w:type="dxa"/>
            <w:noWrap/>
            <w:vAlign w:val="center"/>
          </w:tcPr>
          <w:p w14:paraId="41844D92">
            <w:pPr>
              <w:spacing w:after="120" w:afterLines="50"/>
              <w:ind w:firstLine="28"/>
              <w:jc w:val="center"/>
              <w:rPr>
                <w:rFonts w:ascii="仿宋" w:hAnsi="仿宋" w:eastAsia="仿宋" w:cs="宋体"/>
                <w:sz w:val="24"/>
              </w:rPr>
            </w:pPr>
            <w:r>
              <w:rPr>
                <w:rFonts w:hint="eastAsia" w:ascii="仿宋" w:hAnsi="仿宋" w:eastAsia="仿宋" w:cs="宋体"/>
                <w:sz w:val="24"/>
              </w:rPr>
              <w:t>3</w:t>
            </w:r>
          </w:p>
        </w:tc>
        <w:tc>
          <w:tcPr>
            <w:tcW w:w="1384" w:type="dxa"/>
            <w:noWrap/>
            <w:vAlign w:val="center"/>
          </w:tcPr>
          <w:p w14:paraId="0BA0BAC6">
            <w:pPr>
              <w:spacing w:after="120" w:afterLines="50" w:line="360" w:lineRule="auto"/>
              <w:jc w:val="center"/>
              <w:rPr>
                <w:rFonts w:ascii="仿宋" w:hAnsi="仿宋" w:eastAsia="仿宋" w:cs="宋体"/>
                <w:sz w:val="24"/>
              </w:rPr>
            </w:pPr>
            <w:r>
              <w:rPr>
                <w:rFonts w:hint="eastAsia" w:ascii="仿宋" w:hAnsi="仿宋" w:eastAsia="仿宋" w:cs="宋体"/>
                <w:sz w:val="24"/>
              </w:rPr>
              <w:t>人员配置</w:t>
            </w:r>
            <w:r>
              <w:rPr>
                <w:rFonts w:hint="eastAsia" w:ascii="仿宋" w:hAnsi="仿宋" w:eastAsia="仿宋" w:cs="宋体"/>
                <w:sz w:val="24"/>
                <w:lang w:val="en-US" w:eastAsia="zh-CN"/>
              </w:rPr>
              <w:t>16</w:t>
            </w:r>
            <w:r>
              <w:rPr>
                <w:rFonts w:hint="eastAsia" w:ascii="仿宋" w:hAnsi="仿宋" w:eastAsia="仿宋" w:cs="宋体"/>
                <w:sz w:val="24"/>
              </w:rPr>
              <w:t>%</w:t>
            </w:r>
          </w:p>
        </w:tc>
        <w:tc>
          <w:tcPr>
            <w:tcW w:w="709" w:type="dxa"/>
            <w:noWrap/>
            <w:vAlign w:val="center"/>
          </w:tcPr>
          <w:p w14:paraId="302A0483">
            <w:pPr>
              <w:spacing w:after="120" w:afterLines="50" w:line="360" w:lineRule="auto"/>
              <w:jc w:val="center"/>
              <w:rPr>
                <w:rFonts w:hint="default" w:ascii="仿宋" w:hAnsi="仿宋" w:eastAsia="仿宋" w:cs="宋体"/>
                <w:sz w:val="24"/>
                <w:lang w:val="en-US" w:eastAsia="zh-CN"/>
              </w:rPr>
            </w:pPr>
            <w:r>
              <w:rPr>
                <w:rFonts w:hint="eastAsia" w:ascii="仿宋" w:hAnsi="仿宋" w:eastAsia="仿宋" w:cs="宋体"/>
                <w:sz w:val="24"/>
                <w:lang w:val="en-US" w:eastAsia="zh-CN"/>
              </w:rPr>
              <w:t>16</w:t>
            </w:r>
          </w:p>
        </w:tc>
        <w:tc>
          <w:tcPr>
            <w:tcW w:w="6520" w:type="dxa"/>
            <w:noWrap/>
            <w:vAlign w:val="center"/>
          </w:tcPr>
          <w:p w14:paraId="7C995C2C">
            <w:pPr>
              <w:spacing w:line="360" w:lineRule="auto"/>
              <w:rPr>
                <w:rFonts w:hint="default" w:ascii="仿宋" w:hAnsi="仿宋" w:eastAsia="仿宋" w:cs="Times New Roman"/>
                <w:sz w:val="24"/>
                <w:lang w:val="en-US" w:eastAsia="zh-CN"/>
              </w:rPr>
            </w:pPr>
            <w:r>
              <w:rPr>
                <w:rFonts w:hint="default" w:ascii="仿宋" w:hAnsi="仿宋" w:eastAsia="仿宋" w:cs="Times New Roman"/>
                <w:sz w:val="24"/>
                <w:lang w:val="en-US" w:eastAsia="zh-CN"/>
              </w:rPr>
              <w:t>供应商拟派本项目的服务团队人员中：</w:t>
            </w:r>
          </w:p>
          <w:p w14:paraId="4D33A462">
            <w:pPr>
              <w:numPr>
                <w:ilvl w:val="0"/>
                <w:numId w:val="10"/>
              </w:numPr>
              <w:spacing w:line="360" w:lineRule="auto"/>
              <w:rPr>
                <w:rFonts w:hint="default" w:ascii="仿宋" w:hAnsi="仿宋" w:eastAsia="仿宋" w:cs="Times New Roman"/>
                <w:sz w:val="24"/>
                <w:lang w:val="en-US" w:eastAsia="zh-CN"/>
              </w:rPr>
            </w:pPr>
            <w:r>
              <w:rPr>
                <w:rFonts w:hint="eastAsia" w:ascii="仿宋" w:hAnsi="仿宋" w:eastAsia="仿宋" w:cs="Times New Roman"/>
                <w:sz w:val="24"/>
                <w:lang w:val="en-US" w:eastAsia="zh-CN"/>
              </w:rPr>
              <w:t>主要负责人</w:t>
            </w:r>
            <w:r>
              <w:rPr>
                <w:rFonts w:hint="default" w:ascii="仿宋" w:hAnsi="仿宋" w:eastAsia="仿宋" w:cs="Times New Roman"/>
                <w:sz w:val="24"/>
                <w:lang w:val="en-US" w:eastAsia="zh-CN"/>
              </w:rPr>
              <w:t>具备中级专业技术人员职业资格证书（人力资源管理</w:t>
            </w:r>
            <w:r>
              <w:rPr>
                <w:rFonts w:hint="eastAsia" w:ascii="仿宋" w:hAnsi="仿宋" w:eastAsia="仿宋" w:cs="Times New Roman"/>
                <w:sz w:val="24"/>
                <w:lang w:val="en-US" w:eastAsia="zh-CN"/>
              </w:rPr>
              <w:t>专业</w:t>
            </w:r>
            <w:r>
              <w:rPr>
                <w:rFonts w:hint="default" w:ascii="仿宋" w:hAnsi="仿宋" w:eastAsia="仿宋" w:cs="Times New Roman"/>
                <w:sz w:val="24"/>
                <w:lang w:val="en-US" w:eastAsia="zh-CN"/>
              </w:rPr>
              <w:t>）得</w:t>
            </w:r>
            <w:r>
              <w:rPr>
                <w:rFonts w:hint="eastAsia" w:ascii="仿宋" w:hAnsi="仿宋" w:eastAsia="仿宋" w:cs="Times New Roman"/>
                <w:sz w:val="24"/>
                <w:lang w:val="en-US" w:eastAsia="zh-CN"/>
              </w:rPr>
              <w:t>5</w:t>
            </w:r>
            <w:r>
              <w:rPr>
                <w:rFonts w:hint="default" w:ascii="仿宋" w:hAnsi="仿宋" w:eastAsia="仿宋" w:cs="Times New Roman"/>
                <w:sz w:val="24"/>
                <w:lang w:val="en-US" w:eastAsia="zh-CN"/>
              </w:rPr>
              <w:t>分，具备高级专业技术人员职业资格证书（人力资源管理</w:t>
            </w:r>
            <w:r>
              <w:rPr>
                <w:rFonts w:hint="eastAsia" w:ascii="仿宋" w:hAnsi="仿宋" w:eastAsia="仿宋" w:cs="Times New Roman"/>
                <w:sz w:val="24"/>
                <w:lang w:val="en-US" w:eastAsia="zh-CN"/>
              </w:rPr>
              <w:t>专业</w:t>
            </w:r>
            <w:r>
              <w:rPr>
                <w:rFonts w:hint="default" w:ascii="仿宋" w:hAnsi="仿宋" w:eastAsia="仿宋" w:cs="Times New Roman"/>
                <w:sz w:val="24"/>
                <w:lang w:val="en-US" w:eastAsia="zh-CN"/>
              </w:rPr>
              <w:t>）得</w:t>
            </w:r>
            <w:r>
              <w:rPr>
                <w:rFonts w:hint="eastAsia" w:ascii="仿宋" w:hAnsi="仿宋" w:eastAsia="仿宋" w:cs="Times New Roman"/>
                <w:sz w:val="24"/>
                <w:lang w:val="en-US" w:eastAsia="zh-CN"/>
              </w:rPr>
              <w:t>10</w:t>
            </w:r>
            <w:r>
              <w:rPr>
                <w:rFonts w:hint="default" w:ascii="仿宋" w:hAnsi="仿宋" w:eastAsia="仿宋" w:cs="Times New Roman"/>
                <w:sz w:val="24"/>
                <w:lang w:val="en-US" w:eastAsia="zh-CN"/>
              </w:rPr>
              <w:t>分，本项最多得</w:t>
            </w:r>
            <w:r>
              <w:rPr>
                <w:rFonts w:hint="eastAsia" w:ascii="仿宋" w:hAnsi="仿宋" w:eastAsia="仿宋" w:cs="Times New Roman"/>
                <w:sz w:val="24"/>
                <w:lang w:val="en-US" w:eastAsia="zh-CN"/>
              </w:rPr>
              <w:t>10</w:t>
            </w:r>
            <w:r>
              <w:rPr>
                <w:rFonts w:hint="default" w:ascii="仿宋" w:hAnsi="仿宋" w:eastAsia="仿宋" w:cs="Times New Roman"/>
                <w:sz w:val="24"/>
                <w:lang w:val="en-US" w:eastAsia="zh-CN"/>
              </w:rPr>
              <w:t>分；</w:t>
            </w:r>
          </w:p>
          <w:p w14:paraId="2D29EC99">
            <w:pPr>
              <w:numPr>
                <w:ilvl w:val="0"/>
                <w:numId w:val="0"/>
              </w:numPr>
              <w:spacing w:line="360" w:lineRule="auto"/>
              <w:rPr>
                <w:rFonts w:hint="default" w:ascii="仿宋" w:hAnsi="仿宋" w:eastAsia="仿宋" w:cs="Times New Roman"/>
                <w:sz w:val="24"/>
                <w:lang w:val="en-US" w:eastAsia="zh-CN"/>
              </w:rPr>
            </w:pPr>
            <w:r>
              <w:rPr>
                <w:rFonts w:hint="default" w:ascii="仿宋" w:hAnsi="仿宋" w:eastAsia="仿宋" w:cs="Times New Roman"/>
                <w:sz w:val="24"/>
                <w:lang w:val="en-US" w:eastAsia="zh-CN"/>
              </w:rPr>
              <w:t>2.为本项目服务的律师团队成员具有有效的A级律师执业证书得</w:t>
            </w:r>
            <w:r>
              <w:rPr>
                <w:rFonts w:hint="eastAsia" w:ascii="仿宋" w:hAnsi="仿宋" w:eastAsia="仿宋" w:cs="Times New Roman"/>
                <w:sz w:val="24"/>
                <w:lang w:val="en-US" w:eastAsia="zh-CN"/>
              </w:rPr>
              <w:t>6</w:t>
            </w:r>
            <w:r>
              <w:rPr>
                <w:rFonts w:hint="default" w:ascii="仿宋" w:hAnsi="仿宋" w:eastAsia="仿宋" w:cs="Times New Roman"/>
                <w:sz w:val="24"/>
                <w:lang w:val="en-US" w:eastAsia="zh-CN"/>
              </w:rPr>
              <w:t>分，本项最多得</w:t>
            </w:r>
            <w:r>
              <w:rPr>
                <w:rFonts w:hint="eastAsia" w:ascii="仿宋" w:hAnsi="仿宋" w:eastAsia="仿宋" w:cs="Times New Roman"/>
                <w:sz w:val="24"/>
                <w:lang w:val="en-US" w:eastAsia="zh-CN"/>
              </w:rPr>
              <w:t>6</w:t>
            </w:r>
            <w:r>
              <w:rPr>
                <w:rFonts w:hint="default" w:ascii="仿宋" w:hAnsi="仿宋" w:eastAsia="仿宋" w:cs="Times New Roman"/>
                <w:sz w:val="24"/>
                <w:lang w:val="en-US" w:eastAsia="zh-CN"/>
              </w:rPr>
              <w:t>分。</w:t>
            </w:r>
          </w:p>
          <w:p w14:paraId="236149A7">
            <w:pPr>
              <w:spacing w:line="360" w:lineRule="auto"/>
              <w:rPr>
                <w:rFonts w:hint="default" w:ascii="仿宋" w:hAnsi="仿宋" w:eastAsia="仿宋" w:cs="Times New Roman"/>
                <w:sz w:val="24"/>
                <w:lang w:val="en-US" w:eastAsia="zh-CN"/>
              </w:rPr>
            </w:pPr>
            <w:r>
              <w:rPr>
                <w:rFonts w:hint="default" w:ascii="仿宋" w:hAnsi="仿宋" w:eastAsia="仿宋" w:cs="Times New Roman"/>
                <w:sz w:val="24"/>
                <w:lang w:val="en-US" w:eastAsia="zh-CN"/>
              </w:rPr>
              <w:t>注：提供有效的人员证书并加盖供应商公章，以上人员中 1 人有多证的，按照提供的最高等级证书得分，不重复计分。</w:t>
            </w:r>
          </w:p>
        </w:tc>
      </w:tr>
      <w:tr w14:paraId="69994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96" w:type="dxa"/>
            <w:noWrap/>
            <w:vAlign w:val="center"/>
          </w:tcPr>
          <w:p w14:paraId="27E2AF10">
            <w:pPr>
              <w:spacing w:after="120" w:afterLines="50"/>
              <w:ind w:firstLine="28"/>
              <w:jc w:val="center"/>
              <w:rPr>
                <w:rFonts w:ascii="仿宋" w:hAnsi="仿宋" w:eastAsia="仿宋" w:cs="宋体"/>
                <w:sz w:val="24"/>
              </w:rPr>
            </w:pPr>
            <w:r>
              <w:rPr>
                <w:rFonts w:hint="eastAsia" w:ascii="仿宋" w:hAnsi="仿宋" w:eastAsia="仿宋" w:cs="宋体"/>
                <w:sz w:val="24"/>
              </w:rPr>
              <w:t>4</w:t>
            </w:r>
          </w:p>
        </w:tc>
        <w:tc>
          <w:tcPr>
            <w:tcW w:w="1384" w:type="dxa"/>
            <w:noWrap/>
            <w:vAlign w:val="center"/>
          </w:tcPr>
          <w:p w14:paraId="5D813B75">
            <w:pPr>
              <w:spacing w:after="120" w:afterLines="50" w:line="360" w:lineRule="auto"/>
              <w:jc w:val="center"/>
              <w:rPr>
                <w:rFonts w:ascii="仿宋" w:hAnsi="仿宋" w:eastAsia="仿宋" w:cs="宋体"/>
                <w:sz w:val="24"/>
              </w:rPr>
            </w:pPr>
            <w:r>
              <w:rPr>
                <w:rFonts w:hint="eastAsia" w:ascii="仿宋" w:hAnsi="仿宋" w:eastAsia="仿宋" w:cs="宋体"/>
                <w:sz w:val="24"/>
              </w:rPr>
              <w:t>业绩</w:t>
            </w:r>
          </w:p>
          <w:p w14:paraId="3E62AF49">
            <w:pPr>
              <w:spacing w:after="120" w:afterLines="50" w:line="360" w:lineRule="auto"/>
              <w:jc w:val="center"/>
              <w:rPr>
                <w:rFonts w:ascii="仿宋" w:hAnsi="仿宋" w:eastAsia="仿宋" w:cs="宋体"/>
                <w:sz w:val="24"/>
              </w:rPr>
            </w:pPr>
            <w:r>
              <w:rPr>
                <w:rFonts w:hint="eastAsia" w:ascii="仿宋" w:hAnsi="仿宋" w:eastAsia="仿宋" w:cs="宋体"/>
                <w:sz w:val="24"/>
                <w:lang w:val="en-US" w:eastAsia="zh-CN"/>
              </w:rPr>
              <w:t>25</w:t>
            </w:r>
            <w:r>
              <w:rPr>
                <w:rFonts w:hint="eastAsia" w:ascii="仿宋" w:hAnsi="仿宋" w:eastAsia="仿宋" w:cs="宋体"/>
                <w:sz w:val="24"/>
              </w:rPr>
              <w:t>%</w:t>
            </w:r>
          </w:p>
        </w:tc>
        <w:tc>
          <w:tcPr>
            <w:tcW w:w="709" w:type="dxa"/>
            <w:noWrap/>
            <w:vAlign w:val="center"/>
          </w:tcPr>
          <w:p w14:paraId="6AEB5F61">
            <w:pPr>
              <w:spacing w:after="120" w:afterLines="50" w:line="360" w:lineRule="auto"/>
              <w:jc w:val="center"/>
              <w:rPr>
                <w:rFonts w:hint="default" w:ascii="仿宋" w:hAnsi="仿宋" w:eastAsia="仿宋" w:cs="宋体"/>
                <w:sz w:val="24"/>
                <w:lang w:val="en-US" w:eastAsia="zh-CN"/>
              </w:rPr>
            </w:pPr>
            <w:r>
              <w:rPr>
                <w:rFonts w:hint="eastAsia" w:ascii="仿宋" w:hAnsi="仿宋" w:eastAsia="仿宋" w:cs="宋体"/>
                <w:sz w:val="24"/>
                <w:lang w:val="en-US" w:eastAsia="zh-CN"/>
              </w:rPr>
              <w:t>25</w:t>
            </w:r>
          </w:p>
        </w:tc>
        <w:tc>
          <w:tcPr>
            <w:tcW w:w="6520" w:type="dxa"/>
            <w:noWrap/>
            <w:vAlign w:val="center"/>
          </w:tcPr>
          <w:p w14:paraId="27653EE4">
            <w:pPr>
              <w:spacing w:line="360" w:lineRule="auto"/>
              <w:rPr>
                <w:rFonts w:hint="default" w:ascii="仿宋" w:hAnsi="仿宋" w:eastAsia="仿宋" w:cs="宋体"/>
                <w:color w:val="000000"/>
                <w:sz w:val="24"/>
                <w:lang w:val="en-US" w:eastAsia="zh-CN"/>
              </w:rPr>
            </w:pPr>
            <w:r>
              <w:rPr>
                <w:rFonts w:hint="eastAsia" w:ascii="仿宋" w:hAnsi="仿宋" w:eastAsia="仿宋" w:cs="宋体"/>
                <w:color w:val="000000"/>
                <w:sz w:val="24"/>
                <w:lang w:val="en-US" w:eastAsia="zh-CN"/>
              </w:rPr>
              <w:t>供应商每提供1个自2023年1月1日（含）至递交响应文件截止日已完成的残疾人就业服务项目履约经验的，得5分，本项最多得25分，未提供不得分。</w:t>
            </w:r>
          </w:p>
          <w:p w14:paraId="24F4094D">
            <w:pPr>
              <w:spacing w:line="360" w:lineRule="auto"/>
              <w:rPr>
                <w:rFonts w:ascii="仿宋" w:hAnsi="仿宋" w:eastAsia="仿宋" w:cs="宋体"/>
                <w:color w:val="000000"/>
                <w:sz w:val="24"/>
              </w:rPr>
            </w:pPr>
            <w:r>
              <w:rPr>
                <w:rFonts w:hint="eastAsia" w:ascii="仿宋" w:hAnsi="仿宋" w:eastAsia="仿宋" w:cs="宋体"/>
                <w:color w:val="000000"/>
                <w:sz w:val="24"/>
                <w:lang w:val="en-US" w:eastAsia="zh-CN"/>
              </w:rPr>
              <w:t>注：需提供合同复印件和服务费发票（合同至少包含首页、签字页、金额页及主要内容页）和《按比例安排残疾人就业审核认定书》作为依据。</w:t>
            </w:r>
          </w:p>
        </w:tc>
      </w:tr>
      <w:tr w14:paraId="79536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96" w:type="dxa"/>
            <w:noWrap/>
            <w:vAlign w:val="center"/>
          </w:tcPr>
          <w:p w14:paraId="5A52CD7D">
            <w:pPr>
              <w:ind w:firstLine="28" w:firstLineChars="0"/>
              <w:jc w:val="center"/>
              <w:rPr>
                <w:rFonts w:hint="eastAsia" w:ascii="仿宋" w:hAnsi="仿宋" w:eastAsia="仿宋" w:cs="宋体"/>
                <w:sz w:val="24"/>
                <w:lang w:val="en-US" w:eastAsia="zh-CN"/>
              </w:rPr>
            </w:pPr>
            <w:r>
              <w:rPr>
                <w:rFonts w:hint="eastAsia" w:ascii="仿宋" w:hAnsi="仿宋" w:eastAsia="仿宋" w:cs="仿宋"/>
                <w:sz w:val="24"/>
                <w:szCs w:val="24"/>
                <w:lang w:val="en-US" w:eastAsia="zh-CN"/>
              </w:rPr>
              <w:t>5</w:t>
            </w:r>
          </w:p>
        </w:tc>
        <w:tc>
          <w:tcPr>
            <w:tcW w:w="1384" w:type="dxa"/>
            <w:noWrap/>
            <w:vAlign w:val="center"/>
          </w:tcPr>
          <w:p w14:paraId="2AED1160">
            <w:pPr>
              <w:spacing w:line="360" w:lineRule="auto"/>
              <w:rPr>
                <w:rFonts w:hint="eastAsia" w:ascii="仿宋" w:hAnsi="仿宋" w:eastAsia="仿宋" w:cs="宋体"/>
                <w:color w:val="000000"/>
                <w:sz w:val="24"/>
                <w:lang w:val="en-US" w:eastAsia="zh-CN"/>
              </w:rPr>
            </w:pPr>
            <w:r>
              <w:rPr>
                <w:rFonts w:hint="eastAsia" w:ascii="仿宋" w:hAnsi="仿宋" w:eastAsia="仿宋" w:cs="宋体"/>
                <w:color w:val="000000"/>
                <w:sz w:val="24"/>
                <w:lang w:val="en-US" w:eastAsia="zh-CN"/>
              </w:rPr>
              <w:t>供应商综合实力</w:t>
            </w:r>
          </w:p>
          <w:p w14:paraId="2E1115CF">
            <w:pPr>
              <w:spacing w:line="360" w:lineRule="auto"/>
              <w:rPr>
                <w:rFonts w:hint="eastAsia" w:ascii="仿宋" w:hAnsi="仿宋" w:eastAsia="仿宋" w:cs="宋体"/>
                <w:color w:val="000000"/>
                <w:sz w:val="24"/>
                <w:lang w:val="en-US" w:eastAsia="zh-CN"/>
              </w:rPr>
            </w:pPr>
            <w:r>
              <w:rPr>
                <w:rFonts w:hint="eastAsia" w:ascii="仿宋" w:hAnsi="仿宋" w:eastAsia="仿宋" w:cs="宋体"/>
                <w:color w:val="000000"/>
                <w:sz w:val="24"/>
                <w:lang w:val="en-US" w:eastAsia="zh-CN"/>
              </w:rPr>
              <w:t>（34%）</w:t>
            </w:r>
          </w:p>
        </w:tc>
        <w:tc>
          <w:tcPr>
            <w:tcW w:w="709" w:type="dxa"/>
            <w:noWrap/>
            <w:vAlign w:val="center"/>
          </w:tcPr>
          <w:p w14:paraId="7D578071">
            <w:pPr>
              <w:spacing w:line="360" w:lineRule="auto"/>
              <w:ind w:firstLine="240" w:firstLineChars="100"/>
              <w:rPr>
                <w:rFonts w:hint="eastAsia" w:ascii="仿宋" w:hAnsi="仿宋" w:eastAsia="仿宋" w:cs="宋体"/>
                <w:color w:val="000000"/>
                <w:sz w:val="24"/>
                <w:lang w:val="en-US" w:eastAsia="zh-CN"/>
              </w:rPr>
            </w:pPr>
            <w:r>
              <w:rPr>
                <w:rFonts w:hint="eastAsia" w:ascii="仿宋" w:hAnsi="仿宋" w:eastAsia="仿宋" w:cs="宋体"/>
                <w:color w:val="000000"/>
                <w:sz w:val="24"/>
                <w:lang w:val="en-US" w:eastAsia="zh-CN"/>
              </w:rPr>
              <w:t>34</w:t>
            </w:r>
          </w:p>
        </w:tc>
        <w:tc>
          <w:tcPr>
            <w:tcW w:w="6520" w:type="dxa"/>
            <w:noWrap/>
            <w:vAlign w:val="center"/>
          </w:tcPr>
          <w:p w14:paraId="6B7D5A12">
            <w:pPr>
              <w:spacing w:line="360" w:lineRule="auto"/>
              <w:rPr>
                <w:rFonts w:hint="eastAsia" w:ascii="仿宋" w:hAnsi="仿宋" w:eastAsia="仿宋" w:cs="宋体"/>
                <w:color w:val="000000"/>
                <w:sz w:val="24"/>
                <w:lang w:val="en-US" w:eastAsia="zh-CN"/>
              </w:rPr>
            </w:pPr>
            <w:r>
              <w:rPr>
                <w:rFonts w:hint="eastAsia" w:ascii="仿宋" w:hAnsi="仿宋" w:eastAsia="仿宋" w:cs="宋体"/>
                <w:color w:val="000000"/>
                <w:sz w:val="24"/>
                <w:lang w:val="en-US" w:eastAsia="zh-CN"/>
              </w:rPr>
              <w:t>1、供应商与省级或市级残联相关部门有过残疾人就业服务相关合作经验，每提供一份证明材料得4分，本项最多得16分。</w:t>
            </w:r>
          </w:p>
          <w:p w14:paraId="5FD7E0E1">
            <w:pPr>
              <w:spacing w:line="360" w:lineRule="auto"/>
              <w:rPr>
                <w:rFonts w:hint="eastAsia" w:ascii="仿宋" w:hAnsi="仿宋" w:eastAsia="仿宋" w:cs="宋体"/>
                <w:color w:val="000000"/>
                <w:sz w:val="24"/>
                <w:lang w:val="en-US" w:eastAsia="zh-CN"/>
              </w:rPr>
            </w:pPr>
            <w:r>
              <w:rPr>
                <w:rFonts w:hint="eastAsia" w:ascii="仿宋" w:hAnsi="仿宋" w:eastAsia="仿宋" w:cs="宋体"/>
                <w:color w:val="000000"/>
                <w:sz w:val="24"/>
                <w:lang w:val="en-US" w:eastAsia="zh-CN"/>
              </w:rPr>
              <w:t>2、供应商在满足服务内容及要求1个残疾人就业基地或实训基地的基础上，每增加1个在四川省内具有自有的残疾人就业基地或实训基地得6分，本项最多得18分。（注：需提供基地及相应服务区照片、租赁合同或房屋产权证并加盖供应商公章作为证明材料。或提供承诺函并加盖供应商公章，承诺中标后签订合同前提供满足上述要求的就业服务基地，且需在承诺函中注明基地数量。）</w:t>
            </w:r>
          </w:p>
        </w:tc>
      </w:tr>
    </w:tbl>
    <w:p w14:paraId="2F7078A0"/>
    <w:p w14:paraId="121219B9">
      <w:pPr>
        <w:rPr>
          <w:rFonts w:ascii="Times New Roman" w:hAnsi="Times New Roman" w:cs="Times New Roman"/>
        </w:rPr>
      </w:pPr>
      <w:bookmarkStart w:id="18" w:name="_Toc22827"/>
      <w:bookmarkStart w:id="19" w:name="_Toc28171"/>
      <w:bookmarkStart w:id="20" w:name="_Toc3094"/>
      <w:r>
        <w:rPr>
          <w:rFonts w:ascii="Times New Roman" w:hAnsi="Times New Roman" w:cs="Times New Roman"/>
        </w:rPr>
        <w:br w:type="page"/>
      </w:r>
    </w:p>
    <w:p w14:paraId="0B9F1C4B">
      <w:pPr>
        <w:pStyle w:val="2"/>
        <w:rPr>
          <w:rFonts w:ascii="Times New Roman" w:hAnsi="Times New Roman" w:cs="Times New Roman"/>
        </w:rPr>
      </w:pPr>
      <w:r>
        <w:rPr>
          <w:rFonts w:ascii="Times New Roman" w:hAnsi="Times New Roman" w:cs="Times New Roman"/>
        </w:rPr>
        <w:t>响应文件格式</w:t>
      </w:r>
      <w:bookmarkEnd w:id="18"/>
      <w:bookmarkEnd w:id="19"/>
      <w:bookmarkEnd w:id="20"/>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1" w:name="_Toc4960"/>
      <w:bookmarkStart w:id="22" w:name="_Toc5913"/>
      <w:bookmarkStart w:id="23" w:name="_Toc29819"/>
      <w:r>
        <w:rPr>
          <w:rFonts w:ascii="Times New Roman" w:hAnsi="Times New Roman" w:eastAsia="仿宋" w:cs="Times New Roman"/>
          <w:sz w:val="28"/>
          <w:szCs w:val="24"/>
        </w:rPr>
        <w:t>（响应文件封面）</w:t>
      </w:r>
      <w:bookmarkEnd w:id="21"/>
      <w:bookmarkEnd w:id="22"/>
      <w:bookmarkEnd w:id="23"/>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4" w:name="_Toc19851"/>
      <w:bookmarkStart w:id="25" w:name="_Toc9428"/>
      <w:bookmarkStart w:id="26" w:name="_Toc30609"/>
      <w:r>
        <w:rPr>
          <w:rFonts w:ascii="Times New Roman" w:hAnsi="Times New Roman" w:eastAsia="仿宋" w:cs="Times New Roman"/>
          <w:sz w:val="24"/>
          <w:szCs w:val="24"/>
        </w:rPr>
        <w:t>项目名称：</w:t>
      </w:r>
      <w:bookmarkEnd w:id="24"/>
      <w:bookmarkEnd w:id="25"/>
      <w:bookmarkEnd w:id="26"/>
    </w:p>
    <w:p w14:paraId="58CC82C4">
      <w:pPr>
        <w:jc w:val="left"/>
        <w:rPr>
          <w:rFonts w:ascii="Times New Roman" w:hAnsi="Times New Roman" w:eastAsia="仿宋" w:cs="Times New Roman"/>
          <w:sz w:val="24"/>
          <w:szCs w:val="24"/>
        </w:rPr>
      </w:pPr>
      <w:bookmarkStart w:id="27" w:name="_Toc1544"/>
      <w:bookmarkStart w:id="28" w:name="_Toc32352"/>
      <w:bookmarkStart w:id="29" w:name="_Toc9041"/>
      <w:r>
        <w:rPr>
          <w:rFonts w:ascii="Times New Roman" w:hAnsi="Times New Roman" w:eastAsia="仿宋" w:cs="Times New Roman"/>
          <w:sz w:val="24"/>
          <w:szCs w:val="24"/>
        </w:rPr>
        <w:t>项目编号：</w:t>
      </w:r>
      <w:bookmarkEnd w:id="27"/>
      <w:bookmarkEnd w:id="28"/>
      <w:bookmarkEnd w:id="29"/>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0" w:name="_Toc24097"/>
      <w:bookmarkStart w:id="31" w:name="_Toc21472"/>
    </w:p>
    <w:bookmarkEnd w:id="30"/>
    <w:bookmarkEnd w:id="31"/>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2" w:name="_Toc32749"/>
      <w:bookmarkStart w:id="33" w:name="_Toc24859"/>
      <w:bookmarkStart w:id="34" w:name="_Toc17163"/>
      <w:bookmarkStart w:id="35" w:name="_Toc1690"/>
      <w:r>
        <w:rPr>
          <w:rFonts w:ascii="Times New Roman" w:hAnsi="Times New Roman" w:eastAsia="仿宋" w:cs="Times New Roman"/>
          <w:sz w:val="28"/>
          <w:szCs w:val="24"/>
        </w:rPr>
        <w:t>供应商名称（公章）：</w:t>
      </w:r>
      <w:bookmarkEnd w:id="32"/>
      <w:bookmarkEnd w:id="33"/>
      <w:bookmarkEnd w:id="34"/>
      <w:bookmarkEnd w:id="35"/>
    </w:p>
    <w:p w14:paraId="2B941835">
      <w:pPr>
        <w:jc w:val="left"/>
        <w:rPr>
          <w:rFonts w:ascii="Times New Roman" w:hAnsi="Times New Roman" w:eastAsia="仿宋" w:cs="Times New Roman"/>
          <w:sz w:val="28"/>
          <w:szCs w:val="24"/>
        </w:rPr>
      </w:pPr>
      <w:bookmarkStart w:id="36" w:name="_Toc24123"/>
      <w:bookmarkStart w:id="37" w:name="_Toc6803"/>
      <w:bookmarkStart w:id="38" w:name="_Toc3558"/>
      <w:bookmarkStart w:id="39" w:name="_Toc17905"/>
      <w:r>
        <w:rPr>
          <w:rFonts w:ascii="Times New Roman" w:hAnsi="Times New Roman" w:eastAsia="仿宋" w:cs="Times New Roman"/>
          <w:sz w:val="28"/>
          <w:szCs w:val="24"/>
        </w:rPr>
        <w:t>法定代表人或授权代理人（签字）：</w:t>
      </w:r>
      <w:bookmarkEnd w:id="36"/>
      <w:bookmarkEnd w:id="37"/>
      <w:bookmarkEnd w:id="38"/>
      <w:bookmarkEnd w:id="39"/>
    </w:p>
    <w:p w14:paraId="6B7162F2">
      <w:pPr>
        <w:jc w:val="left"/>
        <w:rPr>
          <w:rFonts w:ascii="Times New Roman" w:hAnsi="Times New Roman" w:eastAsia="仿宋" w:cs="Times New Roman"/>
          <w:sz w:val="28"/>
          <w:szCs w:val="24"/>
        </w:rPr>
      </w:pPr>
      <w:bookmarkStart w:id="40" w:name="_Toc2989"/>
      <w:bookmarkStart w:id="41" w:name="_Toc27135"/>
      <w:bookmarkStart w:id="42" w:name="_Toc27526"/>
      <w:bookmarkStart w:id="43" w:name="_Toc5996"/>
      <w:r>
        <w:rPr>
          <w:rFonts w:ascii="Times New Roman" w:hAnsi="Times New Roman" w:eastAsia="仿宋" w:cs="Times New Roman"/>
          <w:sz w:val="28"/>
          <w:szCs w:val="24"/>
        </w:rPr>
        <w:t>联系方式（移动电话）：</w:t>
      </w:r>
      <w:bookmarkEnd w:id="40"/>
      <w:bookmarkEnd w:id="41"/>
      <w:bookmarkEnd w:id="42"/>
      <w:bookmarkEnd w:id="43"/>
    </w:p>
    <w:p w14:paraId="77EDD8DE">
      <w:pPr>
        <w:jc w:val="left"/>
        <w:rPr>
          <w:rFonts w:ascii="Times New Roman" w:hAnsi="Times New Roman" w:eastAsia="仿宋" w:cs="Times New Roman"/>
          <w:sz w:val="28"/>
          <w:szCs w:val="24"/>
        </w:rPr>
      </w:pPr>
      <w:bookmarkStart w:id="44" w:name="_Toc5056"/>
      <w:bookmarkStart w:id="45" w:name="_Toc2031"/>
      <w:bookmarkStart w:id="46" w:name="_Toc7233"/>
      <w:bookmarkStart w:id="47" w:name="_Toc19987"/>
      <w:r>
        <w:rPr>
          <w:rFonts w:ascii="Times New Roman" w:hAnsi="Times New Roman" w:eastAsia="仿宋" w:cs="Times New Roman"/>
          <w:sz w:val="28"/>
          <w:szCs w:val="24"/>
        </w:rPr>
        <w:t>日期：     年    月     日</w:t>
      </w:r>
      <w:bookmarkEnd w:id="44"/>
      <w:bookmarkEnd w:id="45"/>
      <w:bookmarkEnd w:id="46"/>
      <w:bookmarkEnd w:id="47"/>
    </w:p>
    <w:p w14:paraId="7AA5BFB2">
      <w:pPr>
        <w:jc w:val="center"/>
        <w:rPr>
          <w:rFonts w:ascii="Times New Roman" w:hAnsi="Times New Roman" w:eastAsia="仿宋" w:cs="Times New Roman"/>
          <w:sz w:val="32"/>
          <w:szCs w:val="40"/>
        </w:rPr>
      </w:pPr>
      <w:bookmarkStart w:id="48" w:name="_Toc6482"/>
      <w:bookmarkStart w:id="49" w:name="_Toc11352"/>
      <w:bookmarkStart w:id="50" w:name="_Toc16029"/>
      <w:bookmarkStart w:id="51" w:name="_Toc3023"/>
      <w:bookmarkStart w:id="52" w:name="_Toc14829"/>
      <w:bookmarkStart w:id="53" w:name="_Toc21519"/>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3"/>
        <w:ind w:firstLine="0"/>
      </w:pPr>
      <w:r>
        <w:t>承诺函</w:t>
      </w:r>
      <w:bookmarkEnd w:id="48"/>
      <w:bookmarkEnd w:id="49"/>
      <w:bookmarkEnd w:id="50"/>
      <w:bookmarkEnd w:id="51"/>
      <w:bookmarkEnd w:id="52"/>
      <w:bookmarkEnd w:id="53"/>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w:t>
      </w:r>
      <w:r>
        <w:rPr>
          <w:rFonts w:hint="eastAsia" w:ascii="Times New Roman" w:hAnsi="Times New Roman" w:eastAsia="仿宋" w:cs="Times New Roman"/>
          <w:sz w:val="24"/>
          <w:lang w:eastAsia="zh-CN"/>
        </w:rPr>
        <w:t>四川省精神医学中心</w:t>
      </w:r>
      <w:r>
        <w:rPr>
          <w:rFonts w:ascii="Times New Roman" w:hAnsi="Times New Roman" w:eastAsia="仿宋" w:cs="Times New Roman"/>
          <w:sz w:val="24"/>
        </w:rPr>
        <w:t>：</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4" w:name="_Toc4305"/>
      <w:bookmarkStart w:id="55" w:name="_Toc30971"/>
      <w:bookmarkStart w:id="56" w:name="_Toc22676"/>
      <w:bookmarkStart w:id="57" w:name="_Toc17857"/>
      <w:bookmarkStart w:id="58" w:name="_Toc31838"/>
      <w:r>
        <w:rPr>
          <w:rFonts w:ascii="Times New Roman" w:hAnsi="Times New Roman" w:cs="Times New Roman"/>
        </w:rPr>
        <w:br w:type="page"/>
      </w:r>
    </w:p>
    <w:p w14:paraId="72845348">
      <w:pPr>
        <w:pStyle w:val="3"/>
        <w:ind w:firstLine="0"/>
      </w:pPr>
      <w:r>
        <w:t>具有独立承担民事责任的能力</w:t>
      </w:r>
      <w:bookmarkEnd w:id="54"/>
      <w:bookmarkEnd w:id="55"/>
      <w:bookmarkEnd w:id="56"/>
      <w:bookmarkEnd w:id="57"/>
      <w:bookmarkEnd w:id="58"/>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2"/>
          <w:szCs w:val="28"/>
        </w:rPr>
      </w:pPr>
      <w:r>
        <w:rPr>
          <w:bCs/>
        </w:rPr>
        <w:br w:type="page"/>
      </w:r>
      <w:bookmarkStart w:id="59" w:name="_Toc27186"/>
      <w:bookmarkStart w:id="60" w:name="_Toc15613"/>
      <w:bookmarkStart w:id="61"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25357"/>
      <w:bookmarkStart w:id="63" w:name="_Toc13706"/>
      <w:bookmarkStart w:id="64" w:name="_Toc13904"/>
    </w:p>
    <w:p w14:paraId="76B8A196">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241BF9A5">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7" w:name="_Toc11351"/>
      <w:bookmarkStart w:id="68" w:name="_Toc25638"/>
      <w:bookmarkStart w:id="69" w:name="_Toc27661"/>
      <w:bookmarkStart w:id="70" w:name="_Toc15526"/>
      <w:bookmarkStart w:id="71" w:name="_Toc20589"/>
      <w:bookmarkStart w:id="72" w:name="_Toc12015"/>
      <w:r>
        <w:rPr>
          <w:rStyle w:val="40"/>
          <w:b/>
        </w:rPr>
        <w:t>法定代表人身份证明书</w:t>
      </w:r>
      <w:bookmarkEnd w:id="67"/>
      <w:bookmarkEnd w:id="68"/>
      <w:bookmarkEnd w:id="69"/>
      <w:bookmarkEnd w:id="70"/>
      <w:bookmarkEnd w:id="71"/>
      <w:bookmarkEnd w:id="72"/>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3" w:name="_Toc12967"/>
      <w:bookmarkStart w:id="74" w:name="_Toc2041"/>
      <w:bookmarkStart w:id="75" w:name="_Toc1074"/>
      <w:bookmarkStart w:id="76" w:name="_Toc23967"/>
      <w:bookmarkStart w:id="77" w:name="_Toc16435"/>
      <w:bookmarkStart w:id="78" w:name="_Toc26969"/>
      <w:r>
        <w:rPr>
          <w:rStyle w:val="40"/>
          <w:b/>
        </w:rPr>
        <w:t>采购需求偏离表</w:t>
      </w:r>
      <w:bookmarkEnd w:id="73"/>
      <w:bookmarkEnd w:id="74"/>
      <w:bookmarkEnd w:id="75"/>
      <w:bookmarkEnd w:id="76"/>
      <w:bookmarkEnd w:id="77"/>
      <w:bookmarkEnd w:id="78"/>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79" w:name="_Toc1369"/>
      <w:bookmarkStart w:id="80" w:name="_Toc24806"/>
      <w:bookmarkStart w:id="81" w:name="_Toc28634"/>
      <w:bookmarkStart w:id="82" w:name="_Toc31686"/>
      <w:bookmarkStart w:id="83" w:name="_Toc26839"/>
      <w:bookmarkStart w:id="84" w:name="_Toc21082"/>
      <w:r>
        <w:rPr>
          <w:rStyle w:val="40"/>
          <w:b/>
        </w:rPr>
        <w:t>评分需要提供的证明材料</w:t>
      </w:r>
      <w:bookmarkEnd w:id="79"/>
      <w:bookmarkEnd w:id="80"/>
      <w:bookmarkEnd w:id="81"/>
      <w:bookmarkEnd w:id="82"/>
      <w:bookmarkEnd w:id="83"/>
      <w:bookmarkEnd w:id="84"/>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2605"/>
      <w:bookmarkStart w:id="86" w:name="_Toc3871"/>
      <w:bookmarkStart w:id="87" w:name="_Toc24494"/>
    </w:p>
    <w:p w14:paraId="1483D64D">
      <w:pPr>
        <w:pStyle w:val="3"/>
        <w:ind w:firstLine="0"/>
      </w:pPr>
      <w:bookmarkStart w:id="88" w:name="_Toc15065"/>
      <w:r>
        <w:t>报价单</w:t>
      </w:r>
      <w:bookmarkEnd w:id="88"/>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26EE3747">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1BCB6CCC">
      <w:pPr>
        <w:pStyle w:val="7"/>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14:paraId="661984F4">
      <w:pPr>
        <w:pStyle w:val="7"/>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14:paraId="7C0E8357">
      <w:pPr>
        <w:rPr>
          <w:lang w:val="zh-TW"/>
        </w:rPr>
      </w:pPr>
    </w:p>
    <w:p w14:paraId="53D1A6BA">
      <w:pPr>
        <w:pStyle w:val="7"/>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19"/>
        <w:tblW w:w="505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001"/>
        <w:gridCol w:w="3728"/>
        <w:gridCol w:w="2374"/>
        <w:gridCol w:w="2639"/>
      </w:tblGrid>
      <w:tr w14:paraId="65FF7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33" w:hRule="atLeast"/>
          <w:jc w:val="center"/>
        </w:trPr>
        <w:tc>
          <w:tcPr>
            <w:tcW w:w="514" w:type="pct"/>
            <w:vAlign w:val="center"/>
          </w:tcPr>
          <w:p w14:paraId="3ED06F76">
            <w:pPr>
              <w:spacing w:line="360" w:lineRule="auto"/>
              <w:jc w:val="center"/>
              <w:rPr>
                <w:rFonts w:ascii="仿宋" w:hAnsi="仿宋" w:eastAsia="仿宋" w:cs="仿宋"/>
                <w:b/>
                <w:bCs/>
                <w:kern w:val="0"/>
                <w:sz w:val="24"/>
                <w:szCs w:val="24"/>
                <w:lang w:val="zh-TW" w:eastAsia="zh-TW"/>
              </w:rPr>
            </w:pPr>
            <w:r>
              <w:rPr>
                <w:rFonts w:hint="eastAsia" w:ascii="仿宋" w:hAnsi="仿宋" w:eastAsia="仿宋" w:cs="仿宋"/>
                <w:b/>
                <w:bCs/>
                <w:kern w:val="0"/>
                <w:sz w:val="24"/>
                <w:szCs w:val="24"/>
                <w:lang w:val="zh-TW" w:eastAsia="zh-TW"/>
              </w:rPr>
              <w:t>序号</w:t>
            </w:r>
          </w:p>
        </w:tc>
        <w:tc>
          <w:tcPr>
            <w:tcW w:w="1913" w:type="pct"/>
            <w:vAlign w:val="center"/>
          </w:tcPr>
          <w:p w14:paraId="27E3BD4A">
            <w:pPr>
              <w:spacing w:line="360" w:lineRule="auto"/>
              <w:jc w:val="center"/>
              <w:rPr>
                <w:rFonts w:hint="default" w:ascii="仿宋" w:hAnsi="仿宋" w:eastAsia="仿宋" w:cs="仿宋"/>
                <w:b/>
                <w:bCs/>
                <w:kern w:val="0"/>
                <w:sz w:val="24"/>
                <w:szCs w:val="24"/>
                <w:lang w:val="en-US" w:eastAsia="zh-CN"/>
              </w:rPr>
            </w:pPr>
            <w:r>
              <w:rPr>
                <w:rFonts w:hint="eastAsia" w:ascii="仿宋" w:hAnsi="仿宋" w:eastAsia="仿宋" w:cs="仿宋"/>
                <w:b/>
                <w:bCs/>
                <w:kern w:val="0"/>
                <w:sz w:val="24"/>
                <w:szCs w:val="24"/>
                <w:lang w:val="en-US" w:eastAsia="zh-CN"/>
              </w:rPr>
              <w:t>报价名称</w:t>
            </w:r>
          </w:p>
        </w:tc>
        <w:tc>
          <w:tcPr>
            <w:tcW w:w="1218" w:type="pct"/>
            <w:vAlign w:val="center"/>
          </w:tcPr>
          <w:p w14:paraId="34936594">
            <w:pPr>
              <w:pStyle w:val="7"/>
              <w:pBdr>
                <w:top w:val="none" w:color="auto" w:sz="0" w:space="0"/>
                <w:left w:val="none" w:color="auto" w:sz="0" w:space="0"/>
                <w:bottom w:val="none" w:color="auto" w:sz="0" w:space="0"/>
                <w:right w:val="none" w:color="auto" w:sz="0" w:space="0"/>
                <w:between w:val="none" w:color="auto" w:sz="0" w:space="0"/>
              </w:pBdr>
              <w:jc w:val="center"/>
              <w:rPr>
                <w:rFonts w:ascii="仿宋" w:hAnsi="仿宋" w:eastAsia="仿宋" w:cs="仿宋"/>
                <w:b/>
                <w:bCs/>
                <w:kern w:val="0"/>
                <w:sz w:val="24"/>
                <w:szCs w:val="24"/>
              </w:rPr>
            </w:pPr>
            <w:r>
              <w:rPr>
                <w:rFonts w:hint="eastAsia" w:eastAsia="宋体"/>
                <w:b/>
                <w:bCs/>
                <w:vertAlign w:val="baseline"/>
                <w:lang w:val="en-US" w:eastAsia="zh-CN"/>
              </w:rPr>
              <w:t>报价（元</w:t>
            </w:r>
            <w:r>
              <w:rPr>
                <w:rFonts w:hint="default" w:eastAsia="宋体"/>
                <w:b/>
                <w:bCs/>
                <w:vertAlign w:val="baseline"/>
                <w:lang w:val="en-US" w:eastAsia="zh-CN"/>
              </w:rPr>
              <w:t>/</w:t>
            </w:r>
            <w:r>
              <w:rPr>
                <w:rFonts w:hint="eastAsia" w:eastAsia="宋体"/>
                <w:b/>
                <w:bCs/>
                <w:vertAlign w:val="baseline"/>
                <w:lang w:val="en-US" w:eastAsia="zh-CN"/>
              </w:rPr>
              <w:t>人</w:t>
            </w:r>
            <w:r>
              <w:rPr>
                <w:rFonts w:hint="default" w:eastAsia="宋体"/>
                <w:b/>
                <w:bCs/>
                <w:vertAlign w:val="baseline"/>
                <w:lang w:val="en-US" w:eastAsia="zh-CN"/>
              </w:rPr>
              <w:t>/</w:t>
            </w:r>
            <w:r>
              <w:rPr>
                <w:rFonts w:hint="eastAsia" w:eastAsia="宋体"/>
                <w:b/>
                <w:bCs/>
                <w:vertAlign w:val="baseline"/>
                <w:lang w:val="en-US" w:eastAsia="zh-CN"/>
              </w:rPr>
              <w:t>月）</w:t>
            </w:r>
          </w:p>
        </w:tc>
        <w:tc>
          <w:tcPr>
            <w:tcW w:w="1354" w:type="pct"/>
            <w:vAlign w:val="center"/>
          </w:tcPr>
          <w:p w14:paraId="53BA0460">
            <w:pPr>
              <w:spacing w:line="360" w:lineRule="auto"/>
              <w:jc w:val="center"/>
              <w:rPr>
                <w:rFonts w:ascii="仿宋" w:hAnsi="仿宋" w:eastAsia="仿宋" w:cs="仿宋"/>
                <w:b/>
                <w:bCs/>
                <w:kern w:val="0"/>
                <w:sz w:val="24"/>
                <w:szCs w:val="24"/>
                <w:lang w:val="zh-TW" w:eastAsia="zh-TW"/>
              </w:rPr>
            </w:pPr>
            <w:r>
              <w:rPr>
                <w:rFonts w:hint="eastAsia" w:ascii="仿宋" w:hAnsi="仿宋" w:eastAsia="仿宋" w:cs="仿宋"/>
                <w:b/>
                <w:bCs/>
                <w:kern w:val="0"/>
                <w:sz w:val="24"/>
                <w:szCs w:val="24"/>
                <w:lang w:val="zh-TW" w:eastAsia="zh-TW"/>
              </w:rPr>
              <w:t>备注</w:t>
            </w:r>
          </w:p>
        </w:tc>
      </w:tr>
      <w:tr w14:paraId="58BC3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514" w:type="pct"/>
            <w:vAlign w:val="center"/>
          </w:tcPr>
          <w:p w14:paraId="4C62B55A">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ascii="仿宋" w:hAnsi="仿宋" w:eastAsia="仿宋" w:cs="仿宋"/>
                <w:sz w:val="24"/>
                <w:szCs w:val="24"/>
              </w:rPr>
            </w:pPr>
            <w:r>
              <w:rPr>
                <w:rFonts w:hint="default" w:ascii="仿宋" w:hAnsi="仿宋" w:eastAsia="仿宋" w:cstheme="minorBidi"/>
                <w:kern w:val="2"/>
                <w:sz w:val="24"/>
                <w:szCs w:val="24"/>
                <w:lang w:val="en-US" w:eastAsia="zh-CN" w:bidi="ar-SA"/>
              </w:rPr>
              <w:t>1</w:t>
            </w:r>
          </w:p>
        </w:tc>
        <w:tc>
          <w:tcPr>
            <w:tcW w:w="1913" w:type="pct"/>
            <w:vAlign w:val="center"/>
          </w:tcPr>
          <w:p w14:paraId="59274CD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四川省精神医学中心劳务派遣制残疾人就业服务</w:t>
            </w:r>
          </w:p>
        </w:tc>
        <w:tc>
          <w:tcPr>
            <w:tcW w:w="1218" w:type="pct"/>
            <w:vAlign w:val="center"/>
          </w:tcPr>
          <w:p w14:paraId="25A855D3">
            <w:pPr>
              <w:pStyle w:val="7"/>
              <w:spacing w:after="0" w:line="36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小写：</w:t>
            </w:r>
          </w:p>
          <w:p w14:paraId="498C9BC0">
            <w:pPr>
              <w:pStyle w:val="7"/>
              <w:spacing w:after="0" w:line="360" w:lineRule="auto"/>
              <w:jc w:val="left"/>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大写：</w:t>
            </w:r>
          </w:p>
        </w:tc>
        <w:tc>
          <w:tcPr>
            <w:tcW w:w="1354" w:type="pct"/>
            <w:vAlign w:val="center"/>
          </w:tcPr>
          <w:p w14:paraId="357CA742">
            <w:pPr>
              <w:pStyle w:val="7"/>
              <w:spacing w:after="0" w:line="360" w:lineRule="auto"/>
              <w:jc w:val="center"/>
              <w:rPr>
                <w:rFonts w:ascii="仿宋" w:hAnsi="仿宋" w:eastAsia="仿宋" w:cs="仿宋"/>
                <w:sz w:val="24"/>
                <w:szCs w:val="24"/>
              </w:rPr>
            </w:pPr>
          </w:p>
        </w:tc>
      </w:tr>
    </w:tbl>
    <w:p w14:paraId="7E23B647">
      <w:pPr>
        <w:pStyle w:val="7"/>
        <w:rPr>
          <w:rFonts w:hint="eastAsia" w:ascii="Times New Roman" w:hAnsi="Times New Roman" w:eastAsia="仿宋" w:cs="Times New Roman"/>
          <w:szCs w:val="21"/>
          <w:lang w:val="en-US" w:eastAsia="zh-CN"/>
        </w:rPr>
      </w:pPr>
    </w:p>
    <w:p w14:paraId="6A59F5E0">
      <w:pPr>
        <w:widowControl/>
        <w:jc w:val="left"/>
        <w:rPr>
          <w:rFonts w:ascii="Times New Roman" w:hAnsi="Times New Roman" w:eastAsia="仿宋" w:cs="Times New Roman"/>
          <w:szCs w:val="21"/>
          <w:lang w:val="zh-TW"/>
        </w:rPr>
      </w:pPr>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18867B6B">
      <w:pPr>
        <w:pStyle w:val="7"/>
        <w:rPr>
          <w:rFonts w:ascii="Times New Roman" w:hAnsi="Times New Roman" w:eastAsia="仿宋" w:cs="Times New Roman"/>
          <w:szCs w:val="21"/>
          <w:lang w:val="zh-TW" w:eastAsia="zh-TW"/>
        </w:rPr>
      </w:pP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rPr>
        <w:t xml:space="preserve"> </w:t>
      </w:r>
      <w:r>
        <w:rPr>
          <w:rFonts w:ascii="Times New Roman" w:hAnsi="Times New Roman" w:eastAsia="仿宋" w:cs="Times New Roman"/>
          <w:szCs w:val="21"/>
          <w:lang w:val="zh-TW" w:eastAsia="zh-TW"/>
        </w:rPr>
        <w:t>（负责人）或授权代表人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30002"/>
      <w:bookmarkStart w:id="90" w:name="_Toc14685"/>
      <w:bookmarkStart w:id="91" w:name="_Toc29032"/>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3"/>
        <w:ind w:firstLine="0"/>
      </w:pPr>
      <w:r>
        <w:t>供应商认为需要提供的其他材料</w:t>
      </w:r>
      <w:bookmarkEnd w:id="85"/>
      <w:bookmarkEnd w:id="86"/>
      <w:bookmarkEnd w:id="87"/>
      <w:bookmarkEnd w:id="89"/>
      <w:bookmarkEnd w:id="90"/>
      <w:bookmarkEnd w:id="91"/>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2" w:name="_Toc5447"/>
      <w:bookmarkStart w:id="93" w:name="_Toc20691"/>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344AE8C2">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tbl>
      <w:tblPr>
        <w:tblStyle w:val="18"/>
        <w:tblW w:w="5000" w:type="pct"/>
        <w:jc w:val="center"/>
        <w:tblLayout w:type="autofit"/>
        <w:tblCellMar>
          <w:top w:w="0" w:type="dxa"/>
          <w:left w:w="0" w:type="dxa"/>
          <w:bottom w:w="0" w:type="dxa"/>
          <w:right w:w="0" w:type="dxa"/>
        </w:tblCellMar>
      </w:tblPr>
      <w:tblGrid>
        <w:gridCol w:w="4688"/>
        <w:gridCol w:w="4950"/>
      </w:tblGrid>
      <w:tr w14:paraId="53E544C7">
        <w:tblPrEx>
          <w:tblCellMar>
            <w:top w:w="0" w:type="dxa"/>
            <w:left w:w="0" w:type="dxa"/>
            <w:bottom w:w="0" w:type="dxa"/>
            <w:right w:w="0" w:type="dxa"/>
          </w:tblCellMar>
        </w:tblPrEx>
        <w:trPr>
          <w:trHeight w:val="767" w:hRule="atLeast"/>
          <w:jc w:val="center"/>
        </w:trPr>
        <w:tc>
          <w:tcPr>
            <w:tcW w:w="10204" w:type="dxa"/>
            <w:gridSpan w:val="2"/>
          </w:tcPr>
          <w:p w14:paraId="2272F69E">
            <w:pPr>
              <w:contextualSpacing/>
              <w:rPr>
                <w:color w:val="000000"/>
                <w:szCs w:val="21"/>
              </w:rPr>
            </w:pPr>
            <w:r>
              <w:rPr>
                <w:b/>
                <w:bCs/>
                <w:color w:val="000000"/>
                <w:szCs w:val="21"/>
              </w:rPr>
              <w:t>合同编号</w:t>
            </w:r>
            <w:r>
              <w:rPr>
                <w:color w:val="000000"/>
                <w:szCs w:val="21"/>
              </w:rPr>
              <w:t>：CGZX-***</w:t>
            </w:r>
          </w:p>
          <w:p w14:paraId="2F6BC159">
            <w:pPr>
              <w:contextualSpacing/>
              <w:rPr>
                <w:color w:val="000000"/>
                <w:szCs w:val="21"/>
              </w:rPr>
            </w:pPr>
            <w:r>
              <w:rPr>
                <w:b/>
                <w:bCs/>
                <w:color w:val="000000"/>
                <w:szCs w:val="21"/>
              </w:rPr>
              <w:t>签订地点</w:t>
            </w:r>
            <w:r>
              <w:rPr>
                <w:color w:val="000000"/>
                <w:szCs w:val="21"/>
              </w:rPr>
              <w:t>：四川省人民医院</w:t>
            </w:r>
          </w:p>
        </w:tc>
      </w:tr>
      <w:tr w14:paraId="0D99C533">
        <w:tblPrEx>
          <w:tblCellMar>
            <w:top w:w="0" w:type="dxa"/>
            <w:left w:w="0" w:type="dxa"/>
            <w:bottom w:w="0" w:type="dxa"/>
            <w:right w:w="0" w:type="dxa"/>
          </w:tblCellMar>
        </w:tblPrEx>
        <w:trPr>
          <w:jc w:val="center"/>
        </w:trPr>
        <w:tc>
          <w:tcPr>
            <w:tcW w:w="4962" w:type="dxa"/>
          </w:tcPr>
          <w:p w14:paraId="1D8C7125">
            <w:pPr>
              <w:rPr>
                <w:rFonts w:hint="eastAsia" w:eastAsiaTheme="minorEastAsia"/>
                <w:szCs w:val="21"/>
                <w:lang w:eastAsia="zh-CN"/>
              </w:rPr>
            </w:pPr>
            <w:r>
              <w:rPr>
                <w:b/>
                <w:bCs/>
                <w:szCs w:val="21"/>
              </w:rPr>
              <w:t>采购人（以下简称甲方）</w:t>
            </w:r>
            <w:r>
              <w:rPr>
                <w:szCs w:val="21"/>
              </w:rPr>
              <w:t>：</w:t>
            </w:r>
            <w:r>
              <w:rPr>
                <w:rFonts w:hint="eastAsia"/>
                <w:szCs w:val="21"/>
                <w:lang w:eastAsia="zh-CN"/>
              </w:rPr>
              <w:t>四川省精神医学中心</w:t>
            </w:r>
          </w:p>
          <w:p w14:paraId="2FDD4CAB">
            <w:pPr>
              <w:rPr>
                <w:szCs w:val="21"/>
              </w:rPr>
            </w:pPr>
            <w:r>
              <w:rPr>
                <w:b/>
                <w:bCs/>
                <w:szCs w:val="21"/>
              </w:rPr>
              <w:t>地址</w:t>
            </w:r>
            <w:r>
              <w:rPr>
                <w:szCs w:val="21"/>
              </w:rPr>
              <w:t>：四川省成都市一环路西二段32号</w:t>
            </w:r>
          </w:p>
          <w:p w14:paraId="57D306C0">
            <w:pPr>
              <w:rPr>
                <w:szCs w:val="21"/>
              </w:rPr>
            </w:pPr>
            <w:r>
              <w:rPr>
                <w:b/>
                <w:bCs/>
                <w:szCs w:val="21"/>
              </w:rPr>
              <w:t>项目联系人</w:t>
            </w:r>
            <w:r>
              <w:rPr>
                <w:szCs w:val="21"/>
              </w:rPr>
              <w:t xml:space="preserve">：*** </w:t>
            </w:r>
            <w:r>
              <w:rPr>
                <w:b/>
                <w:bCs/>
                <w:szCs w:val="21"/>
              </w:rPr>
              <w:t>电话</w:t>
            </w:r>
            <w:r>
              <w:rPr>
                <w:szCs w:val="21"/>
              </w:rPr>
              <w:t>：***</w:t>
            </w:r>
          </w:p>
          <w:p w14:paraId="55B6CA4B">
            <w:r>
              <w:rPr>
                <w:rFonts w:hint="eastAsia"/>
                <w:b/>
                <w:bCs/>
                <w:szCs w:val="21"/>
              </w:rPr>
              <w:t>电子邮件：</w:t>
            </w:r>
            <w:r>
              <w:rPr>
                <w:rFonts w:hint="eastAsia"/>
                <w:szCs w:val="21"/>
              </w:rPr>
              <w:t>*</w:t>
            </w:r>
            <w:r>
              <w:rPr>
                <w:szCs w:val="21"/>
              </w:rPr>
              <w:t>**</w:t>
            </w:r>
          </w:p>
        </w:tc>
        <w:tc>
          <w:tcPr>
            <w:tcW w:w="5242" w:type="dxa"/>
          </w:tcPr>
          <w:p w14:paraId="607B7137">
            <w:pPr>
              <w:rPr>
                <w:b/>
                <w:bCs/>
                <w:szCs w:val="21"/>
              </w:rPr>
            </w:pPr>
            <w:r>
              <w:rPr>
                <w:b/>
                <w:bCs/>
                <w:szCs w:val="21"/>
              </w:rPr>
              <w:t>供应商（以下简称乙方）：***</w:t>
            </w:r>
          </w:p>
          <w:p w14:paraId="7AB3403D">
            <w:pPr>
              <w:rPr>
                <w:b/>
                <w:bCs/>
                <w:szCs w:val="21"/>
              </w:rPr>
            </w:pPr>
            <w:r>
              <w:rPr>
                <w:b/>
                <w:bCs/>
                <w:szCs w:val="21"/>
              </w:rPr>
              <w:t>地址：***</w:t>
            </w:r>
          </w:p>
          <w:p w14:paraId="49B46EA1">
            <w:pPr>
              <w:rPr>
                <w:b/>
                <w:bCs/>
                <w:szCs w:val="21"/>
              </w:rPr>
            </w:pPr>
            <w:r>
              <w:rPr>
                <w:b/>
                <w:bCs/>
                <w:szCs w:val="21"/>
              </w:rPr>
              <w:t>移动电话：***</w:t>
            </w:r>
          </w:p>
          <w:p w14:paraId="2A04E3BE">
            <w:pPr>
              <w:contextualSpacing/>
              <w:rPr>
                <w:b/>
                <w:bCs/>
                <w:szCs w:val="21"/>
              </w:rPr>
            </w:pPr>
            <w:r>
              <w:rPr>
                <w:b/>
                <w:bCs/>
                <w:szCs w:val="21"/>
              </w:rPr>
              <w:t>联系人：***</w:t>
            </w:r>
          </w:p>
          <w:p w14:paraId="18A1ADEB">
            <w:pPr>
              <w:rPr>
                <w:bCs/>
                <w:szCs w:val="21"/>
              </w:rPr>
            </w:pPr>
            <w:r>
              <w:rPr>
                <w:rFonts w:hint="eastAsia"/>
                <w:b/>
                <w:bCs/>
                <w:szCs w:val="21"/>
              </w:rPr>
              <w:t>电子邮件：</w:t>
            </w:r>
            <w:r>
              <w:rPr>
                <w:rFonts w:hint="eastAsia"/>
                <w:szCs w:val="21"/>
              </w:rPr>
              <w:t>*</w:t>
            </w:r>
            <w:r>
              <w:rPr>
                <w:szCs w:val="21"/>
              </w:rPr>
              <w:t>**</w:t>
            </w:r>
          </w:p>
        </w:tc>
      </w:tr>
    </w:tbl>
    <w:p w14:paraId="5F2EEB2D">
      <w:pPr>
        <w:ind w:firstLine="420" w:firstLineChars="200"/>
        <w:contextualSpacing/>
        <w:jc w:val="left"/>
        <w:rPr>
          <w:color w:val="000000"/>
          <w:szCs w:val="21"/>
        </w:rPr>
      </w:pPr>
    </w:p>
    <w:p w14:paraId="2600F949">
      <w:pPr>
        <w:adjustRightInd w:val="0"/>
        <w:ind w:firstLine="420" w:firstLineChars="200"/>
        <w:contextualSpacing/>
        <w:jc w:val="left"/>
        <w:rPr>
          <w:b/>
          <w:szCs w:val="21"/>
        </w:rPr>
      </w:pPr>
      <w:r>
        <w:rPr>
          <w:rFonts w:hint="eastAsia"/>
          <w:color w:val="000000"/>
          <w:szCs w:val="21"/>
        </w:rPr>
        <w:t>根</w:t>
      </w:r>
      <w:r>
        <w:rPr>
          <w:color w:val="000000"/>
          <w:szCs w:val="21"/>
        </w:rPr>
        <w:t>据《中华人民共和国民法典》及甲方发布的***项目（项目编号</w:t>
      </w:r>
      <w:permStart w:id="0" w:edGrp="everyone"/>
      <w:r>
        <w:rPr>
          <w:color w:val="000000"/>
          <w:szCs w:val="21"/>
        </w:rPr>
        <w:t>：</w:t>
      </w:r>
      <w:r>
        <w:rPr>
          <w:szCs w:val="21"/>
        </w:rPr>
        <w:t>***</w:t>
      </w:r>
      <w:permEnd w:id="0"/>
      <w:r>
        <w:rPr>
          <w:color w:val="000000"/>
          <w:szCs w:val="21"/>
        </w:rPr>
        <w:t>）《采购文件》、乙方的《</w:t>
      </w:r>
      <w:r>
        <w:rPr>
          <w:rFonts w:hint="eastAsia"/>
          <w:color w:val="000000"/>
          <w:szCs w:val="21"/>
        </w:rPr>
        <w:t>响应</w:t>
      </w:r>
      <w:r>
        <w:rPr>
          <w:color w:val="000000"/>
          <w:szCs w:val="21"/>
        </w:rPr>
        <w:t>文件》，甲、乙双方同意签订本合同。详细技术说明及其他有关合同项目的特定信息可由合同附件予以说明，合同附件及本项目的《采购文件》、《</w:t>
      </w:r>
      <w:r>
        <w:rPr>
          <w:rFonts w:hint="eastAsia"/>
          <w:color w:val="000000"/>
          <w:szCs w:val="21"/>
        </w:rPr>
        <w:t>响应</w:t>
      </w:r>
      <w:r>
        <w:rPr>
          <w:color w:val="000000"/>
          <w:szCs w:val="21"/>
        </w:rPr>
        <w:t>文件》等均为本合同不可分割的部分。双方同意共同遵守以下条款：</w:t>
      </w:r>
    </w:p>
    <w:p w14:paraId="0E683A7E">
      <w:pPr>
        <w:contextualSpacing/>
        <w:jc w:val="left"/>
        <w:rPr>
          <w:b/>
          <w:szCs w:val="21"/>
        </w:rPr>
      </w:pPr>
    </w:p>
    <w:p w14:paraId="4F98A680">
      <w:pPr>
        <w:pStyle w:val="29"/>
        <w:numPr>
          <w:ilvl w:val="0"/>
          <w:numId w:val="11"/>
        </w:numPr>
        <w:ind w:left="0" w:firstLine="0" w:firstLineChars="0"/>
        <w:contextualSpacing/>
        <w:jc w:val="left"/>
        <w:rPr>
          <w:b/>
          <w:szCs w:val="21"/>
        </w:rPr>
      </w:pPr>
      <w:r>
        <w:rPr>
          <w:b/>
          <w:szCs w:val="21"/>
        </w:rPr>
        <w:t>合同标的</w:t>
      </w:r>
    </w:p>
    <w:p w14:paraId="2E385537">
      <w:pPr>
        <w:pStyle w:val="9"/>
        <w:numPr>
          <w:ilvl w:val="0"/>
          <w:numId w:val="12"/>
        </w:numPr>
        <w:spacing w:after="0" w:line="240" w:lineRule="auto"/>
        <w:ind w:left="210" w:leftChars="0" w:hanging="210" w:hangingChars="100"/>
        <w:contextualSpacing/>
        <w:jc w:val="left"/>
        <w:rPr>
          <w:szCs w:val="21"/>
        </w:rPr>
      </w:pPr>
      <w:r>
        <w:rPr>
          <w:szCs w:val="21"/>
        </w:rPr>
        <w:t>标的名称：</w:t>
      </w:r>
      <w:permStart w:id="1" w:edGrp="everyone"/>
      <w:r>
        <w:rPr>
          <w:szCs w:val="21"/>
        </w:rPr>
        <w:t>***</w:t>
      </w:r>
      <w:permEnd w:id="1"/>
      <w:r>
        <w:rPr>
          <w:szCs w:val="21"/>
        </w:rPr>
        <w:t>。</w:t>
      </w:r>
    </w:p>
    <w:p w14:paraId="4229FB38">
      <w:pPr>
        <w:pStyle w:val="9"/>
        <w:numPr>
          <w:ilvl w:val="0"/>
          <w:numId w:val="12"/>
        </w:numPr>
        <w:spacing w:after="0" w:line="240" w:lineRule="auto"/>
        <w:ind w:left="210" w:leftChars="0" w:hanging="210" w:hangingChars="100"/>
        <w:contextualSpacing/>
        <w:jc w:val="left"/>
        <w:rPr>
          <w:szCs w:val="21"/>
        </w:rPr>
      </w:pPr>
      <w:r>
        <w:rPr>
          <w:rFonts w:hint="eastAsia"/>
          <w:szCs w:val="21"/>
        </w:rPr>
        <w:t>乙方向甲方提供服务的主要内容：*</w:t>
      </w:r>
      <w:r>
        <w:rPr>
          <w:szCs w:val="21"/>
        </w:rPr>
        <w:t>**</w:t>
      </w:r>
      <w:r>
        <w:rPr>
          <w:rFonts w:hint="eastAsia"/>
          <w:szCs w:val="21"/>
        </w:rPr>
        <w:t>。</w:t>
      </w:r>
    </w:p>
    <w:p w14:paraId="5F975DD2">
      <w:pPr>
        <w:pStyle w:val="9"/>
        <w:numPr>
          <w:ilvl w:val="0"/>
          <w:numId w:val="12"/>
        </w:numPr>
        <w:spacing w:after="0" w:line="240" w:lineRule="auto"/>
        <w:ind w:left="210" w:leftChars="0" w:hanging="210" w:hangingChars="100"/>
        <w:contextualSpacing/>
        <w:jc w:val="left"/>
        <w:rPr>
          <w:szCs w:val="21"/>
        </w:rPr>
      </w:pPr>
      <w:r>
        <w:rPr>
          <w:rFonts w:hint="eastAsia"/>
          <w:szCs w:val="21"/>
        </w:rPr>
        <w:t>服务分项明细：</w:t>
      </w:r>
      <w:r>
        <w:rPr>
          <w:rFonts w:hint="eastAsia"/>
          <w:i/>
          <w:iCs/>
          <w:color w:val="000000"/>
          <w:szCs w:val="21"/>
          <w:highlight w:val="yellow"/>
          <w:lang w:val="zh-CN"/>
        </w:rPr>
        <w:t>&lt;本条款如不涉及请删除；按实结算项目的单价，请在第二条及附件1中进行编制说明。&gt;</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48"/>
        <w:gridCol w:w="2796"/>
        <w:gridCol w:w="3458"/>
        <w:gridCol w:w="928"/>
        <w:gridCol w:w="1898"/>
      </w:tblGrid>
      <w:tr w14:paraId="28200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4CF73042">
            <w:pPr>
              <w:pStyle w:val="29"/>
              <w:ind w:firstLine="0" w:firstLineChars="0"/>
              <w:jc w:val="center"/>
              <w:rPr>
                <w:color w:val="000000"/>
                <w:szCs w:val="21"/>
              </w:rPr>
            </w:pPr>
            <w:r>
              <w:rPr>
                <w:color w:val="000000"/>
                <w:szCs w:val="21"/>
              </w:rPr>
              <w:t>序号</w:t>
            </w:r>
          </w:p>
        </w:tc>
        <w:tc>
          <w:tcPr>
            <w:tcW w:w="2977" w:type="dxa"/>
            <w:vAlign w:val="center"/>
          </w:tcPr>
          <w:p w14:paraId="42032E31">
            <w:pPr>
              <w:pStyle w:val="29"/>
              <w:ind w:firstLine="0" w:firstLineChars="0"/>
              <w:jc w:val="center"/>
              <w:rPr>
                <w:color w:val="000000"/>
                <w:szCs w:val="21"/>
              </w:rPr>
            </w:pPr>
            <w:r>
              <w:rPr>
                <w:color w:val="000000"/>
                <w:szCs w:val="21"/>
              </w:rPr>
              <w:t>分项</w:t>
            </w:r>
            <w:r>
              <w:rPr>
                <w:rFonts w:hint="eastAsia"/>
                <w:color w:val="000000"/>
                <w:szCs w:val="21"/>
              </w:rPr>
              <w:t>服务</w:t>
            </w:r>
            <w:r>
              <w:rPr>
                <w:color w:val="000000"/>
                <w:szCs w:val="21"/>
              </w:rPr>
              <w:t>名称</w:t>
            </w:r>
          </w:p>
        </w:tc>
        <w:tc>
          <w:tcPr>
            <w:tcW w:w="3686" w:type="dxa"/>
            <w:vAlign w:val="center"/>
          </w:tcPr>
          <w:p w14:paraId="0F0FDBF4">
            <w:pPr>
              <w:pStyle w:val="29"/>
              <w:ind w:firstLine="0" w:firstLineChars="0"/>
              <w:jc w:val="center"/>
              <w:rPr>
                <w:color w:val="000000"/>
                <w:szCs w:val="21"/>
              </w:rPr>
            </w:pPr>
            <w:r>
              <w:rPr>
                <w:color w:val="000000"/>
                <w:szCs w:val="21"/>
              </w:rPr>
              <w:t>具体内容</w:t>
            </w:r>
          </w:p>
        </w:tc>
        <w:tc>
          <w:tcPr>
            <w:tcW w:w="963" w:type="dxa"/>
            <w:vAlign w:val="center"/>
          </w:tcPr>
          <w:p w14:paraId="6E75E46C">
            <w:pPr>
              <w:pStyle w:val="29"/>
              <w:ind w:firstLine="0" w:firstLineChars="0"/>
              <w:jc w:val="center"/>
              <w:rPr>
                <w:color w:val="000000"/>
                <w:szCs w:val="21"/>
              </w:rPr>
            </w:pPr>
            <w:r>
              <w:rPr>
                <w:color w:val="000000"/>
                <w:szCs w:val="21"/>
              </w:rPr>
              <w:t>分项价格（万元）</w:t>
            </w:r>
          </w:p>
        </w:tc>
        <w:tc>
          <w:tcPr>
            <w:tcW w:w="2016" w:type="dxa"/>
          </w:tcPr>
          <w:p w14:paraId="3BC8F9B2">
            <w:pPr>
              <w:pStyle w:val="29"/>
              <w:ind w:firstLine="0" w:firstLineChars="0"/>
              <w:jc w:val="center"/>
              <w:rPr>
                <w:color w:val="000000"/>
                <w:szCs w:val="21"/>
              </w:rPr>
            </w:pPr>
            <w:r>
              <w:rPr>
                <w:color w:val="000000"/>
                <w:szCs w:val="21"/>
              </w:rPr>
              <w:t>备注</w:t>
            </w:r>
          </w:p>
        </w:tc>
      </w:tr>
      <w:tr w14:paraId="51E84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6F0309E5">
            <w:pPr>
              <w:pStyle w:val="29"/>
              <w:ind w:firstLine="0" w:firstLineChars="0"/>
              <w:jc w:val="center"/>
              <w:rPr>
                <w:color w:val="000000"/>
                <w:szCs w:val="21"/>
              </w:rPr>
            </w:pPr>
            <w:r>
              <w:rPr>
                <w:rFonts w:hint="eastAsia"/>
                <w:color w:val="000000"/>
                <w:szCs w:val="21"/>
              </w:rPr>
              <w:t>1</w:t>
            </w:r>
          </w:p>
        </w:tc>
        <w:tc>
          <w:tcPr>
            <w:tcW w:w="2977" w:type="dxa"/>
            <w:vAlign w:val="center"/>
          </w:tcPr>
          <w:p w14:paraId="629F7C51">
            <w:pPr>
              <w:pStyle w:val="29"/>
              <w:ind w:firstLine="0" w:firstLineChars="0"/>
              <w:rPr>
                <w:color w:val="000000"/>
                <w:szCs w:val="21"/>
              </w:rPr>
            </w:pPr>
          </w:p>
        </w:tc>
        <w:tc>
          <w:tcPr>
            <w:tcW w:w="3686" w:type="dxa"/>
            <w:vAlign w:val="center"/>
          </w:tcPr>
          <w:p w14:paraId="1B711F72">
            <w:pPr>
              <w:pStyle w:val="29"/>
              <w:ind w:firstLine="0" w:firstLineChars="0"/>
              <w:rPr>
                <w:color w:val="000000"/>
                <w:szCs w:val="21"/>
              </w:rPr>
            </w:pPr>
          </w:p>
        </w:tc>
        <w:tc>
          <w:tcPr>
            <w:tcW w:w="963" w:type="dxa"/>
            <w:vAlign w:val="center"/>
          </w:tcPr>
          <w:p w14:paraId="5DD02118">
            <w:pPr>
              <w:pStyle w:val="29"/>
              <w:ind w:firstLine="0" w:firstLineChars="0"/>
              <w:jc w:val="center"/>
              <w:rPr>
                <w:color w:val="000000"/>
                <w:szCs w:val="21"/>
              </w:rPr>
            </w:pPr>
          </w:p>
        </w:tc>
        <w:tc>
          <w:tcPr>
            <w:tcW w:w="2016" w:type="dxa"/>
          </w:tcPr>
          <w:p w14:paraId="149276E7">
            <w:pPr>
              <w:pStyle w:val="29"/>
              <w:ind w:firstLine="0" w:firstLineChars="0"/>
              <w:rPr>
                <w:color w:val="000000"/>
                <w:szCs w:val="21"/>
              </w:rPr>
            </w:pPr>
          </w:p>
        </w:tc>
      </w:tr>
      <w:tr w14:paraId="24E0B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6D0406F">
            <w:pPr>
              <w:pStyle w:val="29"/>
              <w:ind w:firstLine="0" w:firstLineChars="0"/>
              <w:jc w:val="center"/>
              <w:rPr>
                <w:color w:val="000000"/>
                <w:szCs w:val="21"/>
              </w:rPr>
            </w:pPr>
            <w:r>
              <w:rPr>
                <w:rFonts w:hint="eastAsia"/>
                <w:color w:val="000000"/>
                <w:szCs w:val="21"/>
              </w:rPr>
              <w:t>2</w:t>
            </w:r>
          </w:p>
        </w:tc>
        <w:tc>
          <w:tcPr>
            <w:tcW w:w="2977" w:type="dxa"/>
            <w:vAlign w:val="center"/>
          </w:tcPr>
          <w:p w14:paraId="0E44D544">
            <w:pPr>
              <w:pStyle w:val="29"/>
              <w:ind w:firstLine="0" w:firstLineChars="0"/>
              <w:rPr>
                <w:color w:val="000000"/>
                <w:szCs w:val="21"/>
              </w:rPr>
            </w:pPr>
          </w:p>
        </w:tc>
        <w:tc>
          <w:tcPr>
            <w:tcW w:w="3686" w:type="dxa"/>
            <w:vAlign w:val="center"/>
          </w:tcPr>
          <w:p w14:paraId="01B65D9C">
            <w:pPr>
              <w:pStyle w:val="29"/>
              <w:ind w:firstLine="0" w:firstLineChars="0"/>
              <w:rPr>
                <w:color w:val="000000"/>
                <w:szCs w:val="21"/>
              </w:rPr>
            </w:pPr>
          </w:p>
        </w:tc>
        <w:tc>
          <w:tcPr>
            <w:tcW w:w="963" w:type="dxa"/>
            <w:vAlign w:val="center"/>
          </w:tcPr>
          <w:p w14:paraId="4C31DD39">
            <w:pPr>
              <w:pStyle w:val="29"/>
              <w:ind w:firstLine="0" w:firstLineChars="0"/>
              <w:jc w:val="center"/>
              <w:rPr>
                <w:color w:val="000000"/>
                <w:szCs w:val="21"/>
              </w:rPr>
            </w:pPr>
          </w:p>
        </w:tc>
        <w:tc>
          <w:tcPr>
            <w:tcW w:w="2016" w:type="dxa"/>
          </w:tcPr>
          <w:p w14:paraId="3000AC5A">
            <w:pPr>
              <w:pStyle w:val="29"/>
              <w:ind w:firstLine="0" w:firstLineChars="0"/>
              <w:rPr>
                <w:color w:val="000000"/>
                <w:szCs w:val="21"/>
              </w:rPr>
            </w:pPr>
          </w:p>
        </w:tc>
      </w:tr>
      <w:tr w14:paraId="1A743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CFD05D7">
            <w:pPr>
              <w:pStyle w:val="29"/>
              <w:ind w:firstLine="0" w:firstLineChars="0"/>
              <w:jc w:val="center"/>
              <w:rPr>
                <w:color w:val="000000"/>
                <w:szCs w:val="21"/>
              </w:rPr>
            </w:pPr>
            <w:r>
              <w:rPr>
                <w:rFonts w:hint="eastAsia"/>
                <w:color w:val="000000"/>
                <w:szCs w:val="21"/>
              </w:rPr>
              <w:t>3</w:t>
            </w:r>
          </w:p>
        </w:tc>
        <w:tc>
          <w:tcPr>
            <w:tcW w:w="2977" w:type="dxa"/>
            <w:vAlign w:val="center"/>
          </w:tcPr>
          <w:p w14:paraId="71D5F885">
            <w:pPr>
              <w:pStyle w:val="29"/>
              <w:ind w:firstLine="0" w:firstLineChars="0"/>
              <w:rPr>
                <w:color w:val="000000"/>
                <w:szCs w:val="21"/>
              </w:rPr>
            </w:pPr>
          </w:p>
        </w:tc>
        <w:tc>
          <w:tcPr>
            <w:tcW w:w="3686" w:type="dxa"/>
            <w:vAlign w:val="center"/>
          </w:tcPr>
          <w:p w14:paraId="38AC0A57">
            <w:pPr>
              <w:pStyle w:val="29"/>
              <w:ind w:firstLine="0" w:firstLineChars="0"/>
              <w:rPr>
                <w:color w:val="000000"/>
                <w:szCs w:val="21"/>
              </w:rPr>
            </w:pPr>
          </w:p>
        </w:tc>
        <w:tc>
          <w:tcPr>
            <w:tcW w:w="963" w:type="dxa"/>
            <w:vAlign w:val="center"/>
          </w:tcPr>
          <w:p w14:paraId="3B158765">
            <w:pPr>
              <w:pStyle w:val="29"/>
              <w:ind w:firstLine="0" w:firstLineChars="0"/>
              <w:jc w:val="center"/>
              <w:rPr>
                <w:color w:val="000000"/>
                <w:szCs w:val="21"/>
              </w:rPr>
            </w:pPr>
          </w:p>
        </w:tc>
        <w:tc>
          <w:tcPr>
            <w:tcW w:w="2016" w:type="dxa"/>
          </w:tcPr>
          <w:p w14:paraId="43F7F4B9">
            <w:pPr>
              <w:pStyle w:val="29"/>
              <w:ind w:firstLine="0" w:firstLineChars="0"/>
              <w:rPr>
                <w:color w:val="000000"/>
                <w:szCs w:val="21"/>
              </w:rPr>
            </w:pPr>
          </w:p>
        </w:tc>
      </w:tr>
      <w:tr w14:paraId="6E898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78900C18">
            <w:pPr>
              <w:pStyle w:val="29"/>
              <w:ind w:firstLine="0" w:firstLineChars="0"/>
              <w:jc w:val="center"/>
              <w:rPr>
                <w:color w:val="000000"/>
                <w:szCs w:val="21"/>
              </w:rPr>
            </w:pPr>
            <w:r>
              <w:rPr>
                <w:color w:val="000000"/>
                <w:szCs w:val="21"/>
              </w:rPr>
              <w:t>…</w:t>
            </w:r>
          </w:p>
        </w:tc>
        <w:tc>
          <w:tcPr>
            <w:tcW w:w="2977" w:type="dxa"/>
            <w:vAlign w:val="center"/>
          </w:tcPr>
          <w:p w14:paraId="492CFE5D">
            <w:pPr>
              <w:pStyle w:val="29"/>
              <w:ind w:firstLine="0" w:firstLineChars="0"/>
              <w:rPr>
                <w:color w:val="000000"/>
                <w:szCs w:val="21"/>
              </w:rPr>
            </w:pPr>
          </w:p>
        </w:tc>
        <w:tc>
          <w:tcPr>
            <w:tcW w:w="3686" w:type="dxa"/>
            <w:vAlign w:val="center"/>
          </w:tcPr>
          <w:p w14:paraId="5E27032F">
            <w:pPr>
              <w:pStyle w:val="29"/>
              <w:ind w:firstLine="0" w:firstLineChars="0"/>
              <w:rPr>
                <w:color w:val="000000"/>
                <w:szCs w:val="21"/>
              </w:rPr>
            </w:pPr>
          </w:p>
        </w:tc>
        <w:tc>
          <w:tcPr>
            <w:tcW w:w="963" w:type="dxa"/>
            <w:vAlign w:val="center"/>
          </w:tcPr>
          <w:p w14:paraId="19B21445">
            <w:pPr>
              <w:pStyle w:val="29"/>
              <w:ind w:firstLine="0" w:firstLineChars="0"/>
              <w:jc w:val="center"/>
              <w:rPr>
                <w:color w:val="000000"/>
                <w:szCs w:val="21"/>
              </w:rPr>
            </w:pPr>
          </w:p>
        </w:tc>
        <w:tc>
          <w:tcPr>
            <w:tcW w:w="2016" w:type="dxa"/>
          </w:tcPr>
          <w:p w14:paraId="5FC047A6">
            <w:pPr>
              <w:pStyle w:val="29"/>
              <w:ind w:firstLine="0" w:firstLineChars="0"/>
              <w:rPr>
                <w:color w:val="000000"/>
                <w:szCs w:val="21"/>
              </w:rPr>
            </w:pPr>
          </w:p>
        </w:tc>
      </w:tr>
    </w:tbl>
    <w:p w14:paraId="2D35C912">
      <w:pPr>
        <w:pStyle w:val="29"/>
        <w:numPr>
          <w:ilvl w:val="0"/>
          <w:numId w:val="11"/>
        </w:numPr>
        <w:ind w:firstLineChars="0"/>
        <w:jc w:val="left"/>
        <w:rPr>
          <w:b/>
          <w:szCs w:val="21"/>
        </w:rPr>
      </w:pPr>
      <w:r>
        <w:rPr>
          <w:b/>
          <w:szCs w:val="21"/>
        </w:rPr>
        <w:t>合同</w:t>
      </w:r>
      <w:r>
        <w:rPr>
          <w:rFonts w:hint="eastAsia"/>
          <w:b/>
          <w:szCs w:val="21"/>
        </w:rPr>
        <w:t>价款</w:t>
      </w:r>
    </w:p>
    <w:p w14:paraId="036F89BD">
      <w:pPr>
        <w:ind w:firstLine="480"/>
        <w:contextualSpacing/>
        <w:jc w:val="left"/>
        <w:rPr>
          <w:szCs w:val="21"/>
        </w:rPr>
      </w:pPr>
      <w:bookmarkStart w:id="95" w:name="OLE_LINK2"/>
      <w:bookmarkStart w:id="96" w:name="OLE_LINK1"/>
      <w:r>
        <w:rPr>
          <w:color w:val="000000"/>
          <w:szCs w:val="21"/>
        </w:rPr>
        <w:sym w:font="Wingdings 2" w:char="F052"/>
      </w:r>
      <w:r>
        <w:rPr>
          <w:rFonts w:hint="eastAsia"/>
          <w:szCs w:val="21"/>
        </w:rPr>
        <w:t>全包服务</w:t>
      </w:r>
    </w:p>
    <w:p w14:paraId="6903D519">
      <w:pPr>
        <w:ind w:left="420" w:leftChars="200" w:firstLine="420" w:firstLineChars="200"/>
        <w:contextualSpacing/>
        <w:jc w:val="left"/>
        <w:rPr>
          <w:szCs w:val="21"/>
        </w:rPr>
      </w:pPr>
      <w:r>
        <w:rPr>
          <w:szCs w:val="21"/>
        </w:rPr>
        <w:t>合同总价（含税）为人民币大写：*** 圆整，即RMB *** 元</w:t>
      </w:r>
      <w:r>
        <w:rPr>
          <w:rFonts w:hint="eastAsia"/>
          <w:szCs w:val="21"/>
        </w:rPr>
        <w:t>，</w:t>
      </w:r>
      <w:r>
        <w:rPr>
          <w:szCs w:val="21"/>
        </w:rPr>
        <w:t>该合同总价已包括本合同标的所涉及的所有相关费用（包括但不限于技术服务、差旅</w:t>
      </w:r>
      <w:r>
        <w:rPr>
          <w:rFonts w:hint="eastAsia"/>
          <w:szCs w:val="21"/>
        </w:rPr>
        <w:t>交通</w:t>
      </w:r>
      <w:r>
        <w:rPr>
          <w:szCs w:val="21"/>
        </w:rPr>
        <w:t>、</w:t>
      </w:r>
      <w:r>
        <w:rPr>
          <w:rFonts w:hint="eastAsia"/>
          <w:szCs w:val="21"/>
        </w:rPr>
        <w:t>原材料、备品备件及</w:t>
      </w:r>
      <w:r>
        <w:rPr>
          <w:szCs w:val="21"/>
        </w:rPr>
        <w:t>税费</w:t>
      </w:r>
      <w:r>
        <w:rPr>
          <w:rFonts w:hint="eastAsia"/>
          <w:szCs w:val="21"/>
        </w:rPr>
        <w:t>等在内</w:t>
      </w:r>
      <w:r>
        <w:rPr>
          <w:szCs w:val="21"/>
        </w:rPr>
        <w:t>的全部含税费用）。本合同执行期间合同总价不变，甲方无须另向乙方支付本合同规定之外的其他任何费用。</w:t>
      </w:r>
    </w:p>
    <w:p w14:paraId="53131E2F">
      <w:pPr>
        <w:ind w:firstLine="480"/>
        <w:contextualSpacing/>
        <w:jc w:val="left"/>
      </w:pPr>
      <w:r>
        <w:rPr>
          <w:color w:val="000000"/>
          <w:szCs w:val="21"/>
          <w:shd w:val="clear" w:color="auto" w:fill="FFFFFF"/>
        </w:rPr>
        <w:sym w:font="Wingdings" w:char="F0A8"/>
      </w:r>
      <w:r>
        <w:rPr>
          <w:rFonts w:hint="eastAsia"/>
        </w:rPr>
        <w:t>半包服务</w:t>
      </w:r>
    </w:p>
    <w:p w14:paraId="1F79E5D1">
      <w:pPr>
        <w:ind w:left="420" w:leftChars="200" w:firstLine="420" w:firstLineChars="200"/>
        <w:contextualSpacing/>
        <w:jc w:val="left"/>
        <w:rPr>
          <w:szCs w:val="21"/>
        </w:rPr>
      </w:pPr>
      <w:r>
        <w:rPr>
          <w:rFonts w:hint="eastAsia"/>
          <w:szCs w:val="21"/>
        </w:rPr>
        <w:t>1</w:t>
      </w:r>
      <w:r>
        <w:rPr>
          <w:szCs w:val="21"/>
        </w:rPr>
        <w:t>.</w:t>
      </w:r>
      <w:r>
        <w:rPr>
          <w:rFonts w:hint="eastAsia"/>
          <w:szCs w:val="21"/>
        </w:rPr>
        <w:t>本合同固定部分价款为</w:t>
      </w:r>
      <w:bookmarkStart w:id="97" w:name="OLE_LINK28"/>
      <w:r>
        <w:rPr>
          <w:szCs w:val="21"/>
        </w:rPr>
        <w:t>人民币大写：*** 圆整，即RMB *** 元</w:t>
      </w:r>
      <w:bookmarkEnd w:id="97"/>
      <w:r>
        <w:rPr>
          <w:rFonts w:hint="eastAsia"/>
          <w:szCs w:val="21"/>
        </w:rPr>
        <w:t>，</w:t>
      </w:r>
      <w:r>
        <w:rPr>
          <w:szCs w:val="21"/>
        </w:rPr>
        <w:t>该</w:t>
      </w:r>
      <w:r>
        <w:rPr>
          <w:rFonts w:hint="eastAsia"/>
          <w:szCs w:val="21"/>
        </w:rPr>
        <w:t>部分价款</w:t>
      </w:r>
      <w:r>
        <w:rPr>
          <w:szCs w:val="21"/>
        </w:rPr>
        <w:t>已包括</w:t>
      </w:r>
      <w:r>
        <w:rPr>
          <w:rFonts w:hint="eastAsia"/>
          <w:szCs w:val="21"/>
        </w:rPr>
        <w:t>*</w:t>
      </w:r>
      <w:r>
        <w:rPr>
          <w:szCs w:val="21"/>
        </w:rPr>
        <w:t>**</w:t>
      </w:r>
      <w:r>
        <w:rPr>
          <w:rFonts w:hint="eastAsia"/>
          <w:szCs w:val="21"/>
        </w:rPr>
        <w:t>及</w:t>
      </w:r>
      <w:r>
        <w:rPr>
          <w:szCs w:val="21"/>
        </w:rPr>
        <w:t>税费</w:t>
      </w:r>
      <w:r>
        <w:rPr>
          <w:rFonts w:hint="eastAsia"/>
          <w:szCs w:val="21"/>
        </w:rPr>
        <w:t>在内</w:t>
      </w:r>
      <w:r>
        <w:rPr>
          <w:szCs w:val="21"/>
        </w:rPr>
        <w:t>的全部含税费用。本合同执行期间</w:t>
      </w:r>
      <w:r>
        <w:rPr>
          <w:rFonts w:hint="eastAsia"/>
          <w:szCs w:val="21"/>
        </w:rPr>
        <w:t>该部分</w:t>
      </w:r>
      <w:r>
        <w:rPr>
          <w:szCs w:val="21"/>
        </w:rPr>
        <w:t>合同</w:t>
      </w:r>
      <w:r>
        <w:rPr>
          <w:rFonts w:hint="eastAsia"/>
          <w:szCs w:val="21"/>
        </w:rPr>
        <w:t>价款</w:t>
      </w:r>
      <w:r>
        <w:rPr>
          <w:szCs w:val="21"/>
        </w:rPr>
        <w:t>不变，甲方无须向乙方支付本合同规定之外的其他任何费用。</w:t>
      </w:r>
    </w:p>
    <w:p w14:paraId="22723641">
      <w:pPr>
        <w:ind w:left="420" w:leftChars="200" w:firstLine="420" w:firstLineChars="200"/>
        <w:contextualSpacing/>
        <w:jc w:val="left"/>
        <w:rPr>
          <w:szCs w:val="21"/>
        </w:rPr>
      </w:pPr>
      <w:r>
        <w:rPr>
          <w:rFonts w:hint="eastAsia"/>
          <w:szCs w:val="21"/>
        </w:rPr>
        <w:t>2</w:t>
      </w:r>
      <w:r>
        <w:rPr>
          <w:szCs w:val="21"/>
        </w:rPr>
        <w:t>.</w:t>
      </w:r>
      <w:r>
        <w:rPr>
          <w:rFonts w:hint="eastAsia"/>
          <w:szCs w:val="21"/>
        </w:rPr>
        <w:t>本合同按实结算部分支付总额不超过</w:t>
      </w:r>
      <w:r>
        <w:rPr>
          <w:szCs w:val="21"/>
        </w:rPr>
        <w:t>人民币大写：*** 圆整，即RMB *** 元</w:t>
      </w:r>
      <w:r>
        <w:rPr>
          <w:rFonts w:hint="eastAsia"/>
          <w:szCs w:val="21"/>
        </w:rPr>
        <w:t>，依据本合同单价进行结算，结算依据及标准为：*</w:t>
      </w:r>
      <w:r>
        <w:rPr>
          <w:szCs w:val="21"/>
        </w:rPr>
        <w:t>**</w:t>
      </w:r>
      <w:r>
        <w:rPr>
          <w:rFonts w:hint="eastAsia"/>
          <w:szCs w:val="21"/>
        </w:rPr>
        <w:t>，结算单价详见附件1《结算单价清单》。</w:t>
      </w:r>
      <w:r>
        <w:rPr>
          <w:i/>
          <w:iCs/>
          <w:szCs w:val="21"/>
          <w:highlight w:val="yellow"/>
        </w:rPr>
        <w:t>&lt;根据项目实际情况</w:t>
      </w:r>
      <w:r>
        <w:rPr>
          <w:rFonts w:hint="eastAsia"/>
          <w:i/>
          <w:iCs/>
          <w:szCs w:val="21"/>
          <w:highlight w:val="yellow"/>
        </w:rPr>
        <w:t>编制结算依据、标准等必要内容</w:t>
      </w:r>
      <w:r>
        <w:rPr>
          <w:i/>
          <w:iCs/>
          <w:szCs w:val="21"/>
          <w:highlight w:val="yellow"/>
        </w:rPr>
        <w:t>&gt;</w:t>
      </w:r>
    </w:p>
    <w:p w14:paraId="12981F5A">
      <w:pPr>
        <w:ind w:firstLine="480"/>
        <w:contextualSpacing/>
        <w:jc w:val="left"/>
      </w:pPr>
      <w:r>
        <w:rPr>
          <w:color w:val="000000"/>
          <w:szCs w:val="21"/>
          <w:shd w:val="clear" w:color="auto" w:fill="FFFFFF"/>
        </w:rPr>
        <w:sym w:font="Wingdings" w:char="F0A8"/>
      </w:r>
      <w:r>
        <w:rPr>
          <w:rFonts w:hint="eastAsia"/>
        </w:rPr>
        <w:t>按实结算</w:t>
      </w:r>
    </w:p>
    <w:p w14:paraId="70F77AF6">
      <w:pPr>
        <w:ind w:left="420" w:leftChars="200" w:firstLine="420" w:firstLineChars="200"/>
        <w:contextualSpacing/>
        <w:jc w:val="left"/>
        <w:rPr>
          <w:szCs w:val="21"/>
        </w:rPr>
      </w:pPr>
      <w:r>
        <w:rPr>
          <w:rFonts w:hint="eastAsia"/>
          <w:szCs w:val="21"/>
        </w:rPr>
        <w:t>本合同支付总额不超过</w:t>
      </w:r>
      <w:r>
        <w:rPr>
          <w:szCs w:val="21"/>
        </w:rPr>
        <w:t>人民币大写：*** 圆整，即RMB *** 元</w:t>
      </w:r>
      <w:r>
        <w:rPr>
          <w:rFonts w:hint="eastAsia"/>
          <w:szCs w:val="21"/>
        </w:rPr>
        <w:t>，依据本合同单价进行结算，结算单价详见附件1《结算单价清单》。</w:t>
      </w:r>
    </w:p>
    <w:bookmarkEnd w:id="95"/>
    <w:bookmarkEnd w:id="96"/>
    <w:p w14:paraId="61352334">
      <w:pPr>
        <w:pStyle w:val="29"/>
        <w:numPr>
          <w:ilvl w:val="0"/>
          <w:numId w:val="11"/>
        </w:numPr>
        <w:ind w:left="0" w:firstLine="0" w:firstLineChars="0"/>
        <w:jc w:val="left"/>
        <w:rPr>
          <w:b/>
          <w:szCs w:val="21"/>
        </w:rPr>
      </w:pPr>
      <w:r>
        <w:rPr>
          <w:b/>
          <w:szCs w:val="21"/>
        </w:rPr>
        <w:t>服务期限</w:t>
      </w:r>
      <w:r>
        <w:rPr>
          <w:i/>
          <w:iCs/>
          <w:szCs w:val="21"/>
          <w:highlight w:val="yellow"/>
        </w:rPr>
        <w:t>&lt;根据项目实际情况选择&gt;</w:t>
      </w:r>
    </w:p>
    <w:p w14:paraId="4E947B0D">
      <w:pPr>
        <w:pStyle w:val="29"/>
        <w:jc w:val="left"/>
        <w:rPr>
          <w:bCs/>
          <w:szCs w:val="21"/>
        </w:rPr>
      </w:pPr>
      <w:r>
        <w:rPr>
          <w:color w:val="000000"/>
          <w:szCs w:val="21"/>
        </w:rPr>
        <w:sym w:font="Wingdings 2" w:char="F052"/>
      </w:r>
      <w:r>
        <w:rPr>
          <w:rFonts w:hint="eastAsia"/>
          <w:color w:val="000000"/>
          <w:szCs w:val="21"/>
        </w:rPr>
        <w:t>本</w:t>
      </w:r>
      <w:r>
        <w:rPr>
          <w:bCs/>
          <w:szCs w:val="21"/>
        </w:rPr>
        <w:t>合同服务期限为 *** 年，自 202* 年 *** 月 *** 日起至 202* 年 *** 月 *** 日。</w:t>
      </w:r>
    </w:p>
    <w:p w14:paraId="3141708C">
      <w:pPr>
        <w:pStyle w:val="29"/>
        <w:jc w:val="left"/>
        <w:rPr>
          <w:bCs/>
          <w:szCs w:val="21"/>
        </w:rPr>
      </w:pPr>
    </w:p>
    <w:p w14:paraId="368787FF">
      <w:pPr>
        <w:pStyle w:val="29"/>
        <w:jc w:val="left"/>
        <w:rPr>
          <w:bCs/>
          <w:szCs w:val="21"/>
        </w:rPr>
      </w:pPr>
      <w:r>
        <w:rPr>
          <w:color w:val="000000"/>
          <w:szCs w:val="21"/>
        </w:rPr>
        <w:sym w:font="Wingdings 2" w:char="F052"/>
      </w:r>
      <w:r>
        <w:rPr>
          <w:bCs/>
          <w:szCs w:val="21"/>
        </w:rPr>
        <w:t>本合同服务期限为</w:t>
      </w:r>
      <w:r>
        <w:rPr>
          <w:rFonts w:hint="eastAsia"/>
          <w:bCs/>
          <w:szCs w:val="21"/>
        </w:rPr>
        <w:t xml:space="preserve">双方签字盖章生效之日起 </w:t>
      </w:r>
      <w:r>
        <w:rPr>
          <w:bCs/>
          <w:szCs w:val="21"/>
        </w:rPr>
        <w:t>*** 年，</w:t>
      </w:r>
      <w:r>
        <w:rPr>
          <w:rFonts w:hint="eastAsia"/>
          <w:bCs/>
          <w:szCs w:val="21"/>
        </w:rPr>
        <w:t>即</w:t>
      </w:r>
      <w:r>
        <w:rPr>
          <w:bCs/>
          <w:szCs w:val="21"/>
        </w:rPr>
        <w:t>自 202* 年 *** 月 *** 日起至 202* 年 *** 月 *** 日。</w:t>
      </w:r>
    </w:p>
    <w:p w14:paraId="08791303">
      <w:pPr>
        <w:pStyle w:val="29"/>
        <w:jc w:val="left"/>
        <w:rPr>
          <w:bCs/>
          <w:szCs w:val="21"/>
        </w:rPr>
      </w:pPr>
    </w:p>
    <w:p w14:paraId="27DB179C">
      <w:pPr>
        <w:pStyle w:val="29"/>
        <w:ind w:left="105" w:leftChars="50" w:firstLine="315" w:firstLineChars="150"/>
        <w:jc w:val="left"/>
        <w:rPr>
          <w:b/>
          <w:szCs w:val="21"/>
        </w:rPr>
      </w:pPr>
      <w:r>
        <w:rPr>
          <w:color w:val="000000"/>
          <w:szCs w:val="21"/>
        </w:rPr>
        <w:sym w:font="Wingdings 2" w:char="F052"/>
      </w:r>
      <w:r>
        <w:rPr>
          <w:bCs/>
          <w:szCs w:val="21"/>
        </w:rPr>
        <w:t>本项目服务期为</w:t>
      </w:r>
      <w:r>
        <w:rPr>
          <w:bCs/>
          <w:szCs w:val="21"/>
          <w:u w:val="single"/>
        </w:rPr>
        <w:t>叁</w:t>
      </w:r>
      <w:r>
        <w:rPr>
          <w:bCs/>
          <w:szCs w:val="21"/>
        </w:rPr>
        <w:t>年（自202*年**月**日到202*年**月**日），合同一年一签，每年服务费为人民币 *** 元（大写：*** 圆整）。本合同为第***期，服务期为自202*年***月***日至202*年**月**日</w:t>
      </w:r>
      <w:r>
        <w:rPr>
          <w:bCs/>
          <w:szCs w:val="21"/>
          <w:u w:val="single"/>
        </w:rPr>
        <w:t>，经甲方考核合格后续签下一年合同</w:t>
      </w:r>
      <w:bookmarkStart w:id="98" w:name="OLE_LINK29"/>
      <w:r>
        <w:rPr>
          <w:rFonts w:hint="eastAsia"/>
          <w:bCs/>
          <w:szCs w:val="21"/>
        </w:rPr>
        <w:t>，考核标准详见附件</w:t>
      </w:r>
      <w:r>
        <w:rPr>
          <w:rFonts w:hint="eastAsia"/>
          <w:bCs/>
          <w:szCs w:val="21"/>
          <w:u w:val="single"/>
        </w:rPr>
        <w:t>2</w:t>
      </w:r>
      <w:r>
        <w:rPr>
          <w:rFonts w:hint="eastAsia"/>
          <w:bCs/>
          <w:szCs w:val="21"/>
        </w:rPr>
        <w:t>《考核标准》</w:t>
      </w:r>
      <w:bookmarkEnd w:id="98"/>
      <w:r>
        <w:rPr>
          <w:bCs/>
          <w:szCs w:val="21"/>
        </w:rPr>
        <w:t>。</w:t>
      </w:r>
    </w:p>
    <w:p w14:paraId="1B257405">
      <w:pPr>
        <w:pStyle w:val="29"/>
        <w:numPr>
          <w:ilvl w:val="0"/>
          <w:numId w:val="11"/>
        </w:numPr>
        <w:ind w:left="0" w:firstLine="0" w:firstLineChars="0"/>
        <w:contextualSpacing/>
        <w:jc w:val="left"/>
        <w:rPr>
          <w:b/>
          <w:szCs w:val="21"/>
        </w:rPr>
      </w:pPr>
      <w:r>
        <w:rPr>
          <w:b/>
          <w:szCs w:val="21"/>
        </w:rPr>
        <w:t>服务</w:t>
      </w:r>
      <w:r>
        <w:rPr>
          <w:rFonts w:hint="eastAsia"/>
          <w:b/>
          <w:szCs w:val="21"/>
        </w:rPr>
        <w:t>方案</w:t>
      </w:r>
    </w:p>
    <w:p w14:paraId="06E0AE13">
      <w:pPr>
        <w:ind w:firstLine="420" w:firstLineChars="200"/>
        <w:contextualSpacing/>
        <w:jc w:val="left"/>
        <w:rPr>
          <w:szCs w:val="21"/>
        </w:rPr>
      </w:pPr>
      <w:r>
        <w:rPr>
          <w:rFonts w:hint="eastAsia"/>
          <w:bCs/>
          <w:szCs w:val="21"/>
        </w:rPr>
        <w:t>乙方应严格按照本合同服务方案和甲方要求提供服务，服务方案</w:t>
      </w:r>
      <w:r>
        <w:rPr>
          <w:bCs/>
          <w:szCs w:val="21"/>
        </w:rPr>
        <w:t>详见附件3《服务</w:t>
      </w:r>
      <w:r>
        <w:rPr>
          <w:rFonts w:hint="eastAsia"/>
          <w:bCs/>
          <w:szCs w:val="21"/>
        </w:rPr>
        <w:t>方案</w:t>
      </w:r>
      <w:r>
        <w:rPr>
          <w:bCs/>
          <w:szCs w:val="21"/>
        </w:rPr>
        <w:t>》</w:t>
      </w:r>
      <w:r>
        <w:rPr>
          <w:rFonts w:hint="eastAsia"/>
          <w:bCs/>
          <w:szCs w:val="21"/>
        </w:rPr>
        <w:t>。</w:t>
      </w:r>
    </w:p>
    <w:p w14:paraId="7482C29A">
      <w:pPr>
        <w:pStyle w:val="29"/>
        <w:numPr>
          <w:ilvl w:val="0"/>
          <w:numId w:val="11"/>
        </w:numPr>
        <w:ind w:left="0" w:firstLine="0" w:firstLineChars="0"/>
        <w:contextualSpacing/>
        <w:jc w:val="left"/>
        <w:rPr>
          <w:b/>
          <w:szCs w:val="21"/>
        </w:rPr>
      </w:pPr>
      <w:r>
        <w:rPr>
          <w:b/>
          <w:szCs w:val="21"/>
        </w:rPr>
        <w:t>验收</w:t>
      </w:r>
    </w:p>
    <w:p w14:paraId="57707485">
      <w:pPr>
        <w:pStyle w:val="29"/>
        <w:numPr>
          <w:ilvl w:val="0"/>
          <w:numId w:val="13"/>
        </w:numPr>
        <w:ind w:left="0" w:firstLine="0" w:firstLineChars="0"/>
        <w:contextualSpacing/>
        <w:rPr>
          <w:szCs w:val="21"/>
        </w:rPr>
      </w:pPr>
      <w:r>
        <w:rPr>
          <w:szCs w:val="21"/>
        </w:rPr>
        <w:t>甲、乙双方确定，按照本合同约定的验收方案对乙方按本合同约定所提供的服务进行验收。</w:t>
      </w:r>
    </w:p>
    <w:p w14:paraId="103305C9">
      <w:pPr>
        <w:pStyle w:val="29"/>
        <w:numPr>
          <w:ilvl w:val="0"/>
          <w:numId w:val="13"/>
        </w:numPr>
        <w:ind w:left="0" w:firstLine="0" w:firstLineChars="0"/>
        <w:contextualSpacing/>
        <w:rPr>
          <w:szCs w:val="21"/>
        </w:rPr>
      </w:pPr>
      <w:r>
        <w:rPr>
          <w:szCs w:val="21"/>
        </w:rPr>
        <w:t>验收方案：</w:t>
      </w:r>
    </w:p>
    <w:p w14:paraId="10719FFA">
      <w:pPr>
        <w:pStyle w:val="29"/>
        <w:numPr>
          <w:ilvl w:val="0"/>
          <w:numId w:val="14"/>
        </w:numPr>
        <w:ind w:firstLineChars="0"/>
        <w:contextualSpacing/>
        <w:rPr>
          <w:color w:val="000000"/>
          <w:szCs w:val="21"/>
        </w:rPr>
      </w:pPr>
      <w:r>
        <w:rPr>
          <w:rFonts w:hint="eastAsia"/>
          <w:color w:val="000000"/>
          <w:szCs w:val="21"/>
        </w:rPr>
        <w:t>验收主体：甲方</w:t>
      </w:r>
    </w:p>
    <w:p w14:paraId="7212F6E2">
      <w:pPr>
        <w:pStyle w:val="29"/>
        <w:numPr>
          <w:ilvl w:val="0"/>
          <w:numId w:val="14"/>
        </w:numPr>
        <w:ind w:firstLineChars="0"/>
        <w:contextualSpacing/>
        <w:rPr>
          <w:color w:val="000000"/>
          <w:szCs w:val="21"/>
        </w:rPr>
      </w:pPr>
      <w:r>
        <w:rPr>
          <w:rFonts w:hint="eastAsia"/>
          <w:color w:val="000000"/>
          <w:szCs w:val="21"/>
        </w:rPr>
        <w:t>验收组织方式：自行验收</w:t>
      </w:r>
    </w:p>
    <w:p w14:paraId="5C963DBA">
      <w:pPr>
        <w:pStyle w:val="29"/>
        <w:numPr>
          <w:ilvl w:val="0"/>
          <w:numId w:val="14"/>
        </w:numPr>
        <w:ind w:firstLineChars="0"/>
        <w:contextualSpacing/>
        <w:rPr>
          <w:color w:val="000000"/>
          <w:szCs w:val="21"/>
        </w:rPr>
      </w:pPr>
      <w:r>
        <w:rPr>
          <w:color w:val="000000"/>
          <w:szCs w:val="21"/>
        </w:rPr>
        <w:t>验收程序：</w:t>
      </w:r>
      <w:r>
        <w:rPr/>
        <w:sym w:font="Wingdings 2" w:char="F052"/>
      </w:r>
      <w:r>
        <w:rPr>
          <w:rFonts w:hint="eastAsia"/>
          <w:color w:val="000000"/>
          <w:szCs w:val="21"/>
        </w:rPr>
        <w:t>一次性验收</w:t>
      </w:r>
      <w:r>
        <w:rPr>
          <w:color w:val="000000"/>
          <w:szCs w:val="21"/>
        </w:rPr>
        <w:t xml:space="preserve">   </w:t>
      </w:r>
      <w:r>
        <w:rPr/>
        <w:sym w:font="Wingdings" w:char="F0A8"/>
      </w:r>
      <w:r>
        <w:rPr>
          <w:rFonts w:hint="eastAsia"/>
          <w:color w:val="000000"/>
          <w:szCs w:val="21"/>
        </w:rPr>
        <w:t>分段</w:t>
      </w:r>
      <w:r>
        <w:rPr>
          <w:color w:val="000000"/>
          <w:szCs w:val="21"/>
        </w:rPr>
        <w:t>/</w:t>
      </w:r>
      <w:r>
        <w:rPr>
          <w:rFonts w:hint="eastAsia"/>
          <w:color w:val="000000"/>
          <w:szCs w:val="21"/>
        </w:rPr>
        <w:t>分期验收</w:t>
      </w:r>
    </w:p>
    <w:p w14:paraId="0ACAEB8E">
      <w:pPr>
        <w:pStyle w:val="29"/>
        <w:numPr>
          <w:ilvl w:val="0"/>
          <w:numId w:val="14"/>
        </w:numPr>
        <w:ind w:firstLineChars="0"/>
        <w:contextualSpacing/>
        <w:rPr>
          <w:color w:val="000000"/>
          <w:szCs w:val="21"/>
        </w:rPr>
      </w:pPr>
      <w:r>
        <w:rPr>
          <w:color w:val="000000"/>
          <w:szCs w:val="21"/>
        </w:rPr>
        <w:t>验收方式：</w:t>
      </w:r>
      <w:r>
        <w:rPr>
          <w:color w:val="000000"/>
        </w:rPr>
        <w:sym w:font="Wingdings 2" w:char="F052"/>
      </w:r>
      <w:r>
        <w:rPr>
          <w:rFonts w:hint="eastAsia"/>
          <w:color w:val="000000"/>
        </w:rPr>
        <w:t>现场整体验收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考核验收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其它验收方式：</w:t>
      </w:r>
      <w:r>
        <w:rPr>
          <w:color w:val="000000"/>
          <w:u w:val="single"/>
          <w:shd w:val="clear" w:color="auto" w:fill="FFFFFF"/>
        </w:rPr>
        <w:t>***</w:t>
      </w:r>
    </w:p>
    <w:p w14:paraId="25BB580A">
      <w:pPr>
        <w:pStyle w:val="29"/>
        <w:numPr>
          <w:ilvl w:val="0"/>
          <w:numId w:val="14"/>
        </w:numPr>
        <w:ind w:firstLineChars="0"/>
        <w:contextualSpacing/>
        <w:rPr>
          <w:szCs w:val="21"/>
        </w:rPr>
      </w:pPr>
      <w:r>
        <w:rPr>
          <w:rFonts w:hint="eastAsia"/>
          <w:szCs w:val="21"/>
        </w:rPr>
        <w:t>履约</w:t>
      </w:r>
      <w:r>
        <w:rPr>
          <w:szCs w:val="21"/>
        </w:rPr>
        <w:t>验收内容：</w:t>
      </w:r>
      <w:r>
        <w:rPr>
          <w:rFonts w:hint="eastAsia"/>
          <w:szCs w:val="21"/>
        </w:rPr>
        <w:t>按照甲方的采购文件要求及乙方响应文件响应情况，由乙方向甲方提供的</w:t>
      </w:r>
      <w:r>
        <w:rPr>
          <w:rFonts w:hint="eastAsia"/>
          <w:szCs w:val="21"/>
          <w:u w:val="single"/>
        </w:rPr>
        <w:t>全部服务</w:t>
      </w:r>
      <w:r>
        <w:rPr>
          <w:rFonts w:hint="eastAsia"/>
          <w:szCs w:val="21"/>
        </w:rPr>
        <w:t>的履约情况。</w:t>
      </w:r>
    </w:p>
    <w:p w14:paraId="1F2D4CFA">
      <w:pPr>
        <w:pStyle w:val="29"/>
        <w:numPr>
          <w:ilvl w:val="0"/>
          <w:numId w:val="14"/>
        </w:numPr>
        <w:ind w:firstLineChars="0"/>
        <w:contextualSpacing/>
        <w:rPr>
          <w:color w:val="000000"/>
          <w:szCs w:val="21"/>
        </w:rPr>
      </w:pPr>
      <w:r>
        <w:rPr>
          <w:rFonts w:hint="eastAsia"/>
          <w:color w:val="000000"/>
          <w:szCs w:val="21"/>
        </w:rPr>
        <w:t>履约</w:t>
      </w:r>
      <w:r>
        <w:rPr>
          <w:color w:val="000000"/>
          <w:szCs w:val="21"/>
        </w:rPr>
        <w:t>验收时间：</w:t>
      </w:r>
    </w:p>
    <w:p w14:paraId="27EEE864">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服务期满且</w:t>
      </w:r>
      <w:r>
        <w:rPr>
          <w:rFonts w:hint="eastAsia" w:ascii="Times New Roman" w:hAnsi="Times New Roman"/>
          <w:color w:val="000000"/>
          <w:szCs w:val="21"/>
        </w:rPr>
        <w:t>乙方</w:t>
      </w:r>
      <w:r>
        <w:rPr>
          <w:rFonts w:ascii="Times New Roman" w:hAnsi="Times New Roman"/>
          <w:color w:val="000000"/>
          <w:szCs w:val="21"/>
        </w:rPr>
        <w:t>完成所有服务内容后X日内通知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14:paraId="13560871">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乙方</w:t>
      </w:r>
      <w:r>
        <w:rPr>
          <w:rFonts w:ascii="Times New Roman" w:hAnsi="Times New Roman"/>
          <w:color w:val="000000"/>
          <w:szCs w:val="21"/>
        </w:rPr>
        <w:t>完成每一阶段或轮次服务内容后X日内通知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14:paraId="668E8ECC">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甲</w:t>
      </w:r>
      <w:r>
        <w:rPr>
          <w:rFonts w:hint="eastAsia" w:ascii="Times New Roman" w:hAnsi="Times New Roman"/>
          <w:color w:val="000000"/>
          <w:szCs w:val="21"/>
        </w:rPr>
        <w:t>方</w:t>
      </w:r>
      <w:r>
        <w:rPr>
          <w:rFonts w:ascii="Times New Roman" w:hAnsi="Times New Roman"/>
          <w:color w:val="000000"/>
          <w:szCs w:val="21"/>
        </w:rPr>
        <w:t>完成考核后X日内组织验收</w:t>
      </w:r>
    </w:p>
    <w:p w14:paraId="06090759">
      <w:pPr>
        <w:pStyle w:val="16"/>
        <w:spacing w:after="0"/>
        <w:ind w:left="420" w:leftChars="200" w:firstLine="0"/>
        <w:contextualSpacing/>
        <w:rPr>
          <w:rFonts w:ascii="Times New Roman" w:hAnsi="Times New Roman"/>
          <w:color w:val="000000"/>
          <w:szCs w:val="21"/>
          <w:shd w:val="clear" w:color="auto" w:fill="FFFFFF"/>
        </w:rPr>
      </w:pPr>
      <w:r>
        <w:rPr>
          <w:rFonts w:ascii="Times New Roman" w:hAnsi="Times New Roman"/>
          <w:color w:val="000000"/>
          <w:szCs w:val="21"/>
        </w:rPr>
        <w:sym w:font="Wingdings" w:char="F0A8"/>
      </w:r>
      <w:r>
        <w:rPr>
          <w:rFonts w:ascii="Times New Roman" w:hAnsi="Times New Roman"/>
          <w:color w:val="000000"/>
          <w:szCs w:val="21"/>
        </w:rPr>
        <w:t xml:space="preserve">其它验收时间：            </w:t>
      </w:r>
    </w:p>
    <w:p w14:paraId="0A943DA8">
      <w:pPr>
        <w:pStyle w:val="29"/>
        <w:numPr>
          <w:ilvl w:val="0"/>
          <w:numId w:val="14"/>
        </w:numPr>
        <w:ind w:firstLineChars="0"/>
        <w:contextualSpacing/>
        <w:rPr>
          <w:szCs w:val="21"/>
        </w:rPr>
      </w:pPr>
      <w:r>
        <w:rPr>
          <w:rFonts w:hint="eastAsia"/>
          <w:szCs w:val="21"/>
        </w:rPr>
        <w:t xml:space="preserve">是否邀请本项目的其他供应商：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740E083B">
      <w:pPr>
        <w:pStyle w:val="29"/>
        <w:numPr>
          <w:ilvl w:val="0"/>
          <w:numId w:val="14"/>
        </w:numPr>
        <w:ind w:firstLineChars="0"/>
        <w:contextualSpacing/>
        <w:rPr>
          <w:szCs w:val="21"/>
        </w:rPr>
      </w:pPr>
      <w:r>
        <w:rPr>
          <w:rFonts w:hint="eastAsia"/>
          <w:szCs w:val="21"/>
        </w:rPr>
        <w:t xml:space="preserve">是否邀请专家：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595EB419">
      <w:pPr>
        <w:pStyle w:val="29"/>
        <w:numPr>
          <w:ilvl w:val="0"/>
          <w:numId w:val="14"/>
        </w:numPr>
        <w:ind w:firstLineChars="0"/>
        <w:contextualSpacing/>
        <w:rPr>
          <w:szCs w:val="21"/>
        </w:rPr>
      </w:pPr>
      <w:r>
        <w:rPr>
          <w:rFonts w:hint="eastAsia"/>
          <w:szCs w:val="21"/>
        </w:rPr>
        <w:t xml:space="preserve">是否邀请服务对象：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212FF5E1">
      <w:pPr>
        <w:pStyle w:val="29"/>
        <w:numPr>
          <w:ilvl w:val="0"/>
          <w:numId w:val="14"/>
        </w:numPr>
        <w:ind w:firstLineChars="0"/>
        <w:contextualSpacing/>
        <w:rPr>
          <w:szCs w:val="21"/>
        </w:rPr>
      </w:pPr>
      <w:r>
        <w:rPr>
          <w:szCs w:val="21"/>
        </w:rPr>
        <w:t>是否</w:t>
      </w:r>
      <w:r>
        <w:rPr>
          <w:rFonts w:hint="eastAsia"/>
          <w:szCs w:val="21"/>
        </w:rPr>
        <w:t>邀请</w:t>
      </w:r>
      <w:r>
        <w:rPr>
          <w:szCs w:val="21"/>
        </w:rPr>
        <w:t>第三方检测机构：</w:t>
      </w:r>
      <w:r>
        <w:rPr>
          <w:kern w:val="0"/>
          <w:shd w:val="clear" w:color="auto" w:fill="FFFFFF"/>
        </w:rPr>
        <w:t xml:space="preserve">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47F88790">
      <w:pPr>
        <w:pStyle w:val="29"/>
        <w:numPr>
          <w:ilvl w:val="0"/>
          <w:numId w:val="14"/>
        </w:numPr>
        <w:ind w:firstLineChars="0"/>
        <w:contextualSpacing/>
        <w:rPr>
          <w:szCs w:val="21"/>
        </w:rPr>
      </w:pPr>
      <w:r>
        <w:rPr>
          <w:szCs w:val="21"/>
        </w:rPr>
        <w:t>验收标准：</w:t>
      </w:r>
    </w:p>
    <w:p w14:paraId="24757C73">
      <w:pPr>
        <w:pStyle w:val="16"/>
        <w:numPr>
          <w:ilvl w:val="0"/>
          <w:numId w:val="15"/>
        </w:numPr>
        <w:spacing w:after="0"/>
        <w:contextualSpacing/>
        <w:rPr>
          <w:rFonts w:ascii="Times New Roman" w:hAnsi="Times New Roman"/>
          <w:szCs w:val="21"/>
        </w:rPr>
      </w:pPr>
      <w:bookmarkStart w:id="99" w:name="OLE_LINK4"/>
      <w:r>
        <w:rPr>
          <w:rFonts w:ascii="Times New Roman" w:hAnsi="Times New Roman"/>
          <w:szCs w:val="21"/>
          <w:shd w:val="clear" w:color="auto" w:fill="FFFFFF"/>
        </w:rPr>
        <w:t>国家相关法律法规、行业标准、技术规范。</w:t>
      </w:r>
    </w:p>
    <w:p w14:paraId="4A341926">
      <w:pPr>
        <w:pStyle w:val="16"/>
        <w:numPr>
          <w:ilvl w:val="0"/>
          <w:numId w:val="15"/>
        </w:numPr>
        <w:spacing w:after="0"/>
        <w:contextualSpacing/>
        <w:rPr>
          <w:rFonts w:ascii="Times New Roman" w:hAnsi="Times New Roman"/>
          <w:szCs w:val="21"/>
        </w:rPr>
      </w:pPr>
      <w:r>
        <w:rPr>
          <w:rFonts w:hint="eastAsia" w:ascii="Times New Roman" w:hAnsi="Times New Roman"/>
          <w:szCs w:val="21"/>
        </w:rPr>
        <w:t>甲方采购</w:t>
      </w:r>
      <w:r>
        <w:rPr>
          <w:rFonts w:ascii="Times New Roman" w:hAnsi="Times New Roman"/>
          <w:szCs w:val="21"/>
        </w:rPr>
        <w:t>文件相关技术、服务要求、</w:t>
      </w:r>
      <w:r>
        <w:rPr>
          <w:rFonts w:hint="eastAsia" w:ascii="Times New Roman" w:hAnsi="Times New Roman"/>
          <w:szCs w:val="21"/>
        </w:rPr>
        <w:t>乙方响应</w:t>
      </w:r>
      <w:r>
        <w:rPr>
          <w:rFonts w:ascii="Times New Roman" w:hAnsi="Times New Roman"/>
          <w:szCs w:val="21"/>
        </w:rPr>
        <w:t>文件相关响应内容。</w:t>
      </w:r>
    </w:p>
    <w:p w14:paraId="4BB5AAAF">
      <w:pPr>
        <w:pStyle w:val="16"/>
        <w:numPr>
          <w:ilvl w:val="0"/>
          <w:numId w:val="15"/>
        </w:numPr>
        <w:spacing w:after="0"/>
        <w:contextualSpacing/>
        <w:rPr>
          <w:rFonts w:ascii="Times New Roman" w:hAnsi="Times New Roman"/>
          <w:szCs w:val="21"/>
        </w:rPr>
      </w:pPr>
      <w:r>
        <w:rPr>
          <w:rFonts w:ascii="Times New Roman" w:hAnsi="Times New Roman"/>
          <w:szCs w:val="21"/>
        </w:rPr>
        <w:t>如本项目验收方式为考核验收，则考核结果须为合格。</w:t>
      </w:r>
    </w:p>
    <w:bookmarkEnd w:id="99"/>
    <w:p w14:paraId="2BFFECC6">
      <w:pPr>
        <w:pStyle w:val="16"/>
        <w:numPr>
          <w:ilvl w:val="0"/>
          <w:numId w:val="15"/>
        </w:numPr>
        <w:spacing w:after="0"/>
        <w:contextualSpacing/>
        <w:rPr>
          <w:rFonts w:ascii="Times New Roman" w:hAnsi="Times New Roman"/>
          <w:szCs w:val="21"/>
        </w:rPr>
      </w:pPr>
      <w:r>
        <w:rPr>
          <w:rFonts w:ascii="Times New Roman" w:hAnsi="Times New Roman"/>
          <w:szCs w:val="21"/>
        </w:rPr>
        <w:t>如验收时，</w:t>
      </w:r>
      <w:r>
        <w:rPr>
          <w:rFonts w:hint="eastAsia" w:ascii="Times New Roman" w:hAnsi="Times New Roman"/>
          <w:szCs w:val="21"/>
        </w:rPr>
        <w:t>甲方</w:t>
      </w:r>
      <w:r>
        <w:rPr>
          <w:rFonts w:ascii="Times New Roman" w:hAnsi="Times New Roman"/>
          <w:szCs w:val="21"/>
        </w:rPr>
        <w:t>与</w:t>
      </w:r>
      <w:r>
        <w:rPr>
          <w:rFonts w:hint="eastAsia" w:ascii="Times New Roman" w:hAnsi="Times New Roman"/>
          <w:szCs w:val="21"/>
        </w:rPr>
        <w:t>乙方</w:t>
      </w:r>
      <w:r>
        <w:rPr>
          <w:rFonts w:ascii="Times New Roman" w:hAnsi="Times New Roman"/>
          <w:szCs w:val="21"/>
        </w:rPr>
        <w:t>认为本项目验收标准中的技术指标、质量要求等内容存在相互抵触或对其理解存在异议，应按照其中更严格的要求、标准等进行验收。</w:t>
      </w:r>
    </w:p>
    <w:p w14:paraId="142B41FF">
      <w:pPr>
        <w:pStyle w:val="16"/>
        <w:numPr>
          <w:ilvl w:val="0"/>
          <w:numId w:val="15"/>
        </w:numPr>
        <w:spacing w:after="0"/>
        <w:contextualSpacing/>
        <w:rPr>
          <w:rFonts w:ascii="Times New Roman" w:hAnsi="Times New Roman"/>
          <w:szCs w:val="21"/>
        </w:rPr>
      </w:pPr>
      <w:r>
        <w:rPr>
          <w:rFonts w:hint="eastAsia" w:ascii="Times New Roman" w:hAnsi="Times New Roman"/>
          <w:szCs w:val="21"/>
        </w:rPr>
        <w:t>参照</w:t>
      </w:r>
      <w:r>
        <w:rPr>
          <w:rFonts w:ascii="Times New Roman" w:hAnsi="Times New Roman"/>
          <w:szCs w:val="21"/>
        </w:rPr>
        <w:t>《财政部关于进一步加强政府采购需求和履约验收管理的指导意见》（财库〔2016〕205号）的要求进行验收。</w:t>
      </w:r>
    </w:p>
    <w:p w14:paraId="5A8F93D9">
      <w:pPr>
        <w:pStyle w:val="16"/>
        <w:numPr>
          <w:ilvl w:val="0"/>
          <w:numId w:val="15"/>
        </w:numPr>
        <w:spacing w:after="0"/>
        <w:contextualSpacing/>
        <w:rPr>
          <w:rFonts w:ascii="Times New Roman" w:hAnsi="Times New Roman"/>
          <w:szCs w:val="21"/>
        </w:rPr>
      </w:pPr>
      <w:r>
        <w:rPr>
          <w:rFonts w:hint="eastAsia" w:ascii="Times New Roman" w:hAnsi="Times New Roman"/>
          <w:szCs w:val="21"/>
        </w:rPr>
        <w:t>其它标准：</w:t>
      </w:r>
      <w:r>
        <w:rPr>
          <w:rFonts w:hint="eastAsia" w:ascii="Times New Roman" w:hAnsi="Times New Roman"/>
          <w:szCs w:val="21"/>
          <w:u w:val="single"/>
        </w:rPr>
        <w:t>无。</w:t>
      </w:r>
    </w:p>
    <w:p w14:paraId="5FCD4D1B">
      <w:pPr>
        <w:pStyle w:val="29"/>
        <w:numPr>
          <w:ilvl w:val="0"/>
          <w:numId w:val="14"/>
        </w:numPr>
        <w:ind w:firstLineChars="0"/>
        <w:contextualSpacing/>
        <w:rPr>
          <w:szCs w:val="21"/>
        </w:rPr>
      </w:pPr>
      <w:r>
        <w:rPr>
          <w:szCs w:val="21"/>
        </w:rPr>
        <w:t>其它验收要求：</w:t>
      </w:r>
      <w:r>
        <w:rPr>
          <w:color w:val="000000"/>
          <w:kern w:val="0"/>
          <w:szCs w:val="21"/>
          <w:u w:val="single"/>
        </w:rPr>
        <w:t>无</w:t>
      </w:r>
      <w:r>
        <w:rPr>
          <w:i/>
          <w:iCs/>
          <w:color w:val="000000"/>
          <w:kern w:val="0"/>
          <w:szCs w:val="21"/>
          <w:highlight w:val="yellow"/>
        </w:rPr>
        <w:t>&lt;如有请填写</w:t>
      </w:r>
      <w:r>
        <w:rPr>
          <w:i/>
          <w:iCs/>
          <w:color w:val="000000"/>
          <w:kern w:val="0"/>
          <w:szCs w:val="21"/>
        </w:rPr>
        <w:t>&gt;</w:t>
      </w:r>
    </w:p>
    <w:p w14:paraId="6213DBF3">
      <w:pPr>
        <w:pStyle w:val="29"/>
        <w:numPr>
          <w:ilvl w:val="0"/>
          <w:numId w:val="13"/>
        </w:numPr>
        <w:ind w:left="0" w:firstLine="0" w:firstLineChars="0"/>
        <w:rPr>
          <w:szCs w:val="21"/>
        </w:rPr>
      </w:pPr>
      <w:r>
        <w:rPr>
          <w:szCs w:val="21"/>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w:t>
      </w:r>
      <w:r>
        <w:rPr>
          <w:rFonts w:hint="eastAsia"/>
          <w:szCs w:val="21"/>
        </w:rPr>
        <w:t>10</w:t>
      </w:r>
      <w:r>
        <w:rPr>
          <w:szCs w:val="21"/>
        </w:rPr>
        <w:t>%的违约金给甲方，违约金不能弥补甲方损失的，乙方应全额赔偿。</w:t>
      </w:r>
    </w:p>
    <w:p w14:paraId="2EE9DCA2">
      <w:pPr>
        <w:pStyle w:val="29"/>
        <w:numPr>
          <w:ilvl w:val="0"/>
          <w:numId w:val="11"/>
        </w:numPr>
        <w:ind w:left="0" w:firstLine="0" w:firstLineChars="0"/>
        <w:contextualSpacing/>
        <w:jc w:val="left"/>
        <w:rPr>
          <w:b/>
          <w:szCs w:val="21"/>
        </w:rPr>
      </w:pPr>
      <w:r>
        <w:rPr>
          <w:b/>
          <w:szCs w:val="21"/>
        </w:rPr>
        <w:t>付款方式</w:t>
      </w:r>
    </w:p>
    <w:p w14:paraId="5CC20725">
      <w:pPr>
        <w:pStyle w:val="9"/>
        <w:numPr>
          <w:ilvl w:val="0"/>
          <w:numId w:val="16"/>
        </w:numPr>
        <w:spacing w:after="0" w:line="240" w:lineRule="auto"/>
        <w:ind w:left="227" w:leftChars="0" w:hanging="227"/>
        <w:contextualSpacing/>
        <w:jc w:val="left"/>
        <w:rPr>
          <w:szCs w:val="21"/>
        </w:rPr>
      </w:pPr>
      <w:r>
        <w:rPr>
          <w:szCs w:val="21"/>
        </w:rPr>
        <w:t>履约保证金：</w:t>
      </w:r>
    </w:p>
    <w:p w14:paraId="1A98FD8C">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乙方在合同签订生效之日起的</w:t>
      </w:r>
      <w:r>
        <w:rPr>
          <w:rFonts w:ascii="Times New Roman" w:hAnsi="Times New Roman"/>
          <w:color w:val="000000"/>
          <w:szCs w:val="21"/>
          <w:u w:val="single"/>
        </w:rPr>
        <w:t>***</w:t>
      </w:r>
      <w:r>
        <w:rPr>
          <w:rFonts w:ascii="Times New Roman" w:hAnsi="Times New Roman"/>
          <w:color w:val="000000"/>
          <w:szCs w:val="21"/>
        </w:rPr>
        <w:t>个工作日内，按合同总价</w:t>
      </w:r>
      <w:r>
        <w:rPr>
          <w:rFonts w:ascii="Times New Roman" w:hAnsi="Times New Roman"/>
          <w:color w:val="000000"/>
          <w:szCs w:val="21"/>
          <w:u w:val="single"/>
        </w:rPr>
        <w:t>***</w:t>
      </w:r>
      <w:r>
        <w:rPr>
          <w:rFonts w:ascii="Times New Roman" w:hAnsi="Times New Roman"/>
          <w:color w:val="000000"/>
          <w:szCs w:val="21"/>
        </w:rPr>
        <w:t>%支付履约保证金；本合同</w:t>
      </w:r>
      <w:r>
        <w:rPr>
          <w:rFonts w:hint="eastAsia" w:ascii="Times New Roman" w:hAnsi="Times New Roman"/>
          <w:color w:val="000000"/>
          <w:szCs w:val="21"/>
        </w:rPr>
        <w:t>服务期满且验收合格</w:t>
      </w:r>
      <w:r>
        <w:rPr>
          <w:rFonts w:ascii="Times New Roman" w:hAnsi="Times New Roman"/>
          <w:color w:val="000000"/>
          <w:szCs w:val="21"/>
        </w:rPr>
        <w:t>后，甲方接到乙方付款申请后</w:t>
      </w:r>
      <w:r>
        <w:rPr>
          <w:rFonts w:ascii="Times New Roman" w:hAnsi="Times New Roman"/>
          <w:color w:val="000000"/>
          <w:szCs w:val="21"/>
          <w:u w:val="single"/>
        </w:rPr>
        <w:t>30</w:t>
      </w:r>
      <w:r>
        <w:rPr>
          <w:rFonts w:ascii="Times New Roman" w:hAnsi="Times New Roman"/>
          <w:color w:val="000000"/>
          <w:szCs w:val="21"/>
        </w:rPr>
        <w:t>个工作日内，甲方一次性无息退还乙方的履约保证金；经验收后乙方履约不合格的，履约保证金不予退还。</w:t>
      </w:r>
    </w:p>
    <w:p w14:paraId="7A4394EF">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本合同不涉及履约保证金。</w:t>
      </w:r>
    </w:p>
    <w:p w14:paraId="0DB5940E">
      <w:pPr>
        <w:pStyle w:val="9"/>
        <w:numPr>
          <w:ilvl w:val="0"/>
          <w:numId w:val="16"/>
        </w:numPr>
        <w:spacing w:after="0" w:line="240" w:lineRule="auto"/>
        <w:ind w:left="227" w:leftChars="0" w:hanging="227"/>
        <w:contextualSpacing/>
        <w:jc w:val="left"/>
        <w:rPr>
          <w:szCs w:val="21"/>
        </w:rPr>
      </w:pPr>
      <w:r>
        <w:rPr>
          <w:szCs w:val="21"/>
        </w:rPr>
        <w:t>本</w:t>
      </w:r>
      <w:r>
        <w:rPr>
          <w:rFonts w:hint="eastAsia"/>
          <w:szCs w:val="21"/>
        </w:rPr>
        <w:t>合同</w:t>
      </w:r>
      <w:r>
        <w:rPr>
          <w:szCs w:val="21"/>
        </w:rPr>
        <w:t>价款采用以下方式支付，以人民币结算：</w:t>
      </w:r>
    </w:p>
    <w:p w14:paraId="09FDA0E6">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一次性支付：</w:t>
      </w:r>
    </w:p>
    <w:p w14:paraId="621259CA">
      <w:pPr>
        <w:pStyle w:val="16"/>
        <w:spacing w:after="0"/>
        <w:ind w:left="840" w:leftChars="400" w:firstLine="420" w:firstLineChars="200"/>
        <w:contextualSpacing/>
        <w:rPr>
          <w:rFonts w:ascii="Times New Roman" w:hAnsi="Times New Roman"/>
          <w:color w:val="000000"/>
          <w:szCs w:val="21"/>
        </w:rPr>
      </w:pP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u w:val="single"/>
        </w:rPr>
        <w:t>5</w:t>
      </w:r>
      <w:r>
        <w:rPr>
          <w:rFonts w:ascii="Times New Roman" w:hAnsi="Times New Roman"/>
          <w:szCs w:val="21"/>
        </w:rPr>
        <w:t>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w:t>
      </w:r>
      <w:r>
        <w:rPr>
          <w:rFonts w:ascii="Times New Roman" w:hAnsi="Times New Roman"/>
          <w:color w:val="000000"/>
          <w:szCs w:val="21"/>
          <w:u w:val="single"/>
        </w:rPr>
        <w:t>55</w:t>
      </w:r>
      <w:r>
        <w:rPr>
          <w:rFonts w:ascii="Times New Roman" w:hAnsi="Times New Roman"/>
          <w:color w:val="000000"/>
          <w:szCs w:val="21"/>
        </w:rPr>
        <w:t>日内支付合同总价100%的</w:t>
      </w:r>
      <w:r>
        <w:rPr>
          <w:rFonts w:hint="eastAsia" w:ascii="Times New Roman" w:hAnsi="Times New Roman"/>
          <w:color w:val="000000"/>
          <w:szCs w:val="21"/>
        </w:rPr>
        <w:t>金额</w:t>
      </w:r>
      <w:r>
        <w:rPr>
          <w:rFonts w:ascii="Times New Roman" w:hAnsi="Times New Roman"/>
          <w:color w:val="000000"/>
          <w:szCs w:val="21"/>
        </w:rPr>
        <w:t>给乙方。</w:t>
      </w:r>
    </w:p>
    <w:p w14:paraId="750B8A19">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分阶段支付，支付期限</w:t>
      </w:r>
      <w:r>
        <w:rPr>
          <w:rFonts w:hint="eastAsia" w:ascii="Times New Roman" w:hAnsi="Times New Roman"/>
          <w:color w:val="000000"/>
          <w:szCs w:val="21"/>
        </w:rPr>
        <w:t>、方式</w:t>
      </w:r>
      <w:r>
        <w:rPr>
          <w:rFonts w:ascii="Times New Roman" w:hAnsi="Times New Roman"/>
          <w:color w:val="000000"/>
          <w:szCs w:val="21"/>
        </w:rPr>
        <w:t>及额度如下：</w:t>
      </w:r>
    </w:p>
    <w:p w14:paraId="56BDDA9D">
      <w:pPr>
        <w:pStyle w:val="16"/>
        <w:spacing w:after="0"/>
        <w:ind w:left="840" w:leftChars="400" w:firstLine="420" w:firstLineChars="200"/>
        <w:contextualSpacing/>
        <w:rPr>
          <w:rFonts w:ascii="Times New Roman" w:hAnsi="Times New Roman"/>
          <w:color w:val="000000"/>
          <w:szCs w:val="21"/>
        </w:rPr>
      </w:pPr>
      <w:r>
        <w:rPr>
          <w:rFonts w:ascii="Times New Roman" w:hAnsi="Times New Roman"/>
          <w:color w:val="000000"/>
          <w:szCs w:val="21"/>
        </w:rPr>
        <w:t>（1）</w:t>
      </w:r>
      <w:bookmarkStart w:id="100" w:name="OLE_LINK30"/>
      <w:r>
        <w:rPr>
          <w:rFonts w:hint="eastAsia"/>
          <w:szCs w:val="21"/>
        </w:rPr>
        <w:t>固定部分价款</w:t>
      </w:r>
      <w:bookmarkEnd w:id="100"/>
      <w:r>
        <w:rPr>
          <w:rFonts w:ascii="Times New Roman" w:hAnsi="Times New Roman"/>
          <w:color w:val="000000"/>
          <w:szCs w:val="21"/>
        </w:rPr>
        <w:t>：</w:t>
      </w: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rPr>
        <w:t>5日内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资料后55日内</w:t>
      </w:r>
      <w:r>
        <w:rPr>
          <w:rFonts w:hint="eastAsia" w:ascii="Times New Roman" w:hAnsi="Times New Roman"/>
          <w:color w:val="000000"/>
          <w:szCs w:val="21"/>
        </w:rPr>
        <w:t>向乙方</w:t>
      </w:r>
      <w:r>
        <w:rPr>
          <w:rFonts w:ascii="Times New Roman" w:hAnsi="Times New Roman"/>
          <w:color w:val="000000"/>
          <w:szCs w:val="21"/>
        </w:rPr>
        <w:t>支付</w:t>
      </w:r>
      <w:r>
        <w:rPr>
          <w:rFonts w:hint="eastAsia" w:ascii="Times New Roman" w:hAnsi="Times New Roman"/>
          <w:color w:val="000000"/>
          <w:szCs w:val="21"/>
        </w:rPr>
        <w:t>本合同</w:t>
      </w:r>
      <w:r>
        <w:rPr>
          <w:rFonts w:hint="eastAsia" w:ascii="Times New Roman" w:hAnsi="Times New Roman"/>
          <w:color w:val="000000"/>
          <w:szCs w:val="21"/>
          <w:u w:val="single"/>
        </w:rPr>
        <w:t>第二条</w:t>
      </w:r>
      <w:r>
        <w:rPr>
          <w:rFonts w:hint="eastAsia" w:ascii="Times New Roman" w:hAnsi="Times New Roman"/>
          <w:color w:val="000000"/>
          <w:szCs w:val="21"/>
        </w:rPr>
        <w:t>写明的全部</w:t>
      </w:r>
      <w:r>
        <w:rPr>
          <w:rFonts w:hint="eastAsia"/>
          <w:szCs w:val="21"/>
        </w:rPr>
        <w:t>固定部分价款</w:t>
      </w:r>
      <w:r>
        <w:rPr>
          <w:rFonts w:ascii="Times New Roman" w:hAnsi="Times New Roman"/>
          <w:color w:val="000000"/>
          <w:szCs w:val="21"/>
        </w:rPr>
        <w:t>。</w:t>
      </w:r>
    </w:p>
    <w:p w14:paraId="4C3983EC">
      <w:pPr>
        <w:pStyle w:val="16"/>
        <w:spacing w:after="0"/>
        <w:ind w:left="840" w:leftChars="400" w:firstLine="420" w:firstLineChars="200"/>
        <w:contextualSpacing/>
        <w:rPr>
          <w:rFonts w:ascii="Times New Roman" w:hAnsi="Times New Roman"/>
          <w:color w:val="000000"/>
          <w:szCs w:val="21"/>
        </w:rPr>
      </w:pPr>
      <w:r>
        <w:rPr>
          <w:rFonts w:ascii="Times New Roman" w:hAnsi="Times New Roman"/>
          <w:color w:val="000000"/>
          <w:szCs w:val="21"/>
        </w:rPr>
        <w:t>（2）</w:t>
      </w:r>
      <w:r>
        <w:rPr>
          <w:rFonts w:hint="eastAsia" w:ascii="Times New Roman" w:hAnsi="Times New Roman"/>
          <w:color w:val="000000"/>
          <w:szCs w:val="21"/>
        </w:rPr>
        <w:t>按实结算部分：每</w:t>
      </w:r>
      <w:r>
        <w:rPr>
          <w:rFonts w:hint="eastAsia" w:ascii="Times New Roman" w:hAnsi="Times New Roman"/>
          <w:color w:val="000000"/>
          <w:szCs w:val="21"/>
          <w:u w:val="single"/>
        </w:rPr>
        <w:t>XX</w:t>
      </w:r>
      <w:r>
        <w:rPr>
          <w:rFonts w:ascii="Times New Roman" w:hAnsi="Times New Roman"/>
          <w:i/>
          <w:iCs/>
          <w:szCs w:val="21"/>
          <w:highlight w:val="yellow"/>
        </w:rPr>
        <w:t>&lt;</w:t>
      </w:r>
      <w:r>
        <w:rPr>
          <w:rFonts w:hint="eastAsia" w:ascii="Times New Roman" w:hAnsi="Times New Roman"/>
          <w:i/>
          <w:iCs/>
          <w:szCs w:val="21"/>
          <w:highlight w:val="yellow"/>
        </w:rPr>
        <w:t>约定按固定周期支付的（如每季度），</w:t>
      </w:r>
      <w:r>
        <w:rPr>
          <w:rFonts w:ascii="Times New Roman" w:hAnsi="Times New Roman"/>
          <w:i/>
          <w:iCs/>
          <w:szCs w:val="21"/>
          <w:highlight w:val="yellow"/>
        </w:rPr>
        <w:t>可根据项目具体情况编制</w:t>
      </w:r>
      <w:r>
        <w:rPr>
          <w:rFonts w:hint="eastAsia" w:ascii="Times New Roman" w:hAnsi="Times New Roman"/>
          <w:i/>
          <w:iCs/>
          <w:szCs w:val="21"/>
          <w:highlight w:val="yellow"/>
        </w:rPr>
        <w:t>本条款</w:t>
      </w:r>
      <w:r>
        <w:rPr>
          <w:rFonts w:ascii="Times New Roman" w:hAnsi="Times New Roman"/>
          <w:i/>
          <w:iCs/>
          <w:szCs w:val="21"/>
          <w:highlight w:val="yellow"/>
        </w:rPr>
        <w:t>&gt;</w:t>
      </w:r>
      <w:r>
        <w:rPr>
          <w:rFonts w:hint="eastAsia" w:ascii="Times New Roman" w:hAnsi="Times New Roman"/>
          <w:color w:val="000000"/>
          <w:szCs w:val="21"/>
        </w:rPr>
        <w:t>结算一次费用，结算单价以</w:t>
      </w:r>
      <w:r>
        <w:rPr>
          <w:rFonts w:hint="eastAsia"/>
          <w:szCs w:val="21"/>
        </w:rPr>
        <w:t>《结算单价清单》</w:t>
      </w:r>
      <w:r>
        <w:rPr>
          <w:rFonts w:hint="eastAsia" w:ascii="Times New Roman" w:hAnsi="Times New Roman"/>
          <w:color w:val="000000"/>
          <w:szCs w:val="21"/>
        </w:rPr>
        <w:t>为准。</w:t>
      </w:r>
      <w:r>
        <w:rPr>
          <w:rFonts w:hint="eastAsia"/>
          <w:lang w:bidi="ar"/>
        </w:rPr>
        <w:t>结算前，乙方须向甲方提供结算费用清单进行确认，并在确认后 5 日内按清单金额向甲方提供合法有效票据及其他相关请款资料，甲方接到乙方请款资料后的</w:t>
      </w:r>
      <w:r>
        <w:rPr>
          <w:rFonts w:hint="eastAsia"/>
          <w:u w:val="single"/>
          <w:lang w:bidi="ar"/>
        </w:rPr>
        <w:t>55</w:t>
      </w:r>
      <w:r>
        <w:rPr>
          <w:rFonts w:hint="eastAsia"/>
          <w:lang w:bidi="ar"/>
        </w:rPr>
        <w:t>日内，向乙方全额支付上述结算费用。</w:t>
      </w:r>
    </w:p>
    <w:p w14:paraId="5586C7FB">
      <w:pPr>
        <w:pStyle w:val="9"/>
        <w:numPr>
          <w:ilvl w:val="0"/>
          <w:numId w:val="16"/>
        </w:numPr>
        <w:spacing w:after="0" w:line="240" w:lineRule="auto"/>
        <w:ind w:left="227" w:leftChars="0" w:hanging="227"/>
        <w:contextualSpacing/>
        <w:jc w:val="left"/>
        <w:rPr>
          <w:szCs w:val="21"/>
        </w:rPr>
      </w:pPr>
      <w:r>
        <w:rPr>
          <w:szCs w:val="21"/>
        </w:rPr>
        <w:t>甲方付款前，乙方需</w:t>
      </w:r>
      <w:r>
        <w:rPr>
          <w:rFonts w:hint="eastAsia"/>
          <w:lang w:bidi="ar"/>
        </w:rPr>
        <w:t>提供合法有效票据及其他相关请款资料</w:t>
      </w:r>
      <w:r>
        <w:rPr>
          <w:szCs w:val="21"/>
        </w:rPr>
        <w:t>，否则甲方有权拒绝支付且不承担任何违约责任，且乙方不得因此停止</w:t>
      </w:r>
      <w:r>
        <w:rPr>
          <w:rFonts w:hint="eastAsia"/>
          <w:szCs w:val="21"/>
        </w:rPr>
        <w:t>服务</w:t>
      </w:r>
      <w:r>
        <w:rPr>
          <w:szCs w:val="21"/>
        </w:rPr>
        <w:t>。</w:t>
      </w:r>
    </w:p>
    <w:p w14:paraId="2EB2BA75">
      <w:pPr>
        <w:pStyle w:val="9"/>
        <w:numPr>
          <w:ilvl w:val="0"/>
          <w:numId w:val="16"/>
        </w:numPr>
        <w:spacing w:after="0" w:line="240" w:lineRule="auto"/>
        <w:ind w:left="227" w:leftChars="0" w:hanging="227"/>
        <w:contextualSpacing/>
        <w:jc w:val="left"/>
        <w:rPr>
          <w:szCs w:val="21"/>
        </w:rPr>
      </w:pPr>
      <w:r>
        <w:rPr>
          <w:szCs w:val="21"/>
        </w:rPr>
        <w:t>乙方开票信息应与合同预留账户信息一致。如有变更，乙方应当在变更后3日内通知甲方。否则，由此造成的损失由乙方自行承担。</w:t>
      </w:r>
    </w:p>
    <w:p w14:paraId="19A7DEEB">
      <w:pPr>
        <w:pStyle w:val="29"/>
        <w:numPr>
          <w:ilvl w:val="0"/>
          <w:numId w:val="11"/>
        </w:numPr>
        <w:ind w:left="0" w:firstLine="0" w:firstLineChars="0"/>
        <w:contextualSpacing/>
        <w:jc w:val="left"/>
        <w:rPr>
          <w:b/>
          <w:szCs w:val="21"/>
        </w:rPr>
      </w:pPr>
      <w:r>
        <w:rPr>
          <w:b/>
          <w:szCs w:val="21"/>
        </w:rPr>
        <w:t>双方权利与义务</w:t>
      </w:r>
    </w:p>
    <w:p w14:paraId="581F8AA0">
      <w:pPr>
        <w:pStyle w:val="9"/>
        <w:numPr>
          <w:ilvl w:val="0"/>
          <w:numId w:val="17"/>
        </w:numPr>
        <w:spacing w:after="0" w:line="240" w:lineRule="auto"/>
        <w:ind w:left="227" w:leftChars="0" w:hanging="227"/>
        <w:contextualSpacing/>
        <w:jc w:val="left"/>
        <w:rPr>
          <w:szCs w:val="21"/>
        </w:rPr>
      </w:pPr>
      <w:r>
        <w:rPr>
          <w:szCs w:val="21"/>
        </w:rPr>
        <w:t>甲方权利与义务</w:t>
      </w:r>
    </w:p>
    <w:p w14:paraId="4D16113D">
      <w:pPr>
        <w:pStyle w:val="29"/>
        <w:numPr>
          <w:ilvl w:val="0"/>
          <w:numId w:val="18"/>
        </w:numPr>
        <w:adjustRightInd w:val="0"/>
        <w:ind w:left="525" w:hanging="525" w:hangingChars="250"/>
        <w:contextualSpacing/>
        <w:jc w:val="left"/>
        <w:rPr>
          <w:szCs w:val="21"/>
        </w:rPr>
      </w:pPr>
      <w:r>
        <w:rPr>
          <w:szCs w:val="21"/>
        </w:rPr>
        <w:t>按合同约定向乙方支付费用。</w:t>
      </w:r>
    </w:p>
    <w:p w14:paraId="62A02753">
      <w:pPr>
        <w:pStyle w:val="29"/>
        <w:numPr>
          <w:ilvl w:val="0"/>
          <w:numId w:val="18"/>
        </w:numPr>
        <w:adjustRightInd w:val="0"/>
        <w:ind w:left="525" w:hanging="525" w:hangingChars="250"/>
        <w:contextualSpacing/>
        <w:jc w:val="left"/>
        <w:rPr>
          <w:szCs w:val="21"/>
        </w:rPr>
      </w:pPr>
      <w:r>
        <w:rPr>
          <w:szCs w:val="21"/>
        </w:rPr>
        <w:t>保证乙方实施服务所必须的外部条件如电源、水源的正常供应及开启、关闭等。</w:t>
      </w:r>
    </w:p>
    <w:p w14:paraId="35119703">
      <w:pPr>
        <w:pStyle w:val="29"/>
        <w:numPr>
          <w:ilvl w:val="0"/>
          <w:numId w:val="18"/>
        </w:numPr>
        <w:adjustRightInd w:val="0"/>
        <w:ind w:left="525" w:hanging="525" w:hangingChars="250"/>
        <w:contextualSpacing/>
        <w:jc w:val="left"/>
        <w:rPr>
          <w:szCs w:val="21"/>
        </w:rPr>
      </w:pPr>
      <w:r>
        <w:rPr>
          <w:szCs w:val="21"/>
        </w:rPr>
        <w:t>对于乙方在提供</w:t>
      </w:r>
      <w:r>
        <w:rPr>
          <w:rFonts w:hint="eastAsia"/>
          <w:szCs w:val="21"/>
        </w:rPr>
        <w:t>服务</w:t>
      </w:r>
      <w:r>
        <w:rPr>
          <w:szCs w:val="21"/>
        </w:rPr>
        <w:t>期间所提供的信息，甲方应予保密，未经乙方书面同意，甲方不得擅自使用或透露给第三方。</w:t>
      </w:r>
    </w:p>
    <w:p w14:paraId="7EDB0B3A">
      <w:pPr>
        <w:pStyle w:val="29"/>
        <w:numPr>
          <w:ilvl w:val="0"/>
          <w:numId w:val="18"/>
        </w:numPr>
        <w:adjustRightInd w:val="0"/>
        <w:ind w:left="525" w:hanging="525" w:hangingChars="250"/>
        <w:contextualSpacing/>
        <w:jc w:val="left"/>
        <w:rPr>
          <w:szCs w:val="21"/>
        </w:rPr>
      </w:pPr>
      <w:r>
        <w:rPr>
          <w:rFonts w:hint="eastAsia"/>
          <w:szCs w:val="21"/>
        </w:rPr>
        <w:t>甲方对服务人员不满意的，有权要求乙方在7日内更换相关服务人员。</w:t>
      </w:r>
    </w:p>
    <w:p w14:paraId="344AB8AA">
      <w:pPr>
        <w:pStyle w:val="9"/>
        <w:numPr>
          <w:ilvl w:val="0"/>
          <w:numId w:val="17"/>
        </w:numPr>
        <w:spacing w:after="0" w:line="240" w:lineRule="auto"/>
        <w:ind w:left="227" w:leftChars="0" w:hanging="227"/>
        <w:contextualSpacing/>
        <w:jc w:val="left"/>
        <w:rPr>
          <w:szCs w:val="21"/>
        </w:rPr>
      </w:pPr>
      <w:r>
        <w:rPr>
          <w:szCs w:val="21"/>
        </w:rPr>
        <w:t>乙方权利与义务</w:t>
      </w:r>
    </w:p>
    <w:p w14:paraId="319B30B1">
      <w:pPr>
        <w:pStyle w:val="9"/>
        <w:numPr>
          <w:ilvl w:val="0"/>
          <w:numId w:val="19"/>
        </w:numPr>
        <w:spacing w:after="0" w:line="240" w:lineRule="auto"/>
        <w:ind w:left="525" w:leftChars="0" w:hanging="525" w:hangingChars="250"/>
        <w:contextualSpacing/>
        <w:jc w:val="left"/>
        <w:rPr>
          <w:szCs w:val="21"/>
        </w:rPr>
      </w:pPr>
      <w:r>
        <w:rPr>
          <w:szCs w:val="21"/>
        </w:rPr>
        <w:t>按本合同约定向甲方提供服务</w:t>
      </w:r>
      <w:r>
        <w:rPr>
          <w:rFonts w:hint="eastAsia"/>
          <w:szCs w:val="21"/>
        </w:rPr>
        <w:t>。</w:t>
      </w:r>
    </w:p>
    <w:p w14:paraId="29A7D576">
      <w:pPr>
        <w:pStyle w:val="9"/>
        <w:numPr>
          <w:ilvl w:val="0"/>
          <w:numId w:val="19"/>
        </w:numPr>
        <w:spacing w:after="0" w:line="240" w:lineRule="auto"/>
        <w:ind w:left="525" w:leftChars="0" w:hanging="525" w:hangingChars="250"/>
        <w:contextualSpacing/>
        <w:jc w:val="left"/>
        <w:rPr>
          <w:szCs w:val="21"/>
        </w:rPr>
      </w:pPr>
      <w:r>
        <w:rPr>
          <w:rFonts w:hint="eastAsia"/>
          <w:szCs w:val="21"/>
        </w:rPr>
        <w:t>乙方应保证提供的服务人员具备相应的服务能力和服务资质（如涉及）</w:t>
      </w:r>
      <w:r>
        <w:rPr>
          <w:szCs w:val="21"/>
        </w:rPr>
        <w:t>。</w:t>
      </w:r>
    </w:p>
    <w:p w14:paraId="26B4DD92">
      <w:pPr>
        <w:pStyle w:val="9"/>
        <w:numPr>
          <w:ilvl w:val="0"/>
          <w:numId w:val="19"/>
        </w:numPr>
        <w:spacing w:after="0" w:line="240" w:lineRule="auto"/>
        <w:ind w:left="525" w:leftChars="0" w:hanging="525" w:hangingChars="250"/>
        <w:contextualSpacing/>
        <w:jc w:val="left"/>
        <w:rPr>
          <w:szCs w:val="21"/>
        </w:rPr>
      </w:pPr>
      <w:r>
        <w:rPr>
          <w:rFonts w:hint="eastAsia"/>
          <w:szCs w:val="21"/>
        </w:rPr>
        <w:t>如服务涉及更换备品备件、材料等，</w:t>
      </w:r>
      <w:r>
        <w:rPr>
          <w:szCs w:val="21"/>
        </w:rPr>
        <w:t>乙方应保证服务中更换的</w:t>
      </w:r>
      <w:r>
        <w:rPr>
          <w:rFonts w:hint="eastAsia"/>
          <w:szCs w:val="21"/>
        </w:rPr>
        <w:t>备品</w:t>
      </w:r>
      <w:r>
        <w:rPr>
          <w:szCs w:val="21"/>
        </w:rPr>
        <w:t>备件、材料</w:t>
      </w:r>
      <w:r>
        <w:rPr>
          <w:rFonts w:hint="eastAsia"/>
          <w:szCs w:val="21"/>
        </w:rPr>
        <w:t>达到本项目采购文件及乙方响应文件中的技术要求和质量标准，</w:t>
      </w:r>
      <w:r>
        <w:rPr>
          <w:szCs w:val="21"/>
        </w:rPr>
        <w:t>符合或优于国家（行业）标准，并保证所更换的</w:t>
      </w:r>
      <w:r>
        <w:rPr>
          <w:rFonts w:hint="eastAsia"/>
          <w:szCs w:val="21"/>
        </w:rPr>
        <w:t>备品</w:t>
      </w:r>
      <w:r>
        <w:rPr>
          <w:szCs w:val="21"/>
        </w:rPr>
        <w:t>备件、</w:t>
      </w:r>
      <w:r>
        <w:rPr>
          <w:rFonts w:hint="eastAsia"/>
          <w:szCs w:val="21"/>
        </w:rPr>
        <w:t>原</w:t>
      </w:r>
      <w:r>
        <w:rPr>
          <w:szCs w:val="21"/>
        </w:rPr>
        <w:t>材料在正确安装及正常使用和保养条件下，于其使用寿命期内性能</w:t>
      </w:r>
      <w:r>
        <w:rPr>
          <w:rFonts w:hint="eastAsia"/>
          <w:szCs w:val="21"/>
        </w:rPr>
        <w:t>满足甲方需求</w:t>
      </w:r>
      <w:r>
        <w:rPr>
          <w:szCs w:val="21"/>
        </w:rPr>
        <w:t>。</w:t>
      </w:r>
    </w:p>
    <w:p w14:paraId="03A4EB61">
      <w:pPr>
        <w:pStyle w:val="9"/>
        <w:numPr>
          <w:ilvl w:val="0"/>
          <w:numId w:val="19"/>
        </w:numPr>
        <w:spacing w:after="0" w:line="240" w:lineRule="auto"/>
        <w:ind w:left="525" w:leftChars="0" w:hanging="525" w:hangingChars="250"/>
        <w:contextualSpacing/>
        <w:jc w:val="left"/>
        <w:rPr>
          <w:szCs w:val="21"/>
        </w:rPr>
      </w:pPr>
      <w:r>
        <w:rPr>
          <w:szCs w:val="21"/>
        </w:rPr>
        <w:t>如服务涉及计算机软件产品的，乙方须承诺在服务中设备安装的软件已获得软件厂商的正规授权。</w:t>
      </w:r>
    </w:p>
    <w:p w14:paraId="68E6AAB3">
      <w:pPr>
        <w:pStyle w:val="9"/>
        <w:numPr>
          <w:ilvl w:val="0"/>
          <w:numId w:val="19"/>
        </w:numPr>
        <w:spacing w:after="0" w:line="240" w:lineRule="auto"/>
        <w:ind w:left="525" w:leftChars="0" w:hanging="525" w:hangingChars="250"/>
        <w:contextualSpacing/>
        <w:jc w:val="left"/>
        <w:rPr>
          <w:szCs w:val="21"/>
        </w:rPr>
      </w:pPr>
      <w:r>
        <w:rPr>
          <w:szCs w:val="21"/>
        </w:rPr>
        <w:t>乙方对在按本合同约定向甲方提供服务过程中所获得的所有数据、商业秘密或其它技术及经营信息负有保密的义务，不得向任何第三方透露或泄露。</w:t>
      </w:r>
    </w:p>
    <w:p w14:paraId="742F7349">
      <w:pPr>
        <w:pStyle w:val="29"/>
        <w:numPr>
          <w:ilvl w:val="0"/>
          <w:numId w:val="11"/>
        </w:numPr>
        <w:ind w:left="0" w:firstLine="0" w:firstLineChars="0"/>
        <w:contextualSpacing/>
        <w:jc w:val="left"/>
        <w:rPr>
          <w:b/>
          <w:szCs w:val="21"/>
        </w:rPr>
      </w:pPr>
      <w:r>
        <w:rPr>
          <w:b/>
          <w:szCs w:val="21"/>
        </w:rPr>
        <w:t>违约责任</w:t>
      </w:r>
      <w:r>
        <w:rPr>
          <w:bCs/>
          <w:i/>
          <w:iCs/>
          <w:szCs w:val="21"/>
          <w:highlight w:val="yellow"/>
        </w:rPr>
        <w:t>&lt;本条款中违约金比例可根据项目实际情况确定</w:t>
      </w:r>
      <w:r>
        <w:rPr>
          <w:rFonts w:hint="eastAsia"/>
          <w:bCs/>
          <w:i/>
          <w:iCs/>
          <w:szCs w:val="21"/>
          <w:highlight w:val="yellow"/>
        </w:rPr>
        <w:t>，如合同无固定总金额的，请按实际需求调整表述</w:t>
      </w:r>
      <w:r>
        <w:rPr>
          <w:bCs/>
          <w:i/>
          <w:iCs/>
          <w:szCs w:val="21"/>
          <w:highlight w:val="yellow"/>
        </w:rPr>
        <w:t>&gt;</w:t>
      </w:r>
    </w:p>
    <w:p w14:paraId="5B66A4B0">
      <w:pPr>
        <w:pStyle w:val="9"/>
        <w:numPr>
          <w:ilvl w:val="0"/>
          <w:numId w:val="20"/>
        </w:numPr>
        <w:spacing w:after="0" w:line="240" w:lineRule="auto"/>
        <w:ind w:left="227" w:leftChars="0" w:hanging="227"/>
        <w:contextualSpacing/>
        <w:jc w:val="left"/>
        <w:rPr>
          <w:szCs w:val="21"/>
        </w:rPr>
      </w:pPr>
      <w:r>
        <w:rPr>
          <w:szCs w:val="21"/>
        </w:rPr>
        <w:t>甲方违约责任：甲方无正当理由拒绝乙方按本合同约定提供服务的，甲方应偿付合同总</w:t>
      </w:r>
      <w:r>
        <w:rPr>
          <w:rFonts w:hint="eastAsia"/>
          <w:szCs w:val="21"/>
        </w:rPr>
        <w:t>金额的</w:t>
      </w:r>
      <w:r>
        <w:rPr>
          <w:szCs w:val="21"/>
          <w:u w:val="single"/>
        </w:rPr>
        <w:t>10%</w:t>
      </w:r>
      <w:r>
        <w:rPr>
          <w:rFonts w:hint="eastAsia"/>
          <w:szCs w:val="21"/>
        </w:rPr>
        <w:t>作为</w:t>
      </w:r>
      <w:r>
        <w:rPr>
          <w:szCs w:val="21"/>
        </w:rPr>
        <w:t>违约金。</w:t>
      </w:r>
    </w:p>
    <w:p w14:paraId="0BC8E6CE">
      <w:pPr>
        <w:pStyle w:val="29"/>
        <w:numPr>
          <w:ilvl w:val="0"/>
          <w:numId w:val="20"/>
        </w:numPr>
        <w:ind w:left="0" w:firstLine="0" w:firstLineChars="0"/>
        <w:rPr>
          <w:szCs w:val="21"/>
        </w:rPr>
      </w:pPr>
      <w:r>
        <w:rPr>
          <w:szCs w:val="21"/>
        </w:rPr>
        <w:t>乙方违约责任：</w:t>
      </w:r>
    </w:p>
    <w:p w14:paraId="354B31C5">
      <w:pPr>
        <w:pStyle w:val="9"/>
        <w:numPr>
          <w:ilvl w:val="0"/>
          <w:numId w:val="21"/>
        </w:numPr>
        <w:spacing w:after="0" w:line="240" w:lineRule="auto"/>
        <w:ind w:left="525" w:leftChars="0" w:hanging="525" w:hangingChars="250"/>
        <w:contextualSpacing/>
        <w:jc w:val="left"/>
        <w:rPr>
          <w:szCs w:val="21"/>
        </w:rPr>
      </w:pPr>
      <w:bookmarkStart w:id="101" w:name="OLE_LINK18"/>
      <w:bookmarkStart w:id="102" w:name="OLE_LINK17"/>
      <w:r>
        <w:rPr>
          <w:szCs w:val="21"/>
        </w:rPr>
        <w:t>乙方应派遣具备相关资质的技术人员为甲方提供服务，服务过程中，乙方技术人员因操作不当、未采取必要的安全防范措施等原因导致安全责任事故的，由乙方承担由此造成的全部法律责任。</w:t>
      </w:r>
    </w:p>
    <w:p w14:paraId="20C1309B">
      <w:pPr>
        <w:pStyle w:val="9"/>
        <w:numPr>
          <w:ilvl w:val="0"/>
          <w:numId w:val="21"/>
        </w:numPr>
        <w:spacing w:after="0" w:line="240" w:lineRule="auto"/>
        <w:ind w:left="525" w:leftChars="0" w:hanging="525" w:hangingChars="250"/>
        <w:contextualSpacing/>
        <w:jc w:val="left"/>
        <w:rPr>
          <w:szCs w:val="21"/>
        </w:rPr>
      </w:pPr>
      <w:r>
        <w:rPr>
          <w:szCs w:val="21"/>
        </w:rPr>
        <w:t>因乙方在服务中更换的</w:t>
      </w:r>
      <w:r>
        <w:rPr>
          <w:rFonts w:hint="eastAsia"/>
          <w:szCs w:val="21"/>
        </w:rPr>
        <w:t>备品</w:t>
      </w:r>
      <w:r>
        <w:rPr>
          <w:szCs w:val="21"/>
        </w:rPr>
        <w:t>备件</w:t>
      </w:r>
      <w:r>
        <w:rPr>
          <w:rFonts w:hint="eastAsia"/>
          <w:szCs w:val="21"/>
        </w:rPr>
        <w:t>或原</w:t>
      </w:r>
      <w:r>
        <w:rPr>
          <w:szCs w:val="21"/>
        </w:rPr>
        <w:t>材料在质保期内并在正常使用情况下出现质量原因导致甲方或第三方财产或人身损害的，由乙方承担赔偿责任。</w:t>
      </w:r>
    </w:p>
    <w:p w14:paraId="2E725C36">
      <w:pPr>
        <w:pStyle w:val="9"/>
        <w:numPr>
          <w:ilvl w:val="0"/>
          <w:numId w:val="21"/>
        </w:numPr>
        <w:spacing w:after="0" w:line="240" w:lineRule="auto"/>
        <w:ind w:left="525" w:leftChars="0" w:hanging="525" w:hangingChars="250"/>
        <w:contextualSpacing/>
        <w:jc w:val="left"/>
        <w:rPr>
          <w:szCs w:val="21"/>
        </w:rPr>
      </w:pPr>
      <w:r>
        <w:rPr>
          <w:szCs w:val="21"/>
        </w:rPr>
        <w:t>在本合同的履行中，</w:t>
      </w:r>
      <w:r>
        <w:rPr>
          <w:rFonts w:hint="eastAsia"/>
          <w:szCs w:val="21"/>
        </w:rPr>
        <w:t>如</w:t>
      </w:r>
      <w:r>
        <w:rPr>
          <w:szCs w:val="21"/>
        </w:rPr>
        <w:t>乙方提供的服务存在设计、工艺或材料缺陷（包括潜在缺陷），乙方应当对由于上述缺陷造成的损失负责。</w:t>
      </w:r>
    </w:p>
    <w:p w14:paraId="74485C68">
      <w:pPr>
        <w:pStyle w:val="9"/>
        <w:numPr>
          <w:ilvl w:val="0"/>
          <w:numId w:val="21"/>
        </w:numPr>
        <w:spacing w:after="0" w:line="240" w:lineRule="auto"/>
        <w:ind w:left="525" w:leftChars="0" w:hanging="525" w:hangingChars="250"/>
        <w:contextualSpacing/>
        <w:jc w:val="left"/>
        <w:rPr>
          <w:szCs w:val="21"/>
        </w:rPr>
      </w:pPr>
      <w:r>
        <w:rPr>
          <w:szCs w:val="21"/>
        </w:rPr>
        <w:t>在本合同履行中，</w:t>
      </w:r>
      <w:r>
        <w:rPr>
          <w:rFonts w:hint="eastAsia"/>
          <w:szCs w:val="21"/>
        </w:rPr>
        <w:t>如</w:t>
      </w:r>
      <w:r>
        <w:rPr>
          <w:szCs w:val="21"/>
        </w:rPr>
        <w:t>乙方</w:t>
      </w:r>
      <w:r>
        <w:rPr>
          <w:rFonts w:hint="eastAsia"/>
          <w:szCs w:val="21"/>
        </w:rPr>
        <w:t>未按本合同约定及时向甲方提供服务</w:t>
      </w:r>
      <w:r>
        <w:rPr>
          <w:szCs w:val="21"/>
        </w:rPr>
        <w:t>，每发生一次，乙方应按</w:t>
      </w:r>
      <w:r>
        <w:rPr>
          <w:rFonts w:hint="eastAsia"/>
          <w:szCs w:val="21"/>
          <w:u w:val="single"/>
        </w:rPr>
        <w:t>合同总金额</w:t>
      </w:r>
      <w:r>
        <w:rPr>
          <w:szCs w:val="21"/>
        </w:rPr>
        <w:t>的</w:t>
      </w:r>
      <w:r>
        <w:rPr>
          <w:rFonts w:hint="eastAsia"/>
          <w:szCs w:val="21"/>
          <w:u w:val="single"/>
        </w:rPr>
        <w:t>***</w:t>
      </w:r>
      <w:r>
        <w:rPr>
          <w:rFonts w:hint="eastAsia"/>
          <w:szCs w:val="21"/>
        </w:rPr>
        <w:t>‰</w:t>
      </w:r>
      <w:r>
        <w:rPr>
          <w:szCs w:val="21"/>
        </w:rPr>
        <w:t>向甲方支付违约金。甲方可采取必要的补救措施，但由此而产生的风险责任和费用将由乙方负担，甲方根据合同规定对乙方行使的其他权利不受影响。</w:t>
      </w:r>
    </w:p>
    <w:p w14:paraId="170DE4FD">
      <w:pPr>
        <w:pStyle w:val="9"/>
        <w:numPr>
          <w:ilvl w:val="0"/>
          <w:numId w:val="21"/>
        </w:numPr>
        <w:spacing w:after="0" w:line="240" w:lineRule="auto"/>
        <w:ind w:left="525" w:leftChars="0" w:hanging="525" w:hangingChars="250"/>
        <w:contextualSpacing/>
        <w:jc w:val="left"/>
        <w:rPr>
          <w:szCs w:val="21"/>
        </w:rPr>
      </w:pPr>
      <w:r>
        <w:rPr>
          <w:szCs w:val="21"/>
        </w:rPr>
        <w:t>乙方在</w:t>
      </w:r>
      <w:r>
        <w:rPr>
          <w:rFonts w:hint="eastAsia"/>
          <w:szCs w:val="21"/>
        </w:rPr>
        <w:t>提供服务</w:t>
      </w:r>
      <w:r>
        <w:rPr>
          <w:szCs w:val="21"/>
        </w:rPr>
        <w:t>过程</w:t>
      </w:r>
      <w:r>
        <w:rPr>
          <w:rFonts w:hint="eastAsia"/>
          <w:szCs w:val="21"/>
        </w:rPr>
        <w:t>中</w:t>
      </w:r>
      <w:r>
        <w:rPr>
          <w:szCs w:val="21"/>
        </w:rPr>
        <w:t>侵犯他人知识产权，甲方有权单方解除合同，并要求乙方赔偿所造成的损失，同时甲方有权要求对方按照</w:t>
      </w:r>
      <w:r>
        <w:rPr>
          <w:szCs w:val="21"/>
          <w:u w:val="single"/>
        </w:rPr>
        <w:t>合同总金额</w:t>
      </w:r>
      <w:r>
        <w:rPr>
          <w:szCs w:val="21"/>
        </w:rPr>
        <w:t>的</w:t>
      </w:r>
      <w:r>
        <w:rPr>
          <w:szCs w:val="21"/>
          <w:u w:val="single"/>
        </w:rPr>
        <w:t>10</w:t>
      </w:r>
      <w:r>
        <w:rPr>
          <w:szCs w:val="21"/>
        </w:rPr>
        <w:t>%</w:t>
      </w:r>
      <w:r>
        <w:rPr>
          <w:rFonts w:hint="eastAsia"/>
          <w:szCs w:val="21"/>
        </w:rPr>
        <w:t>支付</w:t>
      </w:r>
      <w:r>
        <w:rPr>
          <w:szCs w:val="21"/>
        </w:rPr>
        <w:t>违约金。</w:t>
      </w:r>
    </w:p>
    <w:p w14:paraId="0B168445">
      <w:pPr>
        <w:pStyle w:val="9"/>
        <w:numPr>
          <w:ilvl w:val="0"/>
          <w:numId w:val="21"/>
        </w:numPr>
        <w:spacing w:after="0" w:line="240" w:lineRule="auto"/>
        <w:ind w:left="525" w:leftChars="0" w:hanging="525" w:hangingChars="250"/>
        <w:contextualSpacing/>
        <w:jc w:val="left"/>
        <w:rPr>
          <w:szCs w:val="21"/>
        </w:rPr>
      </w:pPr>
      <w:r>
        <w:rPr>
          <w:szCs w:val="21"/>
        </w:rPr>
        <w:t>乙方违反保密义务，甲方有权单方解除合同，乙方应按甲方实际损失向甲方进行赔偿并向甲方支付</w:t>
      </w:r>
      <w:r>
        <w:rPr>
          <w:rFonts w:hint="eastAsia"/>
          <w:szCs w:val="21"/>
          <w:u w:val="single"/>
        </w:rPr>
        <w:t>合同总金额</w:t>
      </w:r>
      <w:r>
        <w:rPr>
          <w:rFonts w:hint="eastAsia"/>
          <w:szCs w:val="21"/>
        </w:rPr>
        <w:t>的</w:t>
      </w:r>
      <w:r>
        <w:rPr>
          <w:szCs w:val="21"/>
          <w:u w:val="single"/>
        </w:rPr>
        <w:t>10</w:t>
      </w:r>
      <w:r>
        <w:rPr>
          <w:szCs w:val="21"/>
        </w:rPr>
        <w:t>%</w:t>
      </w:r>
      <w:r>
        <w:rPr>
          <w:rFonts w:hint="eastAsia"/>
          <w:szCs w:val="21"/>
        </w:rPr>
        <w:t>作为</w:t>
      </w:r>
      <w:r>
        <w:rPr>
          <w:szCs w:val="21"/>
        </w:rPr>
        <w:t>违约金。</w:t>
      </w:r>
    </w:p>
    <w:bookmarkEnd w:id="101"/>
    <w:bookmarkEnd w:id="102"/>
    <w:p w14:paraId="79DD140B">
      <w:pPr>
        <w:pStyle w:val="9"/>
        <w:numPr>
          <w:ilvl w:val="0"/>
          <w:numId w:val="21"/>
        </w:numPr>
        <w:spacing w:after="0" w:line="240" w:lineRule="auto"/>
        <w:ind w:left="525" w:leftChars="0" w:hanging="525" w:hangingChars="250"/>
        <w:contextualSpacing/>
        <w:jc w:val="left"/>
        <w:rPr>
          <w:szCs w:val="21"/>
        </w:rPr>
      </w:pPr>
      <w:r>
        <w:rPr>
          <w:szCs w:val="21"/>
        </w:rPr>
        <w:t>乙方偿付的违约金不足以弥补甲方损失的，还应按甲方损失尚未弥补的部分，支付赔偿金给甲方。</w:t>
      </w:r>
    </w:p>
    <w:p w14:paraId="3156E70D">
      <w:pPr>
        <w:pStyle w:val="9"/>
        <w:numPr>
          <w:ilvl w:val="0"/>
          <w:numId w:val="21"/>
        </w:numPr>
        <w:spacing w:after="0" w:line="240" w:lineRule="auto"/>
        <w:ind w:left="525" w:leftChars="0" w:hanging="525" w:hangingChars="250"/>
        <w:contextualSpacing/>
        <w:jc w:val="left"/>
        <w:rPr>
          <w:szCs w:val="21"/>
        </w:rPr>
      </w:pPr>
      <w:r>
        <w:rPr>
          <w:szCs w:val="21"/>
        </w:rPr>
        <w:t>乙方未按照本合同约定的时限提供合法发票或提供发票瑕疵（包括但不限于发票种类有误、发票金额有误等），甲方付款时限相应顺延并不承担任何延期支付的违约责任。</w:t>
      </w:r>
    </w:p>
    <w:p w14:paraId="6DEABDB4">
      <w:pPr>
        <w:pStyle w:val="9"/>
        <w:numPr>
          <w:ilvl w:val="0"/>
          <w:numId w:val="21"/>
        </w:numPr>
        <w:snapToGrid w:val="0"/>
        <w:spacing w:after="0" w:line="240" w:lineRule="auto"/>
        <w:ind w:left="525" w:leftChars="0" w:hanging="525" w:hangingChars="250"/>
        <w:contextualSpacing/>
        <w:jc w:val="left"/>
        <w:rPr>
          <w:szCs w:val="21"/>
        </w:rPr>
      </w:pPr>
      <w:r>
        <w:rPr>
          <w:szCs w:val="21"/>
        </w:rPr>
        <w:t>如本</w:t>
      </w:r>
      <w:r>
        <w:rPr>
          <w:rFonts w:ascii="宋体" w:hAnsi="宋体" w:cs="微软雅黑"/>
          <w:szCs w:val="21"/>
        </w:rPr>
        <w:t>合同</w:t>
      </w:r>
      <w:r>
        <w:rPr>
          <w:rFonts w:hint="cs" w:ascii="宋体" w:hAnsi="宋体"/>
          <w:szCs w:val="21"/>
        </w:rPr>
        <w:t>要</w:t>
      </w:r>
      <w:r>
        <w:rPr>
          <w:szCs w:val="21"/>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03A1E7FA">
      <w:pPr>
        <w:pStyle w:val="9"/>
        <w:spacing w:after="0" w:line="240" w:lineRule="auto"/>
        <w:ind w:left="0" w:leftChars="0"/>
        <w:contextualSpacing/>
        <w:jc w:val="left"/>
        <w:rPr>
          <w:szCs w:val="21"/>
        </w:rPr>
      </w:pPr>
      <w:r>
        <w:rPr>
          <w:szCs w:val="21"/>
        </w:rPr>
        <w:t>3.本合同履行中如有任何一方违约，那么守约方为保障自己合法权益而产生的律师费、诉讼费、差旅费、公告费等，均由违约方承担。</w:t>
      </w:r>
    </w:p>
    <w:p w14:paraId="754D0209">
      <w:pPr>
        <w:pStyle w:val="29"/>
        <w:numPr>
          <w:ilvl w:val="0"/>
          <w:numId w:val="11"/>
        </w:numPr>
        <w:ind w:left="0" w:firstLine="0" w:firstLineChars="0"/>
        <w:contextualSpacing/>
        <w:jc w:val="left"/>
        <w:rPr>
          <w:b/>
          <w:szCs w:val="21"/>
        </w:rPr>
      </w:pPr>
      <w:r>
        <w:rPr>
          <w:b/>
          <w:szCs w:val="21"/>
        </w:rPr>
        <w:t>不可抗力</w:t>
      </w:r>
    </w:p>
    <w:p w14:paraId="26541785">
      <w:pPr>
        <w:pStyle w:val="29"/>
        <w:snapToGrid w:val="0"/>
        <w:rPr>
          <w:bCs/>
          <w:szCs w:val="21"/>
        </w:rPr>
      </w:pPr>
      <w:r>
        <w:rPr>
          <w:bCs/>
          <w:szCs w:val="21"/>
        </w:rPr>
        <w:t>如果遇到自然灾害和灾难及其他不可抗力事件而影响合同履行时，乙方应在三个工作日内以书面形式通知甲方。若不可抗力原因影响本合同执行时间超过***</w:t>
      </w:r>
      <w:r>
        <w:rPr>
          <w:rFonts w:hint="eastAsia"/>
          <w:bCs/>
          <w:szCs w:val="21"/>
        </w:rPr>
        <w:t>日</w:t>
      </w:r>
      <w:r>
        <w:rPr>
          <w:bCs/>
          <w:szCs w:val="21"/>
        </w:rPr>
        <w:t>，甲方有权解除合同，双方互不承担违约责任。</w:t>
      </w:r>
    </w:p>
    <w:p w14:paraId="031713B9">
      <w:pPr>
        <w:pStyle w:val="29"/>
        <w:numPr>
          <w:ilvl w:val="0"/>
          <w:numId w:val="11"/>
        </w:numPr>
        <w:ind w:left="0" w:firstLine="0" w:firstLineChars="0"/>
        <w:contextualSpacing/>
        <w:jc w:val="left"/>
        <w:rPr>
          <w:b/>
          <w:szCs w:val="21"/>
        </w:rPr>
      </w:pPr>
      <w:r>
        <w:rPr>
          <w:b/>
          <w:szCs w:val="21"/>
        </w:rPr>
        <w:t>合同终止及解除</w:t>
      </w:r>
    </w:p>
    <w:p w14:paraId="275C61D9">
      <w:pPr>
        <w:pStyle w:val="29"/>
        <w:numPr>
          <w:ilvl w:val="0"/>
          <w:numId w:val="22"/>
        </w:numPr>
        <w:ind w:left="0" w:firstLine="0" w:firstLineChars="0"/>
        <w:rPr>
          <w:szCs w:val="21"/>
        </w:rPr>
      </w:pPr>
      <w:r>
        <w:rPr>
          <w:szCs w:val="21"/>
        </w:rPr>
        <w:t>合同一方发现可能致使本合同无法按约定继续履行的情形时，应当及时通知另一方并采取适当措施减少损失；没有及时通知并采取适当措施，致使损失扩大的，应当就扩大的损失承担责任。</w:t>
      </w:r>
    </w:p>
    <w:p w14:paraId="1E2279CF">
      <w:pPr>
        <w:pStyle w:val="29"/>
        <w:numPr>
          <w:ilvl w:val="0"/>
          <w:numId w:val="22"/>
        </w:numPr>
        <w:ind w:left="0" w:firstLine="0" w:firstLineChars="0"/>
        <w:rPr>
          <w:szCs w:val="21"/>
        </w:rPr>
      </w:pPr>
      <w:r>
        <w:rPr>
          <w:szCs w:val="21"/>
        </w:rPr>
        <w:t>在甲、乙任何一方有严重违约行为时，另一方有权单方解除合同。</w:t>
      </w:r>
    </w:p>
    <w:p w14:paraId="2BA7B89E">
      <w:pPr>
        <w:pStyle w:val="29"/>
        <w:numPr>
          <w:ilvl w:val="0"/>
          <w:numId w:val="11"/>
        </w:numPr>
        <w:ind w:left="0" w:firstLine="0" w:firstLineChars="0"/>
        <w:contextualSpacing/>
        <w:jc w:val="left"/>
        <w:rPr>
          <w:b/>
          <w:szCs w:val="21"/>
        </w:rPr>
      </w:pPr>
      <w:r>
        <w:rPr>
          <w:b/>
          <w:szCs w:val="21"/>
        </w:rPr>
        <w:t>争议解决办法</w:t>
      </w:r>
    </w:p>
    <w:p w14:paraId="5C6244A3">
      <w:pPr>
        <w:pStyle w:val="29"/>
        <w:numPr>
          <w:ilvl w:val="0"/>
          <w:numId w:val="23"/>
        </w:numPr>
        <w:ind w:left="0" w:firstLine="0" w:firstLineChars="0"/>
        <w:rPr>
          <w:szCs w:val="21"/>
        </w:rPr>
      </w:pPr>
      <w:r>
        <w:rPr>
          <w:szCs w:val="21"/>
        </w:rPr>
        <w:t>因服务质量问题发生争议，由质量技术监督部门或其指定的质量鉴定机构进行质量鉴定，结果符合标准的，鉴定费由甲方承担；不符合标准的，鉴定费由乙方承担。</w:t>
      </w:r>
    </w:p>
    <w:p w14:paraId="40F006BE">
      <w:pPr>
        <w:pStyle w:val="29"/>
        <w:numPr>
          <w:ilvl w:val="0"/>
          <w:numId w:val="23"/>
        </w:numPr>
        <w:ind w:left="0" w:firstLine="0" w:firstLineChars="0"/>
        <w:rPr>
          <w:szCs w:val="21"/>
        </w:rPr>
      </w:pPr>
      <w:r>
        <w:rPr>
          <w:szCs w:val="21"/>
        </w:rPr>
        <w:t>合同履行期间,若双方发生争议，可协商或由有关部门调解解决，协商或调解不成的，任何一方均有权向甲方所在地具有管辖权的人民法院起诉。</w:t>
      </w:r>
    </w:p>
    <w:p w14:paraId="533F8595">
      <w:pPr>
        <w:pStyle w:val="29"/>
        <w:numPr>
          <w:ilvl w:val="0"/>
          <w:numId w:val="11"/>
        </w:numPr>
        <w:ind w:left="0" w:firstLine="0" w:firstLineChars="0"/>
        <w:contextualSpacing/>
        <w:jc w:val="left"/>
        <w:rPr>
          <w:b/>
          <w:szCs w:val="21"/>
        </w:rPr>
      </w:pPr>
      <w:r>
        <w:rPr>
          <w:b/>
          <w:szCs w:val="21"/>
        </w:rPr>
        <w:t>送达（送达地址是司法机关、执法机关和仲裁机关将法律文书送达给当事人的收件地址）</w:t>
      </w:r>
    </w:p>
    <w:p w14:paraId="46F487CF">
      <w:pPr>
        <w:pStyle w:val="34"/>
        <w:numPr>
          <w:ilvl w:val="0"/>
          <w:numId w:val="24"/>
        </w:numPr>
        <w:ind w:left="0" w:firstLine="0"/>
        <w:rPr>
          <w:rFonts w:hAnsi="Times New Roman" w:eastAsia="宋体" w:cs="Times New Roman"/>
          <w:color w:val="auto"/>
        </w:rPr>
      </w:pPr>
      <w:r>
        <w:rPr>
          <w:rFonts w:hAnsi="Times New Roman" w:eastAsia="宋体" w:cs="Times New Roman"/>
          <w:color w:val="auto"/>
        </w:rPr>
        <w:t>甲方送达地址：四川省成都市青羊区一环路西二段32号。</w:t>
      </w:r>
    </w:p>
    <w:p w14:paraId="2E0AF282">
      <w:pPr>
        <w:pStyle w:val="34"/>
        <w:numPr>
          <w:ilvl w:val="0"/>
          <w:numId w:val="24"/>
        </w:numPr>
        <w:ind w:left="0" w:firstLine="0"/>
        <w:rPr>
          <w:rFonts w:hAnsi="Times New Roman" w:eastAsia="宋体" w:cs="Times New Roman"/>
          <w:color w:val="auto"/>
        </w:rPr>
      </w:pPr>
      <w:r>
        <w:rPr>
          <w:rFonts w:hAnsi="Times New Roman" w:eastAsia="宋体" w:cs="Times New Roman"/>
          <w:color w:val="auto"/>
        </w:rPr>
        <w:t>乙方送达地址：***</w:t>
      </w:r>
    </w:p>
    <w:p w14:paraId="750624B0">
      <w:pPr>
        <w:pStyle w:val="34"/>
        <w:numPr>
          <w:ilvl w:val="0"/>
          <w:numId w:val="24"/>
        </w:numPr>
        <w:ind w:left="0" w:firstLine="0"/>
        <w:rPr>
          <w:rFonts w:hAnsi="Times New Roman" w:eastAsia="宋体" w:cs="Times New Roman"/>
          <w:color w:val="auto"/>
        </w:rPr>
      </w:pPr>
      <w:r>
        <w:rPr>
          <w:rFonts w:hAnsi="Times New Roman" w:eastAsia="宋体" w:cs="Times New Roman"/>
          <w:color w:val="auto"/>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7BA6E60">
      <w:pPr>
        <w:pStyle w:val="29"/>
        <w:numPr>
          <w:ilvl w:val="0"/>
          <w:numId w:val="11"/>
        </w:numPr>
        <w:ind w:left="0" w:firstLine="0" w:firstLineChars="0"/>
        <w:contextualSpacing/>
        <w:jc w:val="left"/>
        <w:rPr>
          <w:b/>
          <w:szCs w:val="21"/>
        </w:rPr>
      </w:pPr>
      <w:r>
        <w:rPr>
          <w:b/>
          <w:szCs w:val="21"/>
        </w:rPr>
        <w:t>其他</w:t>
      </w:r>
    </w:p>
    <w:p w14:paraId="162904B6">
      <w:pPr>
        <w:pStyle w:val="29"/>
        <w:numPr>
          <w:ilvl w:val="0"/>
          <w:numId w:val="25"/>
        </w:numPr>
        <w:ind w:left="0" w:firstLine="0" w:firstLineChars="0"/>
        <w:rPr>
          <w:szCs w:val="21"/>
        </w:rPr>
      </w:pPr>
      <w:r>
        <w:rPr>
          <w:szCs w:val="21"/>
        </w:rPr>
        <w:t>如有未尽事宜，由双方依法订立补充合同。补充合同及本合同附件均为本合同的组成部分，与本合同具有同等法律效力。</w:t>
      </w:r>
    </w:p>
    <w:p w14:paraId="3EA6778F">
      <w:pPr>
        <w:pStyle w:val="29"/>
        <w:numPr>
          <w:ilvl w:val="0"/>
          <w:numId w:val="25"/>
        </w:numPr>
        <w:ind w:left="0" w:firstLine="0" w:firstLineChars="0"/>
        <w:rPr>
          <w:szCs w:val="21"/>
        </w:rPr>
      </w:pPr>
      <w:r>
        <w:rPr>
          <w:szCs w:val="21"/>
        </w:rPr>
        <w:t>本合同一式四份，自双方</w:t>
      </w:r>
      <w:r>
        <w:rPr>
          <w:rFonts w:hint="eastAsia"/>
          <w:szCs w:val="21"/>
        </w:rPr>
        <w:t>签字且盖章之</w:t>
      </w:r>
      <w:r>
        <w:rPr>
          <w:szCs w:val="21"/>
        </w:rPr>
        <w:t>日起生效。甲方三份，乙方一份。</w:t>
      </w:r>
    </w:p>
    <w:p w14:paraId="134580B1">
      <w:pPr>
        <w:pStyle w:val="29"/>
        <w:numPr>
          <w:ilvl w:val="0"/>
          <w:numId w:val="11"/>
        </w:numPr>
        <w:ind w:left="0" w:firstLine="0" w:firstLineChars="0"/>
        <w:contextualSpacing/>
        <w:jc w:val="left"/>
        <w:rPr>
          <w:b/>
          <w:szCs w:val="21"/>
        </w:rPr>
      </w:pPr>
      <w:r>
        <w:rPr>
          <w:b/>
          <w:szCs w:val="21"/>
        </w:rPr>
        <w:t>合同附件</w:t>
      </w:r>
    </w:p>
    <w:p w14:paraId="6C66D4AC">
      <w:pPr>
        <w:rPr>
          <w:szCs w:val="21"/>
        </w:rPr>
      </w:pPr>
      <w:r>
        <w:rPr>
          <w:szCs w:val="21"/>
        </w:rPr>
        <w:t>本合同为</w:t>
      </w:r>
      <w:r>
        <w:rPr>
          <w:rFonts w:hint="eastAsia"/>
          <w:szCs w:val="21"/>
          <w:u w:val="single"/>
        </w:rPr>
        <w:t>有</w:t>
      </w:r>
      <w:r>
        <w:rPr>
          <w:szCs w:val="21"/>
        </w:rPr>
        <w:t>附件合同</w:t>
      </w:r>
      <w:r>
        <w:rPr>
          <w:rFonts w:hint="eastAsia"/>
          <w:szCs w:val="21"/>
        </w:rPr>
        <w:t>，附件如下：</w:t>
      </w:r>
      <w:r>
        <w:rPr>
          <w:i/>
          <w:iCs/>
          <w:szCs w:val="21"/>
          <w:highlight w:val="yellow"/>
        </w:rPr>
        <w:t>&lt;根据项目实际情况编制&gt;</w:t>
      </w:r>
    </w:p>
    <w:p w14:paraId="3FF9CA8A">
      <w:pPr>
        <w:jc w:val="left"/>
        <w:outlineLvl w:val="0"/>
        <w:rPr>
          <w:szCs w:val="21"/>
        </w:rPr>
      </w:pPr>
      <w:r>
        <w:rPr>
          <w:rFonts w:hint="eastAsia"/>
          <w:szCs w:val="21"/>
        </w:rPr>
        <w:t>附件1《</w:t>
      </w:r>
      <w:bookmarkStart w:id="103" w:name="OLE_LINK32"/>
      <w:r>
        <w:rPr>
          <w:rFonts w:hint="eastAsia"/>
          <w:szCs w:val="21"/>
        </w:rPr>
        <w:t>结算单价清单</w:t>
      </w:r>
      <w:bookmarkEnd w:id="103"/>
      <w:r>
        <w:rPr>
          <w:rFonts w:hint="eastAsia"/>
          <w:szCs w:val="21"/>
        </w:rPr>
        <w:t>》</w:t>
      </w:r>
    </w:p>
    <w:p w14:paraId="6CDBD3F1">
      <w:pPr>
        <w:jc w:val="left"/>
        <w:outlineLvl w:val="0"/>
        <w:rPr>
          <w:szCs w:val="21"/>
        </w:rPr>
      </w:pPr>
      <w:r>
        <w:rPr>
          <w:rFonts w:hint="eastAsia"/>
          <w:szCs w:val="21"/>
        </w:rPr>
        <w:t>附件2《考核标准》</w:t>
      </w:r>
    </w:p>
    <w:p w14:paraId="485EAD27">
      <w:pPr>
        <w:jc w:val="left"/>
        <w:outlineLvl w:val="0"/>
        <w:rPr>
          <w:szCs w:val="21"/>
        </w:rPr>
      </w:pPr>
      <w:r>
        <w:rPr>
          <w:szCs w:val="21"/>
        </w:rPr>
        <w:t>附件3《服务</w:t>
      </w:r>
      <w:r>
        <w:rPr>
          <w:rFonts w:hint="eastAsia"/>
          <w:szCs w:val="21"/>
        </w:rPr>
        <w:t>方案</w:t>
      </w:r>
      <w:r>
        <w:rPr>
          <w:szCs w:val="21"/>
        </w:rPr>
        <w:t>》</w:t>
      </w:r>
    </w:p>
    <w:p w14:paraId="73257A85">
      <w:pPr>
        <w:jc w:val="center"/>
        <w:rPr>
          <w:szCs w:val="21"/>
        </w:rPr>
      </w:pPr>
      <w:r>
        <w:rPr>
          <w:szCs w:val="21"/>
        </w:rPr>
        <w:t>——</w:t>
      </w:r>
      <w:r>
        <w:rPr>
          <w:sz w:val="18"/>
          <w:szCs w:val="18"/>
        </w:rPr>
        <w:t>以下无正文</w:t>
      </w:r>
      <w:r>
        <w:rPr>
          <w:szCs w:val="21"/>
        </w:rPr>
        <w:t>——</w:t>
      </w:r>
    </w:p>
    <w:tbl>
      <w:tblPr>
        <w:tblStyle w:val="18"/>
        <w:tblW w:w="5000" w:type="pct"/>
        <w:jc w:val="center"/>
        <w:tblLayout w:type="autofit"/>
        <w:tblCellMar>
          <w:top w:w="0" w:type="dxa"/>
          <w:left w:w="0" w:type="dxa"/>
          <w:bottom w:w="0" w:type="dxa"/>
          <w:right w:w="0" w:type="dxa"/>
        </w:tblCellMar>
      </w:tblPr>
      <w:tblGrid>
        <w:gridCol w:w="4688"/>
        <w:gridCol w:w="4950"/>
      </w:tblGrid>
      <w:tr w14:paraId="71EA2B7F">
        <w:tblPrEx>
          <w:tblCellMar>
            <w:top w:w="0" w:type="dxa"/>
            <w:left w:w="0" w:type="dxa"/>
            <w:bottom w:w="0" w:type="dxa"/>
            <w:right w:w="0" w:type="dxa"/>
          </w:tblCellMar>
        </w:tblPrEx>
        <w:trPr>
          <w:trHeight w:val="519" w:hRule="atLeast"/>
          <w:jc w:val="center"/>
        </w:trPr>
        <w:tc>
          <w:tcPr>
            <w:tcW w:w="10214" w:type="dxa"/>
            <w:gridSpan w:val="2"/>
          </w:tcPr>
          <w:p w14:paraId="7FDA39D9">
            <w:pPr>
              <w:rPr>
                <w:szCs w:val="21"/>
              </w:rPr>
            </w:pPr>
            <w:r>
              <w:rPr>
                <w:szCs w:val="21"/>
              </w:rPr>
              <w:t>签订时间：</w:t>
            </w:r>
            <w:r>
              <w:t>202*</w:t>
            </w:r>
            <w:r>
              <w:rPr>
                <w:szCs w:val="21"/>
              </w:rPr>
              <w:t>年***月***日</w:t>
            </w:r>
          </w:p>
        </w:tc>
      </w:tr>
      <w:tr w14:paraId="106C5796">
        <w:tblPrEx>
          <w:tblCellMar>
            <w:top w:w="0" w:type="dxa"/>
            <w:left w:w="0" w:type="dxa"/>
            <w:bottom w:w="0" w:type="dxa"/>
            <w:right w:w="0" w:type="dxa"/>
          </w:tblCellMar>
        </w:tblPrEx>
        <w:trPr>
          <w:jc w:val="center"/>
        </w:trPr>
        <w:tc>
          <w:tcPr>
            <w:tcW w:w="4967" w:type="dxa"/>
          </w:tcPr>
          <w:p w14:paraId="3F93961B">
            <w:pPr>
              <w:rPr>
                <w:szCs w:val="21"/>
              </w:rPr>
            </w:pPr>
            <w:r>
              <w:rPr>
                <w:szCs w:val="21"/>
              </w:rPr>
              <w:t>甲方：</w:t>
            </w:r>
            <w:r>
              <w:rPr>
                <w:rFonts w:hint="eastAsia"/>
                <w:szCs w:val="21"/>
                <w:lang w:eastAsia="zh-CN"/>
              </w:rPr>
              <w:t>四川省精神医学中心</w:t>
            </w:r>
            <w:r>
              <w:rPr>
                <w:szCs w:val="21"/>
              </w:rPr>
              <w:t>（盖章）</w:t>
            </w:r>
          </w:p>
          <w:p w14:paraId="1BF2641A">
            <w:pPr>
              <w:rPr>
                <w:szCs w:val="21"/>
              </w:rPr>
            </w:pPr>
            <w:r>
              <w:rPr>
                <w:szCs w:val="21"/>
              </w:rPr>
              <w:t>法定代表人（授权代表签字）：</w:t>
            </w:r>
          </w:p>
          <w:p w14:paraId="3CF6E833">
            <w:pPr>
              <w:rPr>
                <w:szCs w:val="21"/>
              </w:rPr>
            </w:pPr>
            <w:r>
              <w:rPr>
                <w:szCs w:val="21"/>
              </w:rPr>
              <w:t>地    址：四川省成都市一环路西二段32号</w:t>
            </w:r>
          </w:p>
          <w:p w14:paraId="6736D38D">
            <w:pPr>
              <w:rPr>
                <w:szCs w:val="21"/>
              </w:rPr>
            </w:pPr>
            <w:r>
              <w:rPr>
                <w:szCs w:val="21"/>
              </w:rPr>
              <w:t>开户银行：建设银行成都青羊支行</w:t>
            </w:r>
          </w:p>
          <w:p w14:paraId="3D5EBF0F">
            <w:pPr>
              <w:rPr>
                <w:szCs w:val="21"/>
              </w:rPr>
            </w:pPr>
            <w:r>
              <w:rPr>
                <w:szCs w:val="21"/>
              </w:rPr>
              <w:t>账号：5100 1446 4360 5037 4282</w:t>
            </w:r>
          </w:p>
        </w:tc>
        <w:tc>
          <w:tcPr>
            <w:tcW w:w="5247" w:type="dxa"/>
          </w:tcPr>
          <w:p w14:paraId="76D47F6F">
            <w:pPr>
              <w:rPr>
                <w:szCs w:val="21"/>
              </w:rPr>
            </w:pPr>
            <w:r>
              <w:rPr>
                <w:szCs w:val="21"/>
              </w:rPr>
              <w:t>乙方：</w:t>
            </w:r>
            <w:permStart w:id="2" w:edGrp="everyone"/>
            <w:r>
              <w:rPr>
                <w:szCs w:val="21"/>
              </w:rPr>
              <w:t>***</w:t>
            </w:r>
            <w:permEnd w:id="2"/>
            <w:r>
              <w:rPr>
                <w:szCs w:val="21"/>
              </w:rPr>
              <w:t>（盖章）</w:t>
            </w:r>
          </w:p>
          <w:p w14:paraId="5129AF1F">
            <w:pPr>
              <w:rPr>
                <w:szCs w:val="21"/>
              </w:rPr>
            </w:pPr>
            <w:r>
              <w:rPr>
                <w:szCs w:val="21"/>
              </w:rPr>
              <w:t>法定代表人（授权代表签字）：</w:t>
            </w:r>
          </w:p>
          <w:p w14:paraId="47302462">
            <w:pPr>
              <w:rPr>
                <w:szCs w:val="21"/>
              </w:rPr>
            </w:pPr>
            <w:r>
              <w:rPr>
                <w:szCs w:val="21"/>
              </w:rPr>
              <w:t>地址：</w:t>
            </w:r>
            <w:permStart w:id="3" w:edGrp="everyone"/>
            <w:r>
              <w:rPr>
                <w:szCs w:val="21"/>
              </w:rPr>
              <w:t>***</w:t>
            </w:r>
            <w:permEnd w:id="3"/>
          </w:p>
          <w:p w14:paraId="1CF0A190">
            <w:pPr>
              <w:rPr>
                <w:szCs w:val="21"/>
              </w:rPr>
            </w:pPr>
            <w:r>
              <w:rPr>
                <w:szCs w:val="21"/>
              </w:rPr>
              <w:t>开户银行：</w:t>
            </w:r>
            <w:permStart w:id="4" w:edGrp="everyone"/>
            <w:r>
              <w:rPr>
                <w:szCs w:val="21"/>
              </w:rPr>
              <w:t>***</w:t>
            </w:r>
          </w:p>
          <w:permEnd w:id="4"/>
          <w:p w14:paraId="5672E29C">
            <w:pPr>
              <w:widowControl/>
              <w:jc w:val="left"/>
            </w:pPr>
            <w:r>
              <w:rPr>
                <w:szCs w:val="21"/>
              </w:rPr>
              <w:t>账号：</w:t>
            </w:r>
            <w:permStart w:id="5" w:edGrp="everyone"/>
            <w:r>
              <w:rPr>
                <w:szCs w:val="21"/>
              </w:rPr>
              <w:t>***</w:t>
            </w:r>
            <w:permEnd w:id="5"/>
          </w:p>
        </w:tc>
      </w:tr>
    </w:tbl>
    <w:p w14:paraId="4225AEC9">
      <w:pPr>
        <w:rPr>
          <w:b/>
          <w:bCs/>
          <w:szCs w:val="21"/>
        </w:rPr>
      </w:pPr>
      <w:r>
        <w:rPr>
          <w:b/>
          <w:bCs/>
          <w:szCs w:val="21"/>
        </w:rPr>
        <w:br w:type="page"/>
      </w:r>
    </w:p>
    <w:p w14:paraId="0D97F379">
      <w:pPr>
        <w:widowControl/>
        <w:jc w:val="left"/>
        <w:rPr>
          <w:b/>
          <w:bCs/>
          <w:szCs w:val="21"/>
        </w:rPr>
      </w:pPr>
      <w:r>
        <w:rPr>
          <w:b/>
          <w:bCs/>
          <w:szCs w:val="21"/>
        </w:rPr>
        <w:t>附件</w:t>
      </w:r>
      <w:r>
        <w:rPr>
          <w:rFonts w:hint="eastAsia"/>
          <w:b/>
          <w:bCs/>
          <w:szCs w:val="21"/>
        </w:rPr>
        <w:t>1</w:t>
      </w:r>
      <w:r>
        <w:rPr>
          <w:b/>
          <w:bCs/>
          <w:szCs w:val="21"/>
        </w:rPr>
        <w:t>：</w:t>
      </w:r>
      <w:r>
        <w:rPr>
          <w:rFonts w:hint="eastAsia"/>
          <w:b/>
          <w:bCs/>
          <w:szCs w:val="21"/>
        </w:rPr>
        <w:t>结算单价清单（人民币：元）</w:t>
      </w:r>
      <w:r>
        <w:rPr>
          <w:rFonts w:hint="eastAsia"/>
          <w:b/>
          <w:bCs/>
          <w:i/>
          <w:iCs/>
          <w:szCs w:val="21"/>
          <w:highlight w:val="yellow"/>
        </w:rPr>
        <w:t>&lt;根据项目实际情况编制</w:t>
      </w:r>
      <w:r>
        <w:rPr>
          <w:b/>
          <w:bCs/>
          <w:i/>
          <w:iCs/>
          <w:szCs w:val="21"/>
          <w:highlight w:val="yellow"/>
        </w:rPr>
        <w:t>&gt;</w:t>
      </w:r>
    </w:p>
    <w:p w14:paraId="332FDDDB">
      <w:pPr>
        <w:widowControl/>
        <w:jc w:val="left"/>
        <w:rPr>
          <w:szCs w:val="21"/>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2E43D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76F5C2A7">
            <w:pPr>
              <w:widowControl/>
              <w:jc w:val="center"/>
              <w:rPr>
                <w:b/>
                <w:bCs/>
                <w:szCs w:val="21"/>
              </w:rPr>
            </w:pPr>
            <w:r>
              <w:rPr>
                <w:rFonts w:hint="eastAsia"/>
                <w:b/>
                <w:bCs/>
                <w:szCs w:val="21"/>
              </w:rPr>
              <w:t>序号</w:t>
            </w:r>
          </w:p>
        </w:tc>
        <w:tc>
          <w:tcPr>
            <w:tcW w:w="3686" w:type="dxa"/>
            <w:vAlign w:val="center"/>
          </w:tcPr>
          <w:p w14:paraId="6138C8A7">
            <w:pPr>
              <w:widowControl/>
              <w:jc w:val="center"/>
              <w:rPr>
                <w:b/>
                <w:bCs/>
                <w:szCs w:val="21"/>
              </w:rPr>
            </w:pPr>
            <w:r>
              <w:rPr>
                <w:rFonts w:hint="eastAsia"/>
                <w:b/>
                <w:bCs/>
                <w:szCs w:val="21"/>
              </w:rPr>
              <w:t>结算项目名称</w:t>
            </w:r>
          </w:p>
        </w:tc>
        <w:tc>
          <w:tcPr>
            <w:tcW w:w="3402" w:type="dxa"/>
            <w:vAlign w:val="center"/>
          </w:tcPr>
          <w:p w14:paraId="6B7CC3B9">
            <w:pPr>
              <w:widowControl/>
              <w:jc w:val="center"/>
              <w:rPr>
                <w:b/>
                <w:bCs/>
                <w:i/>
                <w:iCs/>
                <w:szCs w:val="21"/>
              </w:rPr>
            </w:pPr>
            <w:r>
              <w:rPr>
                <w:rFonts w:hint="eastAsia"/>
                <w:b/>
                <w:bCs/>
                <w:szCs w:val="21"/>
              </w:rPr>
              <w:t>项目信息</w:t>
            </w:r>
            <w:r>
              <w:rPr>
                <w:rFonts w:hint="eastAsia"/>
                <w:b/>
                <w:bCs/>
                <w:i/>
                <w:iCs/>
                <w:szCs w:val="21"/>
                <w:highlight w:val="yellow"/>
              </w:rPr>
              <w:t>&lt;生产厂商、品牌、型号规格等</w:t>
            </w:r>
            <w:r>
              <w:rPr>
                <w:b/>
                <w:bCs/>
                <w:i/>
                <w:iCs/>
                <w:szCs w:val="21"/>
                <w:highlight w:val="yellow"/>
              </w:rPr>
              <w:t>&gt;</w:t>
            </w:r>
          </w:p>
        </w:tc>
        <w:tc>
          <w:tcPr>
            <w:tcW w:w="992" w:type="dxa"/>
            <w:vAlign w:val="center"/>
          </w:tcPr>
          <w:p w14:paraId="67185156">
            <w:pPr>
              <w:widowControl/>
              <w:jc w:val="center"/>
              <w:rPr>
                <w:b/>
                <w:bCs/>
                <w:szCs w:val="21"/>
              </w:rPr>
            </w:pPr>
            <w:r>
              <w:rPr>
                <w:rFonts w:hint="eastAsia"/>
                <w:b/>
                <w:bCs/>
                <w:szCs w:val="21"/>
              </w:rPr>
              <w:t>结算单位</w:t>
            </w:r>
            <w:r>
              <w:rPr>
                <w:rFonts w:hint="eastAsia"/>
                <w:b/>
                <w:bCs/>
                <w:i/>
                <w:iCs/>
                <w:szCs w:val="21"/>
                <w:highlight w:val="yellow"/>
              </w:rPr>
              <w:t>&lt;指货物的单位</w:t>
            </w:r>
            <w:r>
              <w:rPr>
                <w:b/>
                <w:bCs/>
                <w:i/>
                <w:iCs/>
                <w:szCs w:val="21"/>
                <w:highlight w:val="yellow"/>
              </w:rPr>
              <w:t>&gt;</w:t>
            </w:r>
          </w:p>
        </w:tc>
        <w:tc>
          <w:tcPr>
            <w:tcW w:w="986" w:type="dxa"/>
            <w:vAlign w:val="center"/>
          </w:tcPr>
          <w:p w14:paraId="274144BB">
            <w:pPr>
              <w:widowControl/>
              <w:jc w:val="center"/>
              <w:rPr>
                <w:b/>
                <w:bCs/>
                <w:szCs w:val="21"/>
              </w:rPr>
            </w:pPr>
            <w:r>
              <w:rPr>
                <w:rFonts w:hint="eastAsia"/>
                <w:b/>
                <w:bCs/>
                <w:szCs w:val="21"/>
              </w:rPr>
              <w:t>结算单价</w:t>
            </w:r>
          </w:p>
        </w:tc>
      </w:tr>
      <w:tr w14:paraId="02C1C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356BCD53">
            <w:pPr>
              <w:widowControl/>
              <w:jc w:val="center"/>
              <w:rPr>
                <w:szCs w:val="21"/>
              </w:rPr>
            </w:pPr>
            <w:r>
              <w:rPr>
                <w:rFonts w:hint="eastAsia"/>
                <w:szCs w:val="21"/>
              </w:rPr>
              <w:t>1</w:t>
            </w:r>
          </w:p>
        </w:tc>
        <w:tc>
          <w:tcPr>
            <w:tcW w:w="3686" w:type="dxa"/>
            <w:vAlign w:val="center"/>
          </w:tcPr>
          <w:p w14:paraId="466C56FF">
            <w:pPr>
              <w:widowControl/>
              <w:jc w:val="left"/>
              <w:rPr>
                <w:szCs w:val="21"/>
              </w:rPr>
            </w:pPr>
          </w:p>
        </w:tc>
        <w:tc>
          <w:tcPr>
            <w:tcW w:w="3402" w:type="dxa"/>
            <w:vAlign w:val="center"/>
          </w:tcPr>
          <w:p w14:paraId="3BC0C217">
            <w:pPr>
              <w:widowControl/>
              <w:jc w:val="left"/>
              <w:rPr>
                <w:szCs w:val="21"/>
              </w:rPr>
            </w:pPr>
          </w:p>
        </w:tc>
        <w:tc>
          <w:tcPr>
            <w:tcW w:w="992" w:type="dxa"/>
            <w:vAlign w:val="center"/>
          </w:tcPr>
          <w:p w14:paraId="1338F166">
            <w:pPr>
              <w:widowControl/>
              <w:jc w:val="center"/>
              <w:rPr>
                <w:szCs w:val="21"/>
              </w:rPr>
            </w:pPr>
          </w:p>
        </w:tc>
        <w:tc>
          <w:tcPr>
            <w:tcW w:w="986" w:type="dxa"/>
            <w:vAlign w:val="center"/>
          </w:tcPr>
          <w:p w14:paraId="32755B64">
            <w:pPr>
              <w:widowControl/>
              <w:jc w:val="center"/>
              <w:rPr>
                <w:szCs w:val="21"/>
              </w:rPr>
            </w:pPr>
          </w:p>
        </w:tc>
      </w:tr>
      <w:tr w14:paraId="03DD5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2F21EF6E">
            <w:pPr>
              <w:widowControl/>
              <w:jc w:val="center"/>
              <w:rPr>
                <w:szCs w:val="21"/>
              </w:rPr>
            </w:pPr>
            <w:r>
              <w:rPr>
                <w:rFonts w:hint="eastAsia"/>
                <w:szCs w:val="21"/>
              </w:rPr>
              <w:t>2</w:t>
            </w:r>
          </w:p>
        </w:tc>
        <w:tc>
          <w:tcPr>
            <w:tcW w:w="3686" w:type="dxa"/>
            <w:vAlign w:val="center"/>
          </w:tcPr>
          <w:p w14:paraId="638D463C">
            <w:pPr>
              <w:widowControl/>
              <w:jc w:val="left"/>
              <w:rPr>
                <w:szCs w:val="21"/>
              </w:rPr>
            </w:pPr>
          </w:p>
        </w:tc>
        <w:tc>
          <w:tcPr>
            <w:tcW w:w="3402" w:type="dxa"/>
            <w:vAlign w:val="center"/>
          </w:tcPr>
          <w:p w14:paraId="1E1EDFDE">
            <w:pPr>
              <w:widowControl/>
              <w:jc w:val="left"/>
              <w:rPr>
                <w:szCs w:val="21"/>
              </w:rPr>
            </w:pPr>
          </w:p>
        </w:tc>
        <w:tc>
          <w:tcPr>
            <w:tcW w:w="992" w:type="dxa"/>
            <w:vAlign w:val="center"/>
          </w:tcPr>
          <w:p w14:paraId="3C44F2A1">
            <w:pPr>
              <w:widowControl/>
              <w:jc w:val="center"/>
              <w:rPr>
                <w:szCs w:val="21"/>
              </w:rPr>
            </w:pPr>
          </w:p>
        </w:tc>
        <w:tc>
          <w:tcPr>
            <w:tcW w:w="986" w:type="dxa"/>
            <w:vAlign w:val="center"/>
          </w:tcPr>
          <w:p w14:paraId="4AFD23BD">
            <w:pPr>
              <w:widowControl/>
              <w:jc w:val="center"/>
              <w:rPr>
                <w:szCs w:val="21"/>
              </w:rPr>
            </w:pPr>
          </w:p>
        </w:tc>
      </w:tr>
      <w:tr w14:paraId="1BA19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69356817">
            <w:pPr>
              <w:widowControl/>
              <w:jc w:val="center"/>
              <w:rPr>
                <w:szCs w:val="21"/>
              </w:rPr>
            </w:pPr>
            <w:r>
              <w:rPr>
                <w:szCs w:val="21"/>
              </w:rPr>
              <w:t>…</w:t>
            </w:r>
          </w:p>
        </w:tc>
        <w:tc>
          <w:tcPr>
            <w:tcW w:w="3686" w:type="dxa"/>
            <w:vAlign w:val="center"/>
          </w:tcPr>
          <w:p w14:paraId="670196F7">
            <w:pPr>
              <w:widowControl/>
              <w:jc w:val="left"/>
              <w:rPr>
                <w:szCs w:val="21"/>
              </w:rPr>
            </w:pPr>
          </w:p>
        </w:tc>
        <w:tc>
          <w:tcPr>
            <w:tcW w:w="3402" w:type="dxa"/>
            <w:vAlign w:val="center"/>
          </w:tcPr>
          <w:p w14:paraId="5104BE78">
            <w:pPr>
              <w:widowControl/>
              <w:jc w:val="left"/>
              <w:rPr>
                <w:szCs w:val="21"/>
              </w:rPr>
            </w:pPr>
          </w:p>
        </w:tc>
        <w:tc>
          <w:tcPr>
            <w:tcW w:w="992" w:type="dxa"/>
            <w:vAlign w:val="center"/>
          </w:tcPr>
          <w:p w14:paraId="22F4BD02">
            <w:pPr>
              <w:widowControl/>
              <w:jc w:val="center"/>
              <w:rPr>
                <w:szCs w:val="21"/>
              </w:rPr>
            </w:pPr>
          </w:p>
        </w:tc>
        <w:tc>
          <w:tcPr>
            <w:tcW w:w="986" w:type="dxa"/>
            <w:vAlign w:val="center"/>
          </w:tcPr>
          <w:p w14:paraId="7897A3E9">
            <w:pPr>
              <w:widowControl/>
              <w:jc w:val="center"/>
              <w:rPr>
                <w:szCs w:val="21"/>
              </w:rPr>
            </w:pPr>
          </w:p>
        </w:tc>
      </w:tr>
    </w:tbl>
    <w:p w14:paraId="78319B83">
      <w:pPr>
        <w:widowControl/>
        <w:jc w:val="left"/>
        <w:rPr>
          <w:szCs w:val="21"/>
        </w:rPr>
        <w:sectPr>
          <w:footerReference r:id="rId6" w:type="default"/>
          <w:pgSz w:w="11906" w:h="16838"/>
          <w:pgMar w:top="851" w:right="1134" w:bottom="851" w:left="1134" w:header="0" w:footer="567" w:gutter="0"/>
          <w:pgNumType w:start="1"/>
          <w:cols w:space="720" w:num="1"/>
          <w:docGrid w:linePitch="312" w:charSpace="0"/>
        </w:sectPr>
      </w:pPr>
      <w:r>
        <w:rPr>
          <w:szCs w:val="21"/>
        </w:rPr>
        <w:br w:type="page"/>
      </w:r>
    </w:p>
    <w:p w14:paraId="7C0E56F4">
      <w:pPr>
        <w:widowControl/>
        <w:jc w:val="left"/>
        <w:outlineLvl w:val="0"/>
        <w:rPr>
          <w:rFonts w:ascii="宋体" w:hAnsi="宋体"/>
          <w:b/>
          <w:bCs/>
          <w:szCs w:val="21"/>
        </w:rPr>
      </w:pPr>
      <w:r>
        <w:rPr>
          <w:rFonts w:hint="eastAsia" w:ascii="宋体" w:hAnsi="宋体"/>
          <w:b/>
          <w:bCs/>
          <w:szCs w:val="21"/>
        </w:rPr>
        <w:t>附件2：考核标准</w:t>
      </w:r>
    </w:p>
    <w:p w14:paraId="2C21E9B8"/>
    <w:p w14:paraId="5BF6043E">
      <w:r>
        <w:rPr>
          <w:rFonts w:hint="eastAsia"/>
        </w:rPr>
        <w:t>*</w:t>
      </w:r>
      <w:r>
        <w:t>**</w:t>
      </w:r>
    </w:p>
    <w:p w14:paraId="05CB4E39">
      <w:pPr>
        <w:pStyle w:val="7"/>
        <w:rPr>
          <w:rFonts w:ascii="仿宋" w:hAnsi="仿宋" w:eastAsia="仿宋" w:cs="仿宋"/>
          <w:sz w:val="28"/>
          <w:szCs w:val="36"/>
        </w:rPr>
      </w:pPr>
    </w:p>
    <w:p w14:paraId="5A954D06">
      <w:pPr>
        <w:pStyle w:val="7"/>
        <w:rPr>
          <w:rFonts w:ascii="仿宋" w:hAnsi="仿宋" w:eastAsia="仿宋" w:cs="仿宋"/>
          <w:sz w:val="28"/>
          <w:szCs w:val="36"/>
        </w:rPr>
      </w:pPr>
    </w:p>
    <w:p w14:paraId="1C759154">
      <w:pPr>
        <w:pStyle w:val="7"/>
        <w:rPr>
          <w:rFonts w:ascii="仿宋" w:hAnsi="仿宋" w:eastAsia="仿宋" w:cs="仿宋"/>
          <w:sz w:val="28"/>
          <w:szCs w:val="36"/>
        </w:rPr>
      </w:pPr>
    </w:p>
    <w:p w14:paraId="7A5531E3">
      <w:pPr>
        <w:pStyle w:val="7"/>
        <w:rPr>
          <w:rFonts w:ascii="仿宋" w:hAnsi="仿宋" w:eastAsia="仿宋" w:cs="仿宋"/>
          <w:sz w:val="28"/>
          <w:szCs w:val="36"/>
        </w:rPr>
      </w:pPr>
    </w:p>
    <w:p w14:paraId="4E875001">
      <w:pPr>
        <w:rPr>
          <w:rFonts w:ascii="Times New Roman" w:hAnsi="Times New Roman"/>
        </w:rPr>
      </w:pPr>
      <w:r>
        <w:rPr>
          <w:rFonts w:ascii="Times New Roman" w:hAnsi="Times New Roman"/>
        </w:rPr>
        <w:br w:type="page"/>
      </w:r>
    </w:p>
    <w:p w14:paraId="363FF3E9">
      <w:pPr>
        <w:widowControl/>
        <w:jc w:val="left"/>
        <w:outlineLvl w:val="0"/>
        <w:rPr>
          <w:rFonts w:ascii="宋体" w:hAnsi="宋体"/>
          <w:b/>
          <w:bCs/>
          <w:szCs w:val="21"/>
        </w:rPr>
      </w:pPr>
      <w:r>
        <w:rPr>
          <w:rFonts w:hint="eastAsia" w:ascii="宋体" w:hAnsi="宋体"/>
          <w:b/>
          <w:bCs/>
          <w:szCs w:val="21"/>
        </w:rPr>
        <w:t>附件3：服务方案</w:t>
      </w:r>
    </w:p>
    <w:p w14:paraId="370E0AEC">
      <w:pPr>
        <w:pStyle w:val="26"/>
        <w:rPr>
          <w:rFonts w:ascii="Times New Roman" w:hAnsi="Times New Roman"/>
        </w:rPr>
      </w:pPr>
    </w:p>
    <w:p w14:paraId="534467C6">
      <w:pPr>
        <w:rPr>
          <w:rFonts w:ascii="Times New Roman" w:hAnsi="Times New Roman"/>
        </w:rPr>
      </w:pPr>
    </w:p>
    <w:sectPr>
      <w:headerReference r:id="rId7" w:type="default"/>
      <w:footerReference r:id="rId8" w:type="default"/>
      <w:pgSz w:w="11905" w:h="16838"/>
      <w:pgMar w:top="1134" w:right="1134" w:bottom="1134" w:left="1134" w:header="851" w:footer="992" w:gutter="0"/>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A494DBD8-887D-4E1C-A93A-3AD376794282}"/>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5C62D3A2-8CAE-4C13-A4FA-FE348043B9E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67629FAF-A09A-4C3A-8B32-606A3F4E80D8}"/>
  </w:font>
  <w:font w:name="FangSong_GB2312">
    <w:altName w:val="仿宋"/>
    <w:panose1 w:val="02010609030101010101"/>
    <w:charset w:val="86"/>
    <w:family w:val="modern"/>
    <w:pitch w:val="default"/>
    <w:sig w:usb0="00000000" w:usb1="00000000" w:usb2="00000000" w:usb3="00000000" w:csb0="00040000"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95121DAF-C1EB-4CCD-91CE-91D682D836BB}"/>
  </w:font>
  <w:font w:name="Segoe UI Symbol">
    <w:panose1 w:val="020B0502040204020203"/>
    <w:charset w:val="00"/>
    <w:family w:val="swiss"/>
    <w:pitch w:val="default"/>
    <w:sig w:usb0="800001E3" w:usb1="1200FFEF" w:usb2="00040000" w:usb3="04000000" w:csb0="00000001" w:csb1="40000000"/>
    <w:embedRegular r:id="rId5" w:fontKey="{2E5B02D4-DB55-4689-A58C-528CF63AE8EE}"/>
  </w:font>
  <w:font w:name="Wingdings 2">
    <w:altName w:val="Wingdings"/>
    <w:panose1 w:val="05020102010507070707"/>
    <w:charset w:val="4D"/>
    <w:family w:val="decorative"/>
    <w:pitch w:val="default"/>
    <w:sig w:usb0="00000000" w:usb1="00000000" w:usb2="00000000" w:usb3="00000000" w:csb0="80000000" w:csb1="00000000"/>
    <w:embedRegular r:id="rId6" w:fontKey="{90029777-904C-4926-B8FE-C80CD296248E}"/>
  </w:font>
  <w:font w:name="微软雅黑">
    <w:panose1 w:val="020B0503020204020204"/>
    <w:charset w:val="86"/>
    <w:family w:val="swiss"/>
    <w:pitch w:val="default"/>
    <w:sig w:usb0="80000287" w:usb1="2ACF3C50" w:usb2="00000016" w:usb3="00000000" w:csb0="0004001F" w:csb1="00000000"/>
    <w:embedRegular r:id="rId7" w:fontKey="{5ABA65CC-6341-4EB3-998D-D0B8CA4A03AD}"/>
  </w:font>
  <w:font w:name="Arial">
    <w:panose1 w:val="020B0604020202020204"/>
    <w:charset w:val="00"/>
    <w:family w:val="auto"/>
    <w:pitch w:val="default"/>
    <w:sig w:usb0="E0002EFF" w:usb1="C000785B" w:usb2="00000009" w:usb3="00000000" w:csb0="400001FF" w:csb1="FFFF0000"/>
  </w:font>
  <w:font w:name="Kingsoft UE">
    <w:panose1 w:val="02000100010000000000"/>
    <w:charset w:val="00"/>
    <w:family w:val="auto"/>
    <w:pitch w:val="default"/>
    <w:sig w:usb0="00000001" w:usb1="00004000" w:usb2="00000000" w:usb3="00000000" w:csb0="00000001" w:csb1="00000000"/>
  </w:font>
  <w:font w:name="KSOF8BCA4F43">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6B47FA">
    <w:pPr>
      <w:pStyle w:val="1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8E77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568E77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30FC2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4C30FC2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15AA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0F0DA06">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1DB0A8"/>
    <w:multiLevelType w:val="singleLevel"/>
    <w:tmpl w:val="881DB0A8"/>
    <w:lvl w:ilvl="0" w:tentative="0">
      <w:start w:val="1"/>
      <w:numFmt w:val="decimal"/>
      <w:lvlText w:val="%1."/>
      <w:lvlJc w:val="left"/>
      <w:pPr>
        <w:tabs>
          <w:tab w:val="left" w:pos="312"/>
        </w:tabs>
      </w:pPr>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7">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8">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9">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1">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2">
    <w:nsid w:val="1F712D09"/>
    <w:multiLevelType w:val="singleLevel"/>
    <w:tmpl w:val="1F712D09"/>
    <w:lvl w:ilvl="0" w:tentative="0">
      <w:start w:val="1"/>
      <w:numFmt w:val="decimal"/>
      <w:lvlText w:val="(%1)"/>
      <w:lvlJc w:val="left"/>
      <w:pPr>
        <w:ind w:left="218" w:hanging="425"/>
      </w:pPr>
      <w:rPr>
        <w:rFonts w:hint="default"/>
      </w:rPr>
    </w:lvl>
  </w:abstractNum>
  <w:abstractNum w:abstractNumId="13">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29F705EA"/>
    <w:multiLevelType w:val="singleLevel"/>
    <w:tmpl w:val="29F705EA"/>
    <w:lvl w:ilvl="0" w:tentative="0">
      <w:start w:val="1"/>
      <w:numFmt w:val="decimal"/>
      <w:suff w:val="nothing"/>
      <w:lvlText w:val="（%1）"/>
      <w:lvlJc w:val="left"/>
    </w:lvl>
  </w:abstractNum>
  <w:abstractNum w:abstractNumId="1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6">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7">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8">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9">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1">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2">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3">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5"/>
  </w:num>
  <w:num w:numId="2">
    <w:abstractNumId w:val="3"/>
  </w:num>
  <w:num w:numId="3">
    <w:abstractNumId w:val="16"/>
  </w:num>
  <w:num w:numId="4">
    <w:abstractNumId w:val="24"/>
  </w:num>
  <w:num w:numId="5">
    <w:abstractNumId w:val="12"/>
  </w:num>
  <w:num w:numId="6">
    <w:abstractNumId w:val="2"/>
  </w:num>
  <w:num w:numId="7">
    <w:abstractNumId w:val="1"/>
  </w:num>
  <w:num w:numId="8">
    <w:abstractNumId w:val="4"/>
  </w:num>
  <w:num w:numId="9">
    <w:abstractNumId w:val="14"/>
  </w:num>
  <w:num w:numId="10">
    <w:abstractNumId w:val="0"/>
  </w:num>
  <w:num w:numId="11">
    <w:abstractNumId w:val="11"/>
  </w:num>
  <w:num w:numId="12">
    <w:abstractNumId w:val="20"/>
  </w:num>
  <w:num w:numId="13">
    <w:abstractNumId w:val="23"/>
  </w:num>
  <w:num w:numId="14">
    <w:abstractNumId w:val="18"/>
  </w:num>
  <w:num w:numId="15">
    <w:abstractNumId w:val="8"/>
  </w:num>
  <w:num w:numId="16">
    <w:abstractNumId w:val="6"/>
  </w:num>
  <w:num w:numId="17">
    <w:abstractNumId w:val="21"/>
  </w:num>
  <w:num w:numId="18">
    <w:abstractNumId w:val="17"/>
  </w:num>
  <w:num w:numId="19">
    <w:abstractNumId w:val="7"/>
  </w:num>
  <w:num w:numId="20">
    <w:abstractNumId w:val="10"/>
  </w:num>
  <w:num w:numId="21">
    <w:abstractNumId w:val="22"/>
  </w:num>
  <w:num w:numId="22">
    <w:abstractNumId w:val="5"/>
  </w:num>
  <w:num w:numId="23">
    <w:abstractNumId w:val="19"/>
  </w:num>
  <w:num w:numId="24">
    <w:abstractNumId w:val="9"/>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2D795D"/>
    <w:rsid w:val="003460DC"/>
    <w:rsid w:val="003579A5"/>
    <w:rsid w:val="003818A4"/>
    <w:rsid w:val="003831C0"/>
    <w:rsid w:val="003B4DAC"/>
    <w:rsid w:val="003C1BC0"/>
    <w:rsid w:val="003E4BF1"/>
    <w:rsid w:val="00427BF2"/>
    <w:rsid w:val="00437CA8"/>
    <w:rsid w:val="004549F4"/>
    <w:rsid w:val="00461368"/>
    <w:rsid w:val="004C756B"/>
    <w:rsid w:val="004F4DC4"/>
    <w:rsid w:val="00547343"/>
    <w:rsid w:val="00554621"/>
    <w:rsid w:val="0057603A"/>
    <w:rsid w:val="005951BE"/>
    <w:rsid w:val="005A705A"/>
    <w:rsid w:val="005D169E"/>
    <w:rsid w:val="0061130C"/>
    <w:rsid w:val="0064444C"/>
    <w:rsid w:val="00677BCD"/>
    <w:rsid w:val="006B63B0"/>
    <w:rsid w:val="006F4109"/>
    <w:rsid w:val="00710285"/>
    <w:rsid w:val="00731B3B"/>
    <w:rsid w:val="007365C1"/>
    <w:rsid w:val="00746494"/>
    <w:rsid w:val="0075510B"/>
    <w:rsid w:val="007760AF"/>
    <w:rsid w:val="00780419"/>
    <w:rsid w:val="007A2792"/>
    <w:rsid w:val="007C5836"/>
    <w:rsid w:val="007D6E11"/>
    <w:rsid w:val="00823167"/>
    <w:rsid w:val="008439DA"/>
    <w:rsid w:val="00882204"/>
    <w:rsid w:val="008F14FA"/>
    <w:rsid w:val="008F26A3"/>
    <w:rsid w:val="008F46FB"/>
    <w:rsid w:val="00901427"/>
    <w:rsid w:val="0094161B"/>
    <w:rsid w:val="00954652"/>
    <w:rsid w:val="0096012B"/>
    <w:rsid w:val="009C452F"/>
    <w:rsid w:val="009D1014"/>
    <w:rsid w:val="00A12C4A"/>
    <w:rsid w:val="00A4099C"/>
    <w:rsid w:val="00A72CD1"/>
    <w:rsid w:val="00AD5068"/>
    <w:rsid w:val="00B16CD7"/>
    <w:rsid w:val="00B2440D"/>
    <w:rsid w:val="00B35E66"/>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D7279"/>
    <w:rsid w:val="00DE5670"/>
    <w:rsid w:val="00DF3B6A"/>
    <w:rsid w:val="00E2603E"/>
    <w:rsid w:val="00E535EF"/>
    <w:rsid w:val="00E71156"/>
    <w:rsid w:val="00E769CD"/>
    <w:rsid w:val="00EA700B"/>
    <w:rsid w:val="00EF1292"/>
    <w:rsid w:val="00EF5CDB"/>
    <w:rsid w:val="00F136D7"/>
    <w:rsid w:val="00F3202A"/>
    <w:rsid w:val="00F523A1"/>
    <w:rsid w:val="00F676AD"/>
    <w:rsid w:val="00F90C3B"/>
    <w:rsid w:val="00FF60E3"/>
    <w:rsid w:val="01E65A81"/>
    <w:rsid w:val="026E3D26"/>
    <w:rsid w:val="02B059C6"/>
    <w:rsid w:val="058C78B0"/>
    <w:rsid w:val="05E13064"/>
    <w:rsid w:val="077B70C4"/>
    <w:rsid w:val="07874D88"/>
    <w:rsid w:val="078A573C"/>
    <w:rsid w:val="093A3733"/>
    <w:rsid w:val="0B4508AE"/>
    <w:rsid w:val="0BED0F30"/>
    <w:rsid w:val="0C1026D4"/>
    <w:rsid w:val="0CF161C9"/>
    <w:rsid w:val="0D352B8F"/>
    <w:rsid w:val="0E0B7FF0"/>
    <w:rsid w:val="101319D6"/>
    <w:rsid w:val="10590AEA"/>
    <w:rsid w:val="11075CBE"/>
    <w:rsid w:val="11501174"/>
    <w:rsid w:val="115D07B9"/>
    <w:rsid w:val="117A5014"/>
    <w:rsid w:val="127F05A0"/>
    <w:rsid w:val="127F1D65"/>
    <w:rsid w:val="13546548"/>
    <w:rsid w:val="136D78F8"/>
    <w:rsid w:val="13C77873"/>
    <w:rsid w:val="1411115B"/>
    <w:rsid w:val="157F6971"/>
    <w:rsid w:val="15B421B6"/>
    <w:rsid w:val="15CC4977"/>
    <w:rsid w:val="162A4F7D"/>
    <w:rsid w:val="16A82A66"/>
    <w:rsid w:val="1994787E"/>
    <w:rsid w:val="19FF304F"/>
    <w:rsid w:val="1B9E49E9"/>
    <w:rsid w:val="1CC63FA5"/>
    <w:rsid w:val="1DD000AF"/>
    <w:rsid w:val="1E09745A"/>
    <w:rsid w:val="1E176351"/>
    <w:rsid w:val="1E750D4A"/>
    <w:rsid w:val="1FD31681"/>
    <w:rsid w:val="20BA2FD1"/>
    <w:rsid w:val="2168488F"/>
    <w:rsid w:val="21F04E7F"/>
    <w:rsid w:val="21F276AB"/>
    <w:rsid w:val="226E2EED"/>
    <w:rsid w:val="229D6DB5"/>
    <w:rsid w:val="22BC7ECF"/>
    <w:rsid w:val="23D4489F"/>
    <w:rsid w:val="248A553D"/>
    <w:rsid w:val="262001B9"/>
    <w:rsid w:val="27B87AF9"/>
    <w:rsid w:val="27E80EA9"/>
    <w:rsid w:val="280414A1"/>
    <w:rsid w:val="28570368"/>
    <w:rsid w:val="29A82748"/>
    <w:rsid w:val="29C00241"/>
    <w:rsid w:val="29C5318E"/>
    <w:rsid w:val="2ABD4A8F"/>
    <w:rsid w:val="2B502F98"/>
    <w:rsid w:val="2C9A0A9E"/>
    <w:rsid w:val="2CA621A6"/>
    <w:rsid w:val="2DA70D65"/>
    <w:rsid w:val="2EE31C10"/>
    <w:rsid w:val="313B414B"/>
    <w:rsid w:val="33044DD4"/>
    <w:rsid w:val="3427766B"/>
    <w:rsid w:val="343706EB"/>
    <w:rsid w:val="351A08D0"/>
    <w:rsid w:val="36334CE5"/>
    <w:rsid w:val="3A551407"/>
    <w:rsid w:val="3AE57E7C"/>
    <w:rsid w:val="3B033C36"/>
    <w:rsid w:val="3E4D49D4"/>
    <w:rsid w:val="3E5D4E8E"/>
    <w:rsid w:val="3FE25336"/>
    <w:rsid w:val="40B12F00"/>
    <w:rsid w:val="42075FF8"/>
    <w:rsid w:val="42842020"/>
    <w:rsid w:val="436B6C47"/>
    <w:rsid w:val="441167AE"/>
    <w:rsid w:val="44B14170"/>
    <w:rsid w:val="468567BB"/>
    <w:rsid w:val="4782487D"/>
    <w:rsid w:val="47B927EA"/>
    <w:rsid w:val="49F21769"/>
    <w:rsid w:val="4AFF1444"/>
    <w:rsid w:val="4B31068E"/>
    <w:rsid w:val="4BA55220"/>
    <w:rsid w:val="4BAD0151"/>
    <w:rsid w:val="4C7174F3"/>
    <w:rsid w:val="4C8F75A2"/>
    <w:rsid w:val="4D581919"/>
    <w:rsid w:val="4DAD4403"/>
    <w:rsid w:val="4DBE6397"/>
    <w:rsid w:val="4E8C008E"/>
    <w:rsid w:val="4FCD6476"/>
    <w:rsid w:val="4FEF758C"/>
    <w:rsid w:val="50771A9C"/>
    <w:rsid w:val="51C47F6D"/>
    <w:rsid w:val="535C64FC"/>
    <w:rsid w:val="5455382C"/>
    <w:rsid w:val="54643166"/>
    <w:rsid w:val="546A5B99"/>
    <w:rsid w:val="55242A52"/>
    <w:rsid w:val="56C55F4F"/>
    <w:rsid w:val="571F5A86"/>
    <w:rsid w:val="57235ED9"/>
    <w:rsid w:val="5A102BB5"/>
    <w:rsid w:val="5AF70A51"/>
    <w:rsid w:val="5D0057CC"/>
    <w:rsid w:val="5D0A3490"/>
    <w:rsid w:val="5D7E0D39"/>
    <w:rsid w:val="5E9D3F29"/>
    <w:rsid w:val="5F542CA1"/>
    <w:rsid w:val="60202C9E"/>
    <w:rsid w:val="60384CD1"/>
    <w:rsid w:val="60655808"/>
    <w:rsid w:val="621922AC"/>
    <w:rsid w:val="63A9427A"/>
    <w:rsid w:val="63D462B1"/>
    <w:rsid w:val="641A3596"/>
    <w:rsid w:val="64D96647"/>
    <w:rsid w:val="655B51E5"/>
    <w:rsid w:val="65E40ADA"/>
    <w:rsid w:val="662621EA"/>
    <w:rsid w:val="66330B86"/>
    <w:rsid w:val="66E22203"/>
    <w:rsid w:val="67AD41EB"/>
    <w:rsid w:val="68B812C9"/>
    <w:rsid w:val="69D50CF4"/>
    <w:rsid w:val="6C487AFD"/>
    <w:rsid w:val="6CB24363"/>
    <w:rsid w:val="6EA93466"/>
    <w:rsid w:val="6F3B6229"/>
    <w:rsid w:val="6F97249D"/>
    <w:rsid w:val="6FCF0795"/>
    <w:rsid w:val="701541D6"/>
    <w:rsid w:val="70EE62C9"/>
    <w:rsid w:val="71241736"/>
    <w:rsid w:val="71381023"/>
    <w:rsid w:val="73714961"/>
    <w:rsid w:val="73C36D27"/>
    <w:rsid w:val="754D1D92"/>
    <w:rsid w:val="758350A9"/>
    <w:rsid w:val="7641182E"/>
    <w:rsid w:val="76FA6613"/>
    <w:rsid w:val="79687E1D"/>
    <w:rsid w:val="79B62FBA"/>
    <w:rsid w:val="7A33053A"/>
    <w:rsid w:val="7B0A23D6"/>
    <w:rsid w:val="7B560FD7"/>
    <w:rsid w:val="7B5F74F8"/>
    <w:rsid w:val="7B690630"/>
    <w:rsid w:val="7C137807"/>
    <w:rsid w:val="7C5123F4"/>
    <w:rsid w:val="7CB400F8"/>
    <w:rsid w:val="7D040AB6"/>
    <w:rsid w:val="7D4119E6"/>
    <w:rsid w:val="7DAF162B"/>
    <w:rsid w:val="7DC42B41"/>
    <w:rsid w:val="7EB63C19"/>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Hyperlink"/>
    <w:basedOn w:val="20"/>
    <w:qFormat/>
    <w:uiPriority w:val="0"/>
    <w:rPr>
      <w:color w:val="0000FF"/>
      <w:u w:val="single"/>
    </w:rPr>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next w:val="1"/>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null3"/>
    <w:basedOn w:val="1"/>
    <w:qFormat/>
    <w:uiPriority w:val="0"/>
    <w:pPr>
      <w:widowControl/>
      <w:jc w:val="left"/>
    </w:pPr>
    <w:rPr>
      <w:kern w:val="0"/>
      <w:sz w:val="24"/>
      <w:szCs w:val="24"/>
    </w:rPr>
  </w:style>
  <w:style w:type="paragraph" w:customStyle="1" w:styleId="42">
    <w:name w:val="Revision"/>
    <w:hidden/>
    <w:unhideWhenUsed/>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240cfab0-ae34-432f-9f89-594eef1823c0</errorID>
      <errorWord>：</errorWord>
      <group>L1_Word</group>
      <groupName>字词问题</groupName>
      <ability>L2_Typo</ability>
      <abilityName>字词错误</abilityName>
      <candidateList>
        <item>：在</item>
      </candidateList>
      <explain/>
      <paraID>4B5D5EC2</paraID>
      <start>4</start>
      <end>5</end>
      <status>unmodified</status>
      <modifiedWord/>
      <trackRevisions>false</trackRevisions>
    </reviewItem>
    <reviewItem>
      <errorID>b0325826-e6a3-46d3-9f0f-b182890ec8d4</errorID>
      <errorWord>探勘</errorWord>
      <group>L1_Word</group>
      <groupName>字词问题</groupName>
      <ability>L2_Typo</ability>
      <abilityName>字词错误</abilityName>
      <candidateList>
        <item>勘探</item>
      </candidateList>
      <explain/>
      <paraID>65BB48D4</paraID>
      <start>72</start>
      <end>74</end>
      <status>unmodified</status>
      <modifiedWord/>
      <trackRevisions>false</trackRevisions>
    </reviewItem>
    <reviewItem>
      <errorID>25633675-a1c8-4087-bf58-f67aec8fca19</errorID>
      <errorWord>，</errorWord>
      <group>L1_Word</group>
      <groupName>字词问题</groupName>
      <ability>L2_Typo</ability>
      <abilityName>字词错误</abilityName>
      <candidateList>
        <item>，对</item>
      </candidateList>
      <explain/>
      <paraID>65BB48D4</paraID>
      <start>87</start>
      <end>88</end>
      <status>unmodified</status>
      <modifiedWord/>
      <trackRevisions>false</trackRevisions>
    </reviewItem>
    <reviewItem>
      <errorID>1f9bbf4b-29e3-4816-ad2d-ada7c4b11306</errorID>
      <errorWord>(</errorWord>
      <group>L1_Format</group>
      <groupName>格式问题</groupName>
      <ability>L2_HalfPunc</ability>
      <abilityName>全半角检查</abilityName>
      <candidateList>
        <item>（</item>
      </candidateList>
      <explain>文本全半角错误。</explain>
      <paraID>  EA646A</paraID>
      <start>41</start>
      <end>42</end>
      <status>unmodified</status>
      <modifiedWord/>
      <trackRevisions>false</trackRevisions>
    </reviewItem>
    <reviewItem>
      <errorID>8b558f22-a366-447d-828e-9d6d2c4697dc</errorID>
      <errorWord>)</errorWord>
      <group>L1_Format</group>
      <groupName>格式问题</groupName>
      <ability>L2_HalfPunc</ability>
      <abilityName>全半角检查</abilityName>
      <candidateList>
        <item>）</item>
      </candidateList>
      <explain>文本全半角错误。</explain>
      <paraID>  EA646A</paraID>
      <start>54</start>
      <end>55</end>
      <status>unmodified</status>
      <modifiedWord/>
      <trackRevisions>false</trackRevisions>
    </reviewItem>
    <reviewItem>
      <errorID>b8c1a827-ce2a-49cf-b13c-eb76b7e53247</errorID>
      <errorWord>(</errorWord>
      <group>L1_Format</group>
      <groupName>格式问题</groupName>
      <ability>L2_HalfPunc</ability>
      <abilityName>全半角检查</abilityName>
      <candidateList>
        <item>（</item>
      </candidateList>
      <explain>文本全半角错误。</explain>
      <paraID> 358CAD4</paraID>
      <start>34</start>
      <end>35</end>
      <status>unmodified</status>
      <modifiedWord/>
      <trackRevisions>false</trackRevisions>
    </reviewItem>
    <reviewItem>
      <errorID>d31d96b5-6449-495b-b2a2-273228241e4c</errorID>
      <errorWord>)</errorWord>
      <group>L1_Format</group>
      <groupName>格式问题</groupName>
      <ability>L2_HalfPunc</ability>
      <abilityName>全半角检查</abilityName>
      <candidateList>
        <item>）</item>
      </candidateList>
      <explain>文本全半角错误。</explain>
      <paraID> 358CAD4</paraID>
      <start>38</start>
      <end>39</end>
      <status>unmodified</status>
      <modifiedWord/>
      <trackRevisions>false</trackRevisions>
    </reviewItem>
    <reviewItem>
      <errorID>c88300aa-5a53-46cc-93f7-b14f1be6df4f</errorID>
      <errorWord>(</errorWord>
      <group>L1_Format</group>
      <groupName>格式问题</groupName>
      <ability>L2_HalfPunc</ability>
      <abilityName>全半角检查</abilityName>
      <candidateList>
        <item>（</item>
      </candidateList>
      <explain>文本全半角错误。</explain>
      <paraID>76D6321E</paraID>
      <start>56</start>
      <end>57</end>
      <status>unmodified</status>
      <modifiedWord/>
      <trackRevisions>false</trackRevisions>
    </reviewItem>
    <reviewItem>
      <errorID>d1e57ead-c40f-45f2-b3b7-0fe54e1a6556</errorID>
      <errorWord>)</errorWord>
      <group>L1_Format</group>
      <groupName>格式问题</groupName>
      <ability>L2_HalfPunc</ability>
      <abilityName>全半角检查</abilityName>
      <candidateList>
        <item>）</item>
      </candidateList>
      <explain>文本全半角错误。</explain>
      <paraID>76D6321E</paraID>
      <start>60</start>
      <end>61</end>
      <status>unmodified</status>
      <modifiedWord/>
      <trackRevisions>false</trackRevisions>
    </reviewItem>
    <reviewItem>
      <errorID>00f28526-8552-4aa7-b296-6900810487f5</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96</end>
      <status>unmodified</status>
      <modifiedWord/>
      <trackRevisions>false</trackRevisions>
    </reviewItem>
    <reviewItem>
      <errorID>be85e63f-99a2-4e75-95d0-32c550d3c78f</errorID>
      <errorWord>做</errorWord>
      <group>L1_Word</group>
      <groupName>字词问题</groupName>
      <ability>L2_Typo</ability>
      <abilityName>字词错误</abilityName>
      <candidateList>
        <item>作</item>
      </candidateList>
      <explain>存在发音相同字词的误用。</explain>
      <paraID>69566058</paraID>
      <start>109</start>
      <end>110</end>
      <status>unmodified</status>
      <modifiedWord/>
      <trackRevisions>false</trackRevisions>
    </reviewItem>
    <reviewItem>
      <errorID>694ac182-4710-4f32-b5ec-06dca8069789</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unmodified</status>
      <modifiedWord/>
      <trackRevisions>false</trackRevisions>
    </reviewItem>
    <reviewItem>
      <errorID>cde13533-5677-4aa3-bb07-f6e4f0b869e4</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unmodified</status>
      <modifiedWord/>
      <trackRevisions>false</trackRevisions>
    </reviewItem>
    <reviewItem>
      <errorID>d8b30e0a-92d8-4ea2-8dfb-ee36ed314267</errorID>
      <errorWord>(</errorWord>
      <group>L1_Format</group>
      <groupName>格式问题</groupName>
      <ability>L2_HalfPunc</ability>
      <abilityName>全半角检查</abilityName>
      <candidateList>
        <item>（</item>
      </candidateList>
      <explain>文本全半角错误。</explain>
      <paraID>40B71159</paraID>
      <start>0</start>
      <end>1</end>
      <status>unmodified</status>
      <modifiedWord/>
      <trackRevisions>false</trackRevisions>
    </reviewItem>
    <reviewItem>
      <errorID>253ed359-a0c7-4192-9fa8-c87fd6c34c58</errorID>
      <errorWord>)</errorWord>
      <group>L1_Format</group>
      <groupName>格式问题</groupName>
      <ability>L2_HalfPunc</ability>
      <abilityName>全半角检查</abilityName>
      <candidateList>
        <item>）</item>
      </candidateList>
      <explain>文本全半角错误。</explain>
      <paraID>40B71159</paraID>
      <start>12</start>
      <end>13</end>
      <status>unmodified</status>
      <modifiedWord/>
      <trackRevisions>false</trackRevisions>
    </reviewItem>
    <reviewItem>
      <errorID>6544f586-4fc0-4468-a7f3-56511432e035</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075486e2-f98a-45d1-ac21-01dca44fde22</errorID>
      <errorWord>;</errorWord>
      <group>L1_Format</group>
      <groupName>格式问题</groupName>
      <ability>L2_HalfPunc</ability>
      <abilityName>全半角检查</abilityName>
      <candidateList>
        <item>；</item>
      </candidateList>
      <explain>文本全半角错误。</explain>
      <paraID>44E6B74B</paraID>
      <start>8</start>
      <end>9</end>
      <status>unmodified</status>
      <modifiedWord/>
      <trackRevisions>false</trackRevisions>
    </reviewItem>
    <reviewItem>
      <errorID>a5a8ff1b-cc20-4cb3-9f1a-2b93bcd850aa</errorID>
      <errorWord>;</errorWord>
      <group>L1_Format</group>
      <groupName>格式问题</groupName>
      <ability>L2_HalfPunc</ability>
      <abilityName>全半角检查</abilityName>
      <candidateList>
        <item>；</item>
      </candidateList>
      <explain>文本全半角错误。</explain>
      <paraID>2AB11800</paraID>
      <start>10</start>
      <end>11</end>
      <status>unmodified</status>
      <modifiedWord/>
      <trackRevisions>false</trackRevisions>
    </reviewItem>
    <reviewItem>
      <errorID>4e161c98-12b7-45ed-ad53-80f1b4f363f1</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15DB8298</paraID>
      <start>54</start>
      <end>57</end>
      <status>unmodified</status>
      <modifiedWord/>
      <trackRevisions>false</trackRevisions>
    </reviewItem>
    <reviewItem>
      <errorID>0da4e6a1-ffc6-4f7c-aaf4-27dfb7ffa2f1</errorID>
      <errorWord>配备</errorWord>
      <group>L1_Grammar</group>
      <groupName>语法问题</groupName>
      <ability>L2_Grammar</ability>
      <abilityName>语法错误</abilityName>
      <candidateList>
        <item>搭载</item>
      </candidateList>
      <explain>“配备～项目”搭配不当，建议修改为“搭载～项目”。</explain>
      <paraID>117E4B18</paraID>
      <start>5</start>
      <end>7</end>
      <status>unmodified</status>
      <modifiedWord/>
      <trackRevisions>false</trackRevisions>
    </reviewItem>
    <reviewItem>
      <errorID>5bf1cd57-69d7-4965-baea-74f91fac5d13</errorID>
      <errorWord>其它</errorWord>
      <group>L1_Word</group>
      <groupName>字词问题</groupName>
      <ability>L2_Alias</ability>
      <abilityName>也作/曾用词</abilityName>
      <candidateList>
        <item>其他</item>
      </candidateList>
      <explain>词汇[其它]为不规范表述或旧称，其规范书面表述为[其他]。</explain>
      <paraID>39712E0E</paraID>
      <start>11</start>
      <end>13</end>
      <status>unmodified</status>
      <modifiedWord/>
      <trackRevisions>false</trackRevisions>
    </reviewItem>
    <reviewItem>
      <errorID>5cd9c264-108b-4f16-9bac-5fbdc7a6eea8</errorID>
      <errorWord>其它</errorWord>
      <group>L1_Word</group>
      <groupName>字词问题</groupName>
      <ability>L2_Alias</ability>
      <abilityName>也作/曾用词</abilityName>
      <candidateList>
        <item>其他</item>
      </candidateList>
      <explain>词汇[其它]为不规范表述或旧称，其规范书面表述为[其他]。</explain>
      <paraID>61B44CED</paraID>
      <start>4</start>
      <end>6</end>
      <status>unmodified</status>
      <modifiedWord/>
      <trackRevisions>false</trackRevisions>
    </reviewItem>
    <reviewItem>
      <errorID>b45056fc-b431-4eec-ad5a-ba846a2deffe</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68B1BDBD</paraID>
      <start>36</start>
      <end>38</end>
      <status>unmodified</status>
      <modifiedWord/>
      <trackRevisions>false</trackRevisions>
    </reviewItem>
    <reviewItem>
      <errorID>317bc880-c036-4834-b6ed-4803855f1e86</errorID>
      <errorWord>法律、法规</errorWord>
      <group>L1_Word</group>
      <groupName>字词问题</groupName>
      <ability>L2_Typo</ability>
      <abilityName>字词错误</abilityName>
      <candidateList>
        <item>法律法规</item>
      </candidateList>
      <explain/>
      <paraID>2E148C93</paraID>
      <start>17</start>
      <end>22</end>
      <status>unmodified</status>
      <modifiedWord/>
      <trackRevisions>false</trackRevisions>
    </reviewItem>
    <reviewItem>
      <errorID>44c59c79-0929-4087-ad4c-7bbb349827be</errorID>
      <errorWord>挡</errorWord>
      <group>L1_Word</group>
      <groupName>字词问题</groupName>
      <ability>L2_Typo</ability>
      <abilityName>字词错误</abilityName>
      <candidateList>
        <item>档</item>
      </candidateList>
      <explain>存在发音相同字词的误用。</explain>
      <paraID>17EA8D50</paraID>
      <start>8</start>
      <end>9</end>
      <status>unmodified</status>
      <modifiedWord/>
      <trackRevisions>false</trackRevisions>
    </reviewItem>
    <reviewItem>
      <errorID>88e0b128-aa44-4ed6-9305-fd73a7807130</errorID>
      <errorWord>（</errorWord>
      <group>L1_Punc</group>
      <groupName>标点问题</groupName>
      <ability>L2_Punc</ability>
      <abilityName>标点符号检查</abilityName>
      <candidateList/>
      <explain>同一形式括号套用。</explain>
      <paraID>6A813962</paraID>
      <start>16</start>
      <end>17</end>
      <status>unmodified</status>
      <modifiedWord/>
      <trackRevisions>false</trackRevisions>
    </reviewItem>
    <reviewItem>
      <errorID>fb2b0a72-a3fb-456b-b8c9-1413e6bb4163</errorID>
      <errorWord>）</errorWord>
      <group>L1_Punc</group>
      <groupName>标点问题</groupName>
      <ability>L2_Punc</ability>
      <abilityName>标点符号检查</abilityName>
      <candidateList/>
      <explain>同一形式括号套用。</explain>
      <paraID>6A813962</paraID>
      <start>18</start>
      <end>19</end>
      <status>unmodified</status>
      <modifiedWord/>
      <trackRevisions>false</trackRevisions>
    </reviewItem>
    <reviewItem>
      <errorID>1beff79d-87aa-42b4-b6e6-3d965cc42605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1C4838DA</paraID>
      <start>0</start>
      <end>3</end>
      <status>unmodified</status>
      <modifiedWord/>
      <trackRevisions>false</trackRevisions>
    </reviewItem>
    <reviewItem>
      <errorID>8b486830-86c0-4015-9e80-ff07880e692d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18D4A480</paraID>
      <start>0</start>
      <end>3</end>
      <status>unmodified</status>
      <modifiedWord/>
      <trackRevisions>false</trackRevisions>
    </reviewItem>
    <reviewItem>
      <errorID>40386a26-99ba-4f23-bd68-60c0526397d5</errorID>
      <errorWord>(</errorWord>
      <group>L1_Format</group>
      <groupName>格式问题</groupName>
      <ability>L2_HalfPunc</ability>
      <abilityName>全半角检查</abilityName>
      <candidateList>
        <item>（</item>
      </candidateList>
      <explain>文本全半角错误。</explain>
      <paraID>35689C39</paraID>
      <start>19</start>
      <end>20</end>
      <status>unmodified</status>
      <modifiedWord/>
      <trackRevisions>false</trackRevisions>
    </reviewItem>
    <reviewItem>
      <errorID>d96b4b65-699b-4814-8f2e-1b43f64aad1d</errorID>
      <errorWord>)</errorWord>
      <group>L1_Format</group>
      <groupName>格式问题</groupName>
      <ability>L2_HalfPunc</ability>
      <abilityName>全半角检查</abilityName>
      <candidateList>
        <item>）</item>
      </candidateList>
      <explain>文本全半角错误。</explain>
      <paraID>35689C39</paraID>
      <start>23</start>
      <end>24</end>
      <status>unmodified</status>
      <modifiedWord/>
      <trackRevisions>false</trackRevisions>
    </reviewItem>
    <reviewItem>
      <errorID>350529b1-592e-4ad8-8b7a-42228d9027a6</errorID>
      <errorWord>(</errorWord>
      <group>L1_Format</group>
      <groupName>格式问题</groupName>
      <ability>L2_HalfPunc</ability>
      <abilityName>全半角检查</abilityName>
      <candidateList>
        <item>（</item>
      </candidateList>
      <explain>文本全半角错误。</explain>
      <paraID>29FED4FD</paraID>
      <start>21</start>
      <end>22</end>
      <status>unmodified</status>
      <modifiedWord/>
      <trackRevisions>false</trackRevisions>
    </reviewItem>
    <reviewItem>
      <errorID>9e6de836-69dd-4178-98e3-1d4aee4335ab</errorID>
      <errorWord>)</errorWord>
      <group>L1_Format</group>
      <groupName>格式问题</groupName>
      <ability>L2_HalfPunc</ability>
      <abilityName>全半角检查</abilityName>
      <candidateList>
        <item>）</item>
      </candidateList>
      <explain>文本全半角错误。</explain>
      <paraID>29FED4FD</paraID>
      <start>44</start>
      <end>45</end>
      <status>unmodified</status>
      <modifiedWord/>
      <trackRevisions>false</trackRevisions>
    </reviewItem>
    <reviewItem>
      <errorID>a013a49e-d2b4-4825-8028-5f98492a5a7f</errorID>
      <errorWord>(</errorWord>
      <group>L1_Format</group>
      <groupName>格式问题</groupName>
      <ability>L2_HalfPunc</ability>
      <abilityName>全半角检查</abilityName>
      <candidateList>
        <item>（</item>
      </candidateList>
      <explain>文本全半角错误。</explain>
      <paraID>29FED4FD</paraID>
      <start>53</start>
      <end>54</end>
      <status>unmodified</status>
      <modifiedWord/>
      <trackRevisions>false</trackRevisions>
    </reviewItem>
    <reviewItem>
      <errorID>c0315555-6a16-444c-ab70-5016c61efab2</errorID>
      <errorWord>)</errorWord>
      <group>L1_Format</group>
      <groupName>格式问题</groupName>
      <ability>L2_HalfPunc</ability>
      <abilityName>全半角检查</abilityName>
      <candidateList>
        <item>）</item>
      </candidateList>
      <explain>文本全半角错误。</explain>
      <paraID>29FED4FD</paraID>
      <start>69</start>
      <end>70</end>
      <status>unmodified</status>
      <modifiedWord/>
      <trackRevisions>false</trackRevisions>
    </reviewItem>
    <reviewItem>
      <errorID>d11ddb2f-3760-454c-a758-29c0d7b63693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unmodified</status>
      <modifiedWord/>
      <trackRevisions>false</trackRevisions>
    </reviewItem>
    <reviewItem>
      <errorID>762b8b24-2d34-443c-9447-83b357d4c37b</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ac9cb28e-b30e-4559-88be-927d7d9ac499</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unmodified</status>
      <modifiedWord/>
      <trackRevisions>false</trackRevisions>
    </reviewItem>
    <reviewItem>
      <errorID>676a8b88-31a6-4bbf-8358-ae10556beec8</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unmodified</status>
      <modifiedWord/>
      <trackRevisions>false</trackRevisions>
    </reviewItem>
    <reviewItem>
      <errorID>91269495-860a-4441-a40d-6728327253ee</errorID>
      <errorWord>(</errorWord>
      <group>L1_Format</group>
      <groupName>格式问题</groupName>
      <ability>L2_HalfPunc</ability>
      <abilityName>全半角检查</abilityName>
      <candidateList>
        <item>（</item>
      </candidateList>
      <explain>文本全半角错误。</explain>
      <paraID>241BF9A5</paraID>
      <start>0</start>
      <end>1</end>
      <status>unmodified</status>
      <modifiedWord/>
      <trackRevisions>false</trackRevisions>
    </reviewItem>
    <reviewItem>
      <errorID>b21f4cc0-f0ee-4612-857d-86029826c6a8</errorID>
      <errorWord>)</errorWord>
      <group>L1_Format</group>
      <groupName>格式问题</groupName>
      <ability>L2_HalfPunc</ability>
      <abilityName>全半角检查</abilityName>
      <candidateList>
        <item>）</item>
      </candidateList>
      <explain>文本全半角错误。</explain>
      <paraID>241BF9A5</paraID>
      <start>9</start>
      <end>10</end>
      <status>unmodified</status>
      <modifiedWord/>
      <trackRevisions>false</trackRevisions>
    </reviewItem>
    <reviewItem>
      <errorID>6db58e7f-0f36-4870-abfb-078e6bd7271d</errorID>
      <errorWord>(</errorWord>
      <group>L1_Format</group>
      <groupName>格式问题</groupName>
      <ability>L2_HalfPunc</ability>
      <abilityName>全半角检查</abilityName>
      <candidateList>
        <item>（</item>
      </candidateList>
      <explain>文本全半角错误。</explain>
      <paraID>2C00BF0A</paraID>
      <start>8</start>
      <end>9</end>
      <status>unmodified</status>
      <modifiedWord/>
      <trackRevisions>false</trackRevisions>
    </reviewItem>
    <reviewItem>
      <errorID>05650867-68f0-4a8d-8057-e07d7268d5fb</errorID>
      <errorWord>,</errorWord>
      <group>L1_Format</group>
      <groupName>格式问题</groupName>
      <ability>L2_HalfPunc</ability>
      <abilityName>全半角检查</abilityName>
      <candidateList>
        <item>，</item>
      </candidateList>
      <explain>文本全半角错误。</explain>
      <paraID>2C00BF0A</paraID>
      <start>68</start>
      <end>69</end>
      <status>unmodified</status>
      <modifiedWord/>
      <trackRevisions>false</trackRevisions>
    </reviewItem>
    <reviewItem>
      <errorID>9756f043-a22a-4953-839d-d6cd84c080f4</errorID>
      <errorWord>(</errorWord>
      <group>L1_Format</group>
      <groupName>格式问题</groupName>
      <ability>L2_HalfPunc</ability>
      <abilityName>全半角检查</abilityName>
      <candidateList>
        <item>（</item>
      </candidateList>
      <explain>文本全半角错误。</explain>
      <paraID>679907F1</paraID>
      <start>3</start>
      <end>4</end>
      <status>unmodified</status>
      <modifiedWord/>
      <trackRevisions>false</trackRevisions>
    </reviewItem>
    <reviewItem>
      <errorID>1cf967d0-3003-4522-8613-a61cf2f1b8f9</errorID>
      <errorWord>)</errorWord>
      <group>L1_Format</group>
      <groupName>格式问题</groupName>
      <ability>L2_HalfPunc</ability>
      <abilityName>全半角检查</abilityName>
      <candidateList>
        <item>）</item>
      </candidateList>
      <explain>文本全半角错误。</explain>
      <paraID>679907F1</paraID>
      <start>9</start>
      <end>10</end>
      <status>unmodified</status>
      <modifiedWord/>
      <trackRevisions>false</trackRevisions>
    </reviewItem>
    <reviewItem>
      <errorID>8baaab52-b4b6-4d3f-aba7-0f8db37e035b</errorID>
      <errorWord>期</errorWord>
      <group>L1_Word</group>
      <groupName>字词问题</groupName>
      <ability>L2_Typo</ability>
      <abilityName>字词错误</abilityName>
      <candidateList>
        <item>期内</item>
      </candidateList>
      <explain/>
      <paraID> 4C6E668</paraID>
      <start>42</start>
      <end>43</end>
      <status>unmodified</status>
      <modifiedWord/>
      <trackRevisions>false</trackRevisions>
    </reviewItem>
    <reviewItem>
      <errorID>9bb57d7a-2c08-4caa-ac1c-012bec3594b1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unmodified</status>
      <modifiedWord/>
      <trackRevisions>false</trackRevisions>
    </reviewItem>
    <reviewItem>
      <errorID>08e05a2c-df38-418b-b46b-544dd3a414af</errorID>
      <errorWord>(</errorWord>
      <group>L1_Format</group>
      <groupName>格式问题</groupName>
      <ability>L2_HalfPunc</ability>
      <abilityName>全半角检查</abilityName>
      <candidateList>
        <item>（</item>
      </candidateList>
      <explain>文本全半角错误。</explain>
      <paraID>3E54F355</paraID>
      <start>105</start>
      <end>106</end>
      <status>unmodified</status>
      <modifiedWord/>
      <trackRevisions>false</trackRevisions>
    </reviewItem>
    <reviewItem>
      <errorID>4b4bbf36-0632-408c-8841-561b5df64a33</errorID>
      <errorWord>......</errorWord>
      <group>L1_Punc</group>
      <groupName>标点问题</groupName>
      <ability>L2_Punc</ability>
      <abilityName>标点符号检查</abilityName>
      <candidateList>
        <item>……</item>
      </candidateList>
      <explain/>
      <paraID>3E54F355</paraID>
      <start>106</start>
      <end>112</end>
      <status>unmodified</status>
      <modifiedWord/>
      <trackRevisions>false</trackRevisions>
    </reviewItem>
    <reviewItem>
      <errorID>e6812d1f-fcf9-4eb1-a98f-def4aea78727</errorID>
      <errorWord>)</errorWord>
      <group>L1_Format</group>
      <groupName>格式问题</groupName>
      <ability>L2_HalfPunc</ability>
      <abilityName>全半角检查</abilityName>
      <candidateList>
        <item>）</item>
      </candidateList>
      <explain>文本全半角错误。</explain>
      <paraID>3E54F355</paraID>
      <start>112</start>
      <end>113</end>
      <status>unmodified</status>
      <modifiedWord/>
      <trackRevisions>false</trackRevisions>
    </reviewItem>
    <reviewItem>
      <errorID>e47bffde-2281-40b7-b58e-87bbad8d77c9</errorID>
      <errorWord>......</errorWord>
      <group>L1_Punc</group>
      <groupName>标点问题</groupName>
      <ability>L2_Punc</ability>
      <abilityName>标点符号检查</abilityName>
      <candidateList>
        <item>……</item>
      </candidateList>
      <explain/>
      <paraID>4B45D6C3</paraID>
      <start>1</start>
      <end>7</end>
      <status>unmodified</status>
      <modifiedWord/>
      <trackRevisions>false</trackRevisions>
    </reviewItem>
    <reviewItem>
      <errorID>43610135-8184-4a48-812b-5d44178eaa47</errorID>
      <errorWord>......</errorWord>
      <group>L1_Punc</group>
      <groupName>标点问题</groupName>
      <ability>L2_Punc</ability>
      <abilityName>标点符号检查</abilityName>
      <candidateList>
        <item>……</item>
      </candidateList>
      <explain/>
      <paraID>536E90FE</paraID>
      <start>1</start>
      <end>7</end>
      <status>unmodified</status>
      <modifiedWord/>
      <trackRevisions>false</trackRevisions>
    </reviewItem>
    <reviewItem>
      <errorID>4c1b9ef9-be04-4907-94cd-92ef6c6447dc</errorID>
      <errorWord>......</errorWord>
      <group>L1_Punc</group>
      <groupName>标点问题</groupName>
      <ability>L2_Punc</ability>
      <abilityName>标点符号检查</abilityName>
      <candidateList>
        <item>……</item>
      </candidateList>
      <explain/>
      <paraID>3556051C</paraID>
      <start>1</start>
      <end>7</end>
      <status>unmodified</status>
      <modifiedWord/>
      <trackRevisions>false</trackRevisions>
    </reviewItem>
    <reviewItem>
      <errorID>54a51169-b88d-4772-923e-c5ab173e14e3</errorID>
      <errorWord>,</errorWord>
      <group>L1_Format</group>
      <groupName>格式问题</groupName>
      <ability>L2_HalfPunc</ability>
      <abilityName>全半角检查</abilityName>
      <candidateList>
        <item>，</item>
      </candidateList>
      <explain>文本全半角错误。</explain>
      <paraID>20C0FE73</paraID>
      <start>8</start>
      <end>9</end>
      <status>unmodified</status>
      <modifiedWord/>
      <trackRevisions>false</trackRevisions>
    </reviewItem>
    <reviewItem>
      <errorID>5f8c3fa4-0260-46f0-a415-c591b47413f5</errorID>
      <errorWord>,</errorWord>
      <group>L1_Format</group>
      <groupName>格式问题</groupName>
      <ability>L2_HalfPunc</ability>
      <abilityName>全半角检查</abilityName>
      <candidateList>
        <item>，</item>
      </candidateList>
      <explain>文本全半角错误。</explain>
      <paraID>20C0FE73</paraID>
      <start>29</start>
      <end>30</end>
      <status>unmodified</status>
      <modifiedWord/>
      <trackRevisions>false</trackRevisions>
    </reviewItem>
    <reviewItem>
      <errorID>0450162e-e42e-48d9-8a74-259792ae8328</errorID>
      <errorWord>,</errorWord>
      <group>L1_Format</group>
      <groupName>格式问题</groupName>
      <ability>L2_HalfPunc</ability>
      <abilityName>全半角检查</abilityName>
      <candidateList>
        <item>，</item>
      </candidateList>
      <explain>文本全半角错误。</explain>
      <paraID>20C0FE73</paraID>
      <start>101</start>
      <end>102</end>
      <status>unmodified</status>
      <modifiedWord/>
      <trackRevisions>false</trackRevisions>
    </reviewItem>
    <reviewItem>
      <errorID>e6178091-7fe3-4dba-8e9d-8d3c2cce231d</errorID>
      <errorWord>表</errorWord>
      <group>L1_Word</group>
      <groupName>字词问题</groupName>
      <ability>L2_Typo</ability>
      <abilityName>字词错误</abilityName>
      <candidateList>
        <item>表人</item>
      </candidateList>
      <explain/>
      <paraID>7A396846</paraID>
      <start>3</start>
      <end>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F908720-FCFA-4217-8B18-4FEEBF7FCA04}">
  <ds:schemaRefs/>
</ds:datastoreItem>
</file>

<file path=docProps/app.xml><?xml version="1.0" encoding="utf-8"?>
<Properties xmlns="http://schemas.openxmlformats.org/officeDocument/2006/extended-properties" xmlns:vt="http://schemas.openxmlformats.org/officeDocument/2006/docPropsVTypes">
  <Template>Normal.dotm</Template>
  <Pages>41</Pages>
  <Words>18757</Words>
  <Characters>19419</Characters>
  <Lines>127</Lines>
  <Paragraphs>35</Paragraphs>
  <TotalTime>3</TotalTime>
  <ScaleCrop>false</ScaleCrop>
  <LinksUpToDate>false</LinksUpToDate>
  <CharactersWithSpaces>19760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2026-04-17T03:38:00Z</dcterms:created>
  <dc:creator>7</dc:creator>
  <cp:lastModifiedBy>SHJ</cp:lastModifiedBy>
  <dcterms:modified xsi:type="dcterms:W3CDTF">2026-08-17T00:44:31Z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8A017B32CA634EE5945906B28E3442B2_13</vt:lpwstr>
  </property>
  <property fmtid="{D5CDD505-2E9C-101B-9397-08002B2CF9AE}" pid="4" name="KSOTemplateDocerSaveRecord">
    <vt:lpwstr>eyJoZGlkIjoiZjQ1ZDk1MmU3MjAyNzI4MjAzOTVhMjZhNTA1ZWNlMmEiLCJ1c2VySWQiOiI2NTgwMTYxNjcifQ==</vt:lpwstr>
  </property>
</Properties>
</file>