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四川省人民医院英文刊《Medicine Bulletin》封面设计服务采购项目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62832406"/>
      <w:bookmarkStart w:id="2" w:name="_Toc1907"/>
      <w:bookmarkStart w:id="3" w:name="_Toc3240"/>
      <w:bookmarkStart w:id="4" w:name="_Toc21919"/>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四川省人民医院英文刊《Medicine Bulletin》封面设计服务采购项目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CGZX-TSQ20260731</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56F6904">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本项目为据实结算项目，支付上限为</w:t>
            </w: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4万</w:t>
            </w:r>
            <w:r>
              <w:rPr>
                <w:rFonts w:ascii="Times New Roman" w:hAnsi="Times New Roman" w:eastAsia="仿宋" w:cs="Times New Roman"/>
                <w:sz w:val="22"/>
              </w:rPr>
              <w:t>元</w:t>
            </w:r>
            <w:r>
              <w:rPr>
                <w:rFonts w:hint="eastAsia" w:ascii="Times New Roman" w:hAnsi="Times New Roman" w:eastAsia="仿宋" w:cs="Times New Roman"/>
                <w:sz w:val="22"/>
                <w:lang w:eastAsia="zh-CN"/>
              </w:rPr>
              <w:t>。单期封面设计</w:t>
            </w:r>
            <w:r>
              <w:rPr>
                <w:rFonts w:hint="eastAsia" w:ascii="Times New Roman" w:hAnsi="Times New Roman" w:eastAsia="仿宋" w:cs="Times New Roman"/>
                <w:sz w:val="22"/>
                <w:lang w:val="en-US" w:eastAsia="zh-CN"/>
              </w:rPr>
              <w:t>限高单价</w:t>
            </w:r>
            <w:r>
              <w:rPr>
                <w:rFonts w:hint="eastAsia" w:ascii="Times New Roman" w:hAnsi="Times New Roman" w:eastAsia="仿宋" w:cs="Times New Roman"/>
                <w:sz w:val="22"/>
                <w:lang w:eastAsia="zh-CN"/>
              </w:rPr>
              <w:t>人民币</w:t>
            </w:r>
            <w:r>
              <w:rPr>
                <w:rFonts w:hint="eastAsia" w:ascii="Times New Roman" w:hAnsi="Times New Roman" w:eastAsia="仿宋" w:cs="Times New Roman"/>
                <w:sz w:val="22"/>
                <w:lang w:val="en-US" w:eastAsia="zh-CN"/>
              </w:rPr>
              <w:t>4545</w:t>
            </w:r>
            <w:r>
              <w:rPr>
                <w:rFonts w:hint="eastAsia" w:ascii="Times New Roman" w:hAnsi="Times New Roman" w:eastAsia="仿宋" w:cs="Times New Roman"/>
                <w:sz w:val="22"/>
                <w:lang w:eastAsia="zh-CN"/>
              </w:rPr>
              <w:t>元。</w:t>
            </w:r>
            <w:r>
              <w:rPr>
                <w:rFonts w:hint="eastAsia" w:ascii="仿宋" w:hAnsi="仿宋" w:eastAsia="仿宋" w:cs="仿宋"/>
                <w:color w:val="auto"/>
                <w:sz w:val="22"/>
                <w:szCs w:val="22"/>
                <w:lang w:eastAsia="zh-CN"/>
              </w:rPr>
              <w:t>超过</w:t>
            </w:r>
            <w:r>
              <w:rPr>
                <w:rFonts w:hint="eastAsia" w:ascii="仿宋" w:hAnsi="仿宋" w:eastAsia="仿宋" w:cs="仿宋"/>
                <w:color w:val="auto"/>
                <w:sz w:val="22"/>
                <w:szCs w:val="22"/>
                <w:lang w:val="en-US" w:eastAsia="zh-CN"/>
              </w:rPr>
              <w:t>限高单价</w:t>
            </w:r>
            <w:r>
              <w:rPr>
                <w:rFonts w:hint="eastAsia" w:ascii="仿宋" w:hAnsi="仿宋" w:eastAsia="仿宋" w:cs="仿宋"/>
                <w:color w:val="auto"/>
                <w:sz w:val="22"/>
                <w:szCs w:val="22"/>
                <w:lang w:eastAsia="zh-CN"/>
              </w:rPr>
              <w:t>的报价，</w:t>
            </w:r>
            <w:r>
              <w:rPr>
                <w:rFonts w:hint="eastAsia" w:ascii="Times New Roman" w:hAnsi="Times New Roman" w:eastAsia="仿宋" w:cs="Times New Roman"/>
                <w:sz w:val="22"/>
              </w:rPr>
              <w:t>其响应文件按无效文件处理。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自服务完成且验收合格后，采购人接到供应商退还申请后30个工作日内，一次性无息退还全部履约保证金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w:t>
            </w:r>
            <w:r>
              <w:rPr>
                <w:rFonts w:hint="eastAsia" w:ascii="Times New Roman" w:hAnsi="Times New Roman" w:eastAsia="仿宋" w:cs="Times New Roman"/>
                <w:sz w:val="22"/>
                <w:lang w:val="en-US" w:eastAsia="zh-CN"/>
              </w:rPr>
              <w:t>下浮率</w:t>
            </w:r>
            <w:r>
              <w:rPr>
                <w:rFonts w:ascii="Times New Roman" w:hAnsi="Times New Roman" w:eastAsia="仿宋" w:cs="Times New Roman"/>
                <w:sz w:val="22"/>
              </w:rPr>
              <w:t>最</w:t>
            </w:r>
            <w:r>
              <w:rPr>
                <w:rFonts w:hint="eastAsia" w:ascii="Times New Roman" w:hAnsi="Times New Roman" w:eastAsia="仿宋" w:cs="Times New Roman"/>
                <w:sz w:val="22"/>
                <w:lang w:val="en-US" w:eastAsia="zh-CN"/>
              </w:rPr>
              <w:t>高</w:t>
            </w:r>
            <w:r>
              <w:rPr>
                <w:rFonts w:ascii="Times New Roman" w:hAnsi="Times New Roman" w:eastAsia="仿宋" w:cs="Times New Roman"/>
                <w:sz w:val="22"/>
              </w:rPr>
              <w:t>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老师028-</w:t>
            </w:r>
            <w:r>
              <w:rPr>
                <w:rFonts w:hint="eastAsia" w:ascii="Times New Roman" w:hAnsi="Times New Roman" w:eastAsia="仿宋" w:cs="Times New Roman"/>
                <w:sz w:val="22"/>
              </w:rPr>
              <w:t>87393665</w:t>
            </w:r>
          </w:p>
          <w:p w14:paraId="32CEDDED">
            <w:pPr>
              <w:spacing w:line="360" w:lineRule="auto"/>
              <w:ind w:left="210" w:leftChars="100"/>
              <w:rPr>
                <w:rFonts w:hint="eastAsia" w:ascii="仿宋" w:hAnsi="仿宋" w:eastAsia="仿宋" w:cs="仿宋"/>
                <w:b/>
                <w:bCs/>
                <w:color w:val="auto"/>
                <w:sz w:val="22"/>
                <w:szCs w:val="22"/>
                <w:lang w:eastAsia="zh-CN"/>
              </w:rPr>
            </w:pPr>
            <w:r>
              <w:rPr>
                <w:rFonts w:ascii="Times New Roman" w:hAnsi="Times New Roman" w:eastAsia="仿宋" w:cs="Times New Roman"/>
                <w:sz w:val="22"/>
              </w:rPr>
              <w:t>（2）归口部门：</w:t>
            </w:r>
            <w:r>
              <w:rPr>
                <w:rFonts w:hint="eastAsia" w:ascii="仿宋" w:hAnsi="仿宋" w:eastAsia="仿宋" w:cs="仿宋"/>
                <w:b/>
                <w:bCs/>
                <w:color w:val="auto"/>
                <w:sz w:val="22"/>
                <w:szCs w:val="22"/>
                <w:lang w:val="en-US" w:eastAsia="zh-CN"/>
              </w:rPr>
              <w:t>图书期刊部</w:t>
            </w:r>
          </w:p>
          <w:p w14:paraId="4524AB95">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郭老师 028-87394691</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886"/>
        <w:gridCol w:w="6054"/>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D430456">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无</w:t>
            </w:r>
          </w:p>
        </w:tc>
        <w:tc>
          <w:tcPr>
            <w:tcW w:w="6054" w:type="dxa"/>
            <w:vAlign w:val="center"/>
          </w:tcPr>
          <w:p w14:paraId="2F64669A">
            <w:pPr>
              <w:jc w:val="left"/>
              <w:rPr>
                <w:rFonts w:hint="eastAsia" w:ascii="Times New Roman" w:hAnsi="Times New Roman" w:eastAsia="仿宋" w:cs="Times New Roman"/>
                <w:bCs/>
                <w:kern w:val="0"/>
                <w:sz w:val="22"/>
                <w:lang w:eastAsia="zh-CN"/>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351"/>
        <w:gridCol w:w="6589"/>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14EF0F2A">
      <w:pPr>
        <w:pStyle w:val="1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ascii="仿宋" w:hAnsi="仿宋" w:eastAsia="仿宋"/>
          <w:b/>
          <w:bCs/>
          <w:sz w:val="24"/>
          <w:szCs w:val="24"/>
        </w:rPr>
      </w:pPr>
      <w:r>
        <w:rPr>
          <w:rFonts w:hint="eastAsia" w:ascii="仿宋" w:hAnsi="仿宋" w:eastAsia="仿宋"/>
          <w:b/>
          <w:bCs/>
          <w:sz w:val="24"/>
          <w:szCs w:val="24"/>
        </w:rPr>
        <w:t>一、项目简介</w:t>
      </w:r>
    </w:p>
    <w:p w14:paraId="48591B28">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本项目拟确定一家供应商提供英文刊《Medicine Bulletin》封面设计服务。</w:t>
      </w:r>
    </w:p>
    <w:p w14:paraId="7AECA23C">
      <w:pPr>
        <w:pStyle w:val="1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仿宋" w:hAnsi="仿宋" w:eastAsia="仿宋"/>
          <w:b/>
          <w:bCs/>
          <w:sz w:val="24"/>
          <w:szCs w:val="24"/>
          <w:lang w:eastAsia="zh-CN"/>
        </w:rPr>
      </w:pPr>
      <w:r>
        <w:rPr>
          <w:rFonts w:hint="eastAsia" w:ascii="仿宋" w:hAnsi="仿宋" w:eastAsia="仿宋"/>
          <w:b/>
          <w:bCs/>
          <w:sz w:val="24"/>
          <w:szCs w:val="24"/>
        </w:rPr>
        <w:t>★二、</w:t>
      </w:r>
      <w:r>
        <w:rPr>
          <w:rFonts w:hint="eastAsia" w:ascii="仿宋" w:hAnsi="仿宋" w:eastAsia="仿宋"/>
          <w:b/>
          <w:bCs/>
          <w:sz w:val="24"/>
          <w:szCs w:val="24"/>
          <w:lang w:val="en-US" w:eastAsia="zh-CN"/>
        </w:rPr>
        <w:t>服务要求</w:t>
      </w:r>
    </w:p>
    <w:p w14:paraId="4F6B10D1">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（一）团队要求。项目团队每次封面制作应安排不少于2名专业封面设计人员。采购人有权根据项目执行情况要求调整团队配置。</w:t>
      </w:r>
    </w:p>
    <w:p w14:paraId="030D8072">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（二）设计方案要求。</w:t>
      </w:r>
    </w:p>
    <w:p w14:paraId="2178969C">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 初稿数量：首次提交设计方案应由两名及以上封面设计师分别完成设计，并提交不少于4套完整设计方案。各方案应在构图、视觉风格、色彩表达或设计理念上具有明显差异，不得为同一方案的简单变体或重复修改。</w:t>
      </w:r>
    </w:p>
    <w:p w14:paraId="2312D0D7">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 设计原则：设计成果应符合以下要求：符合国际医学期刊视觉规范，英文出版表达习惯，学术品牌定位，突出医学、科研、国际化特征，具备较强传播识别性。</w:t>
      </w:r>
    </w:p>
    <w:p w14:paraId="4C699D04">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 品牌一致性要求：全年设计须保持统一品牌识别体系，包括但不限于：刊名展示位置、Logo位置、ISSN信息位置、字体系统、色彩系统、栏目布局逻辑。</w:t>
      </w:r>
    </w:p>
    <w:p w14:paraId="7113C42D">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4.封面设计服务。包括但不限于：期刊封面创意设计、医学学术视觉概念设计、期刊品牌视觉统一设计、排版优化设计、出版印刷适配设计、新媒体传播延展设计。 </w:t>
      </w:r>
    </w:p>
    <w:p w14:paraId="288378BF">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5.服务数量。预计年度设计数量不少于4期，最终以实际制作数量据实结算。</w:t>
      </w:r>
    </w:p>
    <w:p w14:paraId="27FF7D29">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（三）设计文件须符合出版要求</w:t>
      </w:r>
    </w:p>
    <w:p w14:paraId="6B3F5925">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 印刷文件标准：分辨率不低于300dpi，色彩模式为CMYK，文件可直接用于出版印刷，含出血位设计（3mm）。</w:t>
      </w:r>
    </w:p>
    <w:p w14:paraId="2489D048">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 成品尺寸：封面尺寸按照采购人期刊实际出版规格执行。</w:t>
      </w:r>
    </w:p>
    <w:p w14:paraId="39E89C60">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（四）交付文件要求：供应商需提交完整设计文件，包括：可编辑源文件：AI，PSD，INDD（如涉及排版）格式的文件等；输出文件：PDF印刷版、PNG宣传版、JPG预览版等。所有文件须按期次分类整理并完整交付。</w:t>
      </w:r>
    </w:p>
    <w:p w14:paraId="384248F6">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（五）沟通与修改要求</w:t>
      </w:r>
    </w:p>
    <w:p w14:paraId="306254A7">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 沟通方式包括但不限于电话、微信、腾讯会议、Zoom、邮件等方式。</w:t>
      </w:r>
    </w:p>
    <w:p w14:paraId="3EC5E2C4">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（六）知识产权与合规要求</w:t>
      </w:r>
    </w:p>
    <w:p w14:paraId="29B7839D">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 项目最终交付成果全部知识产权归采购人所有。包括但不限于：著作权、修改权、信息网络传播权、商业使用权。</w:t>
      </w:r>
    </w:p>
    <w:p w14:paraId="4CF007FD">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 供应商须保证所有设计素材来源合法。包括：图片、插画、字体、图标、数据可视化元素。不得存在：未授权字体、未授权图库素材、AI版权争议素材，以及第三方侵权风险。如发生知识产权纠纷，由供应商承担全部法律责任及经济损失。</w:t>
      </w:r>
    </w:p>
    <w:p w14:paraId="46C3AD67">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 AI生成内容限制。未经采购人书面同意供应商不得直接使用未经商业授权的AI生成视觉素材。</w:t>
      </w:r>
    </w:p>
    <w:p w14:paraId="0EE135D4">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（七）保密要求</w:t>
      </w:r>
    </w:p>
    <w:p w14:paraId="2B4011AC">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供应商应对以下信息承担保密义务，包括但不限于：期刊选题、出版计划、学术合作信息、品牌传播规划、未公开出版内容。未经采购人书面同意，不得向第三方披露。</w:t>
      </w:r>
    </w:p>
    <w:p w14:paraId="3F343229">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（八）成果使用范围</w:t>
      </w:r>
    </w:p>
    <w:p w14:paraId="2DB5977E">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采购人对设计成果享有永久使用权，可用于：纸质出版、官网展示、投稿系统、学术会议、国际宣传、社交媒体传播、学术数据库推广。</w:t>
      </w:r>
    </w:p>
    <w:p w14:paraId="5A329E73">
      <w:pPr>
        <w:pStyle w:val="16"/>
        <w:keepNext w:val="0"/>
        <w:keepLines w:val="0"/>
        <w:pageBreakBefore w:val="0"/>
        <w:widowControl w:val="0"/>
        <w:numPr>
          <w:ilvl w:val="0"/>
          <w:numId w:val="0"/>
        </w:numPr>
        <w:kinsoku/>
        <w:wordWrap/>
        <w:overflowPunct/>
        <w:topLinePunct w:val="0"/>
        <w:autoSpaceDE/>
        <w:autoSpaceDN/>
        <w:bidi w:val="0"/>
        <w:adjustRightInd/>
        <w:spacing w:line="360" w:lineRule="auto"/>
        <w:ind w:firstLine="482" w:firstLineChars="0"/>
        <w:textAlignment w:val="auto"/>
        <w:rPr>
          <w:rFonts w:hint="eastAsia" w:ascii="仿宋" w:hAnsi="仿宋" w:eastAsia="仿宋"/>
          <w:b/>
          <w:bCs/>
          <w:sz w:val="24"/>
          <w:szCs w:val="24"/>
          <w:lang w:val="en-US" w:eastAsia="zh-CN"/>
        </w:rPr>
      </w:pPr>
      <w:r>
        <w:rPr>
          <w:rFonts w:hint="eastAsia" w:ascii="仿宋" w:hAnsi="仿宋" w:eastAsia="仿宋" w:cstheme="minorBidi"/>
          <w:b/>
          <w:bCs/>
          <w:kern w:val="2"/>
          <w:sz w:val="24"/>
          <w:szCs w:val="24"/>
          <w:lang w:val="en-US" w:eastAsia="zh-CN" w:bidi="ar-SA"/>
        </w:rPr>
        <w:t>三、</w:t>
      </w:r>
      <w:r>
        <w:rPr>
          <w:rFonts w:hint="eastAsia" w:ascii="仿宋" w:hAnsi="仿宋" w:eastAsia="仿宋"/>
          <w:b/>
          <w:bCs/>
          <w:sz w:val="24"/>
          <w:szCs w:val="24"/>
          <w:lang w:val="en-US" w:eastAsia="zh-CN"/>
        </w:rPr>
        <w:t>其他要求</w:t>
      </w:r>
    </w:p>
    <w:p w14:paraId="44D1987F">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1.供应商针对本项目制定完整的服务方案，包括以下内容：①人员组织分工及技术质量保障方案、②项目进度计划安排清单、③项目进度保障措施。</w:t>
      </w:r>
    </w:p>
    <w:p w14:paraId="07805687">
      <w:pPr>
        <w:pStyle w:val="16"/>
        <w:keepNext w:val="0"/>
        <w:keepLines w:val="0"/>
        <w:pageBreakBefore w:val="0"/>
        <w:widowControl w:val="0"/>
        <w:kinsoku/>
        <w:wordWrap/>
        <w:overflowPunct/>
        <w:topLinePunct w:val="0"/>
        <w:autoSpaceDE/>
        <w:autoSpaceDN/>
        <w:bidi w:val="0"/>
        <w:adjustRightInd/>
        <w:spacing w:line="360" w:lineRule="auto"/>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2.供应商拟投入本项目的设计师团队人员具有医学相关专业本科及以上学历，且应为供应商在职员工。</w:t>
      </w:r>
    </w:p>
    <w:p w14:paraId="0FDE041C">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3.2023年1月1日至今，供应商具有医学类似学术期刊/出版物封面设计项目业绩。</w:t>
      </w:r>
    </w:p>
    <w:p w14:paraId="54F5445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b/>
          <w:bCs/>
          <w:sz w:val="24"/>
          <w:szCs w:val="24"/>
        </w:rPr>
        <w:t>★</w:t>
      </w:r>
      <w:r>
        <w:rPr>
          <w:rFonts w:hint="eastAsia" w:ascii="仿宋" w:hAnsi="仿宋" w:eastAsia="仿宋"/>
          <w:b/>
          <w:bCs/>
          <w:sz w:val="24"/>
          <w:szCs w:val="24"/>
          <w:lang w:val="en-US" w:eastAsia="zh-CN"/>
        </w:rPr>
        <w:t>四</w:t>
      </w:r>
      <w:r>
        <w:rPr>
          <w:rFonts w:hint="eastAsia" w:ascii="仿宋" w:hAnsi="仿宋" w:eastAsia="仿宋"/>
          <w:b/>
          <w:bCs/>
          <w:sz w:val="24"/>
          <w:szCs w:val="24"/>
        </w:rPr>
        <w:t>、商务要求：</w:t>
      </w:r>
      <w:r>
        <w:rPr>
          <w:rFonts w:hint="eastAsia" w:ascii="仿宋" w:hAnsi="仿宋" w:eastAsia="仿宋"/>
          <w:sz w:val="24"/>
          <w:szCs w:val="24"/>
        </w:rPr>
        <w:cr/>
      </w:r>
      <w:r>
        <w:rPr>
          <w:rFonts w:hint="eastAsia" w:ascii="仿宋" w:hAnsi="仿宋" w:eastAsia="仿宋"/>
          <w:sz w:val="24"/>
          <w:szCs w:val="24"/>
        </w:rPr>
        <w:t xml:space="preserve">    </w:t>
      </w:r>
      <w:r>
        <w:rPr>
          <w:rFonts w:hint="eastAsia" w:ascii="仿宋" w:hAnsi="仿宋" w:eastAsia="仿宋"/>
          <w:sz w:val="24"/>
          <w:szCs w:val="24"/>
          <w:lang w:val="en-US" w:eastAsia="zh-CN"/>
        </w:rPr>
        <w:t>1、资金支付条款：本项目按照服务期内实际发生并验收合格的封面设计服务期数据实结算。每期验收合格后，供应商在5日内提交合法有效票据及其他相关请款资料；采购人收到上述票据及资料后55日内，支付当期款项的100%。</w:t>
      </w:r>
    </w:p>
    <w:p w14:paraId="0CFC479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2、服务地点：四川省人民医院（包括所有院区）</w:t>
      </w:r>
    </w:p>
    <w:p w14:paraId="3D37328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3、服务期限：自合同签订之日起1年。</w:t>
      </w:r>
    </w:p>
    <w:p w14:paraId="033B3B1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制作周期：每期接到采购人设计需求后，供应商应于3个自然日内提交初步设计方案，总设计周期不超过20个自然日。每逾期1个自然日，向采购人赔付每期单价的3%作为违约金，逾期超过30个自然日，采购人有权单方面解除合同并且要求赔偿所有损失。</w:t>
      </w:r>
    </w:p>
    <w:p w14:paraId="6DE508D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（2）响应周期：供应商应在采购人提出沟通需求后24小时内响应，如采购人需要修改方案，供应商应在接到修改意见后48小时内提交修改方案。</w:t>
      </w:r>
    </w:p>
    <w:p w14:paraId="7A961E1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4、验收方案：</w:t>
      </w:r>
    </w:p>
    <w:p w14:paraId="035E666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4.1验收时间：本项目以单期封面设计成果作为基本服务交付单位，从供应商每期完成完整交付之日起计算，采购人在3个自然日内完成验收。 </w:t>
      </w:r>
    </w:p>
    <w:p w14:paraId="3977F2C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4.2验收主体：采购人      </w:t>
      </w:r>
    </w:p>
    <w:p w14:paraId="3141CB6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4.3验收组织方式：自行验收</w:t>
      </w:r>
    </w:p>
    <w:p w14:paraId="3398EED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4.4验收方式：现场整体验收   </w:t>
      </w:r>
    </w:p>
    <w:p w14:paraId="696E6C6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4.5验收程序：分期/分段验收</w:t>
      </w:r>
    </w:p>
    <w:p w14:paraId="531B5A3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4.6验收内容：</w:t>
      </w:r>
      <w:bookmarkStart w:id="104" w:name="_GoBack"/>
      <w:r>
        <w:rPr>
          <w:rFonts w:hint="eastAsia" w:ascii="仿宋" w:hAnsi="仿宋" w:eastAsia="仿宋"/>
          <w:sz w:val="24"/>
          <w:szCs w:val="24"/>
          <w:lang w:val="en-US" w:eastAsia="zh-CN"/>
        </w:rPr>
        <w:t>参照基于本项目采购需求编制的采购文件要求及成交供应商响应文件情况，由成交供应商向采购人提供的当期全部服务内容。</w:t>
      </w:r>
      <w:bookmarkEnd w:id="104"/>
    </w:p>
    <w:p w14:paraId="7F7995D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4.7验收标准：</w:t>
      </w:r>
    </w:p>
    <w:p w14:paraId="2BF07B8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4.7.1国家相关法律法规、行业标准、技术规范。</w:t>
      </w:r>
    </w:p>
    <w:p w14:paraId="66EF6FD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4.7.2基于本项目采购需求编制的谈判文件相关技术、服务要求、成交供应商响应文件相关响应内容。</w:t>
      </w:r>
    </w:p>
    <w:p w14:paraId="6A2BB72F">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4.7.3产品生产厂家出具的产品说明书、技术白皮书、医疗器械注册证或备案凭证等官方技术资料（如涉及）。</w:t>
      </w:r>
    </w:p>
    <w:p w14:paraId="6779C18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4.7.4如验收时，采购人与供应商认为本项目验收标准中的技术指标、质量要求等内容存在相互抵触或对其理解存在异议，应按照其中更严格的要求、标准等进行验收。</w:t>
      </w:r>
    </w:p>
    <w:p w14:paraId="5D5FBFD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4.7.5参照《财政部关于进一步加强政府采购需求和履约验收管理的指导意见》（财库〔2016〕205号）的要求进行验收。</w:t>
      </w:r>
    </w:p>
    <w:p w14:paraId="0F52827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4.7.6其他验收标准：</w:t>
      </w:r>
    </w:p>
    <w:p w14:paraId="76D5C78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（1）学术品牌一致性验收。设计成果应符合《Medicine Bulletin》的整体品牌定位，与期刊既有视觉体系保持一致，包括但不限于刊名展示、版式结构、字体系统、色彩系统及整体视觉识别逻辑。</w:t>
      </w:r>
    </w:p>
    <w:p w14:paraId="7E2E82D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（2）国际化视觉表达验收。 设计成果应符合英文医学期刊出版视觉规范，体现医学学术特征、国际传播属性及专业出版品质，满足国际学术交流与品牌传播需求。</w:t>
      </w:r>
    </w:p>
    <w:p w14:paraId="2D4D8A0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（3）文件完整性验收。供应商应按照采购要求完整提交全部设计文件，包括可编辑源文件、印刷输出文件及宣传展示文件，文件应可正常打开、编辑、修改和使用。</w:t>
      </w:r>
    </w:p>
    <w:p w14:paraId="581C48B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出版适配性验收。设计成果应符合正式出版技术要求，包括但不限于分辨率、色彩模式、版面尺寸、出血设置等技术标准，可直接用于后续印刷出版及数字传播。数字传播文件标准：供应商应同步提供适用于线上传播和电子展示的设计文件，色彩模式为RGB，确保在电脑端、移动端及新媒体平台中的视觉呈现效果。</w:t>
      </w:r>
    </w:p>
    <w:p w14:paraId="49C05AD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（5）知识产权合规性验收。供应商应保证所有设计成果中使用的图片、字体、图形、插画及其他视觉素材来源合法、授权完整，不存在任何知识产权、版权或合规风险。</w:t>
      </w:r>
    </w:p>
    <w:p w14:paraId="579D1DA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（6） 验收不合格的，供应商应根据采购人提出的整改意见，在采购人规定期限内完成整改并重新提交验收；因整改后仍无法达到验收标准的，采购人有权按照合同约定追究相应责任。​ </w:t>
      </w:r>
    </w:p>
    <w:p w14:paraId="72A1AA6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4.8其它验收要求：无</w:t>
      </w:r>
    </w:p>
    <w:p w14:paraId="2975E3F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4.9是否委托第三方机构验收：否。</w:t>
      </w:r>
    </w:p>
    <w:p w14:paraId="1F74F23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4.10是否邀请本项目的其他供应商：否</w:t>
      </w:r>
    </w:p>
    <w:p w14:paraId="59E9E02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4.11是否邀请服务对象：否</w:t>
      </w:r>
    </w:p>
    <w:p w14:paraId="646CC47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4.12是否邀请专家：否</w:t>
      </w:r>
    </w:p>
    <w:p w14:paraId="2D9B619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5、违约责任：</w:t>
      </w:r>
    </w:p>
    <w:p w14:paraId="7849F15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rPr>
      </w:pPr>
      <w:r>
        <w:rPr>
          <w:rFonts w:hint="eastAsia" w:ascii="仿宋" w:hAnsi="仿宋" w:eastAsia="仿宋"/>
          <w:sz w:val="24"/>
          <w:szCs w:val="24"/>
          <w:lang w:val="en-US" w:eastAsia="zh-CN"/>
        </w:rPr>
        <w:t>质量问题。因设计质量问题导致无法出版、延误出版、品牌传播受损、供应商应重做并承担相应损失，由此产生的费用由供应商承担，采购人不再另行支付。</w:t>
      </w:r>
    </w:p>
    <w:p w14:paraId="1068D4FC">
      <w:pPr>
        <w:pStyle w:val="16"/>
        <w:ind w:firstLine="0"/>
        <w:rPr>
          <w:rFonts w:ascii="Times New Roman" w:hAnsi="Times New Roman" w:eastAsia="仿宋" w:cs="Times New Roman"/>
          <w:sz w:val="24"/>
          <w:szCs w:val="24"/>
        </w:rPr>
      </w:pPr>
    </w:p>
    <w:p w14:paraId="476325FA">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4A6A2942">
      <w:pPr>
        <w:rPr>
          <w:rFonts w:ascii="Times New Roman" w:hAnsi="Times New Roman" w:eastAsia="仿宋" w:cs="Times New Roman"/>
          <w:sz w:val="24"/>
          <w:szCs w:val="24"/>
        </w:rPr>
      </w:pPr>
      <w:r>
        <w:rPr>
          <w:rFonts w:ascii="Times New Roman" w:hAnsi="Times New Roman" w:eastAsia="仿宋" w:cs="Times New Roman"/>
          <w:sz w:val="24"/>
          <w:szCs w:val="24"/>
        </w:rPr>
        <w:br w:type="page"/>
      </w:r>
    </w:p>
    <w:p w14:paraId="41746D47">
      <w:pPr>
        <w:pStyle w:val="16"/>
        <w:ind w:firstLine="0"/>
        <w:rPr>
          <w:rFonts w:ascii="Times New Roman" w:hAnsi="Times New Roman" w:eastAsia="仿宋" w:cs="Times New Roman"/>
          <w:sz w:val="24"/>
          <w:szCs w:val="24"/>
        </w:rPr>
      </w:pPr>
    </w:p>
    <w:p w14:paraId="65BDB4CC">
      <w:pPr>
        <w:spacing w:line="360" w:lineRule="auto"/>
        <w:jc w:val="left"/>
        <w:rPr>
          <w:rFonts w:ascii="Times New Roman" w:hAnsi="Times New Roman" w:eastAsia="宋体" w:cs="Times New Roman"/>
          <w:sz w:val="24"/>
          <w:szCs w:val="24"/>
        </w:rPr>
      </w:pPr>
    </w:p>
    <w:p w14:paraId="1E53B04C">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p w14:paraId="7E701686">
      <w:pPr>
        <w:rPr>
          <w:rFonts w:ascii="Times New Roman" w:hAnsi="Times New Roman" w:cs="Times New Roman"/>
        </w:rPr>
      </w:pPr>
    </w:p>
    <w:tbl>
      <w:tblPr>
        <w:tblStyle w:val="18"/>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84"/>
        <w:gridCol w:w="709"/>
        <w:gridCol w:w="6520"/>
      </w:tblGrid>
      <w:tr w14:paraId="0F52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96" w:type="dxa"/>
            <w:noWrap/>
            <w:vAlign w:val="center"/>
          </w:tcPr>
          <w:p w14:paraId="2EDAB20C">
            <w:pPr>
              <w:rPr>
                <w:rFonts w:ascii="仿宋" w:hAnsi="仿宋" w:eastAsia="仿宋" w:cs="宋体"/>
                <w:b/>
                <w:bCs/>
                <w:sz w:val="24"/>
              </w:rPr>
            </w:pPr>
            <w:r>
              <w:br w:type="page"/>
            </w:r>
            <w:r>
              <w:rPr>
                <w:rFonts w:hint="eastAsia" w:ascii="仿宋" w:hAnsi="仿宋" w:eastAsia="仿宋" w:cs="宋体"/>
                <w:b/>
                <w:bCs/>
                <w:sz w:val="24"/>
              </w:rPr>
              <w:t>序号</w:t>
            </w:r>
          </w:p>
        </w:tc>
        <w:tc>
          <w:tcPr>
            <w:tcW w:w="1384" w:type="dxa"/>
            <w:noWrap/>
            <w:vAlign w:val="center"/>
          </w:tcPr>
          <w:p w14:paraId="16ED5299">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评分因素</w:t>
            </w:r>
          </w:p>
          <w:p w14:paraId="29868210">
            <w:pPr>
              <w:spacing w:line="400" w:lineRule="exact"/>
              <w:ind w:firstLine="28"/>
              <w:jc w:val="center"/>
              <w:rPr>
                <w:rFonts w:ascii="仿宋" w:hAnsi="仿宋" w:eastAsia="仿宋" w:cs="宋体"/>
                <w:b/>
                <w:bCs/>
                <w:sz w:val="24"/>
              </w:rPr>
            </w:pPr>
            <w:r>
              <w:rPr>
                <w:rFonts w:hint="eastAsia" w:ascii="仿宋" w:hAnsi="仿宋" w:eastAsia="仿宋" w:cs="宋体"/>
                <w:b/>
                <w:bCs/>
                <w:sz w:val="24"/>
              </w:rPr>
              <w:t>及权重</w:t>
            </w:r>
          </w:p>
        </w:tc>
        <w:tc>
          <w:tcPr>
            <w:tcW w:w="709" w:type="dxa"/>
            <w:noWrap/>
            <w:vAlign w:val="center"/>
          </w:tcPr>
          <w:p w14:paraId="2838686B">
            <w:pPr>
              <w:spacing w:line="400" w:lineRule="exact"/>
              <w:ind w:firstLine="28"/>
              <w:jc w:val="center"/>
              <w:rPr>
                <w:rFonts w:ascii="仿宋" w:hAnsi="仿宋" w:eastAsia="仿宋" w:cs="宋体"/>
                <w:b/>
                <w:bCs/>
                <w:sz w:val="24"/>
              </w:rPr>
            </w:pPr>
            <w:r>
              <w:rPr>
                <w:rFonts w:hint="eastAsia" w:ascii="仿宋" w:hAnsi="仿宋" w:eastAsia="仿宋" w:cs="宋体"/>
                <w:b/>
                <w:bCs/>
                <w:sz w:val="24"/>
              </w:rPr>
              <w:t>分值</w:t>
            </w:r>
          </w:p>
        </w:tc>
        <w:tc>
          <w:tcPr>
            <w:tcW w:w="6520" w:type="dxa"/>
            <w:noWrap/>
            <w:vAlign w:val="center"/>
          </w:tcPr>
          <w:p w14:paraId="170AAB16">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评分标准</w:t>
            </w:r>
          </w:p>
        </w:tc>
      </w:tr>
      <w:tr w14:paraId="00CC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96" w:type="dxa"/>
            <w:noWrap/>
            <w:vAlign w:val="center"/>
          </w:tcPr>
          <w:p w14:paraId="60670539">
            <w:pPr>
              <w:spacing w:line="400" w:lineRule="exact"/>
              <w:ind w:firstLine="28"/>
              <w:jc w:val="center"/>
              <w:rPr>
                <w:rFonts w:ascii="仿宋" w:hAnsi="仿宋" w:eastAsia="仿宋" w:cs="宋体"/>
                <w:sz w:val="24"/>
              </w:rPr>
            </w:pPr>
            <w:r>
              <w:rPr>
                <w:rFonts w:hint="eastAsia" w:ascii="仿宋" w:hAnsi="仿宋" w:eastAsia="仿宋" w:cs="宋体"/>
                <w:sz w:val="24"/>
              </w:rPr>
              <w:t>1</w:t>
            </w:r>
          </w:p>
        </w:tc>
        <w:tc>
          <w:tcPr>
            <w:tcW w:w="1384" w:type="dxa"/>
            <w:noWrap/>
            <w:vAlign w:val="center"/>
          </w:tcPr>
          <w:p w14:paraId="61990E7A">
            <w:pPr>
              <w:spacing w:line="400" w:lineRule="exact"/>
              <w:ind w:firstLine="28"/>
              <w:jc w:val="center"/>
              <w:rPr>
                <w:rFonts w:ascii="仿宋" w:hAnsi="仿宋" w:eastAsia="仿宋" w:cs="宋体"/>
                <w:sz w:val="24"/>
              </w:rPr>
            </w:pPr>
            <w:r>
              <w:rPr>
                <w:rFonts w:hint="eastAsia" w:ascii="仿宋" w:hAnsi="仿宋" w:eastAsia="仿宋" w:cs="宋体"/>
                <w:sz w:val="24"/>
              </w:rPr>
              <w:t>报价</w:t>
            </w:r>
          </w:p>
          <w:p w14:paraId="6B40522B">
            <w:pPr>
              <w:spacing w:line="400" w:lineRule="exact"/>
              <w:ind w:firstLine="28"/>
              <w:jc w:val="center"/>
              <w:rPr>
                <w:rFonts w:ascii="仿宋" w:hAnsi="仿宋" w:eastAsia="仿宋" w:cs="宋体"/>
                <w:sz w:val="24"/>
              </w:rPr>
            </w:pPr>
            <w:r>
              <w:rPr>
                <w:rFonts w:hint="eastAsia" w:ascii="仿宋" w:hAnsi="仿宋" w:eastAsia="仿宋" w:cs="宋体"/>
                <w:sz w:val="24"/>
              </w:rPr>
              <w:t>1</w:t>
            </w:r>
            <w:r>
              <w:rPr>
                <w:rFonts w:ascii="仿宋" w:hAnsi="仿宋" w:eastAsia="仿宋" w:cs="宋体"/>
                <w:sz w:val="24"/>
              </w:rPr>
              <w:t>0</w:t>
            </w:r>
            <w:r>
              <w:rPr>
                <w:rFonts w:hint="eastAsia" w:ascii="仿宋" w:hAnsi="仿宋" w:eastAsia="仿宋" w:cs="宋体"/>
                <w:sz w:val="24"/>
              </w:rPr>
              <w:t>%</w:t>
            </w:r>
          </w:p>
        </w:tc>
        <w:tc>
          <w:tcPr>
            <w:tcW w:w="709" w:type="dxa"/>
            <w:noWrap/>
            <w:vAlign w:val="center"/>
          </w:tcPr>
          <w:p w14:paraId="1D9D1C22">
            <w:pPr>
              <w:spacing w:line="400" w:lineRule="exact"/>
              <w:ind w:firstLine="28"/>
              <w:jc w:val="center"/>
              <w:rPr>
                <w:rFonts w:ascii="仿宋" w:hAnsi="仿宋" w:eastAsia="仿宋" w:cs="宋体"/>
                <w:sz w:val="24"/>
              </w:rPr>
            </w:pPr>
            <w:r>
              <w:rPr>
                <w:rFonts w:hint="eastAsia" w:ascii="仿宋" w:hAnsi="仿宋" w:eastAsia="仿宋" w:cs="宋体"/>
                <w:sz w:val="24"/>
              </w:rPr>
              <w:t>1</w:t>
            </w:r>
            <w:r>
              <w:rPr>
                <w:rFonts w:ascii="仿宋" w:hAnsi="仿宋" w:eastAsia="仿宋" w:cs="宋体"/>
                <w:sz w:val="24"/>
              </w:rPr>
              <w:t>0</w:t>
            </w:r>
          </w:p>
        </w:tc>
        <w:tc>
          <w:tcPr>
            <w:tcW w:w="6520" w:type="dxa"/>
            <w:noWrap/>
            <w:vAlign w:val="center"/>
          </w:tcPr>
          <w:p w14:paraId="368754CB">
            <w:pPr>
              <w:spacing w:line="360" w:lineRule="auto"/>
              <w:rPr>
                <w:rFonts w:ascii="仿宋" w:hAnsi="仿宋" w:eastAsia="仿宋" w:cs="宋体"/>
                <w:sz w:val="24"/>
              </w:rPr>
            </w:pPr>
            <w:r>
              <w:rPr>
                <w:rFonts w:hint="eastAsia" w:ascii="仿宋" w:eastAsia="仿宋" w:cs="仿宋"/>
                <w:sz w:val="24"/>
                <w:szCs w:val="24"/>
                <w:lang w:eastAsia="zh-CN"/>
              </w:rPr>
              <w:t>以满足</w:t>
            </w:r>
            <w:r>
              <w:rPr>
                <w:rFonts w:hint="eastAsia" w:ascii="仿宋" w:eastAsia="仿宋" w:cs="仿宋"/>
                <w:sz w:val="24"/>
                <w:szCs w:val="24"/>
                <w:lang w:val="en-US" w:eastAsia="zh-CN"/>
              </w:rPr>
              <w:t>谈判</w:t>
            </w:r>
            <w:r>
              <w:rPr>
                <w:rFonts w:hint="eastAsia" w:ascii="仿宋" w:eastAsia="仿宋" w:cs="仿宋"/>
                <w:sz w:val="24"/>
                <w:szCs w:val="24"/>
                <w:lang w:eastAsia="zh-CN"/>
              </w:rPr>
              <w:t>文件要求且有效</w:t>
            </w:r>
            <w:r>
              <w:rPr>
                <w:rFonts w:hint="eastAsia" w:ascii="仿宋" w:eastAsia="仿宋" w:cs="仿宋"/>
                <w:sz w:val="24"/>
                <w:szCs w:val="24"/>
                <w:lang w:val="en-US" w:eastAsia="zh-CN"/>
              </w:rPr>
              <w:t>报价</w:t>
            </w:r>
            <w:r>
              <w:rPr>
                <w:rFonts w:hint="eastAsia" w:ascii="仿宋" w:eastAsia="仿宋" w:cs="仿宋"/>
                <w:sz w:val="24"/>
                <w:szCs w:val="24"/>
                <w:lang w:eastAsia="zh-CN"/>
              </w:rPr>
              <w:t>最</w:t>
            </w:r>
            <w:r>
              <w:rPr>
                <w:rFonts w:hint="eastAsia" w:ascii="仿宋" w:eastAsia="仿宋" w:cs="仿宋"/>
                <w:sz w:val="24"/>
                <w:szCs w:val="24"/>
                <w:lang w:val="en-US" w:eastAsia="zh-CN"/>
              </w:rPr>
              <w:t>低</w:t>
            </w:r>
            <w:r>
              <w:rPr>
                <w:rFonts w:hint="eastAsia" w:ascii="仿宋" w:eastAsia="仿宋" w:cs="仿宋"/>
                <w:sz w:val="24"/>
                <w:szCs w:val="24"/>
                <w:lang w:eastAsia="zh-CN"/>
              </w:rPr>
              <w:t>的为评审基准价，其价格分为满分。其他供应商的报价得分按照下列公式计算：报价得分= 基准价／</w:t>
            </w:r>
            <w:r>
              <w:rPr>
                <w:rFonts w:hint="eastAsia" w:ascii="仿宋" w:eastAsia="仿宋" w:cs="仿宋"/>
                <w:sz w:val="24"/>
                <w:szCs w:val="24"/>
                <w:lang w:val="en-US" w:eastAsia="zh-CN"/>
              </w:rPr>
              <w:t>报价</w:t>
            </w:r>
            <w:r>
              <w:rPr>
                <w:rFonts w:hint="eastAsia" w:ascii="仿宋" w:eastAsia="仿宋" w:cs="仿宋"/>
                <w:sz w:val="24"/>
                <w:szCs w:val="24"/>
                <w:lang w:eastAsia="zh-CN"/>
              </w:rPr>
              <w:t>*</w:t>
            </w:r>
            <w:r>
              <w:rPr>
                <w:rFonts w:hint="eastAsia" w:ascii="仿宋" w:eastAsia="仿宋" w:cs="仿宋"/>
                <w:sz w:val="24"/>
                <w:szCs w:val="24"/>
                <w:lang w:val="en-US" w:eastAsia="zh-CN"/>
              </w:rPr>
              <w:t>1</w:t>
            </w:r>
            <w:r>
              <w:rPr>
                <w:rFonts w:hint="eastAsia" w:ascii="仿宋" w:eastAsia="仿宋" w:cs="仿宋"/>
                <w:sz w:val="24"/>
                <w:szCs w:val="24"/>
                <w:lang w:eastAsia="zh-CN"/>
              </w:rPr>
              <w:t>0。</w:t>
            </w:r>
          </w:p>
        </w:tc>
      </w:tr>
      <w:tr w14:paraId="6383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48E02DE0">
            <w:pPr>
              <w:spacing w:line="360" w:lineRule="auto"/>
              <w:jc w:val="center"/>
              <w:rPr>
                <w:rFonts w:ascii="仿宋" w:hAnsi="仿宋" w:eastAsia="仿宋" w:cs="宋体"/>
                <w:sz w:val="24"/>
              </w:rPr>
            </w:pPr>
            <w:r>
              <w:rPr>
                <w:rFonts w:hint="eastAsia" w:ascii="仿宋" w:hAnsi="仿宋" w:eastAsia="仿宋"/>
                <w:sz w:val="24"/>
              </w:rPr>
              <w:t>2</w:t>
            </w:r>
          </w:p>
        </w:tc>
        <w:tc>
          <w:tcPr>
            <w:tcW w:w="1384" w:type="dxa"/>
            <w:noWrap/>
            <w:vAlign w:val="center"/>
          </w:tcPr>
          <w:p w14:paraId="5D8C550D">
            <w:pPr>
              <w:spacing w:line="360" w:lineRule="auto"/>
              <w:jc w:val="center"/>
              <w:rPr>
                <w:rFonts w:ascii="仿宋" w:hAnsi="仿宋" w:eastAsia="仿宋"/>
                <w:sz w:val="24"/>
              </w:rPr>
            </w:pPr>
            <w:r>
              <w:rPr>
                <w:rFonts w:hint="eastAsia" w:ascii="仿宋" w:hAnsi="仿宋" w:eastAsia="仿宋"/>
                <w:sz w:val="24"/>
              </w:rPr>
              <w:t>服务</w:t>
            </w:r>
          </w:p>
          <w:p w14:paraId="1ABFFEBA">
            <w:pPr>
              <w:spacing w:line="360" w:lineRule="auto"/>
              <w:jc w:val="center"/>
              <w:rPr>
                <w:rFonts w:ascii="仿宋" w:hAnsi="仿宋" w:eastAsia="仿宋"/>
                <w:sz w:val="24"/>
              </w:rPr>
            </w:pPr>
            <w:r>
              <w:rPr>
                <w:rFonts w:hint="eastAsia" w:ascii="仿宋" w:hAnsi="仿宋" w:eastAsia="仿宋"/>
                <w:sz w:val="24"/>
              </w:rPr>
              <w:t>方案</w:t>
            </w:r>
          </w:p>
          <w:p w14:paraId="5B4CBDEB">
            <w:pPr>
              <w:spacing w:line="360" w:lineRule="auto"/>
              <w:jc w:val="center"/>
              <w:rPr>
                <w:rFonts w:ascii="仿宋" w:hAnsi="仿宋" w:eastAsia="仿宋" w:cs="宋体"/>
                <w:sz w:val="24"/>
              </w:rPr>
            </w:pPr>
            <w:r>
              <w:rPr>
                <w:rFonts w:hint="eastAsia" w:ascii="仿宋" w:hAnsi="仿宋" w:eastAsia="仿宋"/>
                <w:sz w:val="24"/>
              </w:rPr>
              <w:t>15%</w:t>
            </w:r>
          </w:p>
        </w:tc>
        <w:tc>
          <w:tcPr>
            <w:tcW w:w="709" w:type="dxa"/>
            <w:noWrap/>
            <w:vAlign w:val="center"/>
          </w:tcPr>
          <w:p w14:paraId="2A1ED9FB">
            <w:pPr>
              <w:spacing w:line="360" w:lineRule="auto"/>
              <w:jc w:val="center"/>
              <w:rPr>
                <w:rFonts w:ascii="仿宋" w:hAnsi="仿宋" w:eastAsia="仿宋" w:cs="宋体"/>
                <w:sz w:val="24"/>
              </w:rPr>
            </w:pPr>
            <w:r>
              <w:rPr>
                <w:rFonts w:hint="eastAsia" w:ascii="仿宋" w:hAnsi="仿宋" w:eastAsia="仿宋"/>
                <w:sz w:val="24"/>
              </w:rPr>
              <w:t>15</w:t>
            </w:r>
          </w:p>
        </w:tc>
        <w:tc>
          <w:tcPr>
            <w:tcW w:w="6520" w:type="dxa"/>
            <w:noWrap/>
            <w:vAlign w:val="center"/>
          </w:tcPr>
          <w:p w14:paraId="083423AB">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供应商针对本项目制定完整的服务方案，包括以下内容：</w:t>
            </w:r>
            <w:r>
              <w:rPr>
                <w:rFonts w:hint="eastAsia" w:ascii="仿宋" w:hAnsi="仿宋" w:eastAsia="仿宋" w:cs="仿宋"/>
                <w:sz w:val="24"/>
                <w:szCs w:val="24"/>
              </w:rPr>
              <w:t>①人员组织分工及技术质量保障方案</w:t>
            </w:r>
            <w:r>
              <w:rPr>
                <w:rFonts w:hint="eastAsia" w:ascii="仿宋" w:hAnsi="仿宋" w:eastAsia="仿宋" w:cs="仿宋"/>
                <w:sz w:val="24"/>
                <w:szCs w:val="24"/>
                <w:lang w:eastAsia="zh-CN"/>
              </w:rPr>
              <w:t>、</w:t>
            </w:r>
            <w:r>
              <w:rPr>
                <w:rFonts w:hint="eastAsia" w:ascii="仿宋" w:hAnsi="仿宋" w:eastAsia="仿宋" w:cs="仿宋"/>
                <w:sz w:val="24"/>
                <w:szCs w:val="24"/>
              </w:rPr>
              <w:t>②项目进度计划安排</w:t>
            </w:r>
            <w:r>
              <w:rPr>
                <w:rFonts w:hint="eastAsia" w:ascii="仿宋" w:hAnsi="仿宋" w:eastAsia="仿宋" w:cs="仿宋"/>
                <w:sz w:val="24"/>
                <w:szCs w:val="24"/>
                <w:lang w:val="en-US" w:eastAsia="zh-CN"/>
              </w:rPr>
              <w:t>清单、</w:t>
            </w:r>
            <w:r>
              <w:rPr>
                <w:rFonts w:hint="default" w:ascii="仿宋" w:hAnsi="仿宋" w:eastAsia="仿宋" w:cs="仿宋"/>
                <w:sz w:val="24"/>
                <w:szCs w:val="24"/>
              </w:rPr>
              <w:t>③</w:t>
            </w:r>
            <w:r>
              <w:rPr>
                <w:rFonts w:hint="eastAsia" w:ascii="仿宋" w:hAnsi="仿宋" w:eastAsia="仿宋" w:cs="仿宋"/>
                <w:sz w:val="24"/>
                <w:szCs w:val="24"/>
              </w:rPr>
              <w:t>项目进度保障措施</w:t>
            </w:r>
            <w:r>
              <w:rPr>
                <w:rFonts w:hint="eastAsia" w:ascii="仿宋" w:hAnsi="仿宋" w:eastAsia="仿宋" w:cs="宋体"/>
                <w:color w:val="000000"/>
                <w:sz w:val="24"/>
                <w:lang w:val="en-US" w:eastAsia="zh-CN"/>
              </w:rPr>
              <w:t>。</w:t>
            </w:r>
          </w:p>
          <w:p w14:paraId="632753E0">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每有一项内容缺失扣5分，每有一处内容有缺陷的扣2.5分，直至本项分值扣完为止。</w:t>
            </w:r>
          </w:p>
          <w:p w14:paraId="01FE128D">
            <w:pPr>
              <w:spacing w:line="360" w:lineRule="auto"/>
              <w:rPr>
                <w:rFonts w:ascii="仿宋" w:hAnsi="仿宋" w:eastAsia="仿宋" w:cs="宋体"/>
                <w:color w:val="000000"/>
                <w:sz w:val="24"/>
              </w:rPr>
            </w:pPr>
            <w:r>
              <w:rPr>
                <w:rFonts w:hint="eastAsia" w:ascii="仿宋" w:hAnsi="仿宋" w:eastAsia="仿宋" w:cs="宋体"/>
                <w:color w:val="000000"/>
                <w:sz w:val="24"/>
                <w:lang w:val="en-US" w:eastAsia="zh-CN"/>
              </w:rPr>
              <w:t>注：缺陷包括但不限于：非专门针对本项目或不适用项目特性的情形、内容不完整或缺少关键节点、套用其他项目方案、内容前后矛盾、涉及的规范及标准错误、不利于项目实施、不可能实现的情形或明显错误等任意一种情形。</w:t>
            </w:r>
          </w:p>
        </w:tc>
      </w:tr>
      <w:tr w14:paraId="6757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96" w:type="dxa"/>
            <w:noWrap/>
            <w:vAlign w:val="center"/>
          </w:tcPr>
          <w:p w14:paraId="41844D92">
            <w:pPr>
              <w:spacing w:after="120" w:afterLines="50"/>
              <w:ind w:firstLine="28"/>
              <w:jc w:val="center"/>
              <w:rPr>
                <w:rFonts w:ascii="仿宋" w:hAnsi="仿宋" w:eastAsia="仿宋" w:cs="宋体"/>
                <w:sz w:val="24"/>
              </w:rPr>
            </w:pPr>
            <w:r>
              <w:rPr>
                <w:rFonts w:hint="eastAsia" w:ascii="仿宋" w:hAnsi="仿宋" w:eastAsia="仿宋" w:cs="宋体"/>
                <w:sz w:val="24"/>
              </w:rPr>
              <w:t>3</w:t>
            </w:r>
          </w:p>
        </w:tc>
        <w:tc>
          <w:tcPr>
            <w:tcW w:w="1384" w:type="dxa"/>
            <w:noWrap/>
            <w:vAlign w:val="center"/>
          </w:tcPr>
          <w:p w14:paraId="0BA0BAC6">
            <w:pPr>
              <w:spacing w:after="120" w:afterLines="50" w:line="360" w:lineRule="auto"/>
              <w:jc w:val="center"/>
              <w:rPr>
                <w:rFonts w:ascii="仿宋" w:hAnsi="仿宋" w:eastAsia="仿宋" w:cs="宋体"/>
                <w:sz w:val="24"/>
              </w:rPr>
            </w:pPr>
            <w:r>
              <w:rPr>
                <w:rFonts w:hint="eastAsia" w:ascii="仿宋" w:hAnsi="仿宋" w:eastAsia="仿宋" w:cs="宋体"/>
                <w:sz w:val="24"/>
              </w:rPr>
              <w:t>人员配置</w:t>
            </w:r>
            <w:r>
              <w:rPr>
                <w:rFonts w:hint="eastAsia" w:ascii="仿宋" w:hAnsi="仿宋" w:eastAsia="仿宋" w:cs="宋体"/>
                <w:sz w:val="24"/>
                <w:lang w:val="en-US" w:eastAsia="zh-CN"/>
              </w:rPr>
              <w:t>35</w:t>
            </w:r>
            <w:r>
              <w:rPr>
                <w:rFonts w:hint="eastAsia" w:ascii="仿宋" w:hAnsi="仿宋" w:eastAsia="仿宋" w:cs="宋体"/>
                <w:sz w:val="24"/>
              </w:rPr>
              <w:t>%</w:t>
            </w:r>
          </w:p>
        </w:tc>
        <w:tc>
          <w:tcPr>
            <w:tcW w:w="709" w:type="dxa"/>
            <w:noWrap/>
            <w:vAlign w:val="center"/>
          </w:tcPr>
          <w:p w14:paraId="302A0483">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35</w:t>
            </w:r>
          </w:p>
        </w:tc>
        <w:tc>
          <w:tcPr>
            <w:tcW w:w="6520" w:type="dxa"/>
            <w:noWrap/>
            <w:vAlign w:val="center"/>
          </w:tcPr>
          <w:p w14:paraId="3B8BFF66">
            <w:pPr>
              <w:spacing w:line="360" w:lineRule="auto"/>
              <w:rPr>
                <w:rFonts w:hint="eastAsia" w:ascii="仿宋" w:hAnsi="仿宋" w:eastAsia="仿宋" w:cs="Times New Roman"/>
                <w:sz w:val="24"/>
                <w:lang w:val="en-US" w:eastAsia="zh-CN"/>
              </w:rPr>
            </w:pPr>
            <w:r>
              <w:rPr>
                <w:rFonts w:ascii="仿宋" w:hAnsi="仿宋" w:eastAsia="仿宋" w:cs="Times New Roman"/>
                <w:sz w:val="24"/>
              </w:rPr>
              <w:t>供应商拟投入本项目的</w:t>
            </w:r>
            <w:r>
              <w:rPr>
                <w:rFonts w:hint="eastAsia" w:ascii="仿宋" w:hAnsi="仿宋" w:eastAsia="仿宋" w:cs="Times New Roman"/>
                <w:sz w:val="24"/>
                <w:lang w:val="en-US" w:eastAsia="zh-CN"/>
              </w:rPr>
              <w:t>设计师团队：每有1人具有医学相关专业本科学历的得5分，每有1人具有医学相关专业研究生及以上学历的得10分。本项最多得35分。</w:t>
            </w:r>
          </w:p>
          <w:p w14:paraId="32CA6770">
            <w:p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注：</w:t>
            </w:r>
            <w:r>
              <w:rPr>
                <w:rFonts w:hint="eastAsia" w:ascii="仿宋" w:hAnsi="仿宋" w:eastAsia="仿宋" w:cs="仿宋"/>
                <w:sz w:val="24"/>
                <w:szCs w:val="24"/>
                <w:lang w:val="en-US" w:eastAsia="zh-CN"/>
              </w:rPr>
              <w:t>提供学历证书和在职证明材料并加盖供应商公章，</w:t>
            </w:r>
            <w:r>
              <w:rPr>
                <w:rFonts w:ascii="仿宋" w:hAnsi="仿宋" w:eastAsia="仿宋" w:cs="Times New Roman"/>
                <w:sz w:val="24"/>
              </w:rPr>
              <w:t>不提供</w:t>
            </w:r>
            <w:r>
              <w:rPr>
                <w:rFonts w:hint="eastAsia" w:ascii="仿宋" w:hAnsi="仿宋" w:eastAsia="仿宋" w:cs="Times New Roman"/>
                <w:sz w:val="24"/>
              </w:rPr>
              <w:t>（无）</w:t>
            </w:r>
            <w:r>
              <w:rPr>
                <w:rFonts w:ascii="仿宋" w:hAnsi="仿宋" w:eastAsia="仿宋" w:cs="Times New Roman"/>
                <w:sz w:val="24"/>
              </w:rPr>
              <w:t>不得分</w:t>
            </w:r>
            <w:r>
              <w:rPr>
                <w:rFonts w:hint="eastAsia" w:ascii="仿宋" w:hAnsi="仿宋" w:eastAsia="仿宋" w:cs="Times New Roman"/>
                <w:sz w:val="24"/>
                <w:lang w:eastAsia="zh-CN"/>
              </w:rPr>
              <w:t>。</w:t>
            </w:r>
          </w:p>
        </w:tc>
      </w:tr>
      <w:tr w14:paraId="69994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27E2AF10">
            <w:pPr>
              <w:spacing w:after="120" w:afterLines="50"/>
              <w:ind w:firstLine="28"/>
              <w:jc w:val="center"/>
              <w:rPr>
                <w:rFonts w:ascii="仿宋" w:hAnsi="仿宋" w:eastAsia="仿宋" w:cs="宋体"/>
                <w:sz w:val="24"/>
              </w:rPr>
            </w:pPr>
            <w:r>
              <w:rPr>
                <w:rFonts w:hint="eastAsia" w:ascii="仿宋" w:hAnsi="仿宋" w:eastAsia="仿宋" w:cs="宋体"/>
                <w:sz w:val="24"/>
              </w:rPr>
              <w:t>4</w:t>
            </w:r>
          </w:p>
        </w:tc>
        <w:tc>
          <w:tcPr>
            <w:tcW w:w="1384" w:type="dxa"/>
            <w:noWrap/>
            <w:vAlign w:val="center"/>
          </w:tcPr>
          <w:p w14:paraId="5D813B75">
            <w:pPr>
              <w:spacing w:after="120" w:afterLines="50" w:line="360" w:lineRule="auto"/>
              <w:jc w:val="center"/>
              <w:rPr>
                <w:rFonts w:ascii="仿宋" w:hAnsi="仿宋" w:eastAsia="仿宋" w:cs="宋体"/>
                <w:sz w:val="24"/>
              </w:rPr>
            </w:pPr>
            <w:r>
              <w:rPr>
                <w:rFonts w:hint="eastAsia" w:ascii="仿宋" w:hAnsi="仿宋" w:eastAsia="仿宋" w:cs="宋体"/>
                <w:sz w:val="24"/>
              </w:rPr>
              <w:t>业绩</w:t>
            </w:r>
          </w:p>
          <w:p w14:paraId="3E62AF49">
            <w:pPr>
              <w:spacing w:after="120" w:afterLines="50" w:line="360" w:lineRule="auto"/>
              <w:jc w:val="center"/>
              <w:rPr>
                <w:rFonts w:ascii="仿宋" w:hAnsi="仿宋" w:eastAsia="仿宋" w:cs="宋体"/>
                <w:sz w:val="24"/>
              </w:rPr>
            </w:pPr>
            <w:r>
              <w:rPr>
                <w:rFonts w:hint="eastAsia" w:ascii="仿宋" w:hAnsi="仿宋" w:eastAsia="仿宋" w:cs="宋体"/>
                <w:sz w:val="24"/>
                <w:lang w:val="en-US" w:eastAsia="zh-CN"/>
              </w:rPr>
              <w:t>40</w:t>
            </w:r>
            <w:r>
              <w:rPr>
                <w:rFonts w:hint="eastAsia" w:ascii="仿宋" w:hAnsi="仿宋" w:eastAsia="仿宋" w:cs="宋体"/>
                <w:sz w:val="24"/>
              </w:rPr>
              <w:t>%</w:t>
            </w:r>
          </w:p>
        </w:tc>
        <w:tc>
          <w:tcPr>
            <w:tcW w:w="709" w:type="dxa"/>
            <w:noWrap/>
            <w:vAlign w:val="center"/>
          </w:tcPr>
          <w:p w14:paraId="6AEB5F61">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40</w:t>
            </w:r>
          </w:p>
        </w:tc>
        <w:tc>
          <w:tcPr>
            <w:tcW w:w="6520" w:type="dxa"/>
            <w:noWrap/>
            <w:vAlign w:val="center"/>
          </w:tcPr>
          <w:p w14:paraId="6495F874">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2023年1月1日至今，供应商具有类似学术期刊/出版物封面设计项目业绩，每提供1个得5分，本项最多得40分。</w:t>
            </w:r>
          </w:p>
          <w:p w14:paraId="219EF13C">
            <w:pPr>
              <w:spacing w:line="360" w:lineRule="auto"/>
              <w:rPr>
                <w:rFonts w:ascii="仿宋" w:hAnsi="仿宋" w:eastAsia="仿宋" w:cs="宋体"/>
                <w:color w:val="000000"/>
                <w:sz w:val="24"/>
              </w:rPr>
            </w:pPr>
            <w:r>
              <w:rPr>
                <w:rFonts w:hint="eastAsia" w:ascii="仿宋" w:hAnsi="仿宋" w:eastAsia="仿宋" w:cs="仿宋"/>
                <w:sz w:val="24"/>
                <w:szCs w:val="24"/>
                <w:lang w:val="en-US" w:eastAsia="zh-CN"/>
              </w:rPr>
              <w:t>注：</w:t>
            </w:r>
            <w:r>
              <w:rPr>
                <w:rFonts w:hint="eastAsia" w:ascii="仿宋" w:hAnsi="仿宋" w:eastAsia="仿宋" w:cs="仿宋"/>
                <w:sz w:val="24"/>
                <w:szCs w:val="24"/>
              </w:rPr>
              <w:t>须提供合同复印件并加盖公章。</w:t>
            </w:r>
          </w:p>
        </w:tc>
      </w:tr>
    </w:tbl>
    <w:p w14:paraId="665E61C0"/>
    <w:p w14:paraId="121219B9">
      <w:pPr>
        <w:rPr>
          <w:rFonts w:ascii="Times New Roman" w:hAnsi="Times New Roman" w:cs="Times New Roman"/>
        </w:rPr>
      </w:pPr>
      <w:bookmarkStart w:id="18" w:name="_Toc22827"/>
      <w:bookmarkStart w:id="19" w:name="_Toc28171"/>
      <w:bookmarkStart w:id="20" w:name="_Toc3094"/>
      <w:r>
        <w:rPr>
          <w:rFonts w:ascii="Times New Roman" w:hAnsi="Times New Roman" w:cs="Times New Roman"/>
        </w:rPr>
        <w:br w:type="page"/>
      </w:r>
    </w:p>
    <w:p w14:paraId="0B9F1C4B">
      <w:pPr>
        <w:pStyle w:val="2"/>
        <w:rPr>
          <w:rFonts w:ascii="Times New Roman" w:hAnsi="Times New Roman" w:cs="Times New Roman"/>
        </w:rPr>
      </w:pPr>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24859"/>
      <w:bookmarkStart w:id="33" w:name="_Toc17163"/>
      <w:bookmarkStart w:id="34" w:name="_Toc3274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17905"/>
      <w:bookmarkStart w:id="37" w:name="_Toc24123"/>
      <w:bookmarkStart w:id="38" w:name="_Toc680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989"/>
      <w:bookmarkStart w:id="41" w:name="_Toc27526"/>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19987"/>
      <w:bookmarkStart w:id="45" w:name="_Toc2031"/>
      <w:bookmarkStart w:id="46" w:name="_Toc5056"/>
      <w:bookmarkStart w:id="47" w:name="_Toc7233"/>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6482"/>
      <w:bookmarkStart w:id="49" w:name="_Toc3023"/>
      <w:bookmarkStart w:id="50" w:name="_Toc16029"/>
      <w:bookmarkStart w:id="51" w:name="_Toc14829"/>
      <w:bookmarkStart w:id="52" w:name="_Toc11352"/>
      <w:bookmarkStart w:id="53" w:name="_Toc2151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22676"/>
      <w:bookmarkStart w:id="55" w:name="_Toc31838"/>
      <w:bookmarkStart w:id="56" w:name="_Toc17857"/>
      <w:bookmarkStart w:id="57" w:name="_Toc4305"/>
      <w:bookmarkStart w:id="58" w:name="_Toc30971"/>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27661"/>
      <w:bookmarkStart w:id="68" w:name="_Toc25638"/>
      <w:bookmarkStart w:id="69" w:name="_Toc11351"/>
      <w:bookmarkStart w:id="70" w:name="_Toc15526"/>
      <w:bookmarkStart w:id="71" w:name="_Toc12015"/>
      <w:bookmarkStart w:id="72" w:name="_Toc20589"/>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074"/>
      <w:bookmarkStart w:id="74" w:name="_Toc16435"/>
      <w:bookmarkStart w:id="75" w:name="_Toc12967"/>
      <w:bookmarkStart w:id="76" w:name="_Toc23967"/>
      <w:bookmarkStart w:id="77" w:name="_Toc2041"/>
      <w:bookmarkStart w:id="78" w:name="_Toc26969"/>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31686"/>
      <w:bookmarkStart w:id="80" w:name="_Toc28634"/>
      <w:bookmarkStart w:id="81" w:name="_Toc26839"/>
      <w:bookmarkStart w:id="82" w:name="_Toc21082"/>
      <w:bookmarkStart w:id="83" w:name="_Toc1369"/>
      <w:bookmarkStart w:id="84" w:name="_Toc24806"/>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00"/>
        <w:gridCol w:w="3102"/>
        <w:gridCol w:w="2992"/>
        <w:gridCol w:w="2577"/>
      </w:tblGrid>
      <w:tr w14:paraId="6A81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17" w:type="pct"/>
            <w:vAlign w:val="center"/>
          </w:tcPr>
          <w:p w14:paraId="3E795A10">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1604" w:type="pct"/>
            <w:vAlign w:val="center"/>
          </w:tcPr>
          <w:p w14:paraId="0DC726A8">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采购标的名称</w:t>
            </w:r>
          </w:p>
        </w:tc>
        <w:tc>
          <w:tcPr>
            <w:tcW w:w="2991" w:type="dxa"/>
            <w:vAlign w:val="center"/>
          </w:tcPr>
          <w:p w14:paraId="572EFFB4">
            <w:pPr>
              <w:pStyle w:val="7"/>
              <w:pBdr>
                <w:top w:val="none" w:color="auto" w:sz="0" w:space="0"/>
                <w:left w:val="none" w:color="auto" w:sz="0" w:space="0"/>
                <w:bottom w:val="none" w:color="auto" w:sz="0" w:space="0"/>
                <w:right w:val="none" w:color="auto" w:sz="0" w:space="0"/>
                <w:between w:val="none" w:color="auto" w:sz="0" w:space="0"/>
              </w:pBdr>
              <w:jc w:val="center"/>
              <w:rPr>
                <w:rFonts w:ascii="仿宋" w:hAnsi="仿宋" w:eastAsia="仿宋" w:cs="仿宋"/>
                <w:b/>
                <w:bCs/>
                <w:kern w:val="0"/>
                <w:sz w:val="24"/>
                <w:szCs w:val="24"/>
              </w:rPr>
            </w:pPr>
            <w:r>
              <w:rPr>
                <w:rFonts w:hint="eastAsia" w:eastAsia="宋体"/>
                <w:b/>
                <w:bCs/>
                <w:vertAlign w:val="baseline"/>
                <w:lang w:val="en-US" w:eastAsia="zh-CN"/>
              </w:rPr>
              <w:t>单期封面设计报价（元）</w:t>
            </w:r>
          </w:p>
        </w:tc>
        <w:tc>
          <w:tcPr>
            <w:tcW w:w="1332" w:type="pct"/>
            <w:vAlign w:val="center"/>
          </w:tcPr>
          <w:p w14:paraId="33CC70B7">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备注</w:t>
            </w:r>
          </w:p>
        </w:tc>
      </w:tr>
      <w:tr w14:paraId="518B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17" w:type="pct"/>
            <w:vAlign w:val="center"/>
          </w:tcPr>
          <w:p w14:paraId="1026F3E0">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rPr>
              <w:t>1</w:t>
            </w:r>
          </w:p>
        </w:tc>
        <w:tc>
          <w:tcPr>
            <w:tcW w:w="1604" w:type="pct"/>
            <w:vAlign w:val="center"/>
          </w:tcPr>
          <w:p w14:paraId="0E75681C">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lang w:eastAsia="zh-CN"/>
              </w:rPr>
              <w:t>四川省人民医院英文刊《Medicine Bulletin》封面设计服务</w:t>
            </w:r>
          </w:p>
        </w:tc>
        <w:tc>
          <w:tcPr>
            <w:tcW w:w="2991" w:type="dxa"/>
            <w:vAlign w:val="center"/>
          </w:tcPr>
          <w:p w14:paraId="29431FEC">
            <w:pPr>
              <w:pStyle w:val="7"/>
              <w:pBdr>
                <w:top w:val="none" w:color="auto" w:sz="0" w:space="0"/>
                <w:left w:val="none" w:color="auto" w:sz="0" w:space="0"/>
                <w:bottom w:val="none" w:color="auto" w:sz="0" w:space="0"/>
                <w:right w:val="none" w:color="auto" w:sz="0" w:space="0"/>
                <w:between w:val="none" w:color="auto" w:sz="0" w:space="0"/>
              </w:pBdr>
              <w:jc w:val="left"/>
              <w:rPr>
                <w:rFonts w:hint="eastAsia" w:eastAsia="宋体"/>
                <w:b w:val="0"/>
                <w:bCs w:val="0"/>
                <w:vertAlign w:val="baseline"/>
                <w:lang w:val="en-US" w:eastAsia="zh-CN"/>
              </w:rPr>
            </w:pPr>
            <w:r>
              <w:rPr>
                <w:rFonts w:hint="eastAsia" w:eastAsia="宋体"/>
                <w:b w:val="0"/>
                <w:bCs w:val="0"/>
                <w:vertAlign w:val="baseline"/>
                <w:lang w:val="en-US" w:eastAsia="zh-CN"/>
              </w:rPr>
              <w:t>大写：</w:t>
            </w:r>
          </w:p>
          <w:p w14:paraId="67B1645D">
            <w:pPr>
              <w:pStyle w:val="7"/>
              <w:pBdr>
                <w:top w:val="none" w:color="auto" w:sz="0" w:space="0"/>
                <w:left w:val="none" w:color="auto" w:sz="0" w:space="0"/>
                <w:bottom w:val="none" w:color="auto" w:sz="0" w:space="0"/>
                <w:right w:val="none" w:color="auto" w:sz="0" w:space="0"/>
                <w:between w:val="none" w:color="auto" w:sz="0" w:space="0"/>
              </w:pBdr>
              <w:jc w:val="left"/>
              <w:rPr>
                <w:rFonts w:ascii="仿宋" w:hAnsi="仿宋" w:eastAsia="仿宋" w:cs="仿宋"/>
                <w:b/>
                <w:bCs/>
                <w:sz w:val="24"/>
                <w:szCs w:val="24"/>
              </w:rPr>
            </w:pPr>
            <w:r>
              <w:rPr>
                <w:rFonts w:hint="eastAsia" w:eastAsia="宋体"/>
                <w:b w:val="0"/>
                <w:bCs w:val="0"/>
                <w:vertAlign w:val="baseline"/>
                <w:lang w:val="en-US" w:eastAsia="zh-CN"/>
              </w:rPr>
              <w:t>小写：</w:t>
            </w:r>
          </w:p>
        </w:tc>
        <w:tc>
          <w:tcPr>
            <w:tcW w:w="1332" w:type="pct"/>
            <w:vAlign w:val="center"/>
          </w:tcPr>
          <w:p w14:paraId="71BCF070">
            <w:pPr>
              <w:pStyle w:val="7"/>
              <w:spacing w:after="0" w:line="360" w:lineRule="auto"/>
              <w:jc w:val="center"/>
              <w:rPr>
                <w:rFonts w:ascii="仿宋" w:hAnsi="仿宋" w:eastAsia="仿宋" w:cs="仿宋"/>
                <w:sz w:val="24"/>
                <w:szCs w:val="24"/>
              </w:rPr>
            </w:pPr>
          </w:p>
        </w:tc>
      </w:tr>
    </w:tbl>
    <w:p w14:paraId="273FD11C">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29"/>
        <w:numPr>
          <w:ilvl w:val="0"/>
          <w:numId w:val="12"/>
        </w:numPr>
        <w:ind w:left="0" w:firstLine="0" w:firstLineChars="0"/>
        <w:contextualSpacing/>
        <w:jc w:val="left"/>
        <w:rPr>
          <w:b/>
          <w:szCs w:val="21"/>
        </w:rPr>
      </w:pPr>
      <w:r>
        <w:rPr>
          <w:b/>
          <w:szCs w:val="21"/>
        </w:rPr>
        <w:t>合同标的</w:t>
      </w:r>
    </w:p>
    <w:p w14:paraId="2E385537">
      <w:pPr>
        <w:pStyle w:val="9"/>
        <w:numPr>
          <w:ilvl w:val="0"/>
          <w:numId w:val="13"/>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9"/>
        <w:numPr>
          <w:ilvl w:val="0"/>
          <w:numId w:val="13"/>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9"/>
        <w:numPr>
          <w:ilvl w:val="0"/>
          <w:numId w:val="13"/>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ind w:firstLine="0" w:firstLineChars="0"/>
              <w:jc w:val="center"/>
              <w:rPr>
                <w:color w:val="000000"/>
                <w:szCs w:val="21"/>
              </w:rPr>
            </w:pPr>
            <w:r>
              <w:rPr>
                <w:color w:val="000000"/>
                <w:szCs w:val="21"/>
              </w:rPr>
              <w:t>序号</w:t>
            </w:r>
          </w:p>
        </w:tc>
        <w:tc>
          <w:tcPr>
            <w:tcW w:w="2977" w:type="dxa"/>
            <w:vAlign w:val="center"/>
          </w:tcPr>
          <w:p w14:paraId="42032E31">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29"/>
              <w:ind w:firstLine="0" w:firstLineChars="0"/>
              <w:jc w:val="center"/>
              <w:rPr>
                <w:color w:val="000000"/>
                <w:szCs w:val="21"/>
              </w:rPr>
            </w:pPr>
            <w:r>
              <w:rPr>
                <w:color w:val="000000"/>
                <w:szCs w:val="21"/>
              </w:rPr>
              <w:t>具体内容</w:t>
            </w:r>
          </w:p>
        </w:tc>
        <w:tc>
          <w:tcPr>
            <w:tcW w:w="963" w:type="dxa"/>
            <w:vAlign w:val="center"/>
          </w:tcPr>
          <w:p w14:paraId="6E75E46C">
            <w:pPr>
              <w:pStyle w:val="29"/>
              <w:ind w:firstLine="0" w:firstLineChars="0"/>
              <w:jc w:val="center"/>
              <w:rPr>
                <w:color w:val="000000"/>
                <w:szCs w:val="21"/>
              </w:rPr>
            </w:pPr>
            <w:r>
              <w:rPr>
                <w:color w:val="000000"/>
                <w:szCs w:val="21"/>
              </w:rPr>
              <w:t>分项价格（万元）</w:t>
            </w:r>
          </w:p>
        </w:tc>
        <w:tc>
          <w:tcPr>
            <w:tcW w:w="2016" w:type="dxa"/>
          </w:tcPr>
          <w:p w14:paraId="3BC8F9B2">
            <w:pPr>
              <w:pStyle w:val="29"/>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rPr>
            </w:pPr>
            <w:r>
              <w:rPr>
                <w:rFonts w:hint="eastAsia"/>
                <w:color w:val="000000"/>
                <w:szCs w:val="21"/>
              </w:rPr>
              <w:t>1</w:t>
            </w:r>
          </w:p>
        </w:tc>
        <w:tc>
          <w:tcPr>
            <w:tcW w:w="2977" w:type="dxa"/>
            <w:vAlign w:val="center"/>
          </w:tcPr>
          <w:p w14:paraId="629F7C51">
            <w:pPr>
              <w:pStyle w:val="29"/>
              <w:ind w:firstLine="0" w:firstLineChars="0"/>
              <w:rPr>
                <w:color w:val="000000"/>
                <w:szCs w:val="21"/>
              </w:rPr>
            </w:pPr>
          </w:p>
        </w:tc>
        <w:tc>
          <w:tcPr>
            <w:tcW w:w="3686" w:type="dxa"/>
            <w:vAlign w:val="center"/>
          </w:tcPr>
          <w:p w14:paraId="1B711F72">
            <w:pPr>
              <w:pStyle w:val="29"/>
              <w:ind w:firstLine="0" w:firstLineChars="0"/>
              <w:rPr>
                <w:color w:val="000000"/>
                <w:szCs w:val="21"/>
              </w:rPr>
            </w:pPr>
          </w:p>
        </w:tc>
        <w:tc>
          <w:tcPr>
            <w:tcW w:w="963" w:type="dxa"/>
            <w:vAlign w:val="center"/>
          </w:tcPr>
          <w:p w14:paraId="5DD02118">
            <w:pPr>
              <w:pStyle w:val="29"/>
              <w:ind w:firstLine="0" w:firstLineChars="0"/>
              <w:jc w:val="center"/>
              <w:rPr>
                <w:color w:val="000000"/>
                <w:szCs w:val="21"/>
              </w:rPr>
            </w:pPr>
          </w:p>
        </w:tc>
        <w:tc>
          <w:tcPr>
            <w:tcW w:w="2016" w:type="dxa"/>
          </w:tcPr>
          <w:p w14:paraId="149276E7">
            <w:pPr>
              <w:pStyle w:val="29"/>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rPr>
            </w:pPr>
            <w:r>
              <w:rPr>
                <w:rFonts w:hint="eastAsia"/>
                <w:color w:val="000000"/>
                <w:szCs w:val="21"/>
              </w:rPr>
              <w:t>2</w:t>
            </w:r>
          </w:p>
        </w:tc>
        <w:tc>
          <w:tcPr>
            <w:tcW w:w="2977" w:type="dxa"/>
            <w:vAlign w:val="center"/>
          </w:tcPr>
          <w:p w14:paraId="0E44D544">
            <w:pPr>
              <w:pStyle w:val="29"/>
              <w:ind w:firstLine="0" w:firstLineChars="0"/>
              <w:rPr>
                <w:color w:val="000000"/>
                <w:szCs w:val="21"/>
              </w:rPr>
            </w:pPr>
          </w:p>
        </w:tc>
        <w:tc>
          <w:tcPr>
            <w:tcW w:w="3686" w:type="dxa"/>
            <w:vAlign w:val="center"/>
          </w:tcPr>
          <w:p w14:paraId="01B65D9C">
            <w:pPr>
              <w:pStyle w:val="29"/>
              <w:ind w:firstLine="0" w:firstLineChars="0"/>
              <w:rPr>
                <w:color w:val="000000"/>
                <w:szCs w:val="21"/>
              </w:rPr>
            </w:pPr>
          </w:p>
        </w:tc>
        <w:tc>
          <w:tcPr>
            <w:tcW w:w="963" w:type="dxa"/>
            <w:vAlign w:val="center"/>
          </w:tcPr>
          <w:p w14:paraId="4C31DD39">
            <w:pPr>
              <w:pStyle w:val="29"/>
              <w:ind w:firstLine="0" w:firstLineChars="0"/>
              <w:jc w:val="center"/>
              <w:rPr>
                <w:color w:val="000000"/>
                <w:szCs w:val="21"/>
              </w:rPr>
            </w:pPr>
          </w:p>
        </w:tc>
        <w:tc>
          <w:tcPr>
            <w:tcW w:w="2016" w:type="dxa"/>
          </w:tcPr>
          <w:p w14:paraId="3000AC5A">
            <w:pPr>
              <w:pStyle w:val="29"/>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rPr>
            </w:pPr>
            <w:r>
              <w:rPr>
                <w:rFonts w:hint="eastAsia"/>
                <w:color w:val="000000"/>
                <w:szCs w:val="21"/>
              </w:rPr>
              <w:t>3</w:t>
            </w:r>
          </w:p>
        </w:tc>
        <w:tc>
          <w:tcPr>
            <w:tcW w:w="2977" w:type="dxa"/>
            <w:vAlign w:val="center"/>
          </w:tcPr>
          <w:p w14:paraId="71D5F885">
            <w:pPr>
              <w:pStyle w:val="29"/>
              <w:ind w:firstLine="0" w:firstLineChars="0"/>
              <w:rPr>
                <w:color w:val="000000"/>
                <w:szCs w:val="21"/>
              </w:rPr>
            </w:pPr>
          </w:p>
        </w:tc>
        <w:tc>
          <w:tcPr>
            <w:tcW w:w="3686" w:type="dxa"/>
            <w:vAlign w:val="center"/>
          </w:tcPr>
          <w:p w14:paraId="38AC0A57">
            <w:pPr>
              <w:pStyle w:val="29"/>
              <w:ind w:firstLine="0" w:firstLineChars="0"/>
              <w:rPr>
                <w:color w:val="000000"/>
                <w:szCs w:val="21"/>
              </w:rPr>
            </w:pPr>
          </w:p>
        </w:tc>
        <w:tc>
          <w:tcPr>
            <w:tcW w:w="963" w:type="dxa"/>
            <w:vAlign w:val="center"/>
          </w:tcPr>
          <w:p w14:paraId="3B158765">
            <w:pPr>
              <w:pStyle w:val="29"/>
              <w:ind w:firstLine="0" w:firstLineChars="0"/>
              <w:jc w:val="center"/>
              <w:rPr>
                <w:color w:val="000000"/>
                <w:szCs w:val="21"/>
              </w:rPr>
            </w:pPr>
          </w:p>
        </w:tc>
        <w:tc>
          <w:tcPr>
            <w:tcW w:w="2016" w:type="dxa"/>
          </w:tcPr>
          <w:p w14:paraId="43F7F4B9">
            <w:pPr>
              <w:pStyle w:val="29"/>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rPr>
            </w:pPr>
            <w:r>
              <w:rPr>
                <w:color w:val="000000"/>
                <w:szCs w:val="21"/>
              </w:rPr>
              <w:t>…</w:t>
            </w:r>
          </w:p>
        </w:tc>
        <w:tc>
          <w:tcPr>
            <w:tcW w:w="2977" w:type="dxa"/>
            <w:vAlign w:val="center"/>
          </w:tcPr>
          <w:p w14:paraId="492CFE5D">
            <w:pPr>
              <w:pStyle w:val="29"/>
              <w:ind w:firstLine="0" w:firstLineChars="0"/>
              <w:rPr>
                <w:color w:val="000000"/>
                <w:szCs w:val="21"/>
              </w:rPr>
            </w:pPr>
          </w:p>
        </w:tc>
        <w:tc>
          <w:tcPr>
            <w:tcW w:w="3686" w:type="dxa"/>
            <w:vAlign w:val="center"/>
          </w:tcPr>
          <w:p w14:paraId="5E27032F">
            <w:pPr>
              <w:pStyle w:val="29"/>
              <w:ind w:firstLine="0" w:firstLineChars="0"/>
              <w:rPr>
                <w:color w:val="000000"/>
                <w:szCs w:val="21"/>
              </w:rPr>
            </w:pPr>
          </w:p>
        </w:tc>
        <w:tc>
          <w:tcPr>
            <w:tcW w:w="963" w:type="dxa"/>
            <w:vAlign w:val="center"/>
          </w:tcPr>
          <w:p w14:paraId="19B21445">
            <w:pPr>
              <w:pStyle w:val="29"/>
              <w:ind w:firstLine="0" w:firstLineChars="0"/>
              <w:jc w:val="center"/>
              <w:rPr>
                <w:color w:val="000000"/>
                <w:szCs w:val="21"/>
              </w:rPr>
            </w:pPr>
          </w:p>
        </w:tc>
        <w:tc>
          <w:tcPr>
            <w:tcW w:w="2016" w:type="dxa"/>
          </w:tcPr>
          <w:p w14:paraId="5FC047A6">
            <w:pPr>
              <w:pStyle w:val="29"/>
              <w:ind w:firstLine="0" w:firstLineChars="0"/>
              <w:rPr>
                <w:color w:val="000000"/>
                <w:szCs w:val="21"/>
              </w:rPr>
            </w:pPr>
          </w:p>
        </w:tc>
      </w:tr>
    </w:tbl>
    <w:p w14:paraId="2D35C912">
      <w:pPr>
        <w:pStyle w:val="29"/>
        <w:numPr>
          <w:ilvl w:val="0"/>
          <w:numId w:val="12"/>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1"/>
      <w:bookmarkStart w:id="96" w:name="OLE_LINK2"/>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29"/>
        <w:numPr>
          <w:ilvl w:val="0"/>
          <w:numId w:val="12"/>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9"/>
        <w:jc w:val="left"/>
        <w:rPr>
          <w:bCs/>
          <w:szCs w:val="21"/>
        </w:rPr>
      </w:pPr>
    </w:p>
    <w:p w14:paraId="368787FF">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9"/>
        <w:jc w:val="left"/>
        <w:rPr>
          <w:bCs/>
          <w:szCs w:val="21"/>
        </w:rPr>
      </w:pPr>
    </w:p>
    <w:p w14:paraId="27DB179C">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B257405">
      <w:pPr>
        <w:pStyle w:val="29"/>
        <w:numPr>
          <w:ilvl w:val="0"/>
          <w:numId w:val="12"/>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29"/>
        <w:numPr>
          <w:ilvl w:val="0"/>
          <w:numId w:val="12"/>
        </w:numPr>
        <w:ind w:left="0" w:firstLine="0" w:firstLineChars="0"/>
        <w:contextualSpacing/>
        <w:jc w:val="left"/>
        <w:rPr>
          <w:b/>
          <w:szCs w:val="21"/>
        </w:rPr>
      </w:pPr>
      <w:r>
        <w:rPr>
          <w:b/>
          <w:szCs w:val="21"/>
        </w:rPr>
        <w:t>验收</w:t>
      </w:r>
    </w:p>
    <w:p w14:paraId="57707485">
      <w:pPr>
        <w:pStyle w:val="29"/>
        <w:numPr>
          <w:ilvl w:val="0"/>
          <w:numId w:val="14"/>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29"/>
        <w:numPr>
          <w:ilvl w:val="0"/>
          <w:numId w:val="14"/>
        </w:numPr>
        <w:ind w:left="0" w:firstLine="0" w:firstLineChars="0"/>
        <w:contextualSpacing/>
        <w:rPr>
          <w:szCs w:val="21"/>
        </w:rPr>
      </w:pPr>
      <w:r>
        <w:rPr>
          <w:szCs w:val="21"/>
        </w:rPr>
        <w:t>验收方案：</w:t>
      </w:r>
    </w:p>
    <w:p w14:paraId="10719FFA">
      <w:pPr>
        <w:pStyle w:val="29"/>
        <w:numPr>
          <w:ilvl w:val="0"/>
          <w:numId w:val="15"/>
        </w:numPr>
        <w:ind w:firstLineChars="0"/>
        <w:contextualSpacing/>
        <w:rPr>
          <w:color w:val="000000"/>
          <w:szCs w:val="21"/>
        </w:rPr>
      </w:pPr>
      <w:r>
        <w:rPr>
          <w:rFonts w:hint="eastAsia"/>
          <w:color w:val="000000"/>
          <w:szCs w:val="21"/>
        </w:rPr>
        <w:t>验收主体：甲方</w:t>
      </w:r>
    </w:p>
    <w:p w14:paraId="7212F6E2">
      <w:pPr>
        <w:pStyle w:val="29"/>
        <w:numPr>
          <w:ilvl w:val="0"/>
          <w:numId w:val="15"/>
        </w:numPr>
        <w:ind w:firstLineChars="0"/>
        <w:contextualSpacing/>
        <w:rPr>
          <w:color w:val="000000"/>
          <w:szCs w:val="21"/>
        </w:rPr>
      </w:pPr>
      <w:r>
        <w:rPr>
          <w:rFonts w:hint="eastAsia"/>
          <w:color w:val="000000"/>
          <w:szCs w:val="21"/>
        </w:rPr>
        <w:t>验收组织方式：自行验收</w:t>
      </w:r>
    </w:p>
    <w:p w14:paraId="5C963DBA">
      <w:pPr>
        <w:pStyle w:val="29"/>
        <w:numPr>
          <w:ilvl w:val="0"/>
          <w:numId w:val="15"/>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29"/>
        <w:numPr>
          <w:ilvl w:val="0"/>
          <w:numId w:val="15"/>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29"/>
        <w:numPr>
          <w:ilvl w:val="0"/>
          <w:numId w:val="15"/>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29"/>
        <w:numPr>
          <w:ilvl w:val="0"/>
          <w:numId w:val="15"/>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6"/>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29"/>
        <w:numPr>
          <w:ilvl w:val="0"/>
          <w:numId w:val="15"/>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29"/>
        <w:numPr>
          <w:ilvl w:val="0"/>
          <w:numId w:val="15"/>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29"/>
        <w:numPr>
          <w:ilvl w:val="0"/>
          <w:numId w:val="15"/>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29"/>
        <w:numPr>
          <w:ilvl w:val="0"/>
          <w:numId w:val="15"/>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29"/>
        <w:numPr>
          <w:ilvl w:val="0"/>
          <w:numId w:val="15"/>
        </w:numPr>
        <w:ind w:firstLineChars="0"/>
        <w:contextualSpacing/>
        <w:rPr>
          <w:szCs w:val="21"/>
        </w:rPr>
      </w:pPr>
      <w:r>
        <w:rPr>
          <w:szCs w:val="21"/>
        </w:rPr>
        <w:t>验收标准：</w:t>
      </w:r>
    </w:p>
    <w:p w14:paraId="24757C73">
      <w:pPr>
        <w:pStyle w:val="16"/>
        <w:numPr>
          <w:ilvl w:val="0"/>
          <w:numId w:val="16"/>
        </w:numPr>
        <w:spacing w:after="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6"/>
        <w:numPr>
          <w:ilvl w:val="0"/>
          <w:numId w:val="16"/>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6"/>
        <w:numPr>
          <w:ilvl w:val="0"/>
          <w:numId w:val="16"/>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6"/>
        <w:numPr>
          <w:ilvl w:val="0"/>
          <w:numId w:val="16"/>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6"/>
        <w:numPr>
          <w:ilvl w:val="0"/>
          <w:numId w:val="16"/>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6"/>
        <w:numPr>
          <w:ilvl w:val="0"/>
          <w:numId w:val="16"/>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29"/>
        <w:numPr>
          <w:ilvl w:val="0"/>
          <w:numId w:val="15"/>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29"/>
        <w:numPr>
          <w:ilvl w:val="0"/>
          <w:numId w:val="14"/>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29"/>
        <w:numPr>
          <w:ilvl w:val="0"/>
          <w:numId w:val="12"/>
        </w:numPr>
        <w:ind w:left="0" w:firstLine="0" w:firstLineChars="0"/>
        <w:contextualSpacing/>
        <w:jc w:val="left"/>
        <w:rPr>
          <w:b/>
          <w:szCs w:val="21"/>
        </w:rPr>
      </w:pPr>
      <w:r>
        <w:rPr>
          <w:b/>
          <w:szCs w:val="21"/>
        </w:rPr>
        <w:t>付款方式</w:t>
      </w:r>
    </w:p>
    <w:p w14:paraId="5CC20725">
      <w:pPr>
        <w:pStyle w:val="9"/>
        <w:numPr>
          <w:ilvl w:val="0"/>
          <w:numId w:val="17"/>
        </w:numPr>
        <w:spacing w:after="0" w:line="240" w:lineRule="auto"/>
        <w:ind w:left="227" w:leftChars="0" w:hanging="227"/>
        <w:contextualSpacing/>
        <w:jc w:val="left"/>
        <w:rPr>
          <w:szCs w:val="21"/>
        </w:rPr>
      </w:pPr>
      <w:r>
        <w:rPr>
          <w:szCs w:val="21"/>
        </w:rPr>
        <w:t>履约保证金：</w:t>
      </w:r>
    </w:p>
    <w:p w14:paraId="1A98FD8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9"/>
        <w:numPr>
          <w:ilvl w:val="0"/>
          <w:numId w:val="17"/>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6"/>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9"/>
        <w:numPr>
          <w:ilvl w:val="0"/>
          <w:numId w:val="17"/>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9"/>
        <w:numPr>
          <w:ilvl w:val="0"/>
          <w:numId w:val="17"/>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29"/>
        <w:numPr>
          <w:ilvl w:val="0"/>
          <w:numId w:val="12"/>
        </w:numPr>
        <w:ind w:left="0" w:firstLine="0" w:firstLineChars="0"/>
        <w:contextualSpacing/>
        <w:jc w:val="left"/>
        <w:rPr>
          <w:b/>
          <w:szCs w:val="21"/>
        </w:rPr>
      </w:pPr>
      <w:r>
        <w:rPr>
          <w:b/>
          <w:szCs w:val="21"/>
        </w:rPr>
        <w:t>双方权利与义务</w:t>
      </w:r>
    </w:p>
    <w:p w14:paraId="581F8AA0">
      <w:pPr>
        <w:pStyle w:val="9"/>
        <w:numPr>
          <w:ilvl w:val="0"/>
          <w:numId w:val="18"/>
        </w:numPr>
        <w:spacing w:after="0" w:line="240" w:lineRule="auto"/>
        <w:ind w:left="227" w:leftChars="0" w:hanging="227"/>
        <w:contextualSpacing/>
        <w:jc w:val="left"/>
        <w:rPr>
          <w:szCs w:val="21"/>
        </w:rPr>
      </w:pPr>
      <w:r>
        <w:rPr>
          <w:szCs w:val="21"/>
        </w:rPr>
        <w:t>甲方权利与义务</w:t>
      </w:r>
    </w:p>
    <w:p w14:paraId="4D16113D">
      <w:pPr>
        <w:pStyle w:val="29"/>
        <w:numPr>
          <w:ilvl w:val="0"/>
          <w:numId w:val="19"/>
        </w:numPr>
        <w:adjustRightInd w:val="0"/>
        <w:ind w:left="525" w:hanging="525" w:hangingChars="250"/>
        <w:contextualSpacing/>
        <w:jc w:val="left"/>
        <w:rPr>
          <w:szCs w:val="21"/>
        </w:rPr>
      </w:pPr>
      <w:r>
        <w:rPr>
          <w:szCs w:val="21"/>
        </w:rPr>
        <w:t>按合同约定向乙方支付费用。</w:t>
      </w:r>
    </w:p>
    <w:p w14:paraId="62A02753">
      <w:pPr>
        <w:pStyle w:val="29"/>
        <w:numPr>
          <w:ilvl w:val="0"/>
          <w:numId w:val="19"/>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29"/>
        <w:numPr>
          <w:ilvl w:val="0"/>
          <w:numId w:val="19"/>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29"/>
        <w:numPr>
          <w:ilvl w:val="0"/>
          <w:numId w:val="19"/>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9"/>
        <w:numPr>
          <w:ilvl w:val="0"/>
          <w:numId w:val="18"/>
        </w:numPr>
        <w:spacing w:after="0" w:line="240" w:lineRule="auto"/>
        <w:ind w:left="227" w:leftChars="0" w:hanging="227"/>
        <w:contextualSpacing/>
        <w:jc w:val="left"/>
        <w:rPr>
          <w:szCs w:val="21"/>
        </w:rPr>
      </w:pPr>
      <w:r>
        <w:rPr>
          <w:szCs w:val="21"/>
        </w:rPr>
        <w:t>乙方权利与义务</w:t>
      </w:r>
    </w:p>
    <w:p w14:paraId="319B30B1">
      <w:pPr>
        <w:pStyle w:val="9"/>
        <w:numPr>
          <w:ilvl w:val="0"/>
          <w:numId w:val="20"/>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9"/>
        <w:numPr>
          <w:ilvl w:val="0"/>
          <w:numId w:val="20"/>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9"/>
        <w:numPr>
          <w:ilvl w:val="0"/>
          <w:numId w:val="20"/>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9"/>
        <w:numPr>
          <w:ilvl w:val="0"/>
          <w:numId w:val="20"/>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9"/>
        <w:numPr>
          <w:ilvl w:val="0"/>
          <w:numId w:val="20"/>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29"/>
        <w:numPr>
          <w:ilvl w:val="0"/>
          <w:numId w:val="12"/>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9"/>
        <w:numPr>
          <w:ilvl w:val="0"/>
          <w:numId w:val="21"/>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29"/>
        <w:numPr>
          <w:ilvl w:val="0"/>
          <w:numId w:val="21"/>
        </w:numPr>
        <w:ind w:left="0" w:firstLine="0" w:firstLineChars="0"/>
        <w:rPr>
          <w:szCs w:val="21"/>
        </w:rPr>
      </w:pPr>
      <w:r>
        <w:rPr>
          <w:szCs w:val="21"/>
        </w:rPr>
        <w:t>乙方违约责任：</w:t>
      </w:r>
    </w:p>
    <w:p w14:paraId="354B31C5">
      <w:pPr>
        <w:pStyle w:val="9"/>
        <w:numPr>
          <w:ilvl w:val="0"/>
          <w:numId w:val="22"/>
        </w:numPr>
        <w:spacing w:after="0" w:line="240" w:lineRule="auto"/>
        <w:ind w:left="525" w:leftChars="0" w:hanging="525" w:hangingChars="250"/>
        <w:contextualSpacing/>
        <w:jc w:val="left"/>
        <w:rPr>
          <w:szCs w:val="21"/>
        </w:rPr>
      </w:pPr>
      <w:bookmarkStart w:id="101" w:name="OLE_LINK18"/>
      <w:bookmarkStart w:id="102"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2"/>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9"/>
        <w:numPr>
          <w:ilvl w:val="0"/>
          <w:numId w:val="22"/>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9"/>
        <w:numPr>
          <w:ilvl w:val="0"/>
          <w:numId w:val="22"/>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22"/>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9"/>
        <w:numPr>
          <w:ilvl w:val="0"/>
          <w:numId w:val="22"/>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9"/>
        <w:numPr>
          <w:ilvl w:val="0"/>
          <w:numId w:val="22"/>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9"/>
        <w:numPr>
          <w:ilvl w:val="0"/>
          <w:numId w:val="22"/>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2"/>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29"/>
        <w:numPr>
          <w:ilvl w:val="0"/>
          <w:numId w:val="12"/>
        </w:numPr>
        <w:ind w:left="0" w:firstLine="0" w:firstLineChars="0"/>
        <w:contextualSpacing/>
        <w:jc w:val="left"/>
        <w:rPr>
          <w:b/>
          <w:szCs w:val="21"/>
        </w:rPr>
      </w:pPr>
      <w:r>
        <w:rPr>
          <w:b/>
          <w:szCs w:val="21"/>
        </w:rPr>
        <w:t>不可抗力</w:t>
      </w:r>
    </w:p>
    <w:p w14:paraId="26541785">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29"/>
        <w:numPr>
          <w:ilvl w:val="0"/>
          <w:numId w:val="12"/>
        </w:numPr>
        <w:ind w:left="0" w:firstLine="0" w:firstLineChars="0"/>
        <w:contextualSpacing/>
        <w:jc w:val="left"/>
        <w:rPr>
          <w:b/>
          <w:szCs w:val="21"/>
        </w:rPr>
      </w:pPr>
      <w:r>
        <w:rPr>
          <w:b/>
          <w:szCs w:val="21"/>
        </w:rPr>
        <w:t>合同终止及解除</w:t>
      </w:r>
    </w:p>
    <w:p w14:paraId="275C61D9">
      <w:pPr>
        <w:pStyle w:val="29"/>
        <w:numPr>
          <w:ilvl w:val="0"/>
          <w:numId w:val="23"/>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3"/>
        </w:numPr>
        <w:ind w:left="0" w:firstLine="0" w:firstLineChars="0"/>
        <w:rPr>
          <w:szCs w:val="21"/>
        </w:rPr>
      </w:pPr>
      <w:r>
        <w:rPr>
          <w:szCs w:val="21"/>
        </w:rPr>
        <w:t>在甲、乙任何一方有严重违约行为时，另一方有权单方解除合同。</w:t>
      </w:r>
    </w:p>
    <w:p w14:paraId="2BA7B89E">
      <w:pPr>
        <w:pStyle w:val="29"/>
        <w:numPr>
          <w:ilvl w:val="0"/>
          <w:numId w:val="12"/>
        </w:numPr>
        <w:ind w:left="0" w:firstLine="0" w:firstLineChars="0"/>
        <w:contextualSpacing/>
        <w:jc w:val="left"/>
        <w:rPr>
          <w:b/>
          <w:szCs w:val="21"/>
        </w:rPr>
      </w:pPr>
      <w:r>
        <w:rPr>
          <w:b/>
          <w:szCs w:val="21"/>
        </w:rPr>
        <w:t>争议解决办法</w:t>
      </w:r>
    </w:p>
    <w:p w14:paraId="5C6244A3">
      <w:pPr>
        <w:pStyle w:val="29"/>
        <w:numPr>
          <w:ilvl w:val="0"/>
          <w:numId w:val="24"/>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4"/>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29"/>
        <w:numPr>
          <w:ilvl w:val="0"/>
          <w:numId w:val="12"/>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4"/>
        <w:numPr>
          <w:ilvl w:val="0"/>
          <w:numId w:val="25"/>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4"/>
        <w:numPr>
          <w:ilvl w:val="0"/>
          <w:numId w:val="25"/>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4"/>
        <w:numPr>
          <w:ilvl w:val="0"/>
          <w:numId w:val="25"/>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2"/>
        </w:numPr>
        <w:ind w:left="0" w:firstLine="0" w:firstLineChars="0"/>
        <w:contextualSpacing/>
        <w:jc w:val="left"/>
        <w:rPr>
          <w:b/>
          <w:szCs w:val="21"/>
        </w:rPr>
      </w:pPr>
      <w:r>
        <w:rPr>
          <w:b/>
          <w:szCs w:val="21"/>
        </w:rPr>
        <w:t>其他</w:t>
      </w:r>
    </w:p>
    <w:p w14:paraId="162904B6">
      <w:pPr>
        <w:pStyle w:val="29"/>
        <w:numPr>
          <w:ilvl w:val="0"/>
          <w:numId w:val="26"/>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29"/>
        <w:numPr>
          <w:ilvl w:val="0"/>
          <w:numId w:val="26"/>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29"/>
        <w:numPr>
          <w:ilvl w:val="0"/>
          <w:numId w:val="12"/>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7"/>
        <w:rPr>
          <w:rFonts w:ascii="仿宋" w:hAnsi="仿宋" w:eastAsia="仿宋" w:cs="仿宋"/>
          <w:sz w:val="28"/>
          <w:szCs w:val="36"/>
        </w:rPr>
      </w:pPr>
    </w:p>
    <w:p w14:paraId="5A954D06">
      <w:pPr>
        <w:pStyle w:val="7"/>
        <w:rPr>
          <w:rFonts w:ascii="仿宋" w:hAnsi="仿宋" w:eastAsia="仿宋" w:cs="仿宋"/>
          <w:sz w:val="28"/>
          <w:szCs w:val="36"/>
        </w:rPr>
      </w:pPr>
    </w:p>
    <w:p w14:paraId="1C759154">
      <w:pPr>
        <w:pStyle w:val="7"/>
        <w:rPr>
          <w:rFonts w:ascii="仿宋" w:hAnsi="仿宋" w:eastAsia="仿宋" w:cs="仿宋"/>
          <w:sz w:val="28"/>
          <w:szCs w:val="36"/>
        </w:rPr>
      </w:pPr>
    </w:p>
    <w:p w14:paraId="7A5531E3">
      <w:pPr>
        <w:pStyle w:val="7"/>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6"/>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8E30BD8-4C27-4938-A272-4708A0568B8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8DE3B2B-DE39-43E9-9208-979ADA20694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7663B08-B869-42E2-8B92-E14DBADCE8A8}"/>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DDFF036-603D-42B8-A8DD-A7B01EBFE934}"/>
  </w:font>
  <w:font w:name="Segoe UI Symbol">
    <w:panose1 w:val="020B0502040204020203"/>
    <w:charset w:val="00"/>
    <w:family w:val="swiss"/>
    <w:pitch w:val="default"/>
    <w:sig w:usb0="800001E3" w:usb1="1200FFEF" w:usb2="00040000" w:usb3="04000000" w:csb0="00000001" w:csb1="40000000"/>
    <w:embedRegular r:id="rId5" w:fontKey="{B21C2D47-602E-4D03-91A6-D28CB37113B2}"/>
  </w:font>
  <w:font w:name="Wingdings 2">
    <w:altName w:val="Wingdings"/>
    <w:panose1 w:val="05020102010507070707"/>
    <w:charset w:val="4D"/>
    <w:family w:val="decorative"/>
    <w:pitch w:val="default"/>
    <w:sig w:usb0="00000000" w:usb1="00000000" w:usb2="00000000" w:usb3="00000000" w:csb0="80000000" w:csb1="00000000"/>
    <w:embedRegular r:id="rId6" w:fontKey="{B293882A-6F26-4268-B515-3235FBFFF441}"/>
  </w:font>
  <w:font w:name="微软雅黑">
    <w:panose1 w:val="020B0503020204020204"/>
    <w:charset w:val="86"/>
    <w:family w:val="swiss"/>
    <w:pitch w:val="default"/>
    <w:sig w:usb0="80000287" w:usb1="2ACF3C50" w:usb2="00000016" w:usb3="00000000" w:csb0="0004001F" w:csb1="00000000"/>
    <w:embedRegular r:id="rId7" w:fontKey="{7E53B094-F878-4A4B-BE2F-1A80B7134509}"/>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3</w:t>
                          </w:r>
                          <w:r>
                            <w:rPr>
                              <w:rFonts w:hint="eastAsia"/>
                              <w:lang w:val="en-US" w:eastAsia="zh-CN"/>
                            </w:rPr>
                            <w:t>5</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3</w:t>
                    </w:r>
                    <w:r>
                      <w:rPr>
                        <w:rFonts w:hint="eastAsia"/>
                        <w:lang w:val="en-US" w:eastAsia="zh-CN"/>
                      </w:rPr>
                      <w:t>5</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B059C6"/>
    <w:rsid w:val="058C78B0"/>
    <w:rsid w:val="05E13064"/>
    <w:rsid w:val="077B70C4"/>
    <w:rsid w:val="078A573C"/>
    <w:rsid w:val="093A3733"/>
    <w:rsid w:val="0B4508AE"/>
    <w:rsid w:val="0CF161C9"/>
    <w:rsid w:val="0D352B8F"/>
    <w:rsid w:val="0E0B7FF0"/>
    <w:rsid w:val="11075CBE"/>
    <w:rsid w:val="115D07B9"/>
    <w:rsid w:val="117A5014"/>
    <w:rsid w:val="127F05A0"/>
    <w:rsid w:val="127F1D65"/>
    <w:rsid w:val="13546548"/>
    <w:rsid w:val="136D78F8"/>
    <w:rsid w:val="1411115B"/>
    <w:rsid w:val="15CC4977"/>
    <w:rsid w:val="162A4F7D"/>
    <w:rsid w:val="16A82A66"/>
    <w:rsid w:val="1994787E"/>
    <w:rsid w:val="19FF304F"/>
    <w:rsid w:val="1DD000AF"/>
    <w:rsid w:val="1E09745A"/>
    <w:rsid w:val="1E176351"/>
    <w:rsid w:val="1FD31681"/>
    <w:rsid w:val="229D6DB5"/>
    <w:rsid w:val="23D4489F"/>
    <w:rsid w:val="248A553D"/>
    <w:rsid w:val="262001B9"/>
    <w:rsid w:val="27B87AF9"/>
    <w:rsid w:val="27E80EA9"/>
    <w:rsid w:val="280414A1"/>
    <w:rsid w:val="28570368"/>
    <w:rsid w:val="29A82748"/>
    <w:rsid w:val="29C5318E"/>
    <w:rsid w:val="2B502F98"/>
    <w:rsid w:val="2C9A0A9E"/>
    <w:rsid w:val="2CA621A6"/>
    <w:rsid w:val="2DA70D65"/>
    <w:rsid w:val="2EE31C10"/>
    <w:rsid w:val="313B414B"/>
    <w:rsid w:val="3427766B"/>
    <w:rsid w:val="343706EB"/>
    <w:rsid w:val="351A08D0"/>
    <w:rsid w:val="36334CE5"/>
    <w:rsid w:val="3A551407"/>
    <w:rsid w:val="3AE57E7C"/>
    <w:rsid w:val="3B033C36"/>
    <w:rsid w:val="3E4D49D4"/>
    <w:rsid w:val="3E5D4E8E"/>
    <w:rsid w:val="3FE25336"/>
    <w:rsid w:val="42075FF8"/>
    <w:rsid w:val="42842020"/>
    <w:rsid w:val="441167AE"/>
    <w:rsid w:val="44B14170"/>
    <w:rsid w:val="468567BB"/>
    <w:rsid w:val="4782487D"/>
    <w:rsid w:val="47B927EA"/>
    <w:rsid w:val="49F21769"/>
    <w:rsid w:val="4B31068E"/>
    <w:rsid w:val="4BA55220"/>
    <w:rsid w:val="4BAD0151"/>
    <w:rsid w:val="4C7174F3"/>
    <w:rsid w:val="4C8F75A2"/>
    <w:rsid w:val="4D581919"/>
    <w:rsid w:val="4DAD4403"/>
    <w:rsid w:val="4E8C008E"/>
    <w:rsid w:val="4FEF758C"/>
    <w:rsid w:val="50771A9C"/>
    <w:rsid w:val="51C47F6D"/>
    <w:rsid w:val="535C64FC"/>
    <w:rsid w:val="5455382C"/>
    <w:rsid w:val="54643166"/>
    <w:rsid w:val="56C55F4F"/>
    <w:rsid w:val="571F5A86"/>
    <w:rsid w:val="57235ED9"/>
    <w:rsid w:val="5A102BB5"/>
    <w:rsid w:val="5D0A3490"/>
    <w:rsid w:val="5D7E0D39"/>
    <w:rsid w:val="5E9D3F29"/>
    <w:rsid w:val="5F542CA1"/>
    <w:rsid w:val="60202C9E"/>
    <w:rsid w:val="60384CD1"/>
    <w:rsid w:val="60655808"/>
    <w:rsid w:val="621922AC"/>
    <w:rsid w:val="63A9427A"/>
    <w:rsid w:val="63D462B1"/>
    <w:rsid w:val="641A3596"/>
    <w:rsid w:val="64D96647"/>
    <w:rsid w:val="655B51E5"/>
    <w:rsid w:val="65E40ADA"/>
    <w:rsid w:val="662621EA"/>
    <w:rsid w:val="66330B86"/>
    <w:rsid w:val="66E22203"/>
    <w:rsid w:val="67AD41EB"/>
    <w:rsid w:val="68B812C9"/>
    <w:rsid w:val="69D50CF4"/>
    <w:rsid w:val="6C487AFD"/>
    <w:rsid w:val="6CB24363"/>
    <w:rsid w:val="6EA93466"/>
    <w:rsid w:val="6F97249D"/>
    <w:rsid w:val="6FCF0795"/>
    <w:rsid w:val="70EE62C9"/>
    <w:rsid w:val="71241736"/>
    <w:rsid w:val="71381023"/>
    <w:rsid w:val="73714961"/>
    <w:rsid w:val="754D1D92"/>
    <w:rsid w:val="758350A9"/>
    <w:rsid w:val="7641182E"/>
    <w:rsid w:val="76FA6613"/>
    <w:rsid w:val="79687E1D"/>
    <w:rsid w:val="79B62FBA"/>
    <w:rsid w:val="7B0A23D6"/>
    <w:rsid w:val="7B560FD7"/>
    <w:rsid w:val="7B5F74F8"/>
    <w:rsid w:val="7B690630"/>
    <w:rsid w:val="7C5123F4"/>
    <w:rsid w:val="7CB400F8"/>
    <w:rsid w:val="7D040AB6"/>
    <w:rsid w:val="7D4119E6"/>
    <w:rsid w:val="7DAF162B"/>
    <w:rsid w:val="7DC42B41"/>
    <w:rsid w:val="7EB63C1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Hyperlink"/>
    <w:basedOn w:val="20"/>
    <w:qFormat/>
    <w:uiPriority w:val="0"/>
    <w:rPr>
      <w:color w:val="0000FF"/>
      <w:u w:val="single"/>
    </w:rPr>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null3"/>
    <w:basedOn w:val="1"/>
    <w:qFormat/>
    <w:uiPriority w:val="0"/>
    <w:pPr>
      <w:widowControl/>
      <w:jc w:val="left"/>
    </w:pPr>
    <w:rPr>
      <w:kern w:val="0"/>
      <w:sz w:val="24"/>
      <w:szCs w:val="24"/>
    </w:rPr>
  </w:style>
  <w:style w:type="paragraph" w:customStyle="1" w:styleId="42">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37</Pages>
  <Words>1286</Words>
  <Characters>1393</Characters>
  <Lines>127</Lines>
  <Paragraphs>35</Paragraphs>
  <TotalTime>61</TotalTime>
  <ScaleCrop>false</ScaleCrop>
  <LinksUpToDate>false</LinksUpToDate>
  <CharactersWithSpaces>1467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2026-05-18T07:51:42Z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BA5372134E0243939F0223CB7169D9E9_13</vt:lpwstr>
  </property>
  <property fmtid="{D5CDD505-2E9C-101B-9397-08002B2CF9AE}" pid="4" name="KSOTemplateDocerSaveRecord">
    <vt:lpwstr>eyJoZGlkIjoiZjQ1ZDk1MmU3MjAyNzI4MjAzOTVhMjZhNTA1ZWNlMmEiLCJ1c2VySWQiOiI2NTgwMTYxNjcifQ==</vt:lpwstr>
  </property>
</Properties>
</file>