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四川省人民医院精密空调采购项目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101" w:name="_GoBack"/>
      <w:bookmarkEnd w:id="101"/>
    </w:p>
    <w:p w14:paraId="56C6E046">
      <w:pPr>
        <w:pStyle w:val="2"/>
        <w:numPr>
          <w:ilvl w:val="0"/>
          <w:numId w:val="0"/>
        </w:numPr>
        <w:ind w:left="0" w:leftChars="0" w:firstLine="0" w:firstLineChars="0"/>
        <w:rPr>
          <w:rFonts w:ascii="Times New Roman" w:hAnsi="Times New Roman" w:cs="Times New Roman"/>
        </w:rPr>
      </w:pPr>
      <w:bookmarkStart w:id="0" w:name="_Toc1907"/>
      <w:bookmarkStart w:id="1" w:name="_Toc20358"/>
      <w:bookmarkStart w:id="2" w:name="_Toc62832406"/>
      <w:bookmarkStart w:id="3" w:name="_Toc3240"/>
      <w:bookmarkStart w:id="4" w:name="_Toc21919"/>
      <w:bookmarkStart w:id="5" w:name="_Toc47131032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四川省人民医院精密空调采购项目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6674" w:type="dxa"/>
            <w:vAlign w:val="center"/>
          </w:tcPr>
          <w:p w14:paraId="2EC76405">
            <w:pPr>
              <w:spacing w:line="360" w:lineRule="auto"/>
              <w:ind w:left="210" w:leftChars="100"/>
              <w:rPr>
                <w:rFonts w:hint="eastAsia" w:ascii="仿宋" w:hAnsi="仿宋" w:eastAsia="仿宋" w:cs="仿宋"/>
                <w:b w:val="0"/>
                <w:bCs w:val="0"/>
                <w:sz w:val="22"/>
                <w:lang w:eastAsia="zh-CN"/>
              </w:rPr>
            </w:pPr>
            <w:r>
              <w:rPr>
                <w:rFonts w:hint="eastAsia" w:ascii="仿宋" w:hAnsi="仿宋" w:eastAsia="仿宋" w:cs="仿宋"/>
                <w:b w:val="0"/>
                <w:bCs w:val="0"/>
                <w:sz w:val="22"/>
                <w:lang w:eastAsia="zh-CN"/>
              </w:rPr>
              <w:t>CGZX-YXX20261191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19.4万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合同金额的10%</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0"/>
              </w:numPr>
              <w:tabs>
                <w:tab w:val="left" w:pos="220"/>
              </w:tabs>
              <w:spacing w:line="360" w:lineRule="auto"/>
              <w:ind w:left="425" w:leftChars="0" w:hanging="205" w:firstLineChars="0"/>
              <w:jc w:val="both"/>
              <w:rPr>
                <w:rFonts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highlight w:val="none"/>
                <w:lang w:val="zh-CN"/>
              </w:rPr>
              <w:t>收款单位：四川省人民医院</w:t>
            </w:r>
          </w:p>
          <w:p w14:paraId="114A68D6">
            <w:pPr>
              <w:pStyle w:val="28"/>
              <w:numPr>
                <w:ilvl w:val="0"/>
                <w:numId w:val="0"/>
              </w:numPr>
              <w:tabs>
                <w:tab w:val="left" w:pos="220"/>
              </w:tabs>
              <w:spacing w:line="360" w:lineRule="auto"/>
              <w:ind w:left="425" w:leftChars="0" w:hanging="205" w:firstLineChars="0"/>
              <w:jc w:val="both"/>
              <w:rPr>
                <w:rFonts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highlight w:val="none"/>
                <w:lang w:val="zh-CN"/>
              </w:rPr>
              <w:t>开户行：建设银行成都青羊支行</w:t>
            </w:r>
          </w:p>
          <w:p w14:paraId="6EA49D8D">
            <w:pPr>
              <w:pStyle w:val="28"/>
              <w:numPr>
                <w:ilvl w:val="0"/>
                <w:numId w:val="0"/>
              </w:numPr>
              <w:tabs>
                <w:tab w:val="left" w:pos="220"/>
              </w:tabs>
              <w:spacing w:line="360" w:lineRule="auto"/>
              <w:ind w:left="425" w:leftChars="0" w:hanging="205" w:firstLineChars="0"/>
              <w:jc w:val="both"/>
              <w:rPr>
                <w:rFonts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：5100 1446 4360 5037 4282</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合同签订生效后7个工作日内</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6"/>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6"/>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p w14:paraId="5326BDB1">
            <w:pPr>
              <w:pStyle w:val="28"/>
              <w:numPr>
                <w:ilvl w:val="0"/>
                <w:numId w:val="6"/>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w:t>
            </w:r>
            <w:r>
              <w:rPr>
                <w:rFonts w:ascii="Times New Roman" w:hAnsi="Times New Roman" w:eastAsia="仿宋" w:cs="Times New Roman"/>
                <w:sz w:val="24"/>
                <w:szCs w:val="24"/>
                <w:highlight w:val="none"/>
                <w:shd w:val="clear"/>
              </w:rPr>
              <w:t>合理条款，</w:t>
            </w:r>
            <w:r>
              <w:rPr>
                <w:rFonts w:hint="eastAsia" w:ascii="Times New Roman" w:hAnsi="Times New Roman" w:eastAsia="仿宋" w:cs="Times New Roman"/>
                <w:sz w:val="24"/>
                <w:szCs w:val="24"/>
                <w:highlight w:val="none"/>
                <w:shd w:val="clear"/>
              </w:rPr>
              <w:t>同时</w:t>
            </w:r>
            <w:r>
              <w:rPr>
                <w:rFonts w:ascii="Times New Roman" w:hAnsi="Times New Roman" w:eastAsia="仿宋" w:cs="Times New Roman"/>
                <w:sz w:val="24"/>
                <w:szCs w:val="24"/>
                <w:highlight w:val="none"/>
                <w:shd w:val="clear"/>
              </w:rPr>
              <w:t>采购程序</w:t>
            </w:r>
            <w:r>
              <w:rPr>
                <w:rFonts w:hint="eastAsia" w:ascii="Times New Roman" w:hAnsi="Times New Roman" w:eastAsia="仿宋" w:cs="Times New Roman"/>
                <w:sz w:val="24"/>
                <w:szCs w:val="24"/>
                <w:highlight w:val="none"/>
                <w:shd w:val="clear"/>
              </w:rPr>
              <w:t>亦</w:t>
            </w:r>
            <w:r>
              <w:rPr>
                <w:rFonts w:ascii="Times New Roman" w:hAnsi="Times New Roman" w:eastAsia="仿宋" w:cs="Times New Roman"/>
                <w:sz w:val="24"/>
                <w:szCs w:val="24"/>
                <w:highlight w:val="none"/>
                <w:shd w:val="clear"/>
              </w:rPr>
              <w:t>符合规定的，</w:t>
            </w:r>
            <w:r>
              <w:rPr>
                <w:rFonts w:hint="eastAsia" w:ascii="Times New Roman" w:hAnsi="Times New Roman" w:eastAsia="仿宋" w:cs="Times New Roman"/>
                <w:sz w:val="24"/>
                <w:szCs w:val="24"/>
                <w:highlight w:val="none"/>
                <w:shd w:val="clear"/>
              </w:rPr>
              <w:t>仍</w:t>
            </w:r>
            <w:r>
              <w:rPr>
                <w:rFonts w:ascii="Times New Roman" w:hAnsi="Times New Roman" w:eastAsia="仿宋" w:cs="Times New Roman"/>
                <w:sz w:val="24"/>
                <w:szCs w:val="24"/>
                <w:highlight w:val="none"/>
                <w:shd w:val="clear"/>
              </w:rPr>
              <w:t>可以继续开展采购活动。谈判小组按照评审因素进行评分，得分最高的供应商为成交供应商。</w:t>
            </w:r>
            <w:r>
              <w:rPr>
                <w:rFonts w:hint="eastAsia" w:ascii="Times New Roman" w:hAnsi="Times New Roman" w:eastAsia="仿宋" w:cs="Times New Roman"/>
                <w:sz w:val="24"/>
                <w:szCs w:val="24"/>
                <w:highlight w:val="none"/>
                <w:shd w:val="clear"/>
              </w:rPr>
              <w:t>若得分相同则报价最低的为成交供应商。若得分相同且报价亦相同，则采取随机抽取的方式确定成</w:t>
            </w:r>
            <w:r>
              <w:rPr>
                <w:rFonts w:hint="eastAsia" w:ascii="Times New Roman" w:hAnsi="Times New Roman" w:eastAsia="仿宋" w:cs="Times New Roman"/>
                <w:sz w:val="24"/>
                <w:szCs w:val="24"/>
              </w:rPr>
              <w:t>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温</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14460"/>
      <w:bookmarkStart w:id="7" w:name="_Toc24154"/>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本项目拟确定一名供应商供应精密空调。</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w:t>
      </w:r>
      <w:r>
        <w:rPr>
          <w:rFonts w:hint="eastAsia" w:ascii="仿宋" w:hAnsi="仿宋" w:cs="仿宋"/>
          <w:b/>
          <w:bCs/>
          <w:sz w:val="24"/>
          <w:szCs w:val="24"/>
          <w:lang w:val="en-US" w:eastAsia="zh-CN"/>
        </w:rPr>
        <w:t>清单</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3"/>
        <w:gridCol w:w="2172"/>
        <w:gridCol w:w="2172"/>
        <w:gridCol w:w="2172"/>
        <w:gridCol w:w="2174"/>
      </w:tblGrid>
      <w:tr w14:paraId="6138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94" w:type="pct"/>
            <w:vAlign w:val="center"/>
          </w:tcPr>
          <w:p w14:paraId="72148CD5">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序号</w:t>
            </w:r>
          </w:p>
        </w:tc>
        <w:tc>
          <w:tcPr>
            <w:tcW w:w="1126" w:type="pct"/>
            <w:vAlign w:val="center"/>
          </w:tcPr>
          <w:p w14:paraId="53E3AD12">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lang w:val="zh-TW" w:eastAsia="zh-TW"/>
              </w:rPr>
            </w:pPr>
            <w:r>
              <w:rPr>
                <w:rFonts w:hint="eastAsia" w:ascii="仿宋" w:hAnsi="仿宋" w:eastAsia="仿宋" w:cs="仿宋"/>
                <w:sz w:val="24"/>
                <w:szCs w:val="24"/>
                <w:lang w:val="en-US" w:eastAsia="zh-CN"/>
              </w:rPr>
              <w:t>标的名称</w:t>
            </w:r>
          </w:p>
        </w:tc>
        <w:tc>
          <w:tcPr>
            <w:tcW w:w="1126" w:type="pct"/>
            <w:vAlign w:val="center"/>
          </w:tcPr>
          <w:p w14:paraId="0C2BC6C4">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数量</w:t>
            </w:r>
          </w:p>
        </w:tc>
        <w:tc>
          <w:tcPr>
            <w:tcW w:w="1126" w:type="pct"/>
            <w:vAlign w:val="center"/>
          </w:tcPr>
          <w:p w14:paraId="70EBF50F">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单位</w:t>
            </w:r>
          </w:p>
        </w:tc>
        <w:tc>
          <w:tcPr>
            <w:tcW w:w="1127" w:type="pct"/>
            <w:vAlign w:val="center"/>
          </w:tcPr>
          <w:p w14:paraId="154BD34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限高单价</w:t>
            </w:r>
            <w:r>
              <w:rPr>
                <w:rFonts w:hint="eastAsia" w:ascii="仿宋" w:hAnsi="仿宋" w:eastAsia="仿宋" w:cs="仿宋"/>
                <w:sz w:val="24"/>
                <w:szCs w:val="24"/>
              </w:rPr>
              <w:t>（元）</w:t>
            </w:r>
          </w:p>
        </w:tc>
      </w:tr>
      <w:tr w14:paraId="25C93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94" w:type="pct"/>
            <w:vAlign w:val="center"/>
          </w:tcPr>
          <w:p w14:paraId="5EB634F4">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w:t>
            </w:r>
          </w:p>
        </w:tc>
        <w:tc>
          <w:tcPr>
            <w:tcW w:w="1126" w:type="pct"/>
            <w:vAlign w:val="center"/>
          </w:tcPr>
          <w:p w14:paraId="44F8E1E5">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精密空调</w:t>
            </w:r>
          </w:p>
        </w:tc>
        <w:tc>
          <w:tcPr>
            <w:tcW w:w="1126" w:type="pct"/>
            <w:vAlign w:val="center"/>
          </w:tcPr>
          <w:p w14:paraId="00F8BF2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w:t>
            </w:r>
          </w:p>
        </w:tc>
        <w:tc>
          <w:tcPr>
            <w:tcW w:w="1126" w:type="pct"/>
            <w:vAlign w:val="center"/>
          </w:tcPr>
          <w:p w14:paraId="5B137B43">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台</w:t>
            </w:r>
          </w:p>
        </w:tc>
        <w:tc>
          <w:tcPr>
            <w:tcW w:w="1127" w:type="pct"/>
            <w:vAlign w:val="center"/>
          </w:tcPr>
          <w:p w14:paraId="389566E4">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194000</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w:t>
      </w:r>
      <w:r>
        <w:rPr>
          <w:rFonts w:hint="eastAsia" w:ascii="仿宋" w:hAnsi="仿宋" w:eastAsia="仿宋" w:cs="仿宋"/>
          <w:b/>
          <w:bCs/>
          <w:sz w:val="24"/>
          <w:szCs w:val="24"/>
          <w:lang w:val="en-US" w:eastAsia="zh-CN"/>
        </w:rPr>
        <w:t>要求</w:t>
      </w:r>
      <w:r>
        <w:rPr>
          <w:rFonts w:hint="eastAsia" w:ascii="仿宋" w:hAnsi="仿宋" w:eastAsia="仿宋" w:cs="仿宋"/>
          <w:b/>
          <w:bCs/>
          <w:sz w:val="24"/>
          <w:szCs w:val="24"/>
          <w:lang w:eastAsia="zh-CN"/>
        </w:rPr>
        <w:t>：</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789"/>
        <w:gridCol w:w="7329"/>
      </w:tblGrid>
      <w:tr w14:paraId="1A2F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top"/>
          </w:tcPr>
          <w:p w14:paraId="439A59F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545" w:type="dxa"/>
            <w:shd w:val="clear" w:color="auto" w:fill="auto"/>
            <w:tcMar>
              <w:top w:w="0" w:type="dxa"/>
              <w:left w:w="105" w:type="dxa"/>
              <w:bottom w:w="0" w:type="dxa"/>
              <w:right w:w="105" w:type="dxa"/>
            </w:tcMar>
            <w:vAlign w:val="top"/>
          </w:tcPr>
          <w:p w14:paraId="106A2F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标的名称</w:t>
            </w:r>
          </w:p>
        </w:tc>
        <w:tc>
          <w:tcPr>
            <w:tcW w:w="6330" w:type="dxa"/>
            <w:shd w:val="clear" w:color="auto" w:fill="auto"/>
            <w:tcMar>
              <w:top w:w="0" w:type="dxa"/>
              <w:left w:w="105" w:type="dxa"/>
              <w:bottom w:w="0" w:type="dxa"/>
              <w:right w:w="105" w:type="dxa"/>
            </w:tcMar>
            <w:vAlign w:val="top"/>
          </w:tcPr>
          <w:p w14:paraId="16FE752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参数</w:t>
            </w:r>
          </w:p>
        </w:tc>
      </w:tr>
      <w:tr w14:paraId="5A55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restart"/>
            <w:shd w:val="clear" w:color="auto" w:fill="auto"/>
            <w:tcMar>
              <w:top w:w="0" w:type="dxa"/>
              <w:left w:w="105" w:type="dxa"/>
              <w:bottom w:w="0" w:type="dxa"/>
              <w:right w:w="105" w:type="dxa"/>
            </w:tcMar>
            <w:vAlign w:val="center"/>
          </w:tcPr>
          <w:p w14:paraId="3AACF66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545" w:type="dxa"/>
            <w:vMerge w:val="restart"/>
            <w:shd w:val="clear" w:color="auto" w:fill="auto"/>
            <w:tcMar>
              <w:top w:w="0" w:type="dxa"/>
              <w:left w:w="105" w:type="dxa"/>
              <w:bottom w:w="0" w:type="dxa"/>
              <w:right w:w="105" w:type="dxa"/>
            </w:tcMar>
            <w:vAlign w:val="center"/>
          </w:tcPr>
          <w:p w14:paraId="782D63A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精密空调</w:t>
            </w:r>
          </w:p>
        </w:tc>
        <w:tc>
          <w:tcPr>
            <w:tcW w:w="6330" w:type="dxa"/>
            <w:shd w:val="clear" w:color="auto" w:fill="auto"/>
            <w:tcMar>
              <w:top w:w="0" w:type="dxa"/>
              <w:left w:w="105" w:type="dxa"/>
              <w:bottom w:w="0" w:type="dxa"/>
              <w:right w:w="105" w:type="dxa"/>
            </w:tcMar>
            <w:vAlign w:val="center"/>
          </w:tcPr>
          <w:p w14:paraId="4726D57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w:t>
            </w:r>
            <w:r>
              <w:rPr>
                <w:rFonts w:hint="eastAsia" w:ascii="仿宋" w:hAnsi="仿宋" w:eastAsia="仿宋" w:cs="仿宋"/>
                <w:sz w:val="24"/>
                <w:szCs w:val="24"/>
              </w:rPr>
              <w:t>基本要求：风冷型空调，下送风，总制冷量≥52.5KW，显制冷量≥52KW，（提供技术白皮书或官方彩页证明材料，加盖供应商</w:t>
            </w:r>
            <w:r>
              <w:rPr>
                <w:rFonts w:hint="eastAsia" w:ascii="仿宋" w:hAnsi="仿宋" w:eastAsia="仿宋" w:cs="仿宋"/>
                <w:sz w:val="24"/>
                <w:szCs w:val="24"/>
                <w:lang w:eastAsia="zh-CN"/>
              </w:rPr>
              <w:t>公章</w:t>
            </w:r>
            <w:r>
              <w:rPr>
                <w:rFonts w:hint="eastAsia" w:ascii="仿宋" w:hAnsi="仿宋" w:eastAsia="仿宋" w:cs="仿宋"/>
                <w:sz w:val="24"/>
                <w:szCs w:val="24"/>
              </w:rPr>
              <w:t>）。</w:t>
            </w:r>
          </w:p>
        </w:tc>
      </w:tr>
      <w:tr w14:paraId="04FA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1E2A53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5F4268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6124BDC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额定风量≥15600m³/h，室内风机数量≥2个，风机类型：AC直联风机或EC直连风机（提供技术白皮书或官方彩页证明材料，加盖供应商</w:t>
            </w:r>
            <w:r>
              <w:rPr>
                <w:rFonts w:hint="eastAsia" w:ascii="仿宋" w:hAnsi="仿宋" w:eastAsia="仿宋" w:cs="仿宋"/>
                <w:sz w:val="24"/>
                <w:szCs w:val="24"/>
                <w:lang w:eastAsia="zh-CN"/>
              </w:rPr>
              <w:t>公章</w:t>
            </w:r>
            <w:r>
              <w:rPr>
                <w:rFonts w:hint="eastAsia" w:ascii="仿宋" w:hAnsi="仿宋" w:eastAsia="仿宋" w:cs="仿宋"/>
                <w:sz w:val="24"/>
                <w:szCs w:val="24"/>
              </w:rPr>
              <w:t>）。</w:t>
            </w:r>
          </w:p>
        </w:tc>
      </w:tr>
      <w:tr w14:paraId="4BED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09F23B7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2FD6890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0B5594A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电加热：采用铝制电加热器，电加热功率≥15KW；加湿：采用电极式加湿器，加湿量≥8kg/h（提供技术白皮书或官方彩页证明材料，加盖供应商</w:t>
            </w:r>
            <w:r>
              <w:rPr>
                <w:rFonts w:hint="eastAsia" w:ascii="仿宋" w:hAnsi="仿宋" w:eastAsia="仿宋" w:cs="仿宋"/>
                <w:sz w:val="24"/>
                <w:szCs w:val="24"/>
                <w:lang w:eastAsia="zh-CN"/>
              </w:rPr>
              <w:t>公章</w:t>
            </w:r>
            <w:r>
              <w:rPr>
                <w:rFonts w:hint="eastAsia" w:ascii="仿宋" w:hAnsi="仿宋" w:eastAsia="仿宋" w:cs="仿宋"/>
                <w:sz w:val="24"/>
                <w:szCs w:val="24"/>
              </w:rPr>
              <w:t>）。</w:t>
            </w:r>
          </w:p>
        </w:tc>
      </w:tr>
      <w:tr w14:paraId="0E10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48DDAF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3FE28A3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3861469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室内机蒸发器：采用平板型蒸发器。</w:t>
            </w:r>
          </w:p>
        </w:tc>
      </w:tr>
      <w:tr w14:paraId="101D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7C7E0B0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088CAA6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6F1883D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采用涡旋压缩机，压缩机数量≥2，要求系统回路数量≥2，采用电子式膨胀阀。</w:t>
            </w:r>
          </w:p>
        </w:tc>
      </w:tr>
      <w:tr w14:paraId="54BA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5833EEF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6169A6E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05F5012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空调室内机组配置贮液器（提供技术白皮书或官方彩页证明材料，加盖供应商</w:t>
            </w:r>
            <w:r>
              <w:rPr>
                <w:rFonts w:hint="eastAsia" w:ascii="仿宋" w:hAnsi="仿宋" w:eastAsia="仿宋" w:cs="仿宋"/>
                <w:sz w:val="24"/>
                <w:szCs w:val="24"/>
                <w:lang w:eastAsia="zh-CN"/>
              </w:rPr>
              <w:t>公章</w:t>
            </w:r>
            <w:r>
              <w:rPr>
                <w:rFonts w:hint="eastAsia" w:ascii="仿宋" w:hAnsi="仿宋" w:eastAsia="仿宋" w:cs="仿宋"/>
                <w:sz w:val="24"/>
                <w:szCs w:val="24"/>
              </w:rPr>
              <w:t>）。</w:t>
            </w:r>
          </w:p>
        </w:tc>
      </w:tr>
      <w:tr w14:paraId="3571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00B0E08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404BF5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3E00F68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空调室内机机组的深度≤900mm（提供技术白皮书或官方彩页证明材料，加盖供应商</w:t>
            </w:r>
            <w:r>
              <w:rPr>
                <w:rFonts w:hint="eastAsia" w:ascii="仿宋" w:hAnsi="仿宋" w:eastAsia="仿宋" w:cs="仿宋"/>
                <w:sz w:val="24"/>
                <w:szCs w:val="24"/>
                <w:lang w:eastAsia="zh-CN"/>
              </w:rPr>
              <w:t>公章</w:t>
            </w:r>
            <w:r>
              <w:rPr>
                <w:rFonts w:hint="eastAsia" w:ascii="仿宋" w:hAnsi="仿宋" w:eastAsia="仿宋" w:cs="仿宋"/>
                <w:sz w:val="24"/>
                <w:szCs w:val="24"/>
              </w:rPr>
              <w:t>）。</w:t>
            </w:r>
          </w:p>
        </w:tc>
      </w:tr>
      <w:tr w14:paraId="6A140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0182811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2C2AAC8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1FB02ED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配置有控制器，与原有施耐德空调TDAR1622机组进行联动控制，可实现与原有空调轮值运行，且群控功能失效，能保证单机自动接管运行。</w:t>
            </w:r>
          </w:p>
        </w:tc>
      </w:tr>
      <w:tr w14:paraId="3113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00D4E6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7DFA3ED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6D88970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空调机组应具有CQC节能认证（</w:t>
            </w:r>
            <w:r>
              <w:rPr>
                <w:rFonts w:hint="eastAsia" w:ascii="仿宋" w:hAnsi="仿宋" w:eastAsia="仿宋" w:cs="仿宋"/>
                <w:sz w:val="24"/>
                <w:szCs w:val="24"/>
                <w:lang w:val="en-US" w:eastAsia="zh-CN"/>
              </w:rPr>
              <w:t>提供有效期内的节能认证证书复印件加盖供应商公章</w:t>
            </w:r>
            <w:r>
              <w:rPr>
                <w:rFonts w:hint="eastAsia" w:ascii="仿宋" w:hAnsi="仿宋" w:eastAsia="仿宋" w:cs="仿宋"/>
                <w:sz w:val="24"/>
                <w:szCs w:val="24"/>
              </w:rPr>
              <w:t>）。</w:t>
            </w:r>
          </w:p>
        </w:tc>
      </w:tr>
      <w:tr w14:paraId="7BAE6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vMerge w:val="continue"/>
            <w:shd w:val="clear" w:color="auto" w:fill="auto"/>
            <w:tcMar>
              <w:top w:w="0" w:type="dxa"/>
              <w:left w:w="105" w:type="dxa"/>
              <w:bottom w:w="0" w:type="dxa"/>
              <w:right w:w="105" w:type="dxa"/>
            </w:tcMar>
            <w:vAlign w:val="center"/>
          </w:tcPr>
          <w:p w14:paraId="6ED54E9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1545" w:type="dxa"/>
            <w:vMerge w:val="continue"/>
            <w:shd w:val="clear" w:color="auto" w:fill="auto"/>
            <w:tcMar>
              <w:top w:w="0" w:type="dxa"/>
              <w:left w:w="105" w:type="dxa"/>
              <w:bottom w:w="0" w:type="dxa"/>
              <w:right w:w="105" w:type="dxa"/>
            </w:tcMar>
            <w:vAlign w:val="center"/>
          </w:tcPr>
          <w:p w14:paraId="71F1462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p>
        </w:tc>
        <w:tc>
          <w:tcPr>
            <w:tcW w:w="6330" w:type="dxa"/>
            <w:shd w:val="clear" w:color="auto" w:fill="auto"/>
            <w:tcMar>
              <w:top w:w="0" w:type="dxa"/>
              <w:left w:w="105" w:type="dxa"/>
              <w:bottom w:w="0" w:type="dxa"/>
              <w:right w:w="105" w:type="dxa"/>
            </w:tcMar>
            <w:vAlign w:val="center"/>
          </w:tcPr>
          <w:p w14:paraId="5966B11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室外机尺寸≤2300*1100mm(长*宽）；机房原空调优化安装及室外机围栏恢复安装。</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5 个工作日内开始实施。</w:t>
      </w:r>
    </w:p>
    <w:p w14:paraId="01D2180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 60 日内，完成本项目包含的所有设备及相关货物的安装、调试及试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四川省人民医院（包括所有院区）</w:t>
      </w:r>
    </w:p>
    <w:p w14:paraId="794474C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4.质保</w:t>
      </w:r>
    </w:p>
    <w:p w14:paraId="6D2DDF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（1）质保期：验收合格后4年，响应的质保期不得超过响应产品的官方技术文件中写明的最长使用寿命（不包括易损附件的使用寿命），否则，视为虚假响应，供应商须承担相应后果。</w:t>
      </w:r>
    </w:p>
    <w:p w14:paraId="1E5B41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（2）质保范围：含整机所有部件（质保期内涉及维修、产品更换、人工费用等一切费用包含在本项目报价中）</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验收合格后，供应商须在5日内向采购人出具合法有效票据及其它相关请款资料，采购人自收到上述票据及资料后55日内向供应商支付合同总金额的100%。</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（6）履约验收时间：供应商完成本项目涉及的所有设备的安装、调试并具备验收条件后，于5日内通知采购人验收，采购人接供应商通知后10日内组织验收。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1A07379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7.售后服务：供应商配备针对本项目的专职售后维修技术人员，承诺接到服务请求后1小时内到达现场。注：（1）单独提供承诺函；（2）专职售后维修技术人员为供应商在职人员，提供相关在职证明材料。</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其它要求：（1）供应商须在投标文件中单独提供配置清单（不同产品分别提供，格式详见投标文件格式），采购人将以此为依据进行验收。技术参数中采购人的实质性配置要求包含的内容须在分项报价明细表中分别报价，除此之外，若涉及设备正常运行所需的其他配置内容，供应商应在配置清单中分别列明其涉及的产品名称、型号（若有）、数量即可，并根据响应产品的实际情况确定是否单独报价。（2）供应商提供的产品的生产日期与到货日期时间间隔不超过3个月，供应商</w:t>
      </w:r>
      <w:r>
        <w:rPr>
          <w:rFonts w:hint="eastAsia" w:ascii="仿宋" w:hAnsi="仿宋" w:eastAsia="仿宋" w:cs="仿宋"/>
          <w:b/>
          <w:bCs/>
          <w:sz w:val="24"/>
          <w:szCs w:val="24"/>
          <w:lang w:val="en-US" w:eastAsia="zh-CN"/>
        </w:rPr>
        <w:t>提供承诺函</w:t>
      </w:r>
      <w:r>
        <w:rPr>
          <w:rFonts w:hint="eastAsia" w:ascii="仿宋" w:hAnsi="仿宋" w:eastAsia="仿宋" w:cs="仿宋"/>
          <w:sz w:val="24"/>
          <w:szCs w:val="24"/>
          <w:lang w:val="en-US" w:eastAsia="zh-CN"/>
        </w:rPr>
        <w:t>，格式自拟。</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09DE84D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1.业绩</w:t>
      </w:r>
    </w:p>
    <w:p w14:paraId="59882951">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供应商提供</w:t>
      </w:r>
      <w:r>
        <w:rPr>
          <w:rFonts w:hint="eastAsia" w:ascii="仿宋" w:hAnsi="仿宋" w:eastAsia="仿宋" w:cs="仿宋"/>
          <w:sz w:val="24"/>
          <w:szCs w:val="24"/>
          <w:lang w:val="en-US" w:eastAsia="zh-CN"/>
        </w:rPr>
        <w:t>2023年1月1日（含）以来本次响应产品的销售业绩证明</w:t>
      </w:r>
      <w:r>
        <w:rPr>
          <w:rFonts w:hint="eastAsia" w:ascii="仿宋" w:hAnsi="仿宋" w:eastAsia="仿宋" w:cs="仿宋"/>
          <w:sz w:val="24"/>
          <w:szCs w:val="24"/>
          <w:lang w:eastAsia="zh-CN"/>
        </w:rPr>
        <w:t>。</w:t>
      </w:r>
    </w:p>
    <w:p w14:paraId="0CD1EC3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注：提供采购合同关键页（合同首页、建设内容、金额、签字盖章页）材料复印件</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供货发票</w:t>
      </w:r>
      <w:r>
        <w:rPr>
          <w:rFonts w:hint="eastAsia" w:ascii="仿宋" w:hAnsi="仿宋" w:eastAsia="仿宋" w:cs="仿宋"/>
          <w:sz w:val="24"/>
          <w:szCs w:val="24"/>
        </w:rPr>
        <w:t>，并加盖</w:t>
      </w:r>
      <w:r>
        <w:rPr>
          <w:rFonts w:hint="eastAsia" w:ascii="仿宋" w:hAnsi="仿宋" w:eastAsia="仿宋" w:cs="仿宋"/>
          <w:sz w:val="24"/>
          <w:szCs w:val="24"/>
          <w:lang w:eastAsia="zh-CN"/>
        </w:rPr>
        <w:t>供应商公章</w:t>
      </w:r>
      <w:r>
        <w:rPr>
          <w:rFonts w:hint="eastAsia" w:ascii="仿宋" w:hAnsi="仿宋" w:eastAsia="仿宋" w:cs="仿宋"/>
          <w:sz w:val="24"/>
          <w:szCs w:val="24"/>
        </w:rPr>
        <w:t>。</w:t>
      </w: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6D222E8">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textAlignment w:val="auto"/>
        <w:rPr>
          <w:rFonts w:hint="eastAsia" w:ascii="仿宋" w:hAnsi="仿宋" w:eastAsia="仿宋" w:cs="仿宋"/>
          <w:sz w:val="24"/>
          <w:szCs w:val="24"/>
        </w:rPr>
      </w:pPr>
    </w:p>
    <w:p w14:paraId="129B01C1">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13768"/>
      <w:bookmarkStart w:id="18" w:name="_Toc2258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886"/>
        <w:gridCol w:w="873"/>
        <w:gridCol w:w="4814"/>
        <w:gridCol w:w="2304"/>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886"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87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14"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2304"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886"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87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14"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2304"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93"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886"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技术参数56</w:t>
            </w:r>
            <w:r>
              <w:rPr>
                <w:rFonts w:hint="eastAsia" w:ascii="仿宋" w:hAnsi="仿宋" w:eastAsia="仿宋" w:cs="仿宋"/>
                <w:color w:val="000000" w:themeColor="text1"/>
                <w:sz w:val="24"/>
                <w:szCs w:val="24"/>
                <w:highlight w:val="none"/>
                <w14:textFill>
                  <w14:solidFill>
                    <w14:schemeClr w14:val="tx1"/>
                  </w14:solidFill>
                </w14:textFill>
              </w:rPr>
              <w:t>%</w:t>
            </w:r>
          </w:p>
        </w:tc>
        <w:tc>
          <w:tcPr>
            <w:tcW w:w="87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56分</w:t>
            </w:r>
          </w:p>
        </w:tc>
        <w:tc>
          <w:tcPr>
            <w:tcW w:w="4814" w:type="dxa"/>
            <w:tcBorders>
              <w:top w:val="single" w:color="auto" w:sz="4" w:space="0"/>
              <w:left w:val="single" w:color="auto" w:sz="4" w:space="0"/>
              <w:bottom w:val="single" w:color="auto" w:sz="4" w:space="0"/>
              <w:right w:val="single" w:color="auto" w:sz="4" w:space="0"/>
            </w:tcBorders>
            <w:vAlign w:val="center"/>
          </w:tcPr>
          <w:p w14:paraId="71FC802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技术</w:t>
            </w:r>
            <w:r>
              <w:rPr>
                <w:rFonts w:hint="eastAsia" w:ascii="仿宋" w:hAnsi="仿宋" w:eastAsia="仿宋" w:cs="仿宋"/>
                <w:color w:val="000000" w:themeColor="text1"/>
                <w:sz w:val="24"/>
                <w:szCs w:val="24"/>
                <w:highlight w:val="none"/>
                <w:lang w:val="en-US" w:eastAsia="zh-CN"/>
                <w14:textFill>
                  <w14:solidFill>
                    <w14:schemeClr w14:val="tx1"/>
                  </w14:solidFill>
                </w14:textFill>
              </w:rPr>
              <w:t>要求</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eastAsia="zh-CN"/>
                <w14:textFill>
                  <w14:solidFill>
                    <w14:schemeClr w14:val="tx1"/>
                  </w14:solidFill>
                </w14:textFill>
              </w:rPr>
              <w:t>谈判文件</w:t>
            </w:r>
            <w:r>
              <w:rPr>
                <w:rFonts w:hint="eastAsia" w:ascii="仿宋" w:hAnsi="仿宋" w:eastAsia="仿宋" w:cs="仿宋"/>
                <w:color w:val="000000" w:themeColor="text1"/>
                <w:sz w:val="24"/>
                <w:szCs w:val="24"/>
                <w:highlight w:val="none"/>
                <w14:textFill>
                  <w14:solidFill>
                    <w14:schemeClr w14:val="tx1"/>
                  </w14:solidFill>
                </w14:textFill>
              </w:rPr>
              <w:t>要求没有负偏离得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56</w:t>
            </w:r>
            <w:r>
              <w:rPr>
                <w:rFonts w:hint="eastAsia" w:ascii="仿宋" w:hAnsi="仿宋" w:eastAsia="仿宋" w:cs="仿宋"/>
                <w:color w:val="000000" w:themeColor="text1"/>
                <w:sz w:val="24"/>
                <w:szCs w:val="24"/>
                <w:highlight w:val="none"/>
                <w14:textFill>
                  <w14:solidFill>
                    <w14:schemeClr w14:val="tx1"/>
                  </w14:solidFill>
                </w14:textFill>
              </w:rPr>
              <w:t>分。</w:t>
            </w:r>
          </w:p>
          <w:p w14:paraId="2C4F801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针对</w:t>
            </w:r>
            <w:r>
              <w:rPr>
                <w:rFonts w:hint="eastAsia" w:ascii="仿宋" w:hAnsi="仿宋" w:eastAsia="仿宋" w:cs="仿宋"/>
                <w:color w:val="000000" w:themeColor="text1"/>
                <w:sz w:val="24"/>
                <w:szCs w:val="24"/>
                <w:highlight w:val="none"/>
                <w:lang w:eastAsia="zh-CN"/>
                <w14:textFill>
                  <w14:solidFill>
                    <w14:schemeClr w14:val="tx1"/>
                  </w14:solidFill>
                </w14:textFill>
              </w:rPr>
              <w:t>谈判文件</w:t>
            </w:r>
            <w:r>
              <w:rPr>
                <w:rFonts w:hint="eastAsia" w:ascii="仿宋" w:hAnsi="仿宋" w:eastAsia="仿宋" w:cs="仿宋"/>
                <w:color w:val="000000" w:themeColor="text1"/>
                <w:sz w:val="24"/>
                <w:szCs w:val="24"/>
                <w:highlight w:val="none"/>
                <w14:textFill>
                  <w14:solidFill>
                    <w14:schemeClr w14:val="tx1"/>
                  </w14:solidFill>
                </w14:textFill>
              </w:rPr>
              <w:t>第</w:t>
            </w:r>
            <w:r>
              <w:rPr>
                <w:rFonts w:hint="eastAsia" w:ascii="仿宋" w:hAnsi="仿宋" w:eastAsia="仿宋" w:cs="仿宋"/>
                <w:color w:val="000000" w:themeColor="text1"/>
                <w:sz w:val="24"/>
                <w:szCs w:val="24"/>
                <w:highlight w:val="none"/>
                <w:lang w:val="en-US" w:eastAsia="zh-CN"/>
                <w14:textFill>
                  <w14:solidFill>
                    <w14:schemeClr w14:val="tx1"/>
                  </w14:solidFill>
                </w14:textFill>
              </w:rPr>
              <w:t>四</w:t>
            </w:r>
            <w:r>
              <w:rPr>
                <w:rFonts w:hint="eastAsia" w:ascii="仿宋" w:hAnsi="仿宋" w:eastAsia="仿宋" w:cs="仿宋"/>
                <w:color w:val="000000" w:themeColor="text1"/>
                <w:sz w:val="24"/>
                <w:szCs w:val="24"/>
                <w:highlight w:val="none"/>
                <w14:textFill>
                  <w14:solidFill>
                    <w14:schemeClr w14:val="tx1"/>
                  </w14:solidFill>
                </w14:textFill>
              </w:rPr>
              <w:t>章中的一般技术参数条款的响应得分规则如下：（一般技术参数条款指未标注“▲”或“</w:t>
            </w:r>
            <w:r>
              <w:rPr>
                <w:rFonts w:hint="eastAsia" w:ascii="仿宋" w:hAnsi="仿宋" w:eastAsia="仿宋" w:cs="仿宋"/>
                <w:color w:val="000000" w:themeColor="text1"/>
                <w:sz w:val="24"/>
                <w:szCs w:val="24"/>
                <w:highlight w:val="none"/>
                <w:lang w:val="zh-CN"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”的条款）</w:t>
            </w:r>
          </w:p>
          <w:p w14:paraId="218181B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一般技术参数条款响应得分=（</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满足一般技术参数条款的数量÷一般技术参数条款的总数量）×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w:t>
            </w:r>
          </w:p>
          <w:p w14:paraId="0FCE16D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针对</w:t>
            </w:r>
            <w:r>
              <w:rPr>
                <w:rFonts w:hint="eastAsia" w:ascii="仿宋" w:hAnsi="仿宋" w:eastAsia="仿宋" w:cs="仿宋"/>
                <w:color w:val="000000" w:themeColor="text1"/>
                <w:sz w:val="24"/>
                <w:szCs w:val="24"/>
                <w:highlight w:val="none"/>
                <w:lang w:eastAsia="zh-CN"/>
                <w14:textFill>
                  <w14:solidFill>
                    <w14:schemeClr w14:val="tx1"/>
                  </w14:solidFill>
                </w14:textFill>
              </w:rPr>
              <w:t>谈判文件</w:t>
            </w:r>
            <w:r>
              <w:rPr>
                <w:rFonts w:hint="eastAsia" w:ascii="仿宋" w:hAnsi="仿宋" w:eastAsia="仿宋" w:cs="仿宋"/>
                <w:color w:val="000000" w:themeColor="text1"/>
                <w:sz w:val="24"/>
                <w:szCs w:val="24"/>
                <w:highlight w:val="none"/>
                <w14:textFill>
                  <w14:solidFill>
                    <w14:schemeClr w14:val="tx1"/>
                  </w14:solidFill>
                </w14:textFill>
              </w:rPr>
              <w:t>第</w:t>
            </w:r>
            <w:r>
              <w:rPr>
                <w:rFonts w:hint="eastAsia" w:ascii="仿宋" w:hAnsi="仿宋" w:eastAsia="仿宋" w:cs="仿宋"/>
                <w:color w:val="000000" w:themeColor="text1"/>
                <w:sz w:val="24"/>
                <w:szCs w:val="24"/>
                <w:highlight w:val="none"/>
                <w:lang w:val="en-US" w:eastAsia="zh-CN"/>
                <w14:textFill>
                  <w14:solidFill>
                    <w14:schemeClr w14:val="tx1"/>
                  </w14:solidFill>
                </w14:textFill>
              </w:rPr>
              <w:t>四</w:t>
            </w:r>
            <w:r>
              <w:rPr>
                <w:rFonts w:hint="eastAsia" w:ascii="仿宋" w:hAnsi="仿宋" w:eastAsia="仿宋" w:cs="仿宋"/>
                <w:color w:val="000000" w:themeColor="text1"/>
                <w:sz w:val="24"/>
                <w:szCs w:val="24"/>
                <w:highlight w:val="none"/>
                <w14:textFill>
                  <w14:solidFill>
                    <w14:schemeClr w14:val="tx1"/>
                  </w14:solidFill>
                </w14:textFill>
              </w:rPr>
              <w:t>章 “▲”技术参数条款的响应得分规则如下：</w:t>
            </w:r>
          </w:p>
          <w:p w14:paraId="61B2666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“▲”技术参数条款响应得分=（</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满足“▲”技术参数条款的数量÷“▲”技术参数条款的总数量）×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40</w:t>
            </w:r>
            <w:r>
              <w:rPr>
                <w:rFonts w:hint="eastAsia" w:ascii="仿宋" w:hAnsi="仿宋" w:eastAsia="仿宋" w:cs="仿宋"/>
                <w:color w:val="000000" w:themeColor="text1"/>
                <w:sz w:val="24"/>
                <w:szCs w:val="24"/>
                <w:highlight w:val="none"/>
                <w14:textFill>
                  <w14:solidFill>
                    <w14:schemeClr w14:val="tx1"/>
                  </w14:solidFill>
                </w14:textFill>
              </w:rPr>
              <w:t>分。</w:t>
            </w:r>
          </w:p>
          <w:p w14:paraId="78C4889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w:t>
            </w:r>
          </w:p>
          <w:p w14:paraId="45C3370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①得分保留小数点后两位小数，四舍五入。</w:t>
            </w:r>
          </w:p>
          <w:p w14:paraId="7E88B14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②标注“</w:t>
            </w:r>
            <w:r>
              <w:rPr>
                <w:rFonts w:hint="eastAsia" w:ascii="仿宋" w:hAnsi="仿宋" w:eastAsia="仿宋" w:cs="仿宋"/>
                <w:color w:val="000000" w:themeColor="text1"/>
                <w:sz w:val="24"/>
                <w:szCs w:val="24"/>
                <w:highlight w:val="none"/>
                <w:lang w:val="zh-CN"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”的条款为本项目实质性要求，不作为本项评审</w:t>
            </w:r>
          </w:p>
          <w:p w14:paraId="0CC727A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lang w:val="en-US" w:eastAsia="zh-CN"/>
                <w14:textFill>
                  <w14:solidFill>
                    <w14:schemeClr w14:val="tx1"/>
                  </w14:solidFill>
                </w14:textFill>
              </w:rPr>
              <w:t>本谈判文件以一级序号数字（如 “1.”“2.”“3.”…）为一条（标题除外）；数字序号下有多级序号的，以最小级数字序号为一条</w:t>
            </w:r>
            <w:r>
              <w:rPr>
                <w:rFonts w:hint="eastAsia" w:ascii="仿宋" w:hAnsi="仿宋" w:eastAsia="仿宋" w:cs="仿宋"/>
                <w:color w:val="000000" w:themeColor="text1"/>
                <w:sz w:val="24"/>
                <w:szCs w:val="24"/>
                <w:highlight w:val="none"/>
                <w14:textFill>
                  <w14:solidFill>
                    <w14:schemeClr w14:val="tx1"/>
                  </w14:solidFill>
                </w14:textFill>
              </w:rPr>
              <w:t>。</w:t>
            </w:r>
          </w:p>
          <w:p w14:paraId="02FC7DA3">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若每一项技术指标项均有负偏离，此处分值应扣完，得0分。</w:t>
            </w:r>
          </w:p>
        </w:tc>
        <w:tc>
          <w:tcPr>
            <w:tcW w:w="2304"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其中▲号条款，</w:t>
            </w:r>
            <w:r>
              <w:rPr>
                <w:rFonts w:hint="eastAsia" w:ascii="仿宋" w:hAnsi="仿宋" w:eastAsia="仿宋" w:cs="仿宋"/>
                <w:color w:val="000000" w:themeColor="text1"/>
                <w:sz w:val="24"/>
                <w:szCs w:val="24"/>
                <w:highlight w:val="none"/>
                <w:lang w:eastAsia="zh-CN"/>
                <w14:textFill>
                  <w14:solidFill>
                    <w14:schemeClr w14:val="tx1"/>
                  </w14:solidFill>
                </w14:textFill>
              </w:rPr>
              <w:t>若技术参数中要求了证明材料的按技术参数中的要求提供，若</w:t>
            </w:r>
            <w:r>
              <w:rPr>
                <w:rFonts w:hint="eastAsia" w:ascii="仿宋" w:hAnsi="仿宋" w:eastAsia="仿宋" w:cs="仿宋"/>
                <w:color w:val="000000" w:themeColor="text1"/>
                <w:sz w:val="24"/>
                <w:szCs w:val="24"/>
                <w:highlight w:val="none"/>
                <w14:textFill>
                  <w14:solidFill>
                    <w14:schemeClr w14:val="tx1"/>
                  </w14:solidFill>
                </w14:textFill>
              </w:rPr>
              <w:t>▲号条款</w:t>
            </w:r>
            <w:r>
              <w:rPr>
                <w:rFonts w:hint="eastAsia" w:ascii="仿宋" w:hAnsi="仿宋" w:eastAsia="仿宋" w:cs="仿宋"/>
                <w:color w:val="000000" w:themeColor="text1"/>
                <w:sz w:val="24"/>
                <w:szCs w:val="24"/>
                <w:highlight w:val="none"/>
                <w:lang w:eastAsia="zh-CN"/>
                <w14:textFill>
                  <w14:solidFill>
                    <w14:schemeClr w14:val="tx1"/>
                  </w14:solidFill>
                </w14:textFill>
              </w:rPr>
              <w:t>技术参数中未要求佐证材料的，供应商</w:t>
            </w:r>
            <w:r>
              <w:rPr>
                <w:rFonts w:hint="eastAsia" w:ascii="仿宋" w:hAnsi="仿宋" w:eastAsia="仿宋" w:cs="仿宋"/>
                <w:color w:val="000000" w:themeColor="text1"/>
                <w:sz w:val="24"/>
                <w:szCs w:val="24"/>
                <w:highlight w:val="none"/>
                <w14:textFill>
                  <w14:solidFill>
                    <w14:schemeClr w14:val="tx1"/>
                  </w14:solidFill>
                </w14:textFill>
              </w:rPr>
              <w:t>需提供说明书、产品彩页、检测报告等技术文件作为佐证（至少包含其中之一）并加盖</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公章，如技术指标和配置在技术文件中未对应出现，或在不同技术文件中存在自相矛盾之处或未提供的不得分。</w:t>
            </w: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93"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886" w:type="dxa"/>
            <w:tcBorders>
              <w:left w:val="single" w:color="auto" w:sz="4" w:space="0"/>
              <w:bottom w:val="single" w:color="auto" w:sz="4" w:space="0"/>
              <w:right w:val="single" w:color="auto" w:sz="4" w:space="0"/>
            </w:tcBorders>
            <w:vAlign w:val="center"/>
          </w:tcPr>
          <w:p w14:paraId="59CDD5B4">
            <w:pPr>
              <w:wordWrap w:val="0"/>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rPr>
              <w:t>售后服务</w:t>
            </w:r>
            <w:r>
              <w:rPr>
                <w:rFonts w:hint="eastAsia" w:ascii="仿宋" w:hAnsi="仿宋" w:eastAsia="仿宋" w:cs="仿宋"/>
                <w:color w:val="auto"/>
                <w:sz w:val="24"/>
                <w:szCs w:val="24"/>
                <w:highlight w:val="none"/>
                <w:lang w:val="en-US" w:eastAsia="zh-CN"/>
              </w:rPr>
              <w:t>4%</w:t>
            </w:r>
          </w:p>
        </w:tc>
        <w:tc>
          <w:tcPr>
            <w:tcW w:w="873" w:type="dxa"/>
            <w:tcBorders>
              <w:top w:val="single" w:color="auto" w:sz="4" w:space="0"/>
              <w:left w:val="single" w:color="auto" w:sz="4" w:space="0"/>
              <w:bottom w:val="single" w:color="auto" w:sz="4" w:space="0"/>
              <w:right w:val="single" w:color="auto" w:sz="4" w:space="0"/>
            </w:tcBorders>
            <w:vAlign w:val="center"/>
          </w:tcPr>
          <w:p w14:paraId="49C88B8D">
            <w:pPr>
              <w:wordWrap w:val="0"/>
              <w:ind w:firstLine="28" w:firstLineChars="0"/>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4814" w:type="dxa"/>
            <w:tcBorders>
              <w:top w:val="single" w:color="auto" w:sz="4" w:space="0"/>
              <w:left w:val="single" w:color="auto" w:sz="4" w:space="0"/>
              <w:bottom w:val="single" w:color="auto" w:sz="4" w:space="0"/>
              <w:right w:val="single" w:color="auto" w:sz="4" w:space="0"/>
            </w:tcBorders>
            <w:vAlign w:val="center"/>
          </w:tcPr>
          <w:p w14:paraId="0E1A9EB5">
            <w:pPr>
              <w:wordWrap w:val="0"/>
              <w:ind w:firstLine="28" w:firstLineChars="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供应商配备针对本项目的专职售后维修技术人员，承诺接到服务请求后30分钟内到达现场，得4分。</w:t>
            </w:r>
          </w:p>
          <w:p w14:paraId="3B557B65">
            <w:pPr>
              <w:wordWrap w:val="0"/>
              <w:ind w:firstLine="28" w:firstLine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auto"/>
                <w:sz w:val="24"/>
                <w:szCs w:val="24"/>
                <w:highlight w:val="none"/>
                <w:lang w:val="en-US" w:eastAsia="zh-CN"/>
              </w:rPr>
              <w:t>注：单独提供承诺函；</w:t>
            </w:r>
          </w:p>
        </w:tc>
        <w:tc>
          <w:tcPr>
            <w:tcW w:w="2304" w:type="dxa"/>
            <w:tcBorders>
              <w:top w:val="single" w:color="auto" w:sz="4" w:space="0"/>
              <w:left w:val="single" w:color="auto" w:sz="4" w:space="0"/>
              <w:bottom w:val="single" w:color="auto" w:sz="4" w:space="0"/>
              <w:right w:val="single" w:color="auto" w:sz="4" w:space="0"/>
            </w:tcBorders>
            <w:vAlign w:val="center"/>
          </w:tcPr>
          <w:p w14:paraId="243C9824">
            <w:pPr>
              <w:wordWrap w:val="0"/>
              <w:ind w:left="-38"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auto"/>
                <w:sz w:val="24"/>
                <w:szCs w:val="24"/>
                <w:highlight w:val="none"/>
              </w:rPr>
              <w:t>以</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为准。</w:t>
            </w: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886" w:type="dxa"/>
            <w:tcBorders>
              <w:top w:val="single" w:color="auto" w:sz="4" w:space="0"/>
              <w:left w:val="single" w:color="auto" w:sz="4" w:space="0"/>
              <w:bottom w:val="single" w:color="auto" w:sz="4" w:space="0"/>
              <w:right w:val="single" w:color="auto" w:sz="4" w:space="0"/>
            </w:tcBorders>
            <w:vAlign w:val="center"/>
          </w:tcPr>
          <w:p w14:paraId="5293032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873" w:type="dxa"/>
            <w:tcBorders>
              <w:top w:val="single" w:color="auto" w:sz="4" w:space="0"/>
              <w:left w:val="single" w:color="auto" w:sz="4" w:space="0"/>
              <w:bottom w:val="single" w:color="auto" w:sz="4" w:space="0"/>
              <w:right w:val="single" w:color="auto" w:sz="4" w:space="0"/>
            </w:tcBorders>
            <w:vAlign w:val="center"/>
          </w:tcPr>
          <w:p w14:paraId="6E95E8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14" w:type="dxa"/>
            <w:tcBorders>
              <w:top w:val="single" w:color="auto" w:sz="4" w:space="0"/>
              <w:left w:val="single" w:color="auto" w:sz="4" w:space="0"/>
              <w:bottom w:val="single" w:color="auto" w:sz="4" w:space="0"/>
              <w:right w:val="single" w:color="auto" w:sz="4" w:space="0"/>
            </w:tcBorders>
            <w:vAlign w:val="center"/>
          </w:tcPr>
          <w:p w14:paraId="4F66B8E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2023年1月1日（含）以来本次响应产品的销售业绩证明</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96F692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供货发票</w:t>
            </w:r>
            <w:r>
              <w:rPr>
                <w:rFonts w:hint="eastAsia" w:ascii="仿宋" w:hAnsi="仿宋" w:eastAsia="仿宋" w:cs="仿宋"/>
                <w:color w:val="000000" w:themeColor="text1"/>
                <w:kern w:val="0"/>
                <w:sz w:val="24"/>
                <w:szCs w:val="24"/>
                <w:highlight w:val="none"/>
                <w:lang w:bidi="ar"/>
                <w14:textFill>
                  <w14:solidFill>
                    <w14:schemeClr w14:val="tx1"/>
                  </w14:solidFill>
                </w14:textFill>
              </w:rPr>
              <w:t>，并加盖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2304" w:type="dxa"/>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3B2A9CF6">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28171"/>
      <w:bookmarkStart w:id="22" w:name="_Toc3094"/>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690"/>
      <w:bookmarkStart w:id="36" w:name="_Toc2485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6803"/>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599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2031"/>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11352"/>
      <w:bookmarkStart w:id="52" w:name="_Toc6482"/>
      <w:bookmarkStart w:id="53" w:name="_Toc3023"/>
      <w:bookmarkStart w:id="54" w:name="_Toc21519"/>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numPr>
          <w:ilvl w:val="0"/>
          <w:numId w:val="0"/>
        </w:numPr>
        <w:ind w:left="0" w:leftChars="0" w:firstLine="0" w:firstLineChars="0"/>
      </w:pPr>
      <w:r>
        <w:rPr>
          <w:rFonts w:hint="eastAsia" w:ascii="Times New Roman" w:hAnsi="Times New Roman" w:eastAsia="仿宋" w:cs="Times New Roman"/>
          <w:b/>
          <w:kern w:val="2"/>
          <w:sz w:val="32"/>
          <w:szCs w:val="22"/>
          <w:lang w:val="zh-CN" w:eastAsia="zh-CN" w:bidi="ar-SA"/>
        </w:rPr>
        <w:t>一、</w:t>
      </w: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4305"/>
      <w:bookmarkStart w:id="58" w:name="_Toc30971"/>
      <w:bookmarkStart w:id="59" w:name="_Toc17857"/>
      <w:bookmarkStart w:id="60" w:name="_Toc31838"/>
      <w:r>
        <w:rPr>
          <w:rFonts w:ascii="Times New Roman" w:hAnsi="Times New Roman" w:cs="Times New Roman"/>
        </w:rPr>
        <w:br w:type="page"/>
      </w:r>
    </w:p>
    <w:p w14:paraId="72845348">
      <w:pPr>
        <w:pStyle w:val="3"/>
        <w:numPr>
          <w:ilvl w:val="0"/>
          <w:numId w:val="0"/>
        </w:numPr>
        <w:ind w:left="0" w:leftChars="0" w:firstLine="0" w:firstLineChars="0"/>
      </w:pPr>
      <w:r>
        <w:rPr>
          <w:rFonts w:hint="eastAsia" w:ascii="Times New Roman" w:hAnsi="Times New Roman" w:eastAsia="仿宋" w:cs="Times New Roman"/>
          <w:b/>
          <w:kern w:val="2"/>
          <w:sz w:val="32"/>
          <w:szCs w:val="22"/>
          <w:lang w:val="zh-CN" w:eastAsia="zh-CN" w:bidi="ar-SA"/>
        </w:rPr>
        <w:t>二、</w:t>
      </w: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numPr>
          <w:ilvl w:val="0"/>
          <w:numId w:val="0"/>
        </w:numPr>
        <w:ind w:left="0" w:leftChars="0" w:firstLine="0" w:firstLineChars="0"/>
        <w:rPr>
          <w:rStyle w:val="32"/>
          <w:szCs w:val="28"/>
        </w:rPr>
      </w:pPr>
      <w:r>
        <w:rPr>
          <w:bCs/>
        </w:rPr>
        <w:br w:type="page"/>
      </w:r>
      <w:bookmarkStart w:id="61" w:name="_Toc27186"/>
      <w:bookmarkStart w:id="62" w:name="_Toc15613"/>
      <w:bookmarkStart w:id="63" w:name="_Toc30158"/>
      <w:r>
        <w:rPr>
          <w:rFonts w:hint="eastAsia"/>
          <w:bCs/>
          <w:lang w:val="zh-CN" w:eastAsia="zh-CN"/>
        </w:rPr>
        <w:t>三、</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numPr>
          <w:ilvl w:val="0"/>
          <w:numId w:val="0"/>
        </w:numPr>
        <w:ind w:left="0" w:leftChars="0" w:firstLine="0" w:firstLineChars="0"/>
        <w:rPr>
          <w:szCs w:val="32"/>
        </w:rPr>
      </w:pPr>
      <w:bookmarkStart w:id="67" w:name="_Toc23146"/>
      <w:bookmarkStart w:id="68" w:name="_Toc15508"/>
      <w:r>
        <w:rPr>
          <w:rFonts w:hint="eastAsia" w:ascii="Times New Roman" w:hAnsi="Times New Roman" w:eastAsia="仿宋" w:cs="Times New Roman"/>
          <w:b/>
          <w:kern w:val="2"/>
          <w:sz w:val="32"/>
          <w:szCs w:val="32"/>
          <w:lang w:val="zh-CN" w:eastAsia="zh-CN" w:bidi="ar-SA"/>
        </w:rPr>
        <w:t>四、</w:t>
      </w:r>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numPr>
          <w:ilvl w:val="0"/>
          <w:numId w:val="0"/>
        </w:numPr>
        <w:ind w:left="0" w:leftChars="0" w:firstLine="0" w:firstLineChars="0"/>
        <w:rPr>
          <w:szCs w:val="32"/>
        </w:rPr>
      </w:pPr>
      <w:r>
        <w:rPr>
          <w:szCs w:val="32"/>
        </w:rPr>
        <w:br w:type="page"/>
      </w:r>
      <w:bookmarkStart w:id="69" w:name="_Toc12015"/>
      <w:bookmarkStart w:id="70" w:name="_Toc27661"/>
      <w:bookmarkStart w:id="71" w:name="_Toc11351"/>
      <w:bookmarkStart w:id="72" w:name="_Toc25638"/>
      <w:bookmarkStart w:id="73" w:name="_Toc20589"/>
      <w:bookmarkStart w:id="74" w:name="_Toc15526"/>
      <w:r>
        <w:rPr>
          <w:rFonts w:hint="eastAsia"/>
          <w:szCs w:val="32"/>
          <w:lang w:val="zh-CN" w:eastAsia="zh-CN"/>
        </w:rPr>
        <w:t>五、</w:t>
      </w:r>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numPr>
          <w:ilvl w:val="0"/>
          <w:numId w:val="0"/>
        </w:numPr>
        <w:ind w:left="0" w:leftChars="0" w:firstLine="0" w:firstLineChars="0"/>
        <w:rPr>
          <w:szCs w:val="32"/>
        </w:rPr>
      </w:pPr>
      <w:r>
        <w:rPr>
          <w:szCs w:val="32"/>
        </w:rPr>
        <w:br w:type="page"/>
      </w:r>
      <w:bookmarkStart w:id="75" w:name="_Toc16435"/>
      <w:bookmarkStart w:id="76" w:name="_Toc26969"/>
      <w:bookmarkStart w:id="77" w:name="_Toc1074"/>
      <w:bookmarkStart w:id="78" w:name="_Toc12967"/>
      <w:bookmarkStart w:id="79" w:name="_Toc2041"/>
      <w:bookmarkStart w:id="80" w:name="_Toc23967"/>
      <w:r>
        <w:rPr>
          <w:rFonts w:hint="eastAsia"/>
          <w:szCs w:val="32"/>
          <w:lang w:val="zh-CN" w:eastAsia="zh-CN"/>
        </w:rPr>
        <w:t>六、</w:t>
      </w:r>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numPr>
          <w:ilvl w:val="0"/>
          <w:numId w:val="0"/>
        </w:numPr>
        <w:ind w:left="0" w:leftChars="0" w:firstLine="0" w:firstLineChars="0"/>
        <w:rPr>
          <w:bCs/>
          <w:szCs w:val="32"/>
        </w:rPr>
      </w:pPr>
      <w:r>
        <w:rPr>
          <w:szCs w:val="32"/>
        </w:rPr>
        <w:br w:type="page"/>
      </w:r>
      <w:bookmarkStart w:id="81" w:name="_Toc26839"/>
      <w:bookmarkStart w:id="82" w:name="_Toc1369"/>
      <w:bookmarkStart w:id="83" w:name="_Toc24806"/>
      <w:bookmarkStart w:id="84" w:name="_Toc31686"/>
      <w:bookmarkStart w:id="85" w:name="_Toc28634"/>
      <w:bookmarkStart w:id="86" w:name="_Toc21082"/>
      <w:r>
        <w:rPr>
          <w:rFonts w:hint="eastAsia"/>
          <w:szCs w:val="32"/>
          <w:lang w:val="zh-CN" w:eastAsia="zh-CN"/>
        </w:rPr>
        <w:t>七、</w:t>
      </w:r>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numPr>
          <w:ilvl w:val="0"/>
          <w:numId w:val="0"/>
        </w:numPr>
        <w:ind w:left="0" w:leftChars="0" w:firstLine="0" w:firstLineChars="0"/>
        <w:rPr>
          <w:highlight w:val="none"/>
        </w:rPr>
      </w:pPr>
      <w:bookmarkStart w:id="90" w:name="_Toc15065"/>
      <w:r>
        <w:rPr>
          <w:rFonts w:hint="eastAsia" w:ascii="Times New Roman" w:hAnsi="Times New Roman" w:eastAsia="仿宋" w:cs="Times New Roman"/>
          <w:b/>
          <w:kern w:val="2"/>
          <w:sz w:val="32"/>
          <w:szCs w:val="22"/>
          <w:lang w:val="zh-CN" w:eastAsia="zh-CN" w:bidi="ar-SA"/>
        </w:rPr>
        <w:t>八、</w:t>
      </w:r>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4"/>
        <w:gridCol w:w="846"/>
        <w:gridCol w:w="444"/>
        <w:gridCol w:w="1292"/>
        <w:gridCol w:w="1292"/>
        <w:gridCol w:w="1292"/>
        <w:gridCol w:w="1301"/>
        <w:gridCol w:w="1311"/>
        <w:gridCol w:w="1311"/>
      </w:tblGrid>
      <w:tr w14:paraId="3433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292" w:type="pct"/>
            <w:vAlign w:val="center"/>
          </w:tcPr>
          <w:p w14:paraId="17A2EF30">
            <w:pPr>
              <w:spacing w:line="240" w:lineRule="auto"/>
              <w:jc w:val="center"/>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668" w:type="pct"/>
            <w:gridSpan w:val="2"/>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highlight w:val="none"/>
                <w:lang w:val="en-US" w:eastAsia="zh-CN"/>
              </w:rPr>
              <w:t>标的名称</w:t>
            </w:r>
          </w:p>
        </w:tc>
        <w:tc>
          <w:tcPr>
            <w:tcW w:w="669"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数量</w:t>
            </w:r>
          </w:p>
        </w:tc>
        <w:tc>
          <w:tcPr>
            <w:tcW w:w="669"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highlight w:val="none"/>
              </w:rPr>
              <w:t>单位</w:t>
            </w:r>
          </w:p>
        </w:tc>
        <w:tc>
          <w:tcPr>
            <w:tcW w:w="669"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仿宋" w:hAnsi="仿宋" w:eastAsia="仿宋" w:cs="仿宋"/>
                <w:b/>
                <w:bCs/>
                <w:kern w:val="0"/>
                <w:sz w:val="24"/>
                <w:szCs w:val="24"/>
                <w:highlight w:val="none"/>
                <w:lang w:val="en-US" w:eastAsia="zh-CN"/>
              </w:rPr>
            </w:pPr>
            <w:r>
              <w:rPr>
                <w:rFonts w:hint="eastAsia" w:ascii="仿宋" w:hAnsi="仿宋" w:eastAsia="仿宋" w:cs="仿宋"/>
                <w:b/>
                <w:bCs/>
                <w:kern w:val="0"/>
                <w:sz w:val="24"/>
                <w:szCs w:val="24"/>
                <w:highlight w:val="none"/>
                <w:lang w:val="en-US" w:eastAsia="zh-CN"/>
              </w:rPr>
              <w:t>生产厂家/品牌</w:t>
            </w:r>
          </w:p>
        </w:tc>
        <w:tc>
          <w:tcPr>
            <w:tcW w:w="674"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规格/型号</w:t>
            </w:r>
          </w:p>
        </w:tc>
        <w:tc>
          <w:tcPr>
            <w:tcW w:w="679" w:type="pct"/>
            <w:vAlign w:val="center"/>
          </w:tcPr>
          <w:p w14:paraId="423C4A2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报价</w:t>
            </w:r>
            <w:r>
              <w:rPr>
                <w:rStyle w:val="21"/>
                <w:rFonts w:hint="eastAsia" w:ascii="仿宋" w:hAnsi="仿宋" w:eastAsia="仿宋" w:cs="仿宋"/>
                <w:b/>
                <w:bCs/>
                <w:sz w:val="24"/>
                <w:szCs w:val="24"/>
                <w:highlight w:val="none"/>
              </w:rPr>
              <w:t>（元）</w:t>
            </w:r>
          </w:p>
        </w:tc>
        <w:tc>
          <w:tcPr>
            <w:tcW w:w="675" w:type="pct"/>
            <w:vAlign w:val="center"/>
          </w:tcPr>
          <w:p w14:paraId="581B88E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highlight w:val="none"/>
                <w:lang w:val="en-US" w:eastAsia="zh-CN"/>
              </w:rPr>
            </w:pPr>
            <w:r>
              <w:rPr>
                <w:rStyle w:val="21"/>
                <w:rFonts w:hint="eastAsia" w:ascii="仿宋" w:hAnsi="仿宋" w:eastAsia="仿宋" w:cs="仿宋"/>
                <w:b/>
                <w:bCs/>
                <w:sz w:val="24"/>
                <w:szCs w:val="24"/>
                <w:highlight w:val="none"/>
                <w:lang w:val="en-US" w:eastAsia="zh-CN"/>
              </w:rPr>
              <w:t>备注</w:t>
            </w:r>
          </w:p>
        </w:tc>
      </w:tr>
      <w:tr w14:paraId="12B2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292"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668" w:type="pct"/>
            <w:gridSpan w:val="2"/>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精密空调</w:t>
            </w:r>
          </w:p>
        </w:tc>
        <w:tc>
          <w:tcPr>
            <w:tcW w:w="669"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69"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台</w:t>
            </w:r>
          </w:p>
        </w:tc>
        <w:tc>
          <w:tcPr>
            <w:tcW w:w="669"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74"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79" w:type="pct"/>
            <w:vAlign w:val="center"/>
          </w:tcPr>
          <w:p w14:paraId="5523372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675" w:type="pct"/>
            <w:vAlign w:val="center"/>
          </w:tcPr>
          <w:p w14:paraId="7AA912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453D9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730"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4269" w:type="pct"/>
            <w:gridSpan w:val="7"/>
            <w:vAlign w:val="center"/>
          </w:tcPr>
          <w:p w14:paraId="2651B32D">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222B1A22">
      <w:pPr>
        <w:pStyle w:val="7"/>
        <w:rPr>
          <w:rFonts w:hint="eastAsia" w:ascii="Times New Roman" w:hAnsi="Times New Roman" w:eastAsia="仿宋" w:cs="Times New Roman"/>
          <w:b/>
          <w:bCs/>
          <w:szCs w:val="21"/>
          <w:lang w:val="en-US" w:eastAsia="zh-CN"/>
        </w:rPr>
      </w:pPr>
    </w:p>
    <w:p w14:paraId="4E9E21F8">
      <w:pPr>
        <w:pStyle w:val="7"/>
        <w:rPr>
          <w:rFonts w:hint="default" w:ascii="Times New Roman" w:hAnsi="Times New Roman" w:eastAsia="仿宋" w:cs="Times New Roman"/>
          <w:b/>
          <w:bCs/>
          <w:szCs w:val="21"/>
          <w:lang w:val="en-US" w:eastAsia="zh-CN"/>
        </w:rPr>
      </w:pPr>
      <w:r>
        <w:rPr>
          <w:rFonts w:hint="eastAsia" w:ascii="Times New Roman" w:hAnsi="Times New Roman" w:eastAsia="仿宋" w:cs="Times New Roman"/>
          <w:b/>
          <w:bCs/>
          <w:szCs w:val="21"/>
          <w:lang w:val="en-US" w:eastAsia="zh-CN"/>
        </w:rPr>
        <w:t>2.分项报价明细表</w:t>
      </w:r>
    </w:p>
    <w:p w14:paraId="6A59F5E0">
      <w:pPr>
        <w:widowControl/>
        <w:jc w:val="left"/>
        <w:rPr>
          <w:rFonts w:hint="eastAsia"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（格式自拟）</w:t>
      </w:r>
    </w:p>
    <w:p w14:paraId="4723D83D">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14685"/>
      <w:bookmarkStart w:id="93"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29C53E5">
      <w:pPr>
        <w:jc w:val="center"/>
        <w:rPr>
          <w:rFonts w:hint="eastAsia" w:ascii="宋体" w:hAnsi="宋体" w:eastAsia="宋体" w:cs="宋体"/>
          <w:b/>
          <w:bCs w:val="0"/>
          <w:sz w:val="32"/>
          <w:szCs w:val="32"/>
          <w:lang w:eastAsia="zh-CN"/>
        </w:rPr>
      </w:pPr>
      <w:r>
        <w:rPr>
          <w:rFonts w:hint="eastAsia" w:ascii="宋体" w:hAnsi="宋体" w:eastAsia="宋体" w:cs="宋体"/>
          <w:b/>
          <w:bCs w:val="0"/>
          <w:kern w:val="2"/>
          <w:sz w:val="32"/>
          <w:szCs w:val="32"/>
          <w:lang w:val="en-US" w:eastAsia="zh-CN" w:bidi="ar-SA"/>
        </w:rPr>
        <w:t>九</w:t>
      </w:r>
      <w:r>
        <w:rPr>
          <w:rFonts w:hint="eastAsia" w:ascii="宋体" w:hAnsi="宋体" w:eastAsia="宋体" w:cs="宋体"/>
          <w:b/>
          <w:bCs w:val="0"/>
          <w:kern w:val="2"/>
          <w:sz w:val="32"/>
          <w:szCs w:val="32"/>
          <w:lang w:val="zh-CN" w:eastAsia="zh-CN" w:bidi="ar-SA"/>
        </w:rPr>
        <w:t>、</w:t>
      </w:r>
      <w:r>
        <w:rPr>
          <w:rFonts w:hint="eastAsia" w:ascii="宋体" w:hAnsi="宋体" w:eastAsia="宋体" w:cs="宋体"/>
          <w:b/>
          <w:bCs w:val="0"/>
          <w:sz w:val="32"/>
          <w:szCs w:val="32"/>
          <w:lang w:val="en-US" w:eastAsia="zh-CN"/>
        </w:rPr>
        <w:t>配置清单</w:t>
      </w:r>
    </w:p>
    <w:p w14:paraId="68BDF59E"/>
    <w:p w14:paraId="3EE4413F">
      <w:pPr>
        <w:rPr>
          <w:rFonts w:hint="eastAsia"/>
          <w:sz w:val="24"/>
          <w:szCs w:val="24"/>
        </w:rPr>
      </w:pPr>
      <w:r>
        <w:rPr>
          <w:rFonts w:hint="eastAsia"/>
          <w:sz w:val="24"/>
          <w:szCs w:val="24"/>
        </w:rPr>
        <w:t>（以下配置为单</w:t>
      </w:r>
      <w:r>
        <w:rPr>
          <w:rFonts w:hint="eastAsia"/>
          <w:sz w:val="24"/>
          <w:szCs w:val="24"/>
          <w:lang w:val="en-US" w:eastAsia="zh-CN"/>
        </w:rPr>
        <w:t>套</w:t>
      </w:r>
      <w:r>
        <w:rPr>
          <w:rFonts w:hint="eastAsia"/>
          <w:sz w:val="24"/>
          <w:szCs w:val="24"/>
        </w:rPr>
        <w:t>货物配置）</w:t>
      </w:r>
    </w:p>
    <w:p w14:paraId="7CEE6FAC">
      <w:pPr>
        <w:rPr>
          <w:rFonts w:hint="eastAsia" w:eastAsiaTheme="minorEastAsia"/>
          <w:b/>
          <w:bCs/>
          <w:sz w:val="24"/>
          <w:szCs w:val="24"/>
          <w:lang w:val="en-US" w:eastAsia="zh-CN"/>
        </w:rPr>
      </w:pPr>
      <w:r>
        <w:rPr>
          <w:rFonts w:hint="eastAsia"/>
          <w:sz w:val="24"/>
          <w:szCs w:val="24"/>
          <w:lang w:val="en-US" w:eastAsia="zh-CN"/>
        </w:rPr>
        <w:t>货物名称：</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4"/>
        <w:gridCol w:w="3041"/>
        <w:gridCol w:w="3041"/>
        <w:gridCol w:w="1939"/>
      </w:tblGrid>
      <w:tr w14:paraId="31457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6" w:type="pct"/>
            <w:noWrap w:val="0"/>
            <w:vAlign w:val="center"/>
          </w:tcPr>
          <w:p w14:paraId="7CA78D86">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序号</w:t>
            </w:r>
          </w:p>
        </w:tc>
        <w:tc>
          <w:tcPr>
            <w:tcW w:w="1544" w:type="pct"/>
            <w:noWrap w:val="0"/>
            <w:vAlign w:val="center"/>
          </w:tcPr>
          <w:p w14:paraId="2A37EC3C">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产品名称</w:t>
            </w:r>
          </w:p>
        </w:tc>
        <w:tc>
          <w:tcPr>
            <w:tcW w:w="1544" w:type="pct"/>
            <w:noWrap w:val="0"/>
            <w:vAlign w:val="center"/>
          </w:tcPr>
          <w:p w14:paraId="47ACDE5E">
            <w:pPr>
              <w:jc w:val="center"/>
              <w:rPr>
                <w:rFonts w:hint="eastAsia" w:ascii="宋体" w:hAnsi="宋体" w:eastAsia="宋体" w:cs="宋体"/>
                <w:b/>
                <w:bCs/>
                <w:sz w:val="24"/>
                <w:szCs w:val="24"/>
              </w:rPr>
            </w:pPr>
            <w:r>
              <w:rPr>
                <w:rFonts w:hint="eastAsia" w:ascii="宋体" w:hAnsi="宋体" w:eastAsia="宋体" w:cs="宋体"/>
                <w:b/>
                <w:bCs/>
                <w:sz w:val="24"/>
                <w:szCs w:val="24"/>
              </w:rPr>
              <w:t>型号</w:t>
            </w:r>
            <w:r>
              <w:rPr>
                <w:rFonts w:hint="eastAsia" w:ascii="宋体" w:hAnsi="宋体" w:eastAsia="宋体" w:cs="宋体"/>
                <w:b/>
                <w:bCs/>
                <w:sz w:val="24"/>
                <w:szCs w:val="24"/>
                <w:lang w:val="en-US" w:eastAsia="zh-CN"/>
              </w:rPr>
              <w:t>（若有）</w:t>
            </w:r>
          </w:p>
        </w:tc>
        <w:tc>
          <w:tcPr>
            <w:tcW w:w="984" w:type="pct"/>
            <w:noWrap w:val="0"/>
            <w:vAlign w:val="center"/>
          </w:tcPr>
          <w:p w14:paraId="628C14BA">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数量</w:t>
            </w:r>
          </w:p>
        </w:tc>
      </w:tr>
      <w:tr w14:paraId="7457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6" w:type="pct"/>
            <w:noWrap w:val="0"/>
            <w:vAlign w:val="center"/>
          </w:tcPr>
          <w:p w14:paraId="781B793B">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544" w:type="pct"/>
            <w:noWrap w:val="0"/>
            <w:vAlign w:val="center"/>
          </w:tcPr>
          <w:p w14:paraId="762C7F5F">
            <w:pPr>
              <w:rPr>
                <w:rFonts w:hint="eastAsia" w:ascii="宋体" w:hAnsi="宋体" w:eastAsia="宋体" w:cs="宋体"/>
                <w:sz w:val="24"/>
                <w:szCs w:val="24"/>
                <w:lang w:val="en-US" w:eastAsia="zh-CN"/>
              </w:rPr>
            </w:pPr>
          </w:p>
        </w:tc>
        <w:tc>
          <w:tcPr>
            <w:tcW w:w="1544" w:type="pct"/>
            <w:noWrap w:val="0"/>
            <w:vAlign w:val="center"/>
          </w:tcPr>
          <w:p w14:paraId="186A5F41">
            <w:pPr>
              <w:rPr>
                <w:rFonts w:hint="eastAsia" w:ascii="宋体" w:hAnsi="宋体" w:eastAsia="宋体" w:cs="宋体"/>
                <w:sz w:val="24"/>
                <w:szCs w:val="24"/>
                <w:lang w:val="en-US" w:eastAsia="zh-CN"/>
              </w:rPr>
            </w:pPr>
          </w:p>
        </w:tc>
        <w:tc>
          <w:tcPr>
            <w:tcW w:w="984" w:type="pct"/>
            <w:noWrap w:val="0"/>
            <w:vAlign w:val="center"/>
          </w:tcPr>
          <w:p w14:paraId="5C7E268A">
            <w:pPr>
              <w:rPr>
                <w:rFonts w:hint="eastAsia" w:ascii="宋体" w:hAnsi="宋体" w:eastAsia="宋体" w:cs="宋体"/>
                <w:sz w:val="24"/>
                <w:szCs w:val="24"/>
                <w:lang w:val="en-US" w:eastAsia="en-US"/>
              </w:rPr>
            </w:pPr>
          </w:p>
        </w:tc>
      </w:tr>
      <w:tr w14:paraId="2828C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6" w:type="pct"/>
            <w:noWrap w:val="0"/>
            <w:vAlign w:val="center"/>
          </w:tcPr>
          <w:p w14:paraId="521F30A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544" w:type="pct"/>
            <w:noWrap w:val="0"/>
            <w:vAlign w:val="center"/>
          </w:tcPr>
          <w:p w14:paraId="165215F6">
            <w:pPr>
              <w:rPr>
                <w:rFonts w:hint="eastAsia" w:ascii="宋体" w:hAnsi="宋体" w:eastAsia="宋体" w:cs="宋体"/>
                <w:sz w:val="24"/>
                <w:szCs w:val="24"/>
                <w:lang w:val="en-US" w:eastAsia="en-US"/>
              </w:rPr>
            </w:pPr>
          </w:p>
        </w:tc>
        <w:tc>
          <w:tcPr>
            <w:tcW w:w="1544" w:type="pct"/>
            <w:noWrap w:val="0"/>
            <w:vAlign w:val="center"/>
          </w:tcPr>
          <w:p w14:paraId="2309A886">
            <w:pPr>
              <w:rPr>
                <w:rFonts w:hint="eastAsia" w:ascii="宋体" w:hAnsi="宋体" w:eastAsia="宋体" w:cs="宋体"/>
                <w:sz w:val="24"/>
                <w:szCs w:val="24"/>
                <w:lang w:val="en-US" w:eastAsia="zh-CN"/>
              </w:rPr>
            </w:pPr>
          </w:p>
        </w:tc>
        <w:tc>
          <w:tcPr>
            <w:tcW w:w="984" w:type="pct"/>
            <w:noWrap w:val="0"/>
            <w:vAlign w:val="center"/>
          </w:tcPr>
          <w:p w14:paraId="273FC01C">
            <w:pPr>
              <w:rPr>
                <w:rFonts w:hint="eastAsia" w:ascii="宋体" w:hAnsi="宋体" w:eastAsia="宋体" w:cs="宋体"/>
                <w:sz w:val="24"/>
                <w:szCs w:val="24"/>
                <w:lang w:val="en-US" w:eastAsia="en-US"/>
              </w:rPr>
            </w:pPr>
          </w:p>
        </w:tc>
      </w:tr>
      <w:tr w14:paraId="5401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6" w:type="pct"/>
            <w:noWrap w:val="0"/>
            <w:vAlign w:val="center"/>
          </w:tcPr>
          <w:p w14:paraId="0463E9EF">
            <w:pPr>
              <w:jc w:val="center"/>
              <w:rPr>
                <w:rFonts w:hint="eastAsia" w:ascii="宋体" w:hAnsi="宋体" w:eastAsia="宋体" w:cs="宋体"/>
                <w:sz w:val="24"/>
                <w:szCs w:val="24"/>
                <w:lang w:val="en-US" w:eastAsia="zh-CN"/>
              </w:rPr>
            </w:pPr>
            <w:bookmarkStart w:id="94" w:name="OLE_LINK8"/>
            <w:r>
              <w:rPr>
                <w:rFonts w:hint="eastAsia" w:ascii="宋体" w:hAnsi="宋体" w:eastAsia="宋体" w:cs="宋体"/>
                <w:sz w:val="24"/>
                <w:szCs w:val="24"/>
                <w:lang w:val="en-US" w:eastAsia="zh-CN"/>
              </w:rPr>
              <w:t>3</w:t>
            </w:r>
          </w:p>
          <w:bookmarkEnd w:id="94"/>
        </w:tc>
        <w:tc>
          <w:tcPr>
            <w:tcW w:w="1544" w:type="pct"/>
            <w:noWrap w:val="0"/>
            <w:vAlign w:val="center"/>
          </w:tcPr>
          <w:p w14:paraId="014D7476">
            <w:pPr>
              <w:rPr>
                <w:rFonts w:hint="eastAsia" w:ascii="宋体" w:hAnsi="宋体" w:eastAsia="宋体" w:cs="宋体"/>
                <w:sz w:val="24"/>
                <w:szCs w:val="24"/>
                <w:lang w:val="en-US" w:eastAsia="zh-CN"/>
              </w:rPr>
            </w:pPr>
          </w:p>
        </w:tc>
        <w:tc>
          <w:tcPr>
            <w:tcW w:w="1544" w:type="pct"/>
            <w:noWrap w:val="0"/>
            <w:vAlign w:val="center"/>
          </w:tcPr>
          <w:p w14:paraId="6B7DF08C">
            <w:pPr>
              <w:rPr>
                <w:rFonts w:hint="eastAsia" w:ascii="宋体" w:hAnsi="宋体" w:eastAsia="宋体" w:cs="宋体"/>
                <w:sz w:val="24"/>
                <w:szCs w:val="24"/>
                <w:lang w:val="en-US" w:eastAsia="zh-CN"/>
              </w:rPr>
            </w:pPr>
          </w:p>
        </w:tc>
        <w:tc>
          <w:tcPr>
            <w:tcW w:w="984" w:type="pct"/>
            <w:noWrap w:val="0"/>
            <w:vAlign w:val="center"/>
          </w:tcPr>
          <w:p w14:paraId="5DBDD7D4">
            <w:pPr>
              <w:rPr>
                <w:rFonts w:hint="eastAsia" w:ascii="宋体" w:hAnsi="宋体" w:eastAsia="宋体" w:cs="宋体"/>
                <w:sz w:val="24"/>
                <w:szCs w:val="24"/>
                <w:lang w:val="en-US" w:eastAsia="en-US"/>
              </w:rPr>
            </w:pPr>
          </w:p>
        </w:tc>
      </w:tr>
      <w:tr w14:paraId="1967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6" w:type="pct"/>
            <w:noWrap w:val="0"/>
            <w:vAlign w:val="center"/>
          </w:tcPr>
          <w:p w14:paraId="7D8B289C">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544" w:type="pct"/>
            <w:noWrap w:val="0"/>
            <w:vAlign w:val="center"/>
          </w:tcPr>
          <w:p w14:paraId="26CE0DAC">
            <w:pPr>
              <w:rPr>
                <w:rFonts w:hint="eastAsia" w:ascii="宋体" w:hAnsi="宋体" w:eastAsia="宋体" w:cs="宋体"/>
                <w:sz w:val="24"/>
                <w:szCs w:val="24"/>
                <w:lang w:val="en-US" w:eastAsia="zh-CN"/>
              </w:rPr>
            </w:pPr>
          </w:p>
        </w:tc>
        <w:tc>
          <w:tcPr>
            <w:tcW w:w="1544" w:type="pct"/>
            <w:noWrap w:val="0"/>
            <w:vAlign w:val="center"/>
          </w:tcPr>
          <w:p w14:paraId="5E9287D9">
            <w:pPr>
              <w:rPr>
                <w:rFonts w:hint="eastAsia" w:ascii="宋体" w:hAnsi="宋体" w:eastAsia="宋体" w:cs="宋体"/>
                <w:sz w:val="24"/>
                <w:szCs w:val="24"/>
                <w:lang w:val="en-US" w:eastAsia="zh-CN"/>
              </w:rPr>
            </w:pPr>
          </w:p>
        </w:tc>
        <w:tc>
          <w:tcPr>
            <w:tcW w:w="984" w:type="pct"/>
            <w:noWrap w:val="0"/>
            <w:vAlign w:val="center"/>
          </w:tcPr>
          <w:p w14:paraId="6008759D">
            <w:pPr>
              <w:rPr>
                <w:rFonts w:hint="eastAsia" w:ascii="宋体" w:hAnsi="宋体" w:eastAsia="宋体" w:cs="宋体"/>
                <w:sz w:val="24"/>
                <w:szCs w:val="24"/>
                <w:lang w:val="en-US" w:eastAsia="en-US"/>
              </w:rPr>
            </w:pPr>
          </w:p>
        </w:tc>
      </w:tr>
    </w:tbl>
    <w:p w14:paraId="10D53C9D"/>
    <w:p w14:paraId="0AC74768"/>
    <w:p w14:paraId="6561A891"/>
    <w:p w14:paraId="5BBDA102"/>
    <w:p w14:paraId="4300BA89"/>
    <w:p w14:paraId="05D8DF5F"/>
    <w:p w14:paraId="3AD96B5E"/>
    <w:p w14:paraId="584C3F82"/>
    <w:p w14:paraId="5DDF4796">
      <w:r>
        <w:br w:type="page"/>
      </w:r>
    </w:p>
    <w:p w14:paraId="5189AD1E">
      <w:pPr>
        <w:pStyle w:val="3"/>
        <w:numPr>
          <w:ilvl w:val="0"/>
          <w:numId w:val="0"/>
        </w:numPr>
        <w:ind w:left="0" w:leftChars="0" w:firstLine="0" w:firstLineChars="0"/>
      </w:pPr>
      <w:r>
        <w:rPr>
          <w:rFonts w:hint="eastAsia" w:cs="Times New Roman"/>
          <w:b/>
          <w:kern w:val="2"/>
          <w:sz w:val="32"/>
          <w:szCs w:val="22"/>
          <w:lang w:val="en-US" w:eastAsia="zh-CN" w:bidi="ar-SA"/>
        </w:rPr>
        <w:t>十</w:t>
      </w:r>
      <w:r>
        <w:rPr>
          <w:rFonts w:hint="eastAsia" w:ascii="Times New Roman" w:hAnsi="Times New Roman" w:eastAsia="仿宋" w:cs="Times New Roman"/>
          <w:b/>
          <w:kern w:val="2"/>
          <w:sz w:val="32"/>
          <w:szCs w:val="22"/>
          <w:lang w:val="zh-CN" w:eastAsia="zh-CN" w:bidi="ar-SA"/>
        </w:rPr>
        <w:t>、</w:t>
      </w: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89D28A1">
      <w:pPr>
        <w:jc w:val="center"/>
        <w:rPr>
          <w:rFonts w:ascii="黑体" w:hAnsi="黑体" w:eastAsia="黑体" w:cs="Times New Roman"/>
          <w:b/>
          <w:bCs/>
          <w:sz w:val="48"/>
          <w:szCs w:val="48"/>
        </w:rPr>
      </w:pPr>
      <w:r>
        <w:rPr>
          <w:rFonts w:ascii="黑体" w:hAnsi="黑体" w:eastAsia="黑体" w:cs="Times New Roman"/>
          <w:b/>
          <w:bCs/>
          <w:sz w:val="48"/>
          <w:szCs w:val="48"/>
        </w:rPr>
        <w:t>货 物 采 购 合 同</w:t>
      </w:r>
    </w:p>
    <w:p w14:paraId="61FF622B">
      <w:pPr>
        <w:widowControl w:val="0"/>
        <w:spacing w:after="120"/>
        <w:jc w:val="both"/>
        <w:rPr>
          <w:rFonts w:hint="eastAsia" w:ascii="Calibri" w:hAnsi="Calibri" w:eastAsia="宋体" w:cs="Times New Roman"/>
          <w:kern w:val="2"/>
          <w:sz w:val="21"/>
          <w:szCs w:val="22"/>
          <w:lang w:val="en-US" w:eastAsia="zh-CN" w:bidi="ar-SA"/>
        </w:rPr>
      </w:pPr>
    </w:p>
    <w:tbl>
      <w:tblPr>
        <w:tblStyle w:val="18"/>
        <w:tblW w:w="5000" w:type="pct"/>
        <w:jc w:val="center"/>
        <w:tblLayout w:type="autofit"/>
        <w:tblCellMar>
          <w:top w:w="0" w:type="dxa"/>
          <w:left w:w="0" w:type="dxa"/>
          <w:bottom w:w="0" w:type="dxa"/>
          <w:right w:w="0" w:type="dxa"/>
        </w:tblCellMar>
      </w:tblPr>
      <w:tblGrid>
        <w:gridCol w:w="4687"/>
        <w:gridCol w:w="4950"/>
      </w:tblGrid>
      <w:tr w14:paraId="5A1C0598">
        <w:tblPrEx>
          <w:tblCellMar>
            <w:top w:w="0" w:type="dxa"/>
            <w:left w:w="0" w:type="dxa"/>
            <w:bottom w:w="0" w:type="dxa"/>
            <w:right w:w="0" w:type="dxa"/>
          </w:tblCellMar>
        </w:tblPrEx>
        <w:trPr>
          <w:trHeight w:val="919" w:hRule="atLeast"/>
          <w:jc w:val="center"/>
        </w:trPr>
        <w:tc>
          <w:tcPr>
            <w:tcW w:w="10204" w:type="dxa"/>
            <w:gridSpan w:val="2"/>
            <w:noWrap w:val="0"/>
            <w:vAlign w:val="top"/>
          </w:tcPr>
          <w:p w14:paraId="06D86C1A">
            <w:pPr>
              <w:contextualSpacing/>
              <w:rPr>
                <w:rFonts w:ascii="Times New Roman" w:hAnsi="Times New Roman" w:eastAsia="宋体" w:cs="Times New Roman"/>
                <w:color w:val="000000"/>
                <w:szCs w:val="21"/>
              </w:rPr>
            </w:pPr>
            <w:r>
              <w:rPr>
                <w:rFonts w:ascii="Times New Roman" w:hAnsi="Times New Roman" w:eastAsia="宋体" w:cs="Times New Roman"/>
                <w:b/>
                <w:bCs/>
                <w:color w:val="000000"/>
                <w:szCs w:val="21"/>
              </w:rPr>
              <w:t>合同编号</w:t>
            </w:r>
            <w:r>
              <w:rPr>
                <w:rFonts w:ascii="Times New Roman" w:hAnsi="Times New Roman" w:eastAsia="宋体" w:cs="Times New Roman"/>
                <w:color w:val="000000"/>
                <w:szCs w:val="21"/>
              </w:rPr>
              <w:t>：</w:t>
            </w:r>
            <w:r>
              <w:rPr>
                <w:rFonts w:ascii="Times New Roman" w:hAnsi="Times New Roman" w:eastAsia="宋体" w:cs="Times New Roman"/>
                <w:szCs w:val="21"/>
              </w:rPr>
              <w:t>***</w:t>
            </w:r>
          </w:p>
          <w:p w14:paraId="6BD3B808">
            <w:pPr>
              <w:contextualSpacing/>
              <w:rPr>
                <w:rFonts w:hint="eastAsia" w:ascii="Times New Roman" w:hAnsi="Times New Roman" w:eastAsia="宋体" w:cs="Times New Roman"/>
                <w:color w:val="000000"/>
                <w:szCs w:val="21"/>
              </w:rPr>
            </w:pPr>
            <w:r>
              <w:rPr>
                <w:rFonts w:ascii="Times New Roman" w:hAnsi="Times New Roman" w:eastAsia="宋体" w:cs="Times New Roman"/>
                <w:b/>
                <w:bCs/>
                <w:color w:val="000000"/>
                <w:szCs w:val="21"/>
              </w:rPr>
              <w:t>签订地点</w:t>
            </w:r>
            <w:r>
              <w:rPr>
                <w:rFonts w:ascii="Times New Roman" w:hAnsi="Times New Roman" w:eastAsia="宋体" w:cs="Times New Roman"/>
                <w:color w:val="000000"/>
                <w:szCs w:val="21"/>
              </w:rPr>
              <w:t>：四川省人民医院</w:t>
            </w:r>
          </w:p>
        </w:tc>
      </w:tr>
      <w:tr w14:paraId="622E8BAC">
        <w:tblPrEx>
          <w:tblCellMar>
            <w:top w:w="0" w:type="dxa"/>
            <w:left w:w="0" w:type="dxa"/>
            <w:bottom w:w="0" w:type="dxa"/>
            <w:right w:w="0" w:type="dxa"/>
          </w:tblCellMar>
        </w:tblPrEx>
        <w:trPr>
          <w:jc w:val="center"/>
        </w:trPr>
        <w:tc>
          <w:tcPr>
            <w:tcW w:w="4962" w:type="dxa"/>
            <w:noWrap w:val="0"/>
            <w:vAlign w:val="top"/>
          </w:tcPr>
          <w:p w14:paraId="2486CD77">
            <w:pPr>
              <w:rPr>
                <w:rFonts w:ascii="Times New Roman" w:hAnsi="Times New Roman" w:eastAsia="宋体" w:cs="Times New Roman"/>
                <w:szCs w:val="21"/>
              </w:rPr>
            </w:pPr>
            <w:r>
              <w:rPr>
                <w:rFonts w:ascii="Times New Roman" w:hAnsi="Times New Roman" w:eastAsia="宋体" w:cs="Times New Roman"/>
                <w:b/>
                <w:bCs/>
                <w:szCs w:val="21"/>
              </w:rPr>
              <w:t>采购人（以下简称甲方）</w:t>
            </w:r>
            <w:r>
              <w:rPr>
                <w:rFonts w:ascii="Times New Roman" w:hAnsi="Times New Roman" w:eastAsia="宋体" w:cs="Times New Roman"/>
                <w:szCs w:val="21"/>
              </w:rPr>
              <w:t>：四川省人民医院</w:t>
            </w:r>
          </w:p>
          <w:p w14:paraId="1884E898">
            <w:pPr>
              <w:rPr>
                <w:rFonts w:ascii="Times New Roman" w:hAnsi="Times New Roman" w:eastAsia="宋体" w:cs="Times New Roman"/>
                <w:szCs w:val="21"/>
              </w:rPr>
            </w:pPr>
            <w:r>
              <w:rPr>
                <w:rFonts w:ascii="Times New Roman" w:hAnsi="Times New Roman" w:eastAsia="宋体" w:cs="Times New Roman"/>
                <w:b/>
                <w:bCs/>
                <w:szCs w:val="21"/>
              </w:rPr>
              <w:t>地址</w:t>
            </w:r>
            <w:r>
              <w:rPr>
                <w:rFonts w:ascii="Times New Roman" w:hAnsi="Times New Roman" w:eastAsia="宋体" w:cs="Times New Roman"/>
                <w:szCs w:val="21"/>
              </w:rPr>
              <w:t>：四川省成都市一环路西二段32号</w:t>
            </w:r>
          </w:p>
          <w:p w14:paraId="529C7CDF">
            <w:pPr>
              <w:rPr>
                <w:rFonts w:ascii="Times New Roman" w:hAnsi="Times New Roman" w:eastAsia="宋体" w:cs="Times New Roman"/>
                <w:szCs w:val="21"/>
              </w:rPr>
            </w:pPr>
            <w:r>
              <w:rPr>
                <w:rFonts w:ascii="Times New Roman" w:hAnsi="Times New Roman" w:eastAsia="宋体" w:cs="Times New Roman"/>
                <w:b/>
                <w:bCs/>
                <w:szCs w:val="21"/>
              </w:rPr>
              <w:t>项目联系人</w:t>
            </w:r>
            <w:r>
              <w:rPr>
                <w:rFonts w:ascii="Times New Roman" w:hAnsi="Times New Roman" w:eastAsia="宋体" w:cs="Times New Roman"/>
                <w:szCs w:val="21"/>
              </w:rPr>
              <w:t>：***</w:t>
            </w:r>
          </w:p>
          <w:p w14:paraId="48C86617">
            <w:pPr>
              <w:rPr>
                <w:rFonts w:ascii="Times New Roman" w:hAnsi="Times New Roman" w:eastAsia="宋体" w:cs="Times New Roman"/>
                <w:szCs w:val="21"/>
              </w:rPr>
            </w:pPr>
            <w:r>
              <w:rPr>
                <w:rFonts w:ascii="Times New Roman" w:hAnsi="Times New Roman" w:eastAsia="宋体" w:cs="Times New Roman"/>
                <w:b/>
                <w:bCs/>
                <w:szCs w:val="21"/>
              </w:rPr>
              <w:t>电话</w:t>
            </w:r>
            <w:r>
              <w:rPr>
                <w:rFonts w:ascii="Times New Roman" w:hAnsi="Times New Roman" w:eastAsia="宋体" w:cs="Times New Roman"/>
                <w:szCs w:val="21"/>
              </w:rPr>
              <w:t>：***</w:t>
            </w:r>
          </w:p>
          <w:p w14:paraId="4A86EFAE">
            <w:pPr>
              <w:widowControl w:val="0"/>
              <w:spacing w:after="120"/>
              <w:jc w:val="both"/>
              <w:rPr>
                <w:rFonts w:hint="eastAsia" w:ascii="Calibri" w:hAnsi="Calibri" w:eastAsia="宋体" w:cs="Times New Roman"/>
                <w:kern w:val="2"/>
                <w:sz w:val="21"/>
                <w:szCs w:val="22"/>
                <w:lang w:val="en-US" w:eastAsia="zh-CN" w:bidi="ar-SA"/>
              </w:rPr>
            </w:pPr>
            <w:r>
              <w:rPr>
                <w:rFonts w:hint="eastAsia" w:ascii="Times New Roman" w:hAnsi="Times New Roman" w:eastAsia="宋体" w:cs="Times New Roman"/>
                <w:b/>
                <w:bCs/>
                <w:kern w:val="2"/>
                <w:sz w:val="21"/>
                <w:szCs w:val="21"/>
                <w:lang w:val="en-US" w:eastAsia="zh-CN" w:bidi="ar-SA"/>
              </w:rPr>
              <w:t>电子邮件：</w:t>
            </w:r>
            <w:r>
              <w:rPr>
                <w:rFonts w:hint="eastAsia" w:ascii="Times New Roman" w:hAnsi="Times New Roman" w:eastAsia="宋体" w:cs="Times New Roman"/>
                <w:kern w:val="2"/>
                <w:sz w:val="21"/>
                <w:szCs w:val="21"/>
                <w:lang w:val="en-US" w:eastAsia="zh-CN" w:bidi="ar-SA"/>
              </w:rPr>
              <w:t>*</w:t>
            </w:r>
            <w:r>
              <w:rPr>
                <w:rFonts w:ascii="Times New Roman" w:hAnsi="Times New Roman" w:eastAsia="宋体" w:cs="Times New Roman"/>
                <w:kern w:val="2"/>
                <w:sz w:val="21"/>
                <w:szCs w:val="21"/>
                <w:lang w:val="en-US" w:eastAsia="zh-CN" w:bidi="ar-SA"/>
              </w:rPr>
              <w:t>**</w:t>
            </w:r>
          </w:p>
        </w:tc>
        <w:tc>
          <w:tcPr>
            <w:tcW w:w="5242" w:type="dxa"/>
            <w:noWrap w:val="0"/>
            <w:vAlign w:val="top"/>
          </w:tcPr>
          <w:p w14:paraId="274E15C5">
            <w:pPr>
              <w:rPr>
                <w:rFonts w:ascii="Times New Roman" w:hAnsi="Times New Roman" w:eastAsia="宋体" w:cs="Times New Roman"/>
                <w:szCs w:val="21"/>
              </w:rPr>
            </w:pPr>
            <w:r>
              <w:rPr>
                <w:rFonts w:ascii="Times New Roman" w:hAnsi="Times New Roman" w:eastAsia="宋体" w:cs="Times New Roman"/>
                <w:b/>
                <w:bCs/>
                <w:szCs w:val="21"/>
              </w:rPr>
              <w:t>供应商（以下简称乙方）</w:t>
            </w:r>
            <w:r>
              <w:rPr>
                <w:rFonts w:ascii="Times New Roman" w:hAnsi="Times New Roman" w:eastAsia="宋体" w:cs="Times New Roman"/>
                <w:szCs w:val="21"/>
              </w:rPr>
              <w:t>：***</w:t>
            </w:r>
          </w:p>
          <w:p w14:paraId="7A0B7C6E">
            <w:pPr>
              <w:rPr>
                <w:rFonts w:ascii="Times New Roman" w:hAnsi="Times New Roman" w:eastAsia="宋体" w:cs="Times New Roman"/>
                <w:szCs w:val="21"/>
              </w:rPr>
            </w:pPr>
            <w:r>
              <w:rPr>
                <w:rFonts w:ascii="Times New Roman" w:hAnsi="Times New Roman" w:eastAsia="宋体" w:cs="Times New Roman"/>
                <w:b/>
                <w:bCs/>
                <w:szCs w:val="21"/>
              </w:rPr>
              <w:t>地址</w:t>
            </w:r>
            <w:r>
              <w:rPr>
                <w:rFonts w:ascii="Times New Roman" w:hAnsi="Times New Roman" w:eastAsia="宋体" w:cs="Times New Roman"/>
                <w:szCs w:val="21"/>
              </w:rPr>
              <w:t>：***</w:t>
            </w:r>
          </w:p>
          <w:p w14:paraId="694D9578">
            <w:pPr>
              <w:rPr>
                <w:rFonts w:ascii="Times New Roman" w:hAnsi="Times New Roman" w:eastAsia="宋体" w:cs="Times New Roman"/>
                <w:szCs w:val="21"/>
              </w:rPr>
            </w:pPr>
            <w:r>
              <w:rPr>
                <w:rFonts w:ascii="Times New Roman" w:hAnsi="Times New Roman" w:eastAsia="宋体" w:cs="Times New Roman"/>
                <w:b/>
                <w:bCs/>
                <w:szCs w:val="21"/>
              </w:rPr>
              <w:t>移动电话</w:t>
            </w:r>
            <w:r>
              <w:rPr>
                <w:rFonts w:ascii="Times New Roman" w:hAnsi="Times New Roman" w:eastAsia="宋体" w:cs="Times New Roman"/>
                <w:szCs w:val="21"/>
              </w:rPr>
              <w:t>：***</w:t>
            </w:r>
          </w:p>
          <w:p w14:paraId="1B8FE663">
            <w:pPr>
              <w:contextualSpacing/>
              <w:rPr>
                <w:rFonts w:ascii="Times New Roman" w:hAnsi="Times New Roman" w:eastAsia="宋体" w:cs="Times New Roman"/>
                <w:szCs w:val="21"/>
              </w:rPr>
            </w:pPr>
            <w:r>
              <w:rPr>
                <w:rFonts w:ascii="Times New Roman" w:hAnsi="Times New Roman" w:eastAsia="宋体" w:cs="Times New Roman"/>
                <w:b/>
                <w:bCs/>
                <w:szCs w:val="21"/>
              </w:rPr>
              <w:t>联系人</w:t>
            </w:r>
            <w:r>
              <w:rPr>
                <w:rFonts w:ascii="Times New Roman" w:hAnsi="Times New Roman" w:eastAsia="宋体" w:cs="Times New Roman"/>
                <w:szCs w:val="21"/>
              </w:rPr>
              <w:t>：***</w:t>
            </w:r>
          </w:p>
          <w:p w14:paraId="1BE497A4">
            <w:pPr>
              <w:widowControl w:val="0"/>
              <w:spacing w:after="120"/>
              <w:jc w:val="both"/>
              <w:rPr>
                <w:rFonts w:hint="eastAsia" w:ascii="Calibri" w:hAnsi="Calibri" w:eastAsia="宋体" w:cs="Times New Roman"/>
                <w:kern w:val="2"/>
                <w:sz w:val="21"/>
                <w:szCs w:val="22"/>
                <w:lang w:val="en-US" w:eastAsia="zh-CN" w:bidi="ar-SA"/>
              </w:rPr>
            </w:pPr>
            <w:r>
              <w:rPr>
                <w:rFonts w:hint="eastAsia" w:ascii="Times New Roman" w:hAnsi="Times New Roman" w:eastAsia="宋体" w:cs="Times New Roman"/>
                <w:b/>
                <w:bCs/>
                <w:kern w:val="2"/>
                <w:sz w:val="21"/>
                <w:szCs w:val="21"/>
                <w:lang w:val="en-US" w:eastAsia="zh-CN" w:bidi="ar-SA"/>
              </w:rPr>
              <w:t>电子邮件：*</w:t>
            </w:r>
            <w:r>
              <w:rPr>
                <w:rFonts w:ascii="Times New Roman" w:hAnsi="Times New Roman" w:eastAsia="宋体" w:cs="Times New Roman"/>
                <w:b/>
                <w:bCs/>
                <w:kern w:val="2"/>
                <w:sz w:val="21"/>
                <w:szCs w:val="21"/>
                <w:lang w:val="en-US" w:eastAsia="zh-CN" w:bidi="ar-SA"/>
              </w:rPr>
              <w:t>**</w:t>
            </w:r>
          </w:p>
        </w:tc>
      </w:tr>
    </w:tbl>
    <w:p w14:paraId="0B077B32">
      <w:pPr>
        <w:adjustRightInd w:val="0"/>
        <w:snapToGrid w:val="0"/>
        <w:spacing w:before="312" w:beforeLines="100" w:after="312" w:afterLines="100"/>
        <w:contextualSpacing/>
        <w:jc w:val="left"/>
        <w:rPr>
          <w:rFonts w:ascii="Times New Roman" w:hAnsi="Times New Roman" w:eastAsia="宋体" w:cs="Times New Roman"/>
          <w:color w:val="000000"/>
          <w:szCs w:val="21"/>
        </w:rPr>
      </w:pPr>
    </w:p>
    <w:p w14:paraId="5B8E794D">
      <w:pPr>
        <w:adjustRightInd w:val="0"/>
        <w:ind w:firstLine="420" w:firstLineChars="200"/>
        <w:contextualSpacing/>
        <w:jc w:val="left"/>
        <w:rPr>
          <w:rFonts w:ascii="Calibri" w:hAnsi="Calibri" w:eastAsia="宋体" w:cs="Times New Roman"/>
          <w:b/>
          <w:szCs w:val="21"/>
        </w:rPr>
      </w:pPr>
      <w:r>
        <w:rPr>
          <w:rFonts w:hint="eastAsia" w:ascii="Calibri" w:hAnsi="Calibri" w:eastAsia="宋体" w:cs="Times New Roman"/>
          <w:color w:val="000000"/>
          <w:szCs w:val="21"/>
        </w:rPr>
        <w:t>根</w:t>
      </w:r>
      <w:r>
        <w:rPr>
          <w:rFonts w:ascii="Calibri" w:hAnsi="Calibri" w:eastAsia="宋体" w:cs="Times New Roman"/>
          <w:color w:val="000000"/>
          <w:szCs w:val="21"/>
        </w:rPr>
        <w:t>据《中华人民共和国民法典》及甲方发布的***项目（项目编号：</w:t>
      </w:r>
      <w:r>
        <w:rPr>
          <w:rFonts w:ascii="Calibri" w:hAnsi="Calibri" w:eastAsia="宋体" w:cs="Times New Roman"/>
          <w:szCs w:val="21"/>
        </w:rPr>
        <w:t>***</w:t>
      </w:r>
      <w:r>
        <w:rPr>
          <w:rFonts w:ascii="Calibri" w:hAnsi="Calibri" w:eastAsia="宋体" w:cs="Times New Roman"/>
          <w:color w:val="000000"/>
          <w:szCs w:val="21"/>
        </w:rPr>
        <w:t>）《采购文件》、乙方的《</w:t>
      </w:r>
      <w:r>
        <w:rPr>
          <w:rFonts w:hint="eastAsia" w:ascii="Calibri" w:hAnsi="Calibri" w:eastAsia="宋体" w:cs="Times New Roman"/>
          <w:color w:val="000000"/>
          <w:szCs w:val="21"/>
        </w:rPr>
        <w:t>响应</w:t>
      </w:r>
      <w:r>
        <w:rPr>
          <w:rFonts w:ascii="Calibri" w:hAnsi="Calibri" w:eastAsia="宋体" w:cs="Times New Roman"/>
          <w:color w:val="000000"/>
          <w:szCs w:val="21"/>
        </w:rPr>
        <w:t>文件》，甲、乙双方同意签订本合同。详细技术说明及其他有关合同项目的特定信息可由合同附件予以说明，合同附件及本项目的《采购文件》、《</w:t>
      </w:r>
      <w:r>
        <w:rPr>
          <w:rFonts w:hint="eastAsia" w:ascii="Calibri" w:hAnsi="Calibri" w:eastAsia="宋体" w:cs="Times New Roman"/>
          <w:color w:val="000000"/>
          <w:szCs w:val="21"/>
        </w:rPr>
        <w:t>响应</w:t>
      </w:r>
      <w:r>
        <w:rPr>
          <w:rFonts w:ascii="Calibri" w:hAnsi="Calibri" w:eastAsia="宋体" w:cs="Times New Roman"/>
          <w:color w:val="000000"/>
          <w:szCs w:val="21"/>
        </w:rPr>
        <w:t>文件》等均为本合同不可分割的部分。双方同意共同遵守以下条款：</w:t>
      </w:r>
    </w:p>
    <w:p w14:paraId="1230348B">
      <w:pPr>
        <w:ind w:firstLine="420" w:firstLineChars="200"/>
        <w:rPr>
          <w:rFonts w:ascii="Times New Roman" w:hAnsi="Times New Roman" w:eastAsia="宋体" w:cs="Times New Roman"/>
          <w:color w:val="000000"/>
          <w:szCs w:val="21"/>
        </w:rPr>
      </w:pPr>
    </w:p>
    <w:p w14:paraId="71542604">
      <w:pPr>
        <w:widowControl w:val="0"/>
        <w:numPr>
          <w:ilvl w:val="0"/>
          <w:numId w:val="10"/>
        </w:numPr>
        <w:snapToGrid w:val="0"/>
        <w:ind w:left="420" w:hanging="420" w:firstLineChars="0"/>
        <w:jc w:val="both"/>
        <w:rPr>
          <w:rFonts w:hint="eastAsia"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7"/>
        <w:gridCol w:w="2409"/>
        <w:gridCol w:w="1875"/>
        <w:gridCol w:w="937"/>
        <w:gridCol w:w="1338"/>
        <w:gridCol w:w="402"/>
        <w:gridCol w:w="401"/>
        <w:gridCol w:w="937"/>
        <w:gridCol w:w="940"/>
      </w:tblGrid>
      <w:tr w14:paraId="7786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2F4B134D">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序号</w:t>
            </w:r>
          </w:p>
        </w:tc>
        <w:tc>
          <w:tcPr>
            <w:tcW w:w="2551" w:type="dxa"/>
            <w:noWrap w:val="0"/>
            <w:vAlign w:val="center"/>
          </w:tcPr>
          <w:p w14:paraId="6C244727">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货物名称</w:t>
            </w:r>
          </w:p>
        </w:tc>
        <w:tc>
          <w:tcPr>
            <w:tcW w:w="1985" w:type="dxa"/>
            <w:noWrap w:val="0"/>
            <w:vAlign w:val="center"/>
          </w:tcPr>
          <w:p w14:paraId="7682EC44">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生产厂商</w:t>
            </w:r>
          </w:p>
        </w:tc>
        <w:tc>
          <w:tcPr>
            <w:tcW w:w="992" w:type="dxa"/>
            <w:noWrap w:val="0"/>
            <w:vAlign w:val="center"/>
          </w:tcPr>
          <w:p w14:paraId="40F0EB55">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产地</w:t>
            </w:r>
          </w:p>
        </w:tc>
        <w:tc>
          <w:tcPr>
            <w:tcW w:w="1417" w:type="dxa"/>
            <w:noWrap w:val="0"/>
            <w:vAlign w:val="center"/>
          </w:tcPr>
          <w:p w14:paraId="1B25A093">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规格型号</w:t>
            </w:r>
          </w:p>
        </w:tc>
        <w:tc>
          <w:tcPr>
            <w:tcW w:w="426" w:type="dxa"/>
            <w:noWrap w:val="0"/>
            <w:vAlign w:val="center"/>
          </w:tcPr>
          <w:p w14:paraId="2CF80596">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单位</w:t>
            </w:r>
          </w:p>
        </w:tc>
        <w:tc>
          <w:tcPr>
            <w:tcW w:w="425" w:type="dxa"/>
            <w:noWrap w:val="0"/>
            <w:vAlign w:val="center"/>
          </w:tcPr>
          <w:p w14:paraId="7CFC364C">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数量</w:t>
            </w:r>
          </w:p>
        </w:tc>
        <w:tc>
          <w:tcPr>
            <w:tcW w:w="992" w:type="dxa"/>
            <w:noWrap w:val="0"/>
            <w:vAlign w:val="center"/>
          </w:tcPr>
          <w:p w14:paraId="5578A0AE">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单价</w:t>
            </w:r>
          </w:p>
          <w:p w14:paraId="389091F6">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（万元）</w:t>
            </w:r>
          </w:p>
        </w:tc>
        <w:tc>
          <w:tcPr>
            <w:tcW w:w="995" w:type="dxa"/>
            <w:noWrap w:val="0"/>
            <w:vAlign w:val="center"/>
          </w:tcPr>
          <w:p w14:paraId="04C9265E">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总价</w:t>
            </w:r>
          </w:p>
          <w:p w14:paraId="2A1FC1B4">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rPr>
              <w:t>（万元）</w:t>
            </w:r>
          </w:p>
        </w:tc>
      </w:tr>
      <w:tr w14:paraId="7581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2329384">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1</w:t>
            </w:r>
          </w:p>
        </w:tc>
        <w:tc>
          <w:tcPr>
            <w:tcW w:w="2551" w:type="dxa"/>
            <w:noWrap w:val="0"/>
            <w:vAlign w:val="center"/>
          </w:tcPr>
          <w:p w14:paraId="77294F77">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c>
          <w:tcPr>
            <w:tcW w:w="1985" w:type="dxa"/>
            <w:noWrap w:val="0"/>
            <w:vAlign w:val="center"/>
          </w:tcPr>
          <w:p w14:paraId="2D3EDAD5">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c>
          <w:tcPr>
            <w:tcW w:w="992" w:type="dxa"/>
            <w:noWrap w:val="0"/>
            <w:vAlign w:val="center"/>
          </w:tcPr>
          <w:p w14:paraId="20A53423">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c>
          <w:tcPr>
            <w:tcW w:w="1417" w:type="dxa"/>
            <w:noWrap w:val="0"/>
            <w:vAlign w:val="center"/>
          </w:tcPr>
          <w:p w14:paraId="3353063C">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szCs w:val="21"/>
              </w:rPr>
              <w:t>***</w:t>
            </w:r>
          </w:p>
        </w:tc>
        <w:tc>
          <w:tcPr>
            <w:tcW w:w="426" w:type="dxa"/>
            <w:noWrap w:val="0"/>
            <w:vAlign w:val="center"/>
          </w:tcPr>
          <w:p w14:paraId="406D6CDF">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c>
          <w:tcPr>
            <w:tcW w:w="425" w:type="dxa"/>
            <w:noWrap w:val="0"/>
            <w:vAlign w:val="center"/>
          </w:tcPr>
          <w:p w14:paraId="04DD1832">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c>
          <w:tcPr>
            <w:tcW w:w="992" w:type="dxa"/>
            <w:noWrap w:val="0"/>
            <w:vAlign w:val="center"/>
          </w:tcPr>
          <w:p w14:paraId="711274D8">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c>
          <w:tcPr>
            <w:tcW w:w="995" w:type="dxa"/>
            <w:noWrap w:val="0"/>
            <w:vAlign w:val="center"/>
          </w:tcPr>
          <w:p w14:paraId="388C0896">
            <w:pPr>
              <w:contextualSpacing/>
              <w:jc w:val="center"/>
              <w:rPr>
                <w:rFonts w:ascii="Times New Roman" w:hAnsi="Times New Roman" w:eastAsia="宋体" w:cs="Times New Roman"/>
                <w:b/>
                <w:bCs/>
                <w:color w:val="000000"/>
                <w:sz w:val="18"/>
                <w:szCs w:val="18"/>
              </w:rPr>
            </w:pPr>
            <w:r>
              <w:rPr>
                <w:rFonts w:ascii="Times New Roman" w:hAnsi="Times New Roman" w:eastAsia="宋体" w:cs="Times New Roman"/>
              </w:rPr>
              <w:t xml:space="preserve"> </w:t>
            </w:r>
            <w:r>
              <w:rPr>
                <w:rFonts w:ascii="Times New Roman" w:hAnsi="Times New Roman" w:eastAsia="宋体" w:cs="Times New Roman"/>
                <w:szCs w:val="21"/>
              </w:rPr>
              <w:t>***</w:t>
            </w:r>
          </w:p>
        </w:tc>
      </w:tr>
      <w:tr w14:paraId="05FB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378E064">
            <w:pPr>
              <w:contextualSpacing/>
              <w:jc w:val="center"/>
              <w:rPr>
                <w:rFonts w:ascii="Times New Roman" w:hAnsi="Times New Roman" w:eastAsia="宋体" w:cs="Times New Roman"/>
              </w:rPr>
            </w:pPr>
            <w:r>
              <w:rPr>
                <w:rFonts w:ascii="Times New Roman" w:hAnsi="Times New Roman" w:eastAsia="宋体" w:cs="Times New Roman"/>
              </w:rPr>
              <w:t>2</w:t>
            </w:r>
          </w:p>
        </w:tc>
        <w:tc>
          <w:tcPr>
            <w:tcW w:w="2551" w:type="dxa"/>
            <w:noWrap w:val="0"/>
            <w:vAlign w:val="center"/>
          </w:tcPr>
          <w:p w14:paraId="4572C021">
            <w:pPr>
              <w:contextualSpacing/>
              <w:jc w:val="center"/>
              <w:rPr>
                <w:rFonts w:ascii="Times New Roman" w:hAnsi="Times New Roman" w:eastAsia="宋体" w:cs="Times New Roman"/>
              </w:rPr>
            </w:pPr>
          </w:p>
        </w:tc>
        <w:tc>
          <w:tcPr>
            <w:tcW w:w="1985" w:type="dxa"/>
            <w:noWrap w:val="0"/>
            <w:vAlign w:val="center"/>
          </w:tcPr>
          <w:p w14:paraId="48F1E595">
            <w:pPr>
              <w:contextualSpacing/>
              <w:jc w:val="center"/>
              <w:rPr>
                <w:rFonts w:ascii="Times New Roman" w:hAnsi="Times New Roman" w:eastAsia="宋体" w:cs="Times New Roman"/>
              </w:rPr>
            </w:pPr>
          </w:p>
        </w:tc>
        <w:tc>
          <w:tcPr>
            <w:tcW w:w="992" w:type="dxa"/>
            <w:noWrap w:val="0"/>
            <w:vAlign w:val="center"/>
          </w:tcPr>
          <w:p w14:paraId="2228E6BA">
            <w:pPr>
              <w:contextualSpacing/>
              <w:jc w:val="center"/>
              <w:rPr>
                <w:rFonts w:ascii="Times New Roman" w:hAnsi="Times New Roman" w:eastAsia="宋体" w:cs="Times New Roman"/>
              </w:rPr>
            </w:pPr>
          </w:p>
        </w:tc>
        <w:tc>
          <w:tcPr>
            <w:tcW w:w="1417" w:type="dxa"/>
            <w:noWrap w:val="0"/>
            <w:vAlign w:val="center"/>
          </w:tcPr>
          <w:p w14:paraId="1C473199">
            <w:pPr>
              <w:contextualSpacing/>
              <w:jc w:val="center"/>
              <w:rPr>
                <w:rFonts w:ascii="Times New Roman" w:hAnsi="Times New Roman" w:eastAsia="宋体" w:cs="Times New Roman"/>
              </w:rPr>
            </w:pPr>
          </w:p>
        </w:tc>
        <w:tc>
          <w:tcPr>
            <w:tcW w:w="426" w:type="dxa"/>
            <w:noWrap w:val="0"/>
            <w:vAlign w:val="center"/>
          </w:tcPr>
          <w:p w14:paraId="280F2397">
            <w:pPr>
              <w:contextualSpacing/>
              <w:jc w:val="center"/>
              <w:rPr>
                <w:rFonts w:ascii="Times New Roman" w:hAnsi="Times New Roman" w:eastAsia="宋体" w:cs="Times New Roman"/>
              </w:rPr>
            </w:pPr>
          </w:p>
        </w:tc>
        <w:tc>
          <w:tcPr>
            <w:tcW w:w="425" w:type="dxa"/>
            <w:noWrap w:val="0"/>
            <w:vAlign w:val="center"/>
          </w:tcPr>
          <w:p w14:paraId="252B7BE4">
            <w:pPr>
              <w:contextualSpacing/>
              <w:jc w:val="center"/>
              <w:rPr>
                <w:rFonts w:ascii="Times New Roman" w:hAnsi="Times New Roman" w:eastAsia="宋体" w:cs="Times New Roman"/>
              </w:rPr>
            </w:pPr>
          </w:p>
        </w:tc>
        <w:tc>
          <w:tcPr>
            <w:tcW w:w="992" w:type="dxa"/>
            <w:noWrap w:val="0"/>
            <w:vAlign w:val="center"/>
          </w:tcPr>
          <w:p w14:paraId="085A1078">
            <w:pPr>
              <w:contextualSpacing/>
              <w:jc w:val="center"/>
              <w:rPr>
                <w:rFonts w:ascii="Times New Roman" w:hAnsi="Times New Roman" w:eastAsia="宋体" w:cs="Times New Roman"/>
              </w:rPr>
            </w:pPr>
          </w:p>
        </w:tc>
        <w:tc>
          <w:tcPr>
            <w:tcW w:w="995" w:type="dxa"/>
            <w:noWrap w:val="0"/>
            <w:vAlign w:val="center"/>
          </w:tcPr>
          <w:p w14:paraId="1E737324">
            <w:pPr>
              <w:contextualSpacing/>
              <w:jc w:val="center"/>
              <w:rPr>
                <w:rFonts w:ascii="Times New Roman" w:hAnsi="Times New Roman" w:eastAsia="宋体" w:cs="Times New Roman"/>
              </w:rPr>
            </w:pPr>
          </w:p>
        </w:tc>
      </w:tr>
      <w:tr w14:paraId="77A6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56FB1934">
            <w:pPr>
              <w:contextualSpacing/>
              <w:jc w:val="center"/>
              <w:rPr>
                <w:rFonts w:ascii="Times New Roman" w:hAnsi="Times New Roman" w:eastAsia="宋体" w:cs="Times New Roman"/>
              </w:rPr>
            </w:pPr>
            <w:r>
              <w:rPr>
                <w:rFonts w:ascii="Times New Roman" w:hAnsi="Times New Roman" w:eastAsia="宋体" w:cs="Times New Roman"/>
              </w:rPr>
              <w:t>...</w:t>
            </w:r>
          </w:p>
        </w:tc>
        <w:tc>
          <w:tcPr>
            <w:tcW w:w="2551" w:type="dxa"/>
            <w:noWrap w:val="0"/>
            <w:vAlign w:val="center"/>
          </w:tcPr>
          <w:p w14:paraId="408FAE19">
            <w:pPr>
              <w:contextualSpacing/>
              <w:jc w:val="center"/>
              <w:rPr>
                <w:rFonts w:ascii="Times New Roman" w:hAnsi="Times New Roman" w:eastAsia="宋体" w:cs="Times New Roman"/>
              </w:rPr>
            </w:pPr>
          </w:p>
        </w:tc>
        <w:tc>
          <w:tcPr>
            <w:tcW w:w="1985" w:type="dxa"/>
            <w:noWrap w:val="0"/>
            <w:vAlign w:val="center"/>
          </w:tcPr>
          <w:p w14:paraId="2CED2646">
            <w:pPr>
              <w:contextualSpacing/>
              <w:jc w:val="center"/>
              <w:rPr>
                <w:rFonts w:ascii="Times New Roman" w:hAnsi="Times New Roman" w:eastAsia="宋体" w:cs="Times New Roman"/>
              </w:rPr>
            </w:pPr>
          </w:p>
        </w:tc>
        <w:tc>
          <w:tcPr>
            <w:tcW w:w="992" w:type="dxa"/>
            <w:noWrap w:val="0"/>
            <w:vAlign w:val="center"/>
          </w:tcPr>
          <w:p w14:paraId="6436A815">
            <w:pPr>
              <w:contextualSpacing/>
              <w:jc w:val="center"/>
              <w:rPr>
                <w:rFonts w:ascii="Times New Roman" w:hAnsi="Times New Roman" w:eastAsia="宋体" w:cs="Times New Roman"/>
              </w:rPr>
            </w:pPr>
          </w:p>
        </w:tc>
        <w:tc>
          <w:tcPr>
            <w:tcW w:w="1417" w:type="dxa"/>
            <w:noWrap w:val="0"/>
            <w:vAlign w:val="center"/>
          </w:tcPr>
          <w:p w14:paraId="6339308E">
            <w:pPr>
              <w:contextualSpacing/>
              <w:jc w:val="center"/>
              <w:rPr>
                <w:rFonts w:ascii="Times New Roman" w:hAnsi="Times New Roman" w:eastAsia="宋体" w:cs="Times New Roman"/>
              </w:rPr>
            </w:pPr>
          </w:p>
        </w:tc>
        <w:tc>
          <w:tcPr>
            <w:tcW w:w="426" w:type="dxa"/>
            <w:noWrap w:val="0"/>
            <w:vAlign w:val="center"/>
          </w:tcPr>
          <w:p w14:paraId="3C7D2963">
            <w:pPr>
              <w:contextualSpacing/>
              <w:jc w:val="center"/>
              <w:rPr>
                <w:rFonts w:ascii="Times New Roman" w:hAnsi="Times New Roman" w:eastAsia="宋体" w:cs="Times New Roman"/>
              </w:rPr>
            </w:pPr>
          </w:p>
        </w:tc>
        <w:tc>
          <w:tcPr>
            <w:tcW w:w="425" w:type="dxa"/>
            <w:noWrap w:val="0"/>
            <w:vAlign w:val="center"/>
          </w:tcPr>
          <w:p w14:paraId="2A508233">
            <w:pPr>
              <w:contextualSpacing/>
              <w:jc w:val="center"/>
              <w:rPr>
                <w:rFonts w:ascii="Times New Roman" w:hAnsi="Times New Roman" w:eastAsia="宋体" w:cs="Times New Roman"/>
              </w:rPr>
            </w:pPr>
          </w:p>
        </w:tc>
        <w:tc>
          <w:tcPr>
            <w:tcW w:w="992" w:type="dxa"/>
            <w:noWrap w:val="0"/>
            <w:vAlign w:val="center"/>
          </w:tcPr>
          <w:p w14:paraId="3EE0D02F">
            <w:pPr>
              <w:contextualSpacing/>
              <w:jc w:val="center"/>
              <w:rPr>
                <w:rFonts w:ascii="Times New Roman" w:hAnsi="Times New Roman" w:eastAsia="宋体" w:cs="Times New Roman"/>
              </w:rPr>
            </w:pPr>
          </w:p>
        </w:tc>
        <w:tc>
          <w:tcPr>
            <w:tcW w:w="995" w:type="dxa"/>
            <w:noWrap w:val="0"/>
            <w:vAlign w:val="center"/>
          </w:tcPr>
          <w:p w14:paraId="41949F9A">
            <w:pPr>
              <w:contextualSpacing/>
              <w:jc w:val="center"/>
              <w:rPr>
                <w:rFonts w:ascii="Times New Roman" w:hAnsi="Times New Roman" w:eastAsia="宋体" w:cs="Times New Roman"/>
              </w:rPr>
            </w:pPr>
          </w:p>
        </w:tc>
      </w:tr>
    </w:tbl>
    <w:p w14:paraId="3905D58B">
      <w:pPr>
        <w:widowControl w:val="0"/>
        <w:numPr>
          <w:ilvl w:val="0"/>
          <w:numId w:val="11"/>
        </w:numPr>
        <w:ind w:left="420" w:hanging="420" w:firstLineChars="0"/>
        <w:jc w:val="both"/>
        <w:rPr>
          <w:rFonts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kern w:val="2"/>
          <w:sz w:val="21"/>
          <w:szCs w:val="21"/>
          <w:lang w:val="en-US" w:eastAsia="zh-CN" w:bidi="ar-SA"/>
        </w:rPr>
        <w:t>货物具体配置详见附件1：</w:t>
      </w:r>
      <w:r>
        <w:rPr>
          <w:rFonts w:hint="eastAsia" w:ascii="Times New Roman" w:hAnsi="Times New Roman" w:eastAsia="宋体" w:cs="Times New Roman"/>
          <w:color w:val="000000"/>
          <w:kern w:val="2"/>
          <w:sz w:val="21"/>
          <w:szCs w:val="21"/>
          <w:lang w:val="en-US" w:eastAsia="zh-CN" w:bidi="ar-SA"/>
        </w:rPr>
        <w:t>《</w:t>
      </w:r>
      <w:r>
        <w:rPr>
          <w:rFonts w:ascii="Times New Roman" w:hAnsi="Times New Roman" w:eastAsia="宋体" w:cs="Times New Roman"/>
          <w:color w:val="000000"/>
          <w:kern w:val="2"/>
          <w:sz w:val="21"/>
          <w:szCs w:val="21"/>
          <w:lang w:val="en-US" w:eastAsia="zh-CN" w:bidi="ar-SA"/>
        </w:rPr>
        <w:t>配置清单</w:t>
      </w:r>
      <w:r>
        <w:rPr>
          <w:rFonts w:hint="eastAsia" w:ascii="Times New Roman" w:hAnsi="Times New Roman" w:eastAsia="宋体" w:cs="Times New Roman"/>
          <w:color w:val="000000"/>
          <w:kern w:val="2"/>
          <w:sz w:val="21"/>
          <w:szCs w:val="21"/>
          <w:lang w:val="en-US" w:eastAsia="zh-CN" w:bidi="ar-SA"/>
        </w:rPr>
        <w:t>》。</w:t>
      </w:r>
    </w:p>
    <w:p w14:paraId="0B27FAF4">
      <w:pPr>
        <w:widowControl w:val="0"/>
        <w:numPr>
          <w:ilvl w:val="0"/>
          <w:numId w:val="11"/>
        </w:numPr>
        <w:ind w:left="420" w:hanging="420" w:firstLineChars="0"/>
        <w:jc w:val="both"/>
        <w:rPr>
          <w:rFonts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kern w:val="2"/>
          <w:sz w:val="21"/>
          <w:szCs w:val="21"/>
          <w:lang w:val="en-US" w:eastAsia="zh-CN" w:bidi="ar-SA"/>
        </w:rPr>
        <w:t>货物具体技术参数详见附件2：</w:t>
      </w:r>
      <w:r>
        <w:rPr>
          <w:rFonts w:hint="eastAsia" w:ascii="Times New Roman" w:hAnsi="Times New Roman" w:eastAsia="宋体" w:cs="Times New Roman"/>
          <w:color w:val="000000"/>
          <w:kern w:val="2"/>
          <w:sz w:val="21"/>
          <w:szCs w:val="21"/>
          <w:lang w:val="en-US" w:eastAsia="zh-CN" w:bidi="ar-SA"/>
        </w:rPr>
        <w:t>《</w:t>
      </w:r>
      <w:r>
        <w:rPr>
          <w:rFonts w:ascii="Times New Roman" w:hAnsi="Times New Roman" w:eastAsia="宋体" w:cs="Times New Roman"/>
          <w:color w:val="000000"/>
          <w:kern w:val="2"/>
          <w:sz w:val="21"/>
          <w:szCs w:val="21"/>
          <w:lang w:val="en-US" w:eastAsia="zh-CN" w:bidi="ar-SA"/>
        </w:rPr>
        <w:t>货物技术参数</w:t>
      </w:r>
      <w:r>
        <w:rPr>
          <w:rFonts w:hint="eastAsia" w:ascii="Times New Roman" w:hAnsi="Times New Roman" w:eastAsia="宋体" w:cs="Times New Roman"/>
          <w:color w:val="000000"/>
          <w:kern w:val="2"/>
          <w:sz w:val="21"/>
          <w:szCs w:val="21"/>
          <w:lang w:val="en-US" w:eastAsia="zh-CN" w:bidi="ar-SA"/>
        </w:rPr>
        <w:t>》。</w:t>
      </w:r>
    </w:p>
    <w:p w14:paraId="6673036C">
      <w:pPr>
        <w:widowControl w:val="0"/>
        <w:numPr>
          <w:ilvl w:val="0"/>
          <w:numId w:val="10"/>
        </w:numPr>
        <w:snapToGrid w:val="0"/>
        <w:ind w:left="420" w:hanging="420" w:firstLineChars="0"/>
        <w:jc w:val="both"/>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合同总价</w:t>
      </w:r>
    </w:p>
    <w:p w14:paraId="32D94539">
      <w:pPr>
        <w:widowControl w:val="0"/>
        <w:ind w:firstLine="0" w:firstLineChars="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DD471F3">
      <w:pPr>
        <w:widowControl w:val="0"/>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2.本合同执行期间合同总价不变，甲方无须另向乙方支付本合同规定之外的其他任何费用。</w:t>
      </w:r>
    </w:p>
    <w:p w14:paraId="66015570">
      <w:pPr>
        <w:widowControl w:val="0"/>
        <w:numPr>
          <w:ilvl w:val="0"/>
          <w:numId w:val="10"/>
        </w:numPr>
        <w:snapToGrid w:val="0"/>
        <w:ind w:left="420" w:hanging="420" w:firstLineChars="0"/>
        <w:jc w:val="both"/>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质量要求</w:t>
      </w:r>
    </w:p>
    <w:p w14:paraId="090F7B2E">
      <w:pPr>
        <w:widowControl w:val="0"/>
        <w:numPr>
          <w:ilvl w:val="0"/>
          <w:numId w:val="12"/>
        </w:numPr>
        <w:snapToGrid w:val="0"/>
        <w:ind w:left="420" w:hanging="42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乙方须</w:t>
      </w:r>
      <w:r>
        <w:rPr>
          <w:rFonts w:hint="eastAsia" w:ascii="Times New Roman" w:hAnsi="Times New Roman" w:eastAsia="宋体" w:cs="Times New Roman"/>
          <w:kern w:val="2"/>
          <w:sz w:val="21"/>
          <w:szCs w:val="21"/>
          <w:lang w:val="en-US" w:eastAsia="zh-CN" w:bidi="ar-SA"/>
        </w:rPr>
        <w:t>保证向甲方提</w:t>
      </w:r>
      <w:r>
        <w:rPr>
          <w:rFonts w:ascii="Times New Roman" w:hAnsi="Times New Roman" w:eastAsia="宋体" w:cs="Times New Roman"/>
          <w:kern w:val="2"/>
          <w:sz w:val="21"/>
          <w:szCs w:val="21"/>
          <w:lang w:val="en-US" w:eastAsia="zh-CN" w:bidi="ar-SA"/>
        </w:rPr>
        <w:t>供的</w:t>
      </w:r>
      <w:r>
        <w:rPr>
          <w:rFonts w:hint="eastAsia" w:ascii="Times New Roman" w:hAnsi="Times New Roman" w:eastAsia="宋体" w:cs="Times New Roman"/>
          <w:kern w:val="2"/>
          <w:sz w:val="21"/>
          <w:szCs w:val="21"/>
          <w:lang w:val="en-US" w:eastAsia="zh-CN" w:bidi="ar-SA"/>
        </w:rPr>
        <w:t>货物</w:t>
      </w:r>
      <w:r>
        <w:rPr>
          <w:rFonts w:ascii="Times New Roman" w:hAnsi="Times New Roman" w:eastAsia="宋体" w:cs="Times New Roman"/>
          <w:kern w:val="2"/>
          <w:sz w:val="21"/>
          <w:szCs w:val="21"/>
          <w:lang w:val="en-US" w:eastAsia="zh-CN" w:bidi="ar-SA"/>
        </w:rPr>
        <w:t>（含零部件、配件等）</w:t>
      </w:r>
      <w:r>
        <w:rPr>
          <w:rFonts w:hint="eastAsia" w:ascii="Times New Roman" w:hAnsi="Times New Roman" w:eastAsia="宋体" w:cs="Times New Roman"/>
          <w:kern w:val="2"/>
          <w:sz w:val="21"/>
          <w:szCs w:val="21"/>
          <w:lang w:val="en-US" w:eastAsia="zh-CN" w:bidi="ar-SA"/>
        </w:rPr>
        <w:t>是完整、全新的，并在性能、质量和设计方面满足安全、可靠和高效运行与方便维护的全部要求。</w:t>
      </w:r>
    </w:p>
    <w:p w14:paraId="3125B7FB">
      <w:pPr>
        <w:widowControl w:val="0"/>
        <w:numPr>
          <w:ilvl w:val="0"/>
          <w:numId w:val="12"/>
        </w:numPr>
        <w:snapToGrid w:val="0"/>
        <w:ind w:left="420" w:hanging="42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货物必须符合或优于国家（行业）标准，以及本项目采购文件的质量要求和技术指标与出厂标准。</w:t>
      </w:r>
    </w:p>
    <w:p w14:paraId="3FCC01E5">
      <w:pPr>
        <w:widowControl w:val="0"/>
        <w:numPr>
          <w:ilvl w:val="0"/>
          <w:numId w:val="12"/>
        </w:numPr>
        <w:snapToGrid w:val="0"/>
        <w:ind w:left="420" w:hanging="42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货物制造质量出现问题，乙方应负责按照第</w:t>
      </w:r>
      <w:r>
        <w:rPr>
          <w:rFonts w:hint="eastAsia" w:ascii="Times New Roman" w:hAnsi="Times New Roman" w:eastAsia="宋体" w:cs="Times New Roman"/>
          <w:kern w:val="2"/>
          <w:sz w:val="21"/>
          <w:szCs w:val="21"/>
          <w:lang w:val="en-US" w:eastAsia="zh-CN" w:bidi="ar-SA"/>
        </w:rPr>
        <w:t>十</w:t>
      </w:r>
      <w:r>
        <w:rPr>
          <w:rFonts w:ascii="Times New Roman" w:hAnsi="Times New Roman" w:eastAsia="宋体" w:cs="Times New Roman"/>
          <w:kern w:val="2"/>
          <w:sz w:val="21"/>
          <w:szCs w:val="21"/>
          <w:lang w:val="en-US" w:eastAsia="zh-CN" w:bidi="ar-SA"/>
        </w:rPr>
        <w:t>条承担责任，费用由乙方负担。</w:t>
      </w:r>
    </w:p>
    <w:p w14:paraId="682ED7EB">
      <w:pPr>
        <w:widowControl w:val="0"/>
        <w:numPr>
          <w:ilvl w:val="0"/>
          <w:numId w:val="12"/>
        </w:numPr>
        <w:snapToGrid w:val="0"/>
        <w:ind w:left="420" w:hanging="42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如因货物质量问题导致甲方无法正常使用或影响使用效果，由此与患者发生纠纷而导致甲方赔偿，乙方对此承担全部责任。</w:t>
      </w:r>
    </w:p>
    <w:p w14:paraId="1A47CED0">
      <w:pPr>
        <w:widowControl w:val="0"/>
        <w:numPr>
          <w:ilvl w:val="0"/>
          <w:numId w:val="12"/>
        </w:numPr>
        <w:snapToGrid w:val="0"/>
        <w:ind w:left="420" w:hanging="42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甲方人员参与合同货物开箱、调试等行为均不免除乙方及厂家对合同货物质量所应负责任。</w:t>
      </w:r>
    </w:p>
    <w:p w14:paraId="62B97E0C">
      <w:pPr>
        <w:widowControl w:val="0"/>
        <w:numPr>
          <w:ilvl w:val="0"/>
          <w:numId w:val="12"/>
        </w:numPr>
        <w:snapToGrid w:val="0"/>
        <w:ind w:left="420" w:hanging="420" w:firstLineChars="0"/>
        <w:jc w:val="both"/>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本合同采购的货物涉及成品软件的，乙方应保证以下内容（本合同另有约定除外）：</w:t>
      </w:r>
    </w:p>
    <w:p w14:paraId="7CC81495">
      <w:pPr>
        <w:widowControl w:val="0"/>
        <w:numPr>
          <w:ilvl w:val="0"/>
          <w:numId w:val="13"/>
        </w:numPr>
        <w:snapToGrid w:val="0"/>
        <w:ind w:left="525" w:hanging="525" w:hangingChars="25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本合同中提供给甲方的软件产品是其产品原厂发布的最新版本。</w:t>
      </w:r>
    </w:p>
    <w:p w14:paraId="545EF256">
      <w:pPr>
        <w:widowControl w:val="0"/>
        <w:numPr>
          <w:ilvl w:val="0"/>
          <w:numId w:val="13"/>
        </w:numPr>
        <w:snapToGrid w:val="0"/>
        <w:ind w:left="525" w:hanging="525" w:hangingChars="25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负责软件功能的升级、维护和文档更新，不再收取任何费用。</w:t>
      </w:r>
    </w:p>
    <w:p w14:paraId="2765309A">
      <w:pPr>
        <w:widowControl w:val="0"/>
        <w:numPr>
          <w:ilvl w:val="0"/>
          <w:numId w:val="13"/>
        </w:numPr>
        <w:snapToGrid w:val="0"/>
        <w:ind w:left="525" w:hanging="525" w:hangingChars="25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本合同中提供给甲方的软件产品不存在定期密码输入等使用和功能上的限制。</w:t>
      </w:r>
    </w:p>
    <w:p w14:paraId="06610C9B">
      <w:pPr>
        <w:widowControl w:val="0"/>
        <w:numPr>
          <w:ilvl w:val="0"/>
          <w:numId w:val="13"/>
        </w:numPr>
        <w:snapToGrid w:val="0"/>
        <w:ind w:left="525" w:hanging="525" w:hangingChars="25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本合同中提供给甲方的软件产品不得隐含任何恶意功能，包括但不限于病毒、蠕虫和特洛伊木马等程序；在未获甲方授权的情况下，不得通过软件收集和扩散任何甲方及其相关联单位的信息。</w:t>
      </w:r>
    </w:p>
    <w:p w14:paraId="2B5359B9">
      <w:pPr>
        <w:widowControl w:val="0"/>
        <w:numPr>
          <w:ilvl w:val="0"/>
          <w:numId w:val="13"/>
        </w:numPr>
        <w:snapToGrid w:val="0"/>
        <w:ind w:left="525" w:hanging="525" w:hangingChars="250"/>
        <w:jc w:val="both"/>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本合同中提供给甲方的软件产品需要严格遵守相关网络信息安全规定。</w:t>
      </w:r>
    </w:p>
    <w:p w14:paraId="1C26FBEE">
      <w:pPr>
        <w:widowControl w:val="0"/>
        <w:numPr>
          <w:ilvl w:val="0"/>
          <w:numId w:val="13"/>
        </w:numPr>
        <w:snapToGrid w:val="0"/>
        <w:ind w:left="525" w:hanging="525" w:hangingChars="25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若因乙方操作不当导致本合同中提供给甲方的软件产品及相关系统出现故障或数据遗失等情况，乙方应负责调试软件至正常使用状态并恢复数据，因此造成甲方损失的，乙方须承担相应的赔偿责任。</w:t>
      </w:r>
    </w:p>
    <w:p w14:paraId="47FF266B">
      <w:pPr>
        <w:widowControl w:val="0"/>
        <w:numPr>
          <w:ilvl w:val="0"/>
          <w:numId w:val="10"/>
        </w:numPr>
        <w:snapToGrid w:val="0"/>
        <w:ind w:left="420" w:hanging="420" w:firstLineChars="0"/>
        <w:jc w:val="both"/>
        <w:rPr>
          <w:rFonts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交付</w:t>
      </w:r>
    </w:p>
    <w:p w14:paraId="5A0373D4">
      <w:pPr>
        <w:widowControl w:val="0"/>
        <w:snapToGrid w:val="0"/>
        <w:ind w:firstLine="420" w:firstLineChars="20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w:t>
      </w:r>
      <w:r>
        <w:rPr>
          <w:rFonts w:ascii="Times New Roman" w:hAnsi="Times New Roman" w:eastAsia="宋体" w:cs="Times New Roman"/>
          <w:kern w:val="2"/>
          <w:sz w:val="21"/>
          <w:szCs w:val="21"/>
          <w:lang w:val="en-US" w:eastAsia="zh-CN" w:bidi="ar-SA"/>
        </w:rPr>
        <w:t>合同签订生效</w:t>
      </w:r>
      <w:r>
        <w:rPr>
          <w:rFonts w:hint="eastAsia" w:ascii="Times New Roman" w:hAnsi="Times New Roman" w:eastAsia="宋体" w:cs="Times New Roman"/>
          <w:kern w:val="2"/>
          <w:sz w:val="21"/>
          <w:szCs w:val="21"/>
          <w:lang w:val="en-US" w:eastAsia="zh-CN" w:bidi="ar-SA"/>
        </w:rPr>
        <w:t>后*</w:t>
      </w:r>
      <w:r>
        <w:rPr>
          <w:rFonts w:ascii="Times New Roman" w:hAnsi="Times New Roman" w:eastAsia="宋体" w:cs="Times New Roman"/>
          <w:kern w:val="2"/>
          <w:sz w:val="21"/>
          <w:szCs w:val="21"/>
          <w:lang w:val="en-US" w:eastAsia="zh-CN" w:bidi="ar-SA"/>
        </w:rPr>
        <w:t>**</w:t>
      </w:r>
      <w:r>
        <w:rPr>
          <w:rFonts w:ascii="Times New Roman" w:hAnsi="Times New Roman" w:eastAsia="宋体" w:cs="Times New Roman"/>
          <w:kern w:val="2"/>
          <w:sz w:val="21"/>
          <w:szCs w:val="22"/>
          <w:lang w:val="en-US" w:eastAsia="zh-CN" w:bidi="ar-SA"/>
        </w:rPr>
        <w:t>天</w:t>
      </w:r>
      <w:r>
        <w:rPr>
          <w:rFonts w:ascii="Times New Roman" w:hAnsi="Times New Roman" w:eastAsia="宋体" w:cs="Times New Roman"/>
          <w:kern w:val="2"/>
          <w:sz w:val="21"/>
          <w:szCs w:val="21"/>
          <w:lang w:val="en-US" w:eastAsia="zh-CN" w:bidi="ar-SA"/>
        </w:rPr>
        <w:t>内</w:t>
      </w:r>
      <w:r>
        <w:rPr>
          <w:rFonts w:hint="eastAsia" w:ascii="Times New Roman" w:hAnsi="Times New Roman" w:eastAsia="宋体" w:cs="Times New Roman"/>
          <w:kern w:val="2"/>
          <w:sz w:val="21"/>
          <w:szCs w:val="21"/>
          <w:lang w:val="en-US" w:eastAsia="zh-CN" w:bidi="ar-SA"/>
        </w:rPr>
        <w:t>由乙方在*</w:t>
      </w:r>
      <w:r>
        <w:rPr>
          <w:rFonts w:ascii="Times New Roman" w:hAnsi="Times New Roman" w:eastAsia="宋体"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向甲方交付本合同约定的全部货物，</w:t>
      </w:r>
      <w:r>
        <w:rPr>
          <w:rFonts w:ascii="Times New Roman" w:hAnsi="Times New Roman" w:eastAsia="宋体" w:cs="Times New Roman"/>
          <w:kern w:val="2"/>
          <w:sz w:val="21"/>
          <w:szCs w:val="21"/>
          <w:lang w:val="en-US" w:eastAsia="zh-CN" w:bidi="ar-SA"/>
        </w:rPr>
        <w:t>并于</w:t>
      </w:r>
      <w:r>
        <w:rPr>
          <w:rFonts w:hint="eastAsia" w:ascii="Times New Roman" w:hAnsi="Times New Roman" w:eastAsia="宋体" w:cs="Times New Roman"/>
          <w:kern w:val="2"/>
          <w:sz w:val="21"/>
          <w:szCs w:val="21"/>
          <w:lang w:val="en-US" w:eastAsia="zh-CN" w:bidi="ar-SA"/>
        </w:rPr>
        <w:t>*</w:t>
      </w:r>
      <w:r>
        <w:rPr>
          <w:rFonts w:ascii="Times New Roman" w:hAnsi="Times New Roman" w:eastAsia="宋体"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日内</w:t>
      </w:r>
      <w:r>
        <w:rPr>
          <w:rFonts w:ascii="Times New Roman" w:hAnsi="Times New Roman" w:eastAsia="宋体" w:cs="Times New Roman"/>
          <w:kern w:val="2"/>
          <w:sz w:val="21"/>
          <w:szCs w:val="21"/>
          <w:lang w:val="en-US" w:eastAsia="zh-CN" w:bidi="ar-SA"/>
        </w:rPr>
        <w:t>安装调试完毕</w:t>
      </w:r>
      <w:r>
        <w:rPr>
          <w:rFonts w:hint="eastAsia" w:ascii="Times New Roman" w:hAnsi="Times New Roman" w:eastAsia="宋体" w:cs="Times New Roman"/>
          <w:kern w:val="2"/>
          <w:sz w:val="21"/>
          <w:szCs w:val="21"/>
          <w:lang w:val="en-US" w:eastAsia="zh-CN" w:bidi="ar-SA"/>
        </w:rPr>
        <w:t>且具备验收条件。</w:t>
      </w:r>
      <w:r>
        <w:rPr>
          <w:rFonts w:ascii="Times New Roman" w:hAnsi="Times New Roman" w:eastAsia="宋体" w:cs="Times New Roman"/>
          <w:kern w:val="2"/>
          <w:sz w:val="21"/>
          <w:szCs w:val="21"/>
          <w:lang w:val="en-US" w:eastAsia="zh-CN" w:bidi="ar-SA"/>
        </w:rPr>
        <w:t>货物验收合格前，毁损灭失的风险由乙方承担。</w:t>
      </w:r>
    </w:p>
    <w:p w14:paraId="6D86E4DF">
      <w:pPr>
        <w:widowControl w:val="0"/>
        <w:numPr>
          <w:ilvl w:val="0"/>
          <w:numId w:val="10"/>
        </w:numPr>
        <w:snapToGrid w:val="0"/>
        <w:ind w:left="420" w:hanging="420" w:firstLineChars="0"/>
        <w:jc w:val="both"/>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验收</w:t>
      </w:r>
    </w:p>
    <w:p w14:paraId="5255B357">
      <w:pPr>
        <w:widowControl w:val="0"/>
        <w:numPr>
          <w:ilvl w:val="0"/>
          <w:numId w:val="14"/>
        </w:numPr>
        <w:snapToGrid w:val="0"/>
        <w:ind w:left="420" w:hanging="420" w:firstLineChars="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甲、乙双方确定，按照本合同约定的验收方案对乙方交付的</w:t>
      </w:r>
      <w:r>
        <w:rPr>
          <w:rFonts w:hint="eastAsia" w:ascii="Times New Roman" w:hAnsi="Times New Roman" w:eastAsia="宋体" w:cs="Times New Roman"/>
          <w:kern w:val="2"/>
          <w:sz w:val="21"/>
          <w:szCs w:val="22"/>
          <w:lang w:val="en-US" w:eastAsia="zh-CN" w:bidi="ar-SA"/>
        </w:rPr>
        <w:t>货物</w:t>
      </w:r>
      <w:r>
        <w:rPr>
          <w:rFonts w:ascii="Times New Roman" w:hAnsi="Times New Roman" w:eastAsia="宋体" w:cs="Times New Roman"/>
          <w:kern w:val="2"/>
          <w:sz w:val="21"/>
          <w:szCs w:val="22"/>
          <w:lang w:val="en-US" w:eastAsia="zh-CN" w:bidi="ar-SA"/>
        </w:rPr>
        <w:t>进行验收。</w:t>
      </w:r>
    </w:p>
    <w:p w14:paraId="6BD966CF">
      <w:pPr>
        <w:widowControl w:val="0"/>
        <w:numPr>
          <w:ilvl w:val="0"/>
          <w:numId w:val="14"/>
        </w:numPr>
        <w:snapToGrid w:val="0"/>
        <w:ind w:left="420" w:hanging="420" w:firstLineChars="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验收方案：</w:t>
      </w:r>
    </w:p>
    <w:p w14:paraId="3D80EF60">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验收主体：甲方</w:t>
      </w:r>
    </w:p>
    <w:p w14:paraId="0C62C154">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验收组织方式：自行验收</w:t>
      </w:r>
    </w:p>
    <w:p w14:paraId="2226FF6C">
      <w:pPr>
        <w:widowControl w:val="0"/>
        <w:numPr>
          <w:ilvl w:val="0"/>
          <w:numId w:val="15"/>
        </w:numPr>
        <w:snapToGrid w:val="0"/>
        <w:ind w:left="525" w:hanging="525" w:hangingChars="250"/>
        <w:contextualSpacing/>
        <w:jc w:val="both"/>
        <w:rPr>
          <w:rFonts w:ascii="Times New Roman" w:hAnsi="Times New Roman" w:eastAsia="宋体" w:cs="Times New Roman"/>
          <w:color w:val="333333"/>
          <w:kern w:val="0"/>
          <w:sz w:val="21"/>
          <w:szCs w:val="21"/>
          <w:shd w:val="clear" w:color="auto" w:fill="FFFFFF"/>
          <w:lang w:val="en-US" w:eastAsia="zh-CN" w:bidi="ar-SA"/>
        </w:rPr>
      </w:pPr>
      <w:r>
        <w:rPr>
          <w:rFonts w:ascii="Times New Roman" w:hAnsi="Times New Roman" w:eastAsia="宋体" w:cs="Times New Roman"/>
          <w:kern w:val="2"/>
          <w:sz w:val="21"/>
          <w:szCs w:val="22"/>
          <w:lang w:val="en-US" w:eastAsia="zh-CN" w:bidi="ar-SA"/>
        </w:rPr>
        <w:t>验收程序：</w:t>
      </w:r>
      <w:r>
        <w:rPr>
          <w:rFonts w:ascii="Calibri" w:hAnsi="Calibri" w:eastAsia="宋体" w:cs="Times New Roman"/>
          <w:kern w:val="2"/>
          <w:sz w:val="21"/>
          <w:szCs w:val="22"/>
          <w:lang w:val="en-US" w:eastAsia="zh-CN" w:bidi="ar-SA"/>
        </w:rPr>
        <w:sym w:font="Wingdings 2" w:char="F052"/>
      </w:r>
      <w:r>
        <w:rPr>
          <w:rFonts w:ascii="Times New Roman" w:hAnsi="Times New Roman" w:eastAsia="宋体" w:cs="Times New Roman"/>
          <w:kern w:val="0"/>
          <w:sz w:val="21"/>
          <w:szCs w:val="21"/>
          <w:shd w:val="clear" w:color="auto" w:fill="FFFFFF"/>
          <w:lang w:val="en-US" w:eastAsia="zh-CN" w:bidi="ar-SA"/>
        </w:rPr>
        <w:t xml:space="preserve">一次性验收   </w:t>
      </w:r>
      <w:r>
        <w:rPr>
          <w:rFonts w:ascii="Calibri" w:hAnsi="Calibri" w:eastAsia="宋体" w:cs="Times New Roman"/>
          <w:kern w:val="2"/>
          <w:sz w:val="21"/>
          <w:szCs w:val="22"/>
          <w:shd w:val="clear" w:color="auto" w:fill="FFFFFF"/>
          <w:lang w:val="en-US" w:eastAsia="zh-CN" w:bidi="ar-SA"/>
        </w:rPr>
        <w:sym w:font="Wingdings" w:char="F0A8"/>
      </w:r>
      <w:r>
        <w:rPr>
          <w:rFonts w:ascii="Times New Roman" w:hAnsi="Times New Roman" w:eastAsia="宋体" w:cs="Times New Roman"/>
          <w:kern w:val="0"/>
          <w:sz w:val="21"/>
          <w:szCs w:val="21"/>
          <w:shd w:val="clear" w:color="auto" w:fill="FFFFFF"/>
          <w:lang w:val="en-US" w:eastAsia="zh-CN" w:bidi="ar-SA"/>
        </w:rPr>
        <w:t>分段/分期验收</w:t>
      </w:r>
    </w:p>
    <w:p w14:paraId="27CF3EB6">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验收方式：现场整体验收</w:t>
      </w:r>
    </w:p>
    <w:p w14:paraId="6BA3F5AB">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履约验收内容：</w:t>
      </w:r>
      <w:r>
        <w:rPr>
          <w:rFonts w:hint="eastAsia" w:ascii="Times New Roman" w:hAnsi="Times New Roman" w:eastAsia="宋体" w:cs="Times New Roman"/>
          <w:kern w:val="2"/>
          <w:sz w:val="21"/>
          <w:szCs w:val="22"/>
          <w:lang w:val="en-US" w:eastAsia="zh-CN" w:bidi="ar-SA"/>
        </w:rPr>
        <w:t>按照甲方</w:t>
      </w:r>
      <w:r>
        <w:rPr>
          <w:rFonts w:ascii="Times New Roman" w:hAnsi="Times New Roman" w:eastAsia="宋体" w:cs="Times New Roman"/>
          <w:kern w:val="2"/>
          <w:sz w:val="21"/>
          <w:szCs w:val="22"/>
          <w:lang w:val="en-US" w:eastAsia="zh-CN" w:bidi="ar-SA"/>
        </w:rPr>
        <w:t>采购文件要求及乙方响应文件情况，由乙方向甲方交付的全部内容。</w:t>
      </w:r>
    </w:p>
    <w:p w14:paraId="3D3B88CD">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履约验收时间：供应商完成本项目涉及的所有</w:t>
      </w:r>
      <w:r>
        <w:rPr>
          <w:rFonts w:hint="eastAsia" w:ascii="Times New Roman" w:hAnsi="Times New Roman" w:eastAsia="宋体" w:cs="Times New Roman"/>
          <w:kern w:val="2"/>
          <w:sz w:val="21"/>
          <w:szCs w:val="22"/>
          <w:lang w:val="en-US" w:eastAsia="zh-CN" w:bidi="ar-SA"/>
        </w:rPr>
        <w:t>货物</w:t>
      </w:r>
      <w:r>
        <w:rPr>
          <w:rFonts w:ascii="Times New Roman" w:hAnsi="Times New Roman" w:eastAsia="宋体" w:cs="Times New Roman"/>
          <w:kern w:val="2"/>
          <w:sz w:val="21"/>
          <w:szCs w:val="22"/>
          <w:lang w:val="en-US" w:eastAsia="zh-CN" w:bidi="ar-SA"/>
        </w:rPr>
        <w:t>的安装、调试并具备验收条件后于5日内通知甲方验收，甲方接乙方通知后10日内组织验收。</w:t>
      </w:r>
    </w:p>
    <w:p w14:paraId="2A431292">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 xml:space="preserve">是否邀请本项目的其他供应商： </w:t>
      </w:r>
      <w:r>
        <w:rPr>
          <w:rFonts w:ascii="Times New Roman" w:hAnsi="Times New Roman" w:eastAsia="宋体" w:cs="Times New Roman"/>
          <w:kern w:val="2"/>
          <w:sz w:val="21"/>
          <w:szCs w:val="22"/>
          <w:lang w:val="en-US" w:eastAsia="zh-CN" w:bidi="ar-SA"/>
        </w:rPr>
        <w:sym w:font="Wingdings" w:char="F0A8"/>
      </w:r>
      <w:r>
        <w:rPr>
          <w:rFonts w:ascii="Times New Roman" w:hAnsi="Times New Roman" w:eastAsia="宋体" w:cs="Times New Roman"/>
          <w:kern w:val="2"/>
          <w:sz w:val="21"/>
          <w:szCs w:val="22"/>
          <w:lang w:val="en-US" w:eastAsia="zh-CN" w:bidi="ar-SA"/>
        </w:rPr>
        <w:t xml:space="preserve">是   </w:t>
      </w:r>
      <w:r>
        <w:rPr>
          <w:rFonts w:ascii="Times New Roman" w:hAnsi="Times New Roman" w:eastAsia="宋体" w:cs="Times New Roman"/>
          <w:kern w:val="2"/>
          <w:sz w:val="21"/>
          <w:szCs w:val="22"/>
          <w:lang w:val="en-US" w:eastAsia="zh-CN" w:bidi="ar-SA"/>
        </w:rPr>
        <w:sym w:font="Wingdings 2" w:char="F052"/>
      </w:r>
      <w:r>
        <w:rPr>
          <w:rFonts w:ascii="Times New Roman" w:hAnsi="Times New Roman" w:eastAsia="宋体" w:cs="Times New Roman"/>
          <w:kern w:val="2"/>
          <w:sz w:val="21"/>
          <w:szCs w:val="22"/>
          <w:lang w:val="en-US" w:eastAsia="zh-CN" w:bidi="ar-SA"/>
        </w:rPr>
        <w:t>否</w:t>
      </w:r>
    </w:p>
    <w:p w14:paraId="2AC3C943">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 xml:space="preserve">是否邀请专家： </w:t>
      </w:r>
      <w:r>
        <w:rPr>
          <w:rFonts w:ascii="Times New Roman" w:hAnsi="Times New Roman" w:eastAsia="宋体" w:cs="Times New Roman"/>
          <w:kern w:val="2"/>
          <w:sz w:val="21"/>
          <w:szCs w:val="22"/>
          <w:lang w:val="en-US" w:eastAsia="zh-CN" w:bidi="ar-SA"/>
        </w:rPr>
        <w:sym w:font="Wingdings" w:char="F0A8"/>
      </w:r>
      <w:r>
        <w:rPr>
          <w:rFonts w:ascii="Times New Roman" w:hAnsi="Times New Roman" w:eastAsia="宋体" w:cs="Times New Roman"/>
          <w:kern w:val="2"/>
          <w:sz w:val="21"/>
          <w:szCs w:val="22"/>
          <w:lang w:val="en-US" w:eastAsia="zh-CN" w:bidi="ar-SA"/>
        </w:rPr>
        <w:t xml:space="preserve">是   </w:t>
      </w:r>
      <w:r>
        <w:rPr>
          <w:rFonts w:ascii="Times New Roman" w:hAnsi="Times New Roman" w:eastAsia="宋体" w:cs="Times New Roman"/>
          <w:kern w:val="2"/>
          <w:sz w:val="21"/>
          <w:szCs w:val="22"/>
          <w:lang w:val="en-US" w:eastAsia="zh-CN" w:bidi="ar-SA"/>
        </w:rPr>
        <w:sym w:font="Wingdings 2" w:char="F052"/>
      </w:r>
      <w:r>
        <w:rPr>
          <w:rFonts w:ascii="Times New Roman" w:hAnsi="Times New Roman" w:eastAsia="宋体" w:cs="Times New Roman"/>
          <w:kern w:val="2"/>
          <w:sz w:val="21"/>
          <w:szCs w:val="22"/>
          <w:lang w:val="en-US" w:eastAsia="zh-CN" w:bidi="ar-SA"/>
        </w:rPr>
        <w:t>否</w:t>
      </w:r>
    </w:p>
    <w:p w14:paraId="16867A41">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 xml:space="preserve">是否邀请服务对象： </w:t>
      </w:r>
      <w:r>
        <w:rPr>
          <w:rFonts w:ascii="Times New Roman" w:hAnsi="Times New Roman" w:eastAsia="宋体" w:cs="Times New Roman"/>
          <w:kern w:val="2"/>
          <w:sz w:val="21"/>
          <w:szCs w:val="22"/>
          <w:lang w:val="en-US" w:eastAsia="zh-CN" w:bidi="ar-SA"/>
        </w:rPr>
        <w:sym w:font="Wingdings" w:char="F0A8"/>
      </w:r>
      <w:r>
        <w:rPr>
          <w:rFonts w:ascii="Times New Roman" w:hAnsi="Times New Roman" w:eastAsia="宋体" w:cs="Times New Roman"/>
          <w:kern w:val="2"/>
          <w:sz w:val="21"/>
          <w:szCs w:val="22"/>
          <w:lang w:val="en-US" w:eastAsia="zh-CN" w:bidi="ar-SA"/>
        </w:rPr>
        <w:t xml:space="preserve">是   </w:t>
      </w:r>
      <w:r>
        <w:rPr>
          <w:rFonts w:ascii="Times New Roman" w:hAnsi="Times New Roman" w:eastAsia="宋体" w:cs="Times New Roman"/>
          <w:kern w:val="2"/>
          <w:sz w:val="21"/>
          <w:szCs w:val="22"/>
          <w:lang w:val="en-US" w:eastAsia="zh-CN" w:bidi="ar-SA"/>
        </w:rPr>
        <w:sym w:font="Wingdings 2" w:char="F052"/>
      </w:r>
      <w:r>
        <w:rPr>
          <w:rFonts w:ascii="Times New Roman" w:hAnsi="Times New Roman" w:eastAsia="宋体" w:cs="Times New Roman"/>
          <w:kern w:val="2"/>
          <w:sz w:val="21"/>
          <w:szCs w:val="22"/>
          <w:lang w:val="en-US" w:eastAsia="zh-CN" w:bidi="ar-SA"/>
        </w:rPr>
        <w:t>否</w:t>
      </w:r>
    </w:p>
    <w:p w14:paraId="21638147">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是否邀请第三方检测机构： </w:t>
      </w:r>
      <w:r>
        <w:rPr>
          <w:rFonts w:ascii="Times New Roman" w:hAnsi="Times New Roman" w:eastAsia="宋体" w:cs="Times New Roman"/>
          <w:kern w:val="2"/>
          <w:sz w:val="21"/>
          <w:szCs w:val="21"/>
          <w:lang w:val="en-US" w:eastAsia="zh-CN" w:bidi="ar-SA"/>
        </w:rPr>
        <w:sym w:font="Wingdings" w:char="F0A8"/>
      </w:r>
      <w:r>
        <w:rPr>
          <w:rFonts w:ascii="Times New Roman" w:hAnsi="Times New Roman" w:eastAsia="宋体" w:cs="Times New Roman"/>
          <w:kern w:val="2"/>
          <w:sz w:val="21"/>
          <w:szCs w:val="21"/>
          <w:lang w:val="en-US" w:eastAsia="zh-CN" w:bidi="ar-SA"/>
        </w:rPr>
        <w:t xml:space="preserve">是   </w:t>
      </w:r>
      <w:r>
        <w:rPr>
          <w:rFonts w:ascii="Times New Roman" w:hAnsi="Times New Roman" w:eastAsia="宋体" w:cs="Times New Roman"/>
          <w:kern w:val="2"/>
          <w:sz w:val="21"/>
          <w:szCs w:val="21"/>
          <w:lang w:val="en-US" w:eastAsia="zh-CN" w:bidi="ar-SA"/>
        </w:rPr>
        <w:sym w:font="Wingdings 2" w:char="F052"/>
      </w:r>
      <w:r>
        <w:rPr>
          <w:rFonts w:ascii="Times New Roman" w:hAnsi="Times New Roman" w:eastAsia="宋体" w:cs="Times New Roman"/>
          <w:kern w:val="2"/>
          <w:sz w:val="21"/>
          <w:szCs w:val="21"/>
          <w:lang w:val="en-US" w:eastAsia="zh-CN" w:bidi="ar-SA"/>
        </w:rPr>
        <w:t>否</w:t>
      </w:r>
    </w:p>
    <w:p w14:paraId="6E22A3F0">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lang w:val="en-US" w:eastAsia="zh-CN" w:bidi="ar-SA"/>
        </w:rPr>
      </w:pPr>
      <w:r>
        <w:rPr>
          <w:rFonts w:ascii="Times New Roman" w:hAnsi="Times New Roman" w:eastAsia="宋体" w:cs="Times New Roman"/>
          <w:kern w:val="2"/>
          <w:sz w:val="21"/>
          <w:szCs w:val="22"/>
          <w:lang w:val="en-US" w:eastAsia="zh-CN" w:bidi="ar-SA"/>
        </w:rPr>
        <w:t>验收标准：</w:t>
      </w:r>
    </w:p>
    <w:p w14:paraId="03EB7C3B">
      <w:pPr>
        <w:widowControl w:val="0"/>
        <w:numPr>
          <w:ilvl w:val="0"/>
          <w:numId w:val="16"/>
        </w:numPr>
        <w:snapToGrid w:val="0"/>
        <w:spacing w:after="0"/>
        <w:ind w:left="454" w:firstLine="0" w:firstLineChars="0"/>
        <w:contextualSpacing/>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shd w:val="clear" w:color="auto" w:fill="FFFFFF"/>
          <w:lang w:val="en-US" w:eastAsia="zh-CN" w:bidi="ar-SA"/>
        </w:rPr>
        <w:t>国家相关法律法规、行业标准、技术规范。</w:t>
      </w:r>
    </w:p>
    <w:p w14:paraId="1EA54A0F">
      <w:pPr>
        <w:widowControl w:val="0"/>
        <w:numPr>
          <w:ilvl w:val="0"/>
          <w:numId w:val="16"/>
        </w:numPr>
        <w:snapToGrid w:val="0"/>
        <w:spacing w:after="0"/>
        <w:ind w:left="454" w:firstLine="0" w:firstLineChars="0"/>
        <w:contextualSpacing/>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甲方采购文件相关技术、服务要求、乙方响应文件相关响应内容。</w:t>
      </w:r>
    </w:p>
    <w:p w14:paraId="0F882BA9">
      <w:pPr>
        <w:widowControl w:val="0"/>
        <w:numPr>
          <w:ilvl w:val="0"/>
          <w:numId w:val="16"/>
        </w:numPr>
        <w:snapToGrid w:val="0"/>
        <w:spacing w:after="0"/>
        <w:ind w:left="454" w:firstLine="0" w:firstLineChars="0"/>
        <w:contextualSpacing/>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成交产品生产厂家出具的产品说明书、技术白皮书等技术资料（如涉及）。</w:t>
      </w:r>
    </w:p>
    <w:p w14:paraId="6711DD20">
      <w:pPr>
        <w:widowControl w:val="0"/>
        <w:numPr>
          <w:ilvl w:val="0"/>
          <w:numId w:val="16"/>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lang w:val="en-US" w:eastAsia="zh-CN" w:bidi="ar-SA"/>
        </w:rPr>
        <w:t>如验收时，采购人与供应商认为本项目验收标准中的技术指标、质量要求等内容存在相互抵触或对其理解存在异议，应按</w:t>
      </w:r>
      <w:r>
        <w:rPr>
          <w:rFonts w:ascii="Times New Roman" w:hAnsi="Times New Roman" w:eastAsia="宋体" w:cs="Times New Roman"/>
          <w:kern w:val="2"/>
          <w:sz w:val="21"/>
          <w:szCs w:val="21"/>
          <w:highlight w:val="none"/>
          <w:lang w:val="en-US" w:eastAsia="zh-CN" w:bidi="ar-SA"/>
        </w:rPr>
        <w:t>照其中更严格的要求、标准等进行验收。</w:t>
      </w:r>
    </w:p>
    <w:p w14:paraId="49AD0B00">
      <w:pPr>
        <w:widowControl w:val="0"/>
        <w:numPr>
          <w:ilvl w:val="0"/>
          <w:numId w:val="16"/>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参照《财政部关于进一步加强政府采购需求和履约验收管理的指导意见》（财库〔2016〕205号）的要求进行验收。</w:t>
      </w:r>
    </w:p>
    <w:p w14:paraId="642038B9">
      <w:pPr>
        <w:widowControl w:val="0"/>
        <w:numPr>
          <w:ilvl w:val="0"/>
          <w:numId w:val="16"/>
        </w:numPr>
        <w:snapToGrid w:val="0"/>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其它标准：无。</w:t>
      </w:r>
    </w:p>
    <w:p w14:paraId="3D0CC42C">
      <w:pPr>
        <w:widowControl w:val="0"/>
        <w:numPr>
          <w:ilvl w:val="0"/>
          <w:numId w:val="15"/>
        </w:numPr>
        <w:snapToGrid w:val="0"/>
        <w:ind w:left="525" w:hanging="525" w:hangingChars="250"/>
        <w:contextualSpacing/>
        <w:jc w:val="both"/>
        <w:rPr>
          <w:rFonts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2"/>
          <w:highlight w:val="none"/>
          <w:lang w:val="en-US" w:eastAsia="zh-CN" w:bidi="ar-SA"/>
        </w:rPr>
        <w:t>履约验收其它事项：无。</w:t>
      </w:r>
      <w:r>
        <w:rPr>
          <w:rFonts w:ascii="Times New Roman" w:hAnsi="Times New Roman" w:eastAsia="宋体" w:cs="Times New Roman"/>
          <w:i/>
          <w:iCs/>
          <w:kern w:val="2"/>
          <w:sz w:val="21"/>
          <w:szCs w:val="22"/>
          <w:highlight w:val="none"/>
          <w:lang w:val="en-US" w:eastAsia="zh-CN" w:bidi="ar-SA"/>
        </w:rPr>
        <w:t>&lt;如有请填写&gt;</w:t>
      </w:r>
    </w:p>
    <w:p w14:paraId="0C6C9BFF">
      <w:pPr>
        <w:widowControl w:val="0"/>
        <w:numPr>
          <w:ilvl w:val="0"/>
          <w:numId w:val="14"/>
        </w:numPr>
        <w:snapToGrid w:val="0"/>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乙方按照本合同向甲方交付的货物：</w:t>
      </w:r>
      <w:bookmarkStart w:id="98" w:name="OLE_LINK3"/>
      <w:r>
        <w:rPr>
          <w:rFonts w:hint="eastAsia" w:ascii="Times New Roman" w:hAnsi="Times New Roman" w:eastAsia="宋体" w:cs="Times New Roman"/>
          <w:i/>
          <w:iCs/>
          <w:color w:val="000000"/>
          <w:kern w:val="2"/>
          <w:sz w:val="21"/>
          <w:szCs w:val="21"/>
          <w:highlight w:val="none"/>
          <w:lang w:val="en-US" w:eastAsia="zh-CN" w:bidi="ar-SA"/>
        </w:rPr>
        <w:t>&lt;根据项目实际情况选择</w:t>
      </w:r>
      <w:bookmarkEnd w:id="98"/>
      <w:r>
        <w:rPr>
          <w:rFonts w:hint="eastAsia" w:ascii="Times New Roman" w:hAnsi="Times New Roman" w:eastAsia="宋体" w:cs="Times New Roman"/>
          <w:i/>
          <w:iCs/>
          <w:color w:val="000000"/>
          <w:kern w:val="2"/>
          <w:sz w:val="21"/>
          <w:szCs w:val="21"/>
          <w:highlight w:val="none"/>
          <w:lang w:val="en-US" w:eastAsia="zh-CN" w:bidi="ar-SA"/>
        </w:rPr>
        <w:t>&gt;</w:t>
      </w:r>
    </w:p>
    <w:p w14:paraId="4757B882">
      <w:pPr>
        <w:widowControl w:val="0"/>
        <w:snapToGrid w:val="0"/>
        <w:ind w:left="315" w:leftChars="150" w:firstLine="0" w:firstLineChars="0"/>
        <w:jc w:val="both"/>
        <w:rPr>
          <w:rFonts w:ascii="Times New Roman" w:hAnsi="Times New Roman" w:eastAsia="宋体" w:cs="Times New Roman"/>
          <w:kern w:val="2"/>
          <w:sz w:val="21"/>
          <w:szCs w:val="21"/>
          <w:highlight w:val="none"/>
          <w:u w:val="singl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A3"/>
      </w:r>
      <w:r>
        <w:rPr>
          <w:rFonts w:hint="eastAsia" w:ascii="Times New Roman" w:hAnsi="Times New Roman" w:eastAsia="宋体" w:cs="Times New Roman"/>
          <w:kern w:val="2"/>
          <w:sz w:val="21"/>
          <w:szCs w:val="21"/>
          <w:highlight w:val="none"/>
          <w:u w:val="single"/>
          <w:lang w:val="en-US" w:eastAsia="zh-CN" w:bidi="ar-SA"/>
        </w:rPr>
        <w:t>有试运行期</w:t>
      </w:r>
      <w:r>
        <w:rPr>
          <w:rFonts w:hint="eastAsia" w:ascii="Times New Roman" w:hAnsi="Times New Roman" w:eastAsia="宋体" w:cs="Times New Roman"/>
          <w:kern w:val="2"/>
          <w:sz w:val="21"/>
          <w:szCs w:val="21"/>
          <w:highlight w:val="none"/>
          <w:lang w:val="en-US" w:eastAsia="zh-CN" w:bidi="ar-SA"/>
        </w:rPr>
        <w:t>，试运行期为*</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试运行期间，如发现</w:t>
      </w:r>
      <w:r>
        <w:rPr>
          <w:rFonts w:hint="eastAsia" w:ascii="Times New Roman" w:hAnsi="Times New Roman" w:eastAsia="宋体" w:cs="Times New Roman"/>
          <w:kern w:val="2"/>
          <w:sz w:val="21"/>
          <w:szCs w:val="21"/>
          <w:highlight w:val="none"/>
          <w:lang w:val="en-US" w:eastAsia="zh-CN" w:bidi="ar-SA"/>
        </w:rPr>
        <w:t>货物有</w:t>
      </w:r>
      <w:r>
        <w:rPr>
          <w:rFonts w:ascii="Times New Roman" w:hAnsi="Times New Roman" w:eastAsia="宋体" w:cs="Times New Roman"/>
          <w:kern w:val="2"/>
          <w:sz w:val="21"/>
          <w:szCs w:val="21"/>
          <w:highlight w:val="none"/>
          <w:lang w:val="en-US" w:eastAsia="zh-CN" w:bidi="ar-SA"/>
        </w:rPr>
        <w:t>缺陷，或</w:t>
      </w:r>
      <w:r>
        <w:rPr>
          <w:rFonts w:hint="eastAsia" w:ascii="Times New Roman" w:hAnsi="Times New Roman" w:eastAsia="宋体" w:cs="Times New Roman"/>
          <w:kern w:val="2"/>
          <w:sz w:val="21"/>
          <w:szCs w:val="21"/>
          <w:highlight w:val="none"/>
          <w:lang w:val="en-US" w:eastAsia="zh-CN" w:bidi="ar-SA"/>
        </w:rPr>
        <w:t>性能和</w:t>
      </w:r>
      <w:r>
        <w:rPr>
          <w:rFonts w:ascii="Times New Roman" w:hAnsi="Times New Roman" w:eastAsia="宋体" w:cs="Times New Roman"/>
          <w:kern w:val="2"/>
          <w:sz w:val="21"/>
          <w:szCs w:val="21"/>
          <w:highlight w:val="none"/>
          <w:lang w:val="en-US" w:eastAsia="zh-CN" w:bidi="ar-SA"/>
        </w:rPr>
        <w:t>质量不</w:t>
      </w:r>
      <w:r>
        <w:rPr>
          <w:rFonts w:hint="eastAsia" w:ascii="Times New Roman" w:hAnsi="Times New Roman" w:eastAsia="宋体" w:cs="Times New Roman"/>
          <w:kern w:val="2"/>
          <w:sz w:val="21"/>
          <w:szCs w:val="21"/>
          <w:highlight w:val="none"/>
          <w:lang w:val="en-US" w:eastAsia="zh-CN" w:bidi="ar-SA"/>
        </w:rPr>
        <w:t>符合本项目</w:t>
      </w:r>
      <w:r>
        <w:rPr>
          <w:rFonts w:ascii="Times New Roman" w:hAnsi="Times New Roman" w:eastAsia="宋体" w:cs="Times New Roman"/>
          <w:kern w:val="2"/>
          <w:sz w:val="21"/>
          <w:szCs w:val="21"/>
          <w:highlight w:val="none"/>
          <w:lang w:val="en-US" w:eastAsia="zh-CN" w:bidi="ar-SA"/>
        </w:rPr>
        <w:t>要求</w:t>
      </w:r>
      <w:r>
        <w:rPr>
          <w:rFonts w:hint="eastAsia" w:ascii="Times New Roman" w:hAnsi="Times New Roman" w:eastAsia="宋体" w:cs="Times New Roman"/>
          <w:kern w:val="2"/>
          <w:sz w:val="21"/>
          <w:szCs w:val="21"/>
          <w:highlight w:val="none"/>
          <w:lang w:val="en-US" w:eastAsia="zh-CN" w:bidi="ar-SA"/>
        </w:rPr>
        <w:t>时</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乙方须对相关货物进行更换和相应处理，同时试运行期时限按照上述修改、更正期进行相应顺延。</w:t>
      </w:r>
    </w:p>
    <w:p w14:paraId="3B6BD7E2">
      <w:pPr>
        <w:widowControl w:val="0"/>
        <w:snapToGrid w:val="0"/>
        <w:ind w:left="315" w:leftChars="15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52"/>
      </w:r>
      <w:r>
        <w:rPr>
          <w:rFonts w:hint="eastAsia" w:ascii="Times New Roman" w:hAnsi="Times New Roman" w:eastAsia="宋体" w:cs="Times New Roman"/>
          <w:kern w:val="2"/>
          <w:sz w:val="21"/>
          <w:szCs w:val="21"/>
          <w:highlight w:val="none"/>
          <w:u w:val="single"/>
          <w:lang w:val="en-US" w:eastAsia="zh-CN" w:bidi="ar-SA"/>
        </w:rPr>
        <w:t>无试运行期</w:t>
      </w:r>
    </w:p>
    <w:p w14:paraId="47586E2D">
      <w:pPr>
        <w:widowControl w:val="0"/>
        <w:numPr>
          <w:ilvl w:val="0"/>
          <w:numId w:val="14"/>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若验收交付内容涉及试运行的，经试运行达到设计使用要求、技术质量标准并经甲方认可后视为验收通过。</w:t>
      </w:r>
    </w:p>
    <w:p w14:paraId="76517198">
      <w:pPr>
        <w:widowControl w:val="0"/>
        <w:numPr>
          <w:ilvl w:val="0"/>
          <w:numId w:val="14"/>
        </w:numPr>
        <w:snapToGrid w:val="0"/>
        <w:ind w:left="420" w:hanging="420" w:firstLineChars="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w:t>
      </w:r>
      <w:r>
        <w:rPr>
          <w:rFonts w:hint="eastAsia" w:ascii="Times New Roman" w:hAnsi="Times New Roman" w:eastAsia="宋体" w:cs="Times New Roman"/>
          <w:kern w:val="2"/>
          <w:sz w:val="21"/>
          <w:szCs w:val="21"/>
          <w:highlight w:val="none"/>
          <w:lang w:val="en-US" w:eastAsia="zh-CN" w:bidi="ar-SA"/>
        </w:rPr>
        <w:t>验收不合格</w:t>
      </w:r>
      <w:r>
        <w:rPr>
          <w:rFonts w:ascii="Times New Roman" w:hAnsi="Times New Roman" w:eastAsia="宋体" w:cs="Times New Roman"/>
          <w:kern w:val="2"/>
          <w:sz w:val="21"/>
          <w:szCs w:val="21"/>
          <w:highlight w:val="none"/>
          <w:lang w:val="en-US" w:eastAsia="zh-CN" w:bidi="ar-SA"/>
        </w:rPr>
        <w:t>，甲方应</w:t>
      </w:r>
      <w:r>
        <w:rPr>
          <w:rFonts w:hint="eastAsia" w:ascii="Times New Roman" w:hAnsi="Times New Roman" w:eastAsia="宋体" w:cs="Times New Roman"/>
          <w:kern w:val="2"/>
          <w:sz w:val="21"/>
          <w:szCs w:val="21"/>
          <w:highlight w:val="none"/>
          <w:lang w:val="en-US" w:eastAsia="zh-CN" w:bidi="ar-SA"/>
        </w:rPr>
        <w:t>进行</w:t>
      </w:r>
      <w:r>
        <w:rPr>
          <w:rFonts w:ascii="Times New Roman" w:hAnsi="Times New Roman" w:eastAsia="宋体" w:cs="Times New Roman"/>
          <w:kern w:val="2"/>
          <w:sz w:val="21"/>
          <w:szCs w:val="21"/>
          <w:highlight w:val="none"/>
          <w:lang w:val="en-US" w:eastAsia="zh-CN" w:bidi="ar-SA"/>
        </w:rPr>
        <w:t>详尽的</w:t>
      </w:r>
      <w:r>
        <w:rPr>
          <w:rFonts w:hint="eastAsia" w:ascii="Times New Roman" w:hAnsi="Times New Roman" w:eastAsia="宋体" w:cs="Times New Roman"/>
          <w:kern w:val="2"/>
          <w:sz w:val="21"/>
          <w:szCs w:val="21"/>
          <w:highlight w:val="none"/>
          <w:lang w:val="en-US" w:eastAsia="zh-CN" w:bidi="ar-SA"/>
        </w:rPr>
        <w:t>现场</w:t>
      </w:r>
      <w:r>
        <w:rPr>
          <w:rFonts w:ascii="Times New Roman" w:hAnsi="Times New Roman" w:eastAsia="宋体" w:cs="Times New Roman"/>
          <w:kern w:val="2"/>
          <w:sz w:val="21"/>
          <w:szCs w:val="21"/>
          <w:highlight w:val="none"/>
          <w:lang w:val="en-US" w:eastAsia="zh-CN" w:bidi="ar-SA"/>
        </w:rPr>
        <w:t>记录，或由甲乙双方签署备忘录，此现场记录或备忘录可用作</w:t>
      </w:r>
      <w:r>
        <w:rPr>
          <w:rFonts w:hint="eastAsia" w:ascii="Times New Roman" w:hAnsi="Times New Roman" w:eastAsia="宋体" w:cs="Times New Roman"/>
          <w:kern w:val="2"/>
          <w:sz w:val="21"/>
          <w:szCs w:val="21"/>
          <w:highlight w:val="none"/>
          <w:lang w:val="en-US" w:eastAsia="zh-CN" w:bidi="ar-SA"/>
        </w:rPr>
        <w:t>修改和更正相关问题</w:t>
      </w:r>
      <w:r>
        <w:rPr>
          <w:rFonts w:ascii="Times New Roman" w:hAnsi="Times New Roman" w:eastAsia="宋体" w:cs="Times New Roman"/>
          <w:kern w:val="2"/>
          <w:sz w:val="21"/>
          <w:szCs w:val="21"/>
          <w:highlight w:val="none"/>
          <w:lang w:val="en-US" w:eastAsia="zh-CN" w:bidi="ar-SA"/>
        </w:rPr>
        <w:t>的有效证据，由此产生的时间延误与</w:t>
      </w:r>
      <w:r>
        <w:rPr>
          <w:rFonts w:hint="eastAsia" w:ascii="Times New Roman" w:hAnsi="Times New Roman" w:eastAsia="宋体" w:cs="Times New Roman"/>
          <w:kern w:val="2"/>
          <w:sz w:val="21"/>
          <w:szCs w:val="21"/>
          <w:highlight w:val="none"/>
          <w:lang w:val="en-US" w:eastAsia="zh-CN" w:bidi="ar-SA"/>
        </w:rPr>
        <w:t>经济损失</w:t>
      </w:r>
      <w:r>
        <w:rPr>
          <w:rFonts w:ascii="Times New Roman" w:hAnsi="Times New Roman" w:eastAsia="宋体" w:cs="Times New Roman"/>
          <w:kern w:val="2"/>
          <w:sz w:val="21"/>
          <w:szCs w:val="21"/>
          <w:highlight w:val="none"/>
          <w:lang w:val="en-US" w:eastAsia="zh-CN" w:bidi="ar-SA"/>
        </w:rPr>
        <w:t>由乙方承担，验收期限相应顺延</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甲方有权拒绝签署验收报告，</w:t>
      </w:r>
      <w:r>
        <w:rPr>
          <w:rFonts w:hint="eastAsia" w:ascii="Times New Roman" w:hAnsi="Times New Roman" w:eastAsia="宋体" w:cs="Times New Roman"/>
          <w:kern w:val="2"/>
          <w:sz w:val="21"/>
          <w:szCs w:val="21"/>
          <w:highlight w:val="none"/>
          <w:lang w:val="en-US" w:eastAsia="zh-CN" w:bidi="ar-SA"/>
        </w:rPr>
        <w:t>并</w:t>
      </w:r>
      <w:r>
        <w:rPr>
          <w:rFonts w:ascii="Times New Roman" w:hAnsi="Times New Roman" w:eastAsia="宋体" w:cs="Times New Roman"/>
          <w:kern w:val="2"/>
          <w:sz w:val="21"/>
          <w:szCs w:val="21"/>
          <w:highlight w:val="none"/>
          <w:lang w:val="en-US" w:eastAsia="zh-CN" w:bidi="ar-SA"/>
        </w:rPr>
        <w:t>要求乙方无条件</w:t>
      </w:r>
      <w:r>
        <w:rPr>
          <w:rFonts w:hint="eastAsia" w:ascii="Times New Roman" w:hAnsi="Times New Roman" w:eastAsia="宋体" w:cs="Times New Roman"/>
          <w:kern w:val="2"/>
          <w:sz w:val="21"/>
          <w:szCs w:val="21"/>
          <w:highlight w:val="none"/>
          <w:lang w:val="en-US" w:eastAsia="zh-CN" w:bidi="ar-SA"/>
        </w:rPr>
        <w:t>修改和更正</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而后进行再次验收，乙方应承担因此额外产生的全部费用。如果仍不合格，甲方有权终止本合同并视作乙方不能交付而须支付合同总价</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违约金给甲方，违约金不能弥补甲方损失的，乙方应全额赔偿。</w:t>
      </w:r>
    </w:p>
    <w:p w14:paraId="46630A11">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主体资格及知识产权</w:t>
      </w:r>
    </w:p>
    <w:p w14:paraId="71E7B47E">
      <w:pPr>
        <w:widowControl w:val="0"/>
        <w:numPr>
          <w:ilvl w:val="0"/>
          <w:numId w:val="1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主体资格：</w:t>
      </w:r>
    </w:p>
    <w:p w14:paraId="251952B6">
      <w:pPr>
        <w:snapToGrid w:val="0"/>
        <w:ind w:firstLine="420" w:firstLineChars="200"/>
        <w:rPr>
          <w:rFonts w:ascii="Times New Roman" w:hAnsi="Times New Roman" w:eastAsia="宋体" w:cs="Times New Roman"/>
          <w:szCs w:val="21"/>
          <w:highlight w:val="none"/>
        </w:rPr>
      </w:pPr>
      <w:r>
        <w:rPr>
          <w:rFonts w:ascii="Times New Roman" w:hAnsi="Times New Roman" w:eastAsia="宋体" w:cs="Times New Roman"/>
          <w:szCs w:val="21"/>
          <w:highlight w:val="none"/>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355CEF80">
      <w:pPr>
        <w:widowControl w:val="0"/>
        <w:numPr>
          <w:ilvl w:val="0"/>
          <w:numId w:val="1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知识产权：</w:t>
      </w:r>
    </w:p>
    <w:p w14:paraId="239C5E85">
      <w:pPr>
        <w:widowControl w:val="0"/>
        <w:numPr>
          <w:ilvl w:val="0"/>
          <w:numId w:val="18"/>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乙方必须保证，甲方在中华人民共和国境内使用货物或者货物的某一部分时，如有第三方向甲方提出侵犯其专利权、商标权或其他知识产权的主张，由此造成的一切责任由乙方承担。</w:t>
      </w:r>
    </w:p>
    <w:p w14:paraId="47A27DE4">
      <w:pPr>
        <w:widowControl w:val="0"/>
        <w:numPr>
          <w:ilvl w:val="0"/>
          <w:numId w:val="18"/>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本合同费用包含向所有权人支付的专利权、商标权或其他知识产权的有关费用及税费。</w:t>
      </w:r>
    </w:p>
    <w:p w14:paraId="724D46EB">
      <w:pPr>
        <w:widowControl w:val="0"/>
        <w:numPr>
          <w:ilvl w:val="0"/>
          <w:numId w:val="18"/>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乙方承诺</w:t>
      </w:r>
      <w:r>
        <w:rPr>
          <w:rFonts w:hint="eastAsia" w:ascii="Times New Roman" w:hAnsi="Times New Roman" w:eastAsia="宋体" w:cs="Times New Roman"/>
          <w:kern w:val="2"/>
          <w:sz w:val="21"/>
          <w:szCs w:val="21"/>
          <w:highlight w:val="none"/>
          <w:lang w:val="en-US" w:eastAsia="zh-CN" w:bidi="ar-SA"/>
        </w:rPr>
        <w:t>向甲方提供的</w:t>
      </w:r>
      <w:r>
        <w:rPr>
          <w:rFonts w:ascii="Times New Roman" w:hAnsi="Times New Roman" w:eastAsia="宋体" w:cs="Times New Roman"/>
          <w:kern w:val="2"/>
          <w:sz w:val="21"/>
          <w:szCs w:val="21"/>
          <w:highlight w:val="none"/>
          <w:lang w:val="en-US" w:eastAsia="zh-CN" w:bidi="ar-SA"/>
        </w:rPr>
        <w:t>货物上安装的软件已获得软件厂商的正规授权。</w:t>
      </w:r>
    </w:p>
    <w:p w14:paraId="6DBD80FA">
      <w:pPr>
        <w:widowControl w:val="0"/>
        <w:numPr>
          <w:ilvl w:val="0"/>
          <w:numId w:val="18"/>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甲、乙双方共同研发的该系统软件产品，知识产权归甲、乙双方共同拥有，软件所有数据归甲方所有</w:t>
      </w:r>
    </w:p>
    <w:p w14:paraId="3A6AA977">
      <w:pPr>
        <w:widowControl w:val="0"/>
        <w:numPr>
          <w:ilvl w:val="0"/>
          <w:numId w:val="18"/>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96DA15B">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付款方式</w:t>
      </w:r>
    </w:p>
    <w:p w14:paraId="623A5B7B">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履约保证金：</w:t>
      </w:r>
    </w:p>
    <w:p w14:paraId="42459CDA">
      <w:pPr>
        <w:widowControl w:val="0"/>
        <w:snapToGrid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乙方在合同签订生效之日起的***个工作日内，按合同总价***%支付履约保证金</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货物自验收合格之日满1年，甲方接到乙方付款申请后30个工作日内，甲方一次性无息退还乙方的履约保证金</w:t>
      </w:r>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经验收</w:t>
      </w:r>
      <w:r>
        <w:rPr>
          <w:rFonts w:hint="eastAsia" w:ascii="Times New Roman" w:hAnsi="Times New Roman" w:eastAsia="宋体" w:cs="Times New Roman"/>
          <w:color w:val="000000"/>
          <w:kern w:val="2"/>
          <w:sz w:val="21"/>
          <w:szCs w:val="21"/>
          <w:highlight w:val="none"/>
          <w:lang w:val="en-US" w:eastAsia="zh-CN" w:bidi="ar-SA"/>
        </w:rPr>
        <w:t>后</w:t>
      </w:r>
      <w:r>
        <w:rPr>
          <w:rFonts w:ascii="Times New Roman" w:hAnsi="Times New Roman" w:eastAsia="宋体" w:cs="Times New Roman"/>
          <w:color w:val="000000"/>
          <w:kern w:val="2"/>
          <w:sz w:val="21"/>
          <w:szCs w:val="21"/>
          <w:highlight w:val="none"/>
          <w:lang w:val="en-US" w:eastAsia="zh-CN" w:bidi="ar-SA"/>
        </w:rPr>
        <w:t>乙方履约不合格的，履约保证金不予退还。</w:t>
      </w:r>
    </w:p>
    <w:p w14:paraId="23615E1F">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本合同不涉及履约保证金。</w:t>
      </w:r>
    </w:p>
    <w:p w14:paraId="1968C0F4">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本合同价款采用以下方式支付，以人民币结算：</w:t>
      </w:r>
    </w:p>
    <w:p w14:paraId="4D01989B">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一次性支付：</w:t>
      </w:r>
    </w:p>
    <w:p w14:paraId="33130682">
      <w:pPr>
        <w:widowControl w:val="0"/>
        <w:snapToGrid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甲方验收合格后</w:t>
      </w:r>
      <w:r>
        <w:rPr>
          <w:rFonts w:ascii="Times New Roman" w:hAnsi="Times New Roman" w:eastAsia="宋体" w:cs="Times New Roman"/>
          <w:color w:val="000000"/>
          <w:kern w:val="2"/>
          <w:sz w:val="21"/>
          <w:szCs w:val="21"/>
          <w:highlight w:val="none"/>
          <w:lang w:val="en-US" w:eastAsia="zh-CN" w:bidi="ar-SA"/>
        </w:rPr>
        <w:t>5</w:t>
      </w:r>
      <w:r>
        <w:rPr>
          <w:rFonts w:hint="eastAsia" w:ascii="Times New Roman" w:hAnsi="Times New Roman" w:eastAsia="宋体" w:cs="Times New Roman"/>
          <w:color w:val="000000"/>
          <w:kern w:val="2"/>
          <w:sz w:val="21"/>
          <w:szCs w:val="21"/>
          <w:highlight w:val="none"/>
          <w:lang w:val="en-US" w:eastAsia="zh-CN" w:bidi="ar-SA"/>
        </w:rPr>
        <w:t>日内，乙方须向甲方出具</w:t>
      </w:r>
      <w:r>
        <w:rPr>
          <w:rFonts w:ascii="Calibri" w:hAnsi="Calibri" w:eastAsia="宋体" w:cs="Times New Roman"/>
          <w:kern w:val="2"/>
          <w:sz w:val="21"/>
          <w:szCs w:val="22"/>
          <w:highlight w:val="none"/>
          <w:lang w:val="en-US" w:eastAsia="zh-CN" w:bidi="ar"/>
        </w:rPr>
        <w:t>合法有效票据及其它相关请款资料</w:t>
      </w:r>
      <w:r>
        <w:rPr>
          <w:rFonts w:hint="eastAsia" w:ascii="Times New Roman" w:hAnsi="Times New Roman" w:eastAsia="宋体" w:cs="Times New Roman"/>
          <w:color w:val="000000"/>
          <w:kern w:val="2"/>
          <w:sz w:val="21"/>
          <w:szCs w:val="21"/>
          <w:highlight w:val="none"/>
          <w:lang w:val="en-US" w:eastAsia="zh-CN" w:bidi="ar-SA"/>
        </w:rPr>
        <w:t>，甲方自收到上述发票及凭证资料后</w:t>
      </w:r>
      <w:r>
        <w:rPr>
          <w:rFonts w:ascii="Times New Roman" w:hAnsi="Times New Roman" w:eastAsia="宋体" w:cs="Times New Roman"/>
          <w:color w:val="000000"/>
          <w:kern w:val="2"/>
          <w:sz w:val="21"/>
          <w:szCs w:val="21"/>
          <w:highlight w:val="none"/>
          <w:lang w:val="en-US" w:eastAsia="zh-CN" w:bidi="ar-SA"/>
        </w:rPr>
        <w:t>55</w:t>
      </w:r>
      <w:r>
        <w:rPr>
          <w:rFonts w:hint="eastAsia" w:ascii="Times New Roman" w:hAnsi="Times New Roman" w:eastAsia="宋体" w:cs="Times New Roman"/>
          <w:color w:val="000000"/>
          <w:kern w:val="2"/>
          <w:sz w:val="21"/>
          <w:szCs w:val="21"/>
          <w:highlight w:val="none"/>
          <w:lang w:val="en-US" w:eastAsia="zh-CN" w:bidi="ar-SA"/>
        </w:rPr>
        <w:t>日内支付合同总价</w:t>
      </w:r>
      <w:r>
        <w:rPr>
          <w:rFonts w:ascii="Times New Roman" w:hAnsi="Times New Roman" w:eastAsia="宋体" w:cs="Times New Roman"/>
          <w:color w:val="000000"/>
          <w:kern w:val="2"/>
          <w:sz w:val="21"/>
          <w:szCs w:val="21"/>
          <w:highlight w:val="none"/>
          <w:lang w:val="en-US" w:eastAsia="zh-CN" w:bidi="ar-SA"/>
        </w:rPr>
        <w:t>100%</w:t>
      </w:r>
      <w:r>
        <w:rPr>
          <w:rFonts w:hint="eastAsia" w:ascii="Times New Roman" w:hAnsi="Times New Roman" w:eastAsia="宋体" w:cs="Times New Roman"/>
          <w:color w:val="000000"/>
          <w:kern w:val="2"/>
          <w:sz w:val="21"/>
          <w:szCs w:val="21"/>
          <w:highlight w:val="none"/>
          <w:lang w:val="en-US" w:eastAsia="zh-CN" w:bidi="ar-SA"/>
        </w:rPr>
        <w:t>的货款给乙方。</w:t>
      </w:r>
    </w:p>
    <w:p w14:paraId="4B765D7E">
      <w:pPr>
        <w:widowControl w:val="0"/>
        <w:snapToGrid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分阶段支付，支付期限及额度如下：</w:t>
      </w:r>
    </w:p>
    <w:p w14:paraId="62F22526">
      <w:pPr>
        <w:widowControl w:val="0"/>
        <w:snapToGrid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（1）预付款：本合同生效后</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个工作日内，甲方预付项目费用总额的*</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 xml:space="preserve">，即人民币（大写）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圆整（RMB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元）。</w:t>
      </w:r>
    </w:p>
    <w:p w14:paraId="1BB12E41">
      <w:pPr>
        <w:widowControl w:val="0"/>
        <w:snapToGrid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（2）进度款，甲方应当按照下列方式支付进度款：</w:t>
      </w:r>
    </w:p>
    <w:p w14:paraId="104EED94">
      <w:pPr>
        <w:widowControl w:val="0"/>
        <w:snapToGrid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乙方按照本合同约定完成阶段性工作后，甲方应于每一阶段性工作成果验收合格之日起</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个工作日内，向乙方支付相应的费用。</w:t>
      </w:r>
    </w:p>
    <w:p w14:paraId="05BC349C">
      <w:pPr>
        <w:widowControl w:val="0"/>
        <w:snapToGrid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乙方完成</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，甲方支付项目费用总额的</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，即 人民币（大写）</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圆整（RMB </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元）。</w:t>
      </w:r>
    </w:p>
    <w:p w14:paraId="3DF2F590">
      <w:pPr>
        <w:widowControl w:val="0"/>
        <w:snapToGrid w:val="0"/>
        <w:spacing w:after="0"/>
        <w:ind w:left="945" w:leftChars="400" w:hanging="105" w:hangingChars="50"/>
        <w:contextualSpacing/>
        <w:jc w:val="left"/>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（3）结算款：本项目竣工验收合格后</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个工作日内，甲方向乙方支付剩余价款人民币（大写）</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圆整（RMB</w:t>
      </w:r>
      <w:r>
        <w:rPr>
          <w:rFonts w:ascii="Times New Roman" w:hAnsi="Times New Roman" w:eastAsia="宋体" w:cs="Times New Roman"/>
          <w:color w:val="000000"/>
          <w:kern w:val="2"/>
          <w:sz w:val="21"/>
          <w:szCs w:val="21"/>
          <w:highlight w:val="none"/>
          <w:lang w:val="en-US" w:eastAsia="zh-CN" w:bidi="ar-SA"/>
        </w:rPr>
        <w:t xml:space="preserve"> ***</w:t>
      </w:r>
      <w:r>
        <w:rPr>
          <w:rFonts w:hint="eastAsia" w:ascii="Times New Roman" w:hAnsi="Times New Roman" w:eastAsia="宋体" w:cs="Times New Roman"/>
          <w:color w:val="000000"/>
          <w:kern w:val="2"/>
          <w:sz w:val="21"/>
          <w:szCs w:val="21"/>
          <w:highlight w:val="none"/>
          <w:lang w:val="en-US" w:eastAsia="zh-CN" w:bidi="ar-SA"/>
        </w:rPr>
        <w:t xml:space="preserve"> 元）。</w:t>
      </w:r>
    </w:p>
    <w:p w14:paraId="71C1A9D6">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甲方付款前，乙方需出具</w:t>
      </w:r>
      <w:r>
        <w:rPr>
          <w:rFonts w:ascii="Calibri" w:hAnsi="Calibri" w:eastAsia="宋体" w:cs="Times New Roman"/>
          <w:kern w:val="2"/>
          <w:sz w:val="21"/>
          <w:szCs w:val="22"/>
          <w:highlight w:val="none"/>
          <w:lang w:val="en-US" w:eastAsia="zh-CN" w:bidi="ar"/>
        </w:rPr>
        <w:t>合法有效票据及其它相关请款资料</w:t>
      </w:r>
      <w:r>
        <w:rPr>
          <w:rFonts w:hint="eastAsia" w:ascii="Times New Roman" w:hAnsi="Times New Roman" w:eastAsia="宋体" w:cs="Times New Roman"/>
          <w:kern w:val="2"/>
          <w:sz w:val="21"/>
          <w:szCs w:val="21"/>
          <w:highlight w:val="none"/>
          <w:lang w:val="en-US" w:eastAsia="zh-CN" w:bidi="ar-SA"/>
        </w:rPr>
        <w:t>，否则甲方有权拒绝支付且不承担任何违约责任，且乙方不得因此停止履约。</w:t>
      </w:r>
    </w:p>
    <w:p w14:paraId="0AA034AB">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w:t>
      </w:r>
      <w:r>
        <w:rPr>
          <w:rFonts w:hint="eastAsia" w:ascii="Times New Roman" w:hAnsi="Times New Roman" w:eastAsia="宋体" w:cs="Times New Roman"/>
          <w:kern w:val="2"/>
          <w:sz w:val="21"/>
          <w:szCs w:val="21"/>
          <w:highlight w:val="none"/>
          <w:lang w:val="en-US" w:eastAsia="zh-CN" w:bidi="ar-SA"/>
        </w:rPr>
        <w:t>中的货物</w:t>
      </w:r>
      <w:r>
        <w:rPr>
          <w:rFonts w:ascii="Times New Roman" w:hAnsi="Times New Roman" w:eastAsia="宋体" w:cs="Times New Roman"/>
          <w:kern w:val="2"/>
          <w:sz w:val="21"/>
          <w:szCs w:val="21"/>
          <w:highlight w:val="none"/>
          <w:lang w:val="en-US" w:eastAsia="zh-CN" w:bidi="ar-SA"/>
        </w:rPr>
        <w:t>名称与</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中</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名称</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一致。</w:t>
      </w:r>
    </w:p>
    <w:p w14:paraId="441746E1">
      <w:pPr>
        <w:widowControl w:val="0"/>
        <w:numPr>
          <w:ilvl w:val="0"/>
          <w:numId w:val="19"/>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如有变更，乙方应当在变更后3日内通知甲方</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否则，由此造成的损失由乙方自行承担。</w:t>
      </w:r>
    </w:p>
    <w:p w14:paraId="3A9E1915">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售后服务</w:t>
      </w:r>
    </w:p>
    <w:p w14:paraId="48B63E6A">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乙方应对甲方工作人员进行培训：***</w:t>
      </w:r>
      <w:r>
        <w:rPr>
          <w:rFonts w:hint="eastAsia" w:ascii="Times New Roman" w:hAnsi="Times New Roman" w:eastAsia="宋体" w:cs="Times New Roman"/>
          <w:i/>
          <w:iCs/>
          <w:kern w:val="2"/>
          <w:sz w:val="21"/>
          <w:szCs w:val="21"/>
          <w:highlight w:val="none"/>
          <w:lang w:val="en-US" w:eastAsia="zh-CN" w:bidi="ar-SA"/>
        </w:rPr>
        <w:t>&lt;具体培训内容</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&gt;</w:t>
      </w:r>
      <w:r>
        <w:rPr>
          <w:rFonts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1"/>
          <w:highlight w:val="none"/>
          <w:lang w:val="en-US" w:eastAsia="zh-CN" w:bidi="ar-SA"/>
        </w:rPr>
        <w:t>货物</w:t>
      </w:r>
      <w:r>
        <w:rPr>
          <w:rFonts w:hint="eastAsia" w:ascii="Times New Roman" w:hAnsi="Times New Roman" w:eastAsia="宋体" w:cs="Times New Roman"/>
          <w:kern w:val="2"/>
          <w:sz w:val="21"/>
          <w:szCs w:val="21"/>
          <w:highlight w:val="none"/>
          <w:lang w:val="en-US" w:eastAsia="zh-CN" w:bidi="ar-SA"/>
        </w:rPr>
        <w:t>如需</w:t>
      </w:r>
      <w:r>
        <w:rPr>
          <w:rFonts w:ascii="Times New Roman" w:hAnsi="Times New Roman" w:eastAsia="宋体" w:cs="Times New Roman"/>
          <w:kern w:val="2"/>
          <w:sz w:val="21"/>
          <w:szCs w:val="21"/>
          <w:highlight w:val="none"/>
          <w:lang w:val="en-US" w:eastAsia="zh-CN" w:bidi="ar-SA"/>
        </w:rPr>
        <w:t>安装调试</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乙方应在安装调试前和安装调试中对甲方有关人员进行技术培训（操作、机械、电器维修等），提供成套培训资料。并保证甲方受训技术人员熟练掌握操作</w:t>
      </w:r>
      <w:r>
        <w:rPr>
          <w:rFonts w:hint="eastAsia" w:ascii="Times New Roman" w:hAnsi="Times New Roman" w:eastAsia="宋体" w:cs="Times New Roman"/>
          <w:kern w:val="2"/>
          <w:sz w:val="21"/>
          <w:szCs w:val="21"/>
          <w:highlight w:val="none"/>
          <w:lang w:val="en-US" w:eastAsia="zh-CN" w:bidi="ar-SA"/>
        </w:rPr>
        <w:t>方法</w:t>
      </w:r>
      <w:r>
        <w:rPr>
          <w:rFonts w:ascii="Times New Roman" w:hAnsi="Times New Roman" w:eastAsia="宋体" w:cs="Times New Roman"/>
          <w:kern w:val="2"/>
          <w:sz w:val="21"/>
          <w:szCs w:val="21"/>
          <w:highlight w:val="none"/>
          <w:lang w:val="en-US" w:eastAsia="zh-CN" w:bidi="ar-SA"/>
        </w:rPr>
        <w:t>，保证正常运行并能排除一般</w:t>
      </w:r>
      <w:r>
        <w:rPr>
          <w:rFonts w:hint="eastAsia" w:ascii="Times New Roman" w:hAnsi="Times New Roman" w:eastAsia="宋体" w:cs="Times New Roman"/>
          <w:kern w:val="2"/>
          <w:sz w:val="21"/>
          <w:szCs w:val="21"/>
          <w:highlight w:val="none"/>
          <w:lang w:val="en-US" w:eastAsia="zh-CN" w:bidi="ar-SA"/>
        </w:rPr>
        <w:t>性</w:t>
      </w:r>
      <w:r>
        <w:rPr>
          <w:rFonts w:ascii="Times New Roman" w:hAnsi="Times New Roman" w:eastAsia="宋体" w:cs="Times New Roman"/>
          <w:kern w:val="2"/>
          <w:sz w:val="21"/>
          <w:szCs w:val="21"/>
          <w:highlight w:val="none"/>
          <w:lang w:val="en-US" w:eastAsia="zh-CN" w:bidi="ar-SA"/>
        </w:rPr>
        <w:t>故障。乙方应对</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维修工程师进行全系统维修培训。</w:t>
      </w:r>
    </w:p>
    <w:p w14:paraId="3EBDBF4B">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质保期为验收合格后 *** 年（合同签订后甲方出具验收报告之日起）</w:t>
      </w:r>
    </w:p>
    <w:p w14:paraId="6BD7167A">
      <w:pPr>
        <w:widowControl w:val="0"/>
        <w:numPr>
          <w:ilvl w:val="0"/>
          <w:numId w:val="20"/>
        </w:numPr>
        <w:snapToGrid w:val="0"/>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质保范围：</w:t>
      </w:r>
      <w:r>
        <w:rPr>
          <w:rFonts w:ascii="Times New Roman" w:hAnsi="Times New Roman" w:eastAsia="宋体" w:cs="Times New Roman"/>
          <w:kern w:val="2"/>
          <w:sz w:val="21"/>
          <w:szCs w:val="22"/>
          <w:highlight w:val="none"/>
          <w:lang w:val="en-US" w:eastAsia="zh-CN" w:bidi="ar-SA"/>
        </w:rPr>
        <w:t>整机含所有部件（质保期内涉及维修,产品更换,人工费用等一切费用包含在本合同总价中</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1"/>
          <w:highlight w:val="none"/>
          <w:lang w:val="en-US" w:eastAsia="zh-CN" w:bidi="ar-SA"/>
        </w:rPr>
        <w:t>质保期内出现质量问题，乙方在接到甲方通知后***小时内响应，***小时内到场维修。不涉及零件更换的，***小时内完成维修；涉及零件更换的，***小时内完成维修或者更换，并承担修理及更换的费用。如</w:t>
      </w:r>
      <w:r>
        <w:rPr>
          <w:rFonts w:hint="eastAsia" w:ascii="Calibri" w:hAnsi="Calibri" w:eastAsia="Songti SC" w:cs="Times New Roman"/>
          <w:kern w:val="2"/>
          <w:sz w:val="21"/>
          <w:szCs w:val="22"/>
          <w:highlight w:val="none"/>
          <w:lang w:val="en-US" w:eastAsia="zh-CN" w:bidi="ar-SA"/>
        </w:rPr>
        <w:t>货物</w:t>
      </w:r>
      <w:r>
        <w:rPr>
          <w:rFonts w:ascii="Calibri" w:hAnsi="Calibri" w:eastAsia="Songti SC" w:cs="Times New Roman"/>
          <w:kern w:val="2"/>
          <w:sz w:val="21"/>
          <w:szCs w:val="22"/>
          <w:highlight w:val="none"/>
          <w:lang w:val="en-US" w:eastAsia="zh-CN" w:bidi="ar-SA"/>
        </w:rPr>
        <w:t>在质保期内因同一故障</w:t>
      </w:r>
      <w:r>
        <w:rPr>
          <w:rFonts w:ascii="Times New Roman" w:hAnsi="Times New Roman" w:eastAsia="宋体" w:cs="Times New Roman"/>
          <w:kern w:val="2"/>
          <w:sz w:val="21"/>
          <w:szCs w:val="21"/>
          <w:highlight w:val="none"/>
          <w:lang w:val="en-US" w:eastAsia="zh-CN" w:bidi="ar-SA"/>
        </w:rPr>
        <w:t>经乙方两次维修仍不能达到本合同约定的</w:t>
      </w:r>
      <w:r>
        <w:rPr>
          <w:rFonts w:hint="eastAsia" w:ascii="Times New Roman" w:hAnsi="Times New Roman" w:eastAsia="宋体" w:cs="Times New Roman"/>
          <w:kern w:val="2"/>
          <w:sz w:val="21"/>
          <w:szCs w:val="22"/>
          <w:highlight w:val="none"/>
          <w:lang w:val="en-US" w:eastAsia="zh-CN" w:bidi="ar-SA"/>
        </w:rPr>
        <w:t>技术要求及国家法律法规规定的</w:t>
      </w:r>
      <w:r>
        <w:rPr>
          <w:rFonts w:ascii="Times New Roman" w:hAnsi="Times New Roman" w:eastAsia="宋体" w:cs="Times New Roman"/>
          <w:kern w:val="2"/>
          <w:sz w:val="21"/>
          <w:szCs w:val="21"/>
          <w:highlight w:val="none"/>
          <w:lang w:val="en-US" w:eastAsia="zh-CN" w:bidi="ar-SA"/>
        </w:rPr>
        <w:t>质量标准，甲方有权采取要求乙方更换全新货物</w:t>
      </w:r>
      <w:r>
        <w:rPr>
          <w:rFonts w:hint="eastAsia" w:ascii="Times New Roman" w:hAnsi="Times New Roman" w:eastAsia="宋体" w:cs="Times New Roman"/>
          <w:kern w:val="2"/>
          <w:sz w:val="21"/>
          <w:szCs w:val="21"/>
          <w:highlight w:val="none"/>
          <w:lang w:val="en-US" w:eastAsia="zh-CN" w:bidi="ar-SA"/>
        </w:rPr>
        <w:t>或</w:t>
      </w:r>
      <w:r>
        <w:rPr>
          <w:rFonts w:ascii="Times New Roman" w:hAnsi="Times New Roman" w:eastAsia="宋体" w:cs="Times New Roman"/>
          <w:kern w:val="2"/>
          <w:sz w:val="21"/>
          <w:szCs w:val="21"/>
          <w:highlight w:val="none"/>
          <w:lang w:val="en-US" w:eastAsia="zh-CN" w:bidi="ar-SA"/>
        </w:rPr>
        <w:t>退货并追究乙方违约责任等措施。质保期内，如需更换零配件，乙方应保证所更换的零配件与原货物相同规格和品质，费用包括在合同总价中。</w:t>
      </w:r>
    </w:p>
    <w:p w14:paraId="20637A21">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乙方须指派专人负责与甲方联系售后服务事宜</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联系人：***</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联系电话：</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7D5FA6E2">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Calibri" w:hAnsi="Calibri" w:eastAsia="Songti SC" w:cs="Times New Roman"/>
          <w:kern w:val="2"/>
          <w:sz w:val="21"/>
          <w:szCs w:val="22"/>
          <w:highlight w:val="none"/>
          <w:lang w:val="en-US" w:eastAsia="zh-CN" w:bidi="ar-SA"/>
        </w:rPr>
        <w:t>质保期内，</w:t>
      </w:r>
      <w:r>
        <w:rPr>
          <w:rFonts w:hint="eastAsia" w:ascii="Calibri" w:hAnsi="Calibri" w:eastAsia="Songti SC" w:cs="Times New Roman"/>
          <w:kern w:val="2"/>
          <w:sz w:val="21"/>
          <w:szCs w:val="22"/>
          <w:highlight w:val="none"/>
          <w:lang w:val="en-US" w:eastAsia="zh-CN" w:bidi="ar-SA"/>
        </w:rPr>
        <w:t>货物因自身故障导致的</w:t>
      </w:r>
      <w:r>
        <w:rPr>
          <w:rFonts w:ascii="Calibri" w:hAnsi="Calibri" w:eastAsia="Songti SC" w:cs="Times New Roman"/>
          <w:kern w:val="2"/>
          <w:sz w:val="21"/>
          <w:szCs w:val="22"/>
          <w:highlight w:val="none"/>
          <w:lang w:val="en-US" w:eastAsia="zh-CN" w:bidi="ar-SA"/>
        </w:rPr>
        <w:t>停机率不应超过5%（一年按365天计算），否则</w:t>
      </w:r>
      <w:r>
        <w:rPr>
          <w:rFonts w:hint="eastAsia" w:ascii="Calibri" w:hAnsi="Calibri" w:eastAsia="Songti SC" w:cs="Times New Roman"/>
          <w:kern w:val="2"/>
          <w:sz w:val="21"/>
          <w:szCs w:val="22"/>
          <w:highlight w:val="none"/>
          <w:lang w:val="en-US" w:eastAsia="zh-CN" w:bidi="ar-SA"/>
        </w:rPr>
        <w:t>乙方</w:t>
      </w:r>
      <w:r>
        <w:rPr>
          <w:rFonts w:ascii="Calibri" w:hAnsi="Calibri" w:eastAsia="Songti SC" w:cs="Times New Roman"/>
          <w:kern w:val="2"/>
          <w:sz w:val="21"/>
          <w:szCs w:val="22"/>
          <w:highlight w:val="none"/>
          <w:lang w:val="en-US" w:eastAsia="zh-CN" w:bidi="ar-SA"/>
        </w:rPr>
        <w:t>应就超出部分（</w:t>
      </w:r>
      <w:r>
        <w:rPr>
          <w:rFonts w:hint="eastAsia" w:ascii="Calibri" w:hAnsi="Calibri" w:eastAsia="Songti SC" w:cs="Times New Roman"/>
          <w:kern w:val="2"/>
          <w:sz w:val="21"/>
          <w:szCs w:val="22"/>
          <w:highlight w:val="none"/>
          <w:lang w:val="en-US" w:eastAsia="zh-CN" w:bidi="ar-SA"/>
        </w:rPr>
        <w:t>乙方</w:t>
      </w:r>
      <w:r>
        <w:rPr>
          <w:rFonts w:ascii="Calibri" w:hAnsi="Calibri" w:eastAsia="Songti SC" w:cs="Times New Roman"/>
          <w:kern w:val="2"/>
          <w:sz w:val="21"/>
          <w:szCs w:val="22"/>
          <w:highlight w:val="none"/>
          <w:lang w:val="en-US" w:eastAsia="zh-CN" w:bidi="ar-SA"/>
        </w:rPr>
        <w:t>已提供备用机并保障</w:t>
      </w:r>
      <w:r>
        <w:rPr>
          <w:rFonts w:hint="eastAsia" w:ascii="Calibri" w:hAnsi="Calibri" w:eastAsia="Songti SC" w:cs="Times New Roman"/>
          <w:kern w:val="2"/>
          <w:sz w:val="21"/>
          <w:szCs w:val="22"/>
          <w:highlight w:val="none"/>
          <w:lang w:val="en-US" w:eastAsia="zh-CN" w:bidi="ar-SA"/>
        </w:rPr>
        <w:t>甲方</w:t>
      </w:r>
      <w:r>
        <w:rPr>
          <w:rFonts w:ascii="Calibri" w:hAnsi="Calibri" w:eastAsia="Songti SC" w:cs="Times New Roman"/>
          <w:kern w:val="2"/>
          <w:sz w:val="21"/>
          <w:szCs w:val="22"/>
          <w:highlight w:val="none"/>
          <w:lang w:val="en-US" w:eastAsia="zh-CN" w:bidi="ar-SA"/>
        </w:rPr>
        <w:t>正常使用的时间，不计算为停机时间）按天数向</w:t>
      </w:r>
      <w:r>
        <w:rPr>
          <w:rFonts w:hint="eastAsia" w:ascii="Calibri" w:hAnsi="Calibri" w:eastAsia="Songti SC" w:cs="Times New Roman"/>
          <w:kern w:val="2"/>
          <w:sz w:val="21"/>
          <w:szCs w:val="22"/>
          <w:highlight w:val="none"/>
          <w:lang w:val="en-US" w:eastAsia="zh-CN" w:bidi="ar-SA"/>
        </w:rPr>
        <w:t>甲方</w:t>
      </w:r>
      <w:r>
        <w:rPr>
          <w:rFonts w:ascii="Calibri" w:hAnsi="Calibri" w:eastAsia="Songti SC" w:cs="Times New Roman"/>
          <w:kern w:val="2"/>
          <w:sz w:val="21"/>
          <w:szCs w:val="22"/>
          <w:highlight w:val="none"/>
          <w:lang w:val="en-US" w:eastAsia="zh-CN" w:bidi="ar-SA"/>
        </w:rPr>
        <w:t>赔偿经济损失</w:t>
      </w:r>
      <w:r>
        <w:rPr>
          <w:rFonts w:ascii="Times New Roman" w:hAnsi="Times New Roman" w:eastAsia="宋体" w:cs="Times New Roman"/>
          <w:kern w:val="2"/>
          <w:sz w:val="21"/>
          <w:szCs w:val="21"/>
          <w:highlight w:val="none"/>
          <w:lang w:val="en-US" w:eastAsia="zh-CN" w:bidi="ar-SA"/>
        </w:rPr>
        <w:t>。</w:t>
      </w:r>
    </w:p>
    <w:p w14:paraId="4E6340AB">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若货物涉及计算机软件系统的，乙方有义务为甲方此后对货物完全的使用（含维护）提供便利及支持，包括但不限于源代码、密码的提供，乙方不得拒绝或收取额外费用。</w:t>
      </w:r>
    </w:p>
    <w:p w14:paraId="791A7D56">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2"/>
          <w:highlight w:val="none"/>
          <w:lang w:val="en-US" w:eastAsia="zh-CN" w:bidi="ar-SA"/>
        </w:rPr>
        <w:t>质保期内，如</w:t>
      </w:r>
      <w:r>
        <w:rPr>
          <w:rFonts w:hint="eastAsia" w:ascii="Times New Roman" w:hAnsi="Times New Roman" w:eastAsia="宋体" w:cs="Times New Roman"/>
          <w:kern w:val="2"/>
          <w:sz w:val="21"/>
          <w:szCs w:val="22"/>
          <w:highlight w:val="none"/>
          <w:lang w:val="en-US" w:eastAsia="zh-CN" w:bidi="ar-SA"/>
        </w:rPr>
        <w:t>货物</w:t>
      </w:r>
      <w:r>
        <w:rPr>
          <w:rFonts w:ascii="Times New Roman" w:hAnsi="Times New Roman" w:eastAsia="宋体" w:cs="Times New Roman"/>
          <w:kern w:val="2"/>
          <w:sz w:val="21"/>
          <w:szCs w:val="22"/>
          <w:highlight w:val="none"/>
          <w:lang w:val="en-US" w:eastAsia="zh-CN" w:bidi="ar-SA"/>
        </w:rPr>
        <w:t>因维修无法使用，</w:t>
      </w:r>
      <w:r>
        <w:rPr>
          <w:rFonts w:hint="eastAsia" w:ascii="Times New Roman" w:hAnsi="Times New Roman" w:eastAsia="宋体" w:cs="Times New Roman"/>
          <w:kern w:val="2"/>
          <w:sz w:val="21"/>
          <w:szCs w:val="22"/>
          <w:highlight w:val="none"/>
          <w:lang w:val="en-US" w:eastAsia="zh-CN" w:bidi="ar-SA"/>
        </w:rPr>
        <w:t>乙方</w:t>
      </w:r>
      <w:r>
        <w:rPr>
          <w:rFonts w:ascii="Times New Roman" w:hAnsi="Times New Roman" w:eastAsia="宋体" w:cs="Times New Roman"/>
          <w:kern w:val="2"/>
          <w:sz w:val="21"/>
          <w:szCs w:val="22"/>
          <w:highlight w:val="none"/>
          <w:lang w:val="en-US" w:eastAsia="zh-CN" w:bidi="ar-SA"/>
        </w:rPr>
        <w:t>应根据</w:t>
      </w:r>
      <w:r>
        <w:rPr>
          <w:rFonts w:hint="eastAsia" w:ascii="Times New Roman" w:hAnsi="Times New Roman" w:eastAsia="宋体" w:cs="Times New Roman"/>
          <w:kern w:val="2"/>
          <w:sz w:val="21"/>
          <w:szCs w:val="22"/>
          <w:highlight w:val="none"/>
          <w:lang w:val="en-US" w:eastAsia="zh-CN" w:bidi="ar-SA"/>
        </w:rPr>
        <w:t>甲方</w:t>
      </w:r>
      <w:r>
        <w:rPr>
          <w:rFonts w:ascii="Times New Roman" w:hAnsi="Times New Roman" w:eastAsia="宋体" w:cs="Times New Roman"/>
          <w:kern w:val="2"/>
          <w:sz w:val="21"/>
          <w:szCs w:val="22"/>
          <w:highlight w:val="none"/>
          <w:lang w:val="en-US" w:eastAsia="zh-CN" w:bidi="ar-SA"/>
        </w:rPr>
        <w:t>需要向</w:t>
      </w:r>
      <w:r>
        <w:rPr>
          <w:rFonts w:hint="eastAsia" w:ascii="Times New Roman" w:hAnsi="Times New Roman" w:eastAsia="宋体" w:cs="Times New Roman"/>
          <w:kern w:val="2"/>
          <w:sz w:val="21"/>
          <w:szCs w:val="22"/>
          <w:highlight w:val="none"/>
          <w:lang w:val="en-US" w:eastAsia="zh-CN" w:bidi="ar-SA"/>
        </w:rPr>
        <w:t>甲方</w:t>
      </w:r>
      <w:r>
        <w:rPr>
          <w:rFonts w:ascii="Times New Roman" w:hAnsi="Times New Roman" w:eastAsia="宋体" w:cs="Times New Roman"/>
          <w:kern w:val="2"/>
          <w:sz w:val="21"/>
          <w:szCs w:val="22"/>
          <w:highlight w:val="none"/>
          <w:lang w:val="en-US" w:eastAsia="zh-CN" w:bidi="ar-SA"/>
        </w:rPr>
        <w:t>提供</w:t>
      </w:r>
      <w:r>
        <w:rPr>
          <w:rFonts w:ascii="Times New Roman" w:hAnsi="Times New Roman" w:eastAsia="宋体" w:cs="Times New Roman"/>
          <w:kern w:val="2"/>
          <w:sz w:val="21"/>
          <w:szCs w:val="21"/>
          <w:highlight w:val="none"/>
          <w:lang w:val="en-US" w:eastAsia="zh-CN" w:bidi="ar-SA"/>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528B9516">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售后服务涉及费用均包含在合同总价中。</w:t>
      </w:r>
    </w:p>
    <w:p w14:paraId="3119895F">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质保期外，若出现停机或不能使用等故障，乙方</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按维修响应要求</w:t>
      </w:r>
      <w:r>
        <w:rPr>
          <w:rFonts w:hint="eastAsia" w:ascii="Times New Roman" w:hAnsi="Times New Roman" w:eastAsia="宋体" w:cs="Times New Roman"/>
          <w:kern w:val="2"/>
          <w:sz w:val="21"/>
          <w:szCs w:val="21"/>
          <w:highlight w:val="none"/>
          <w:lang w:val="en-US" w:eastAsia="zh-CN" w:bidi="ar-SA"/>
        </w:rPr>
        <w:t>提供相应的技术支持提供，</w:t>
      </w:r>
      <w:r>
        <w:rPr>
          <w:rFonts w:ascii="Times New Roman" w:hAnsi="Times New Roman" w:eastAsia="宋体" w:cs="Times New Roman"/>
          <w:kern w:val="2"/>
          <w:sz w:val="21"/>
          <w:szCs w:val="21"/>
          <w:highlight w:val="none"/>
          <w:lang w:val="en-US" w:eastAsia="zh-CN" w:bidi="ar-SA"/>
        </w:rPr>
        <w:t>如乙方未能按上述约定及时履行维修义务，甲方有权按实际经济损失要求赔偿并追究相应的法律责任。</w:t>
      </w:r>
    </w:p>
    <w:p w14:paraId="5E17C4A8">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ab/>
      </w:r>
      <w:r>
        <w:rPr>
          <w:rFonts w:ascii="Times New Roman" w:hAnsi="Times New Roman" w:eastAsia="宋体" w:cs="Times New Roman"/>
          <w:kern w:val="2"/>
          <w:sz w:val="21"/>
          <w:szCs w:val="21"/>
          <w:highlight w:val="none"/>
          <w:lang w:val="en-US" w:eastAsia="zh-CN" w:bidi="ar-SA"/>
        </w:rPr>
        <w:t>因乙方原因不能够达到上述货物质保及售后服务的约定，按甲方实际</w:t>
      </w:r>
      <w:r>
        <w:rPr>
          <w:rFonts w:hint="eastAsia" w:ascii="Times New Roman" w:hAnsi="Times New Roman" w:eastAsia="宋体" w:cs="Times New Roman"/>
          <w:kern w:val="2"/>
          <w:sz w:val="21"/>
          <w:szCs w:val="21"/>
          <w:highlight w:val="none"/>
          <w:lang w:val="en-US" w:eastAsia="zh-CN" w:bidi="ar-SA"/>
        </w:rPr>
        <w:t>无法使用货物的</w:t>
      </w:r>
      <w:r>
        <w:rPr>
          <w:rFonts w:ascii="Times New Roman" w:hAnsi="Times New Roman" w:eastAsia="宋体" w:cs="Times New Roman"/>
          <w:kern w:val="2"/>
          <w:sz w:val="21"/>
          <w:szCs w:val="21"/>
          <w:highlight w:val="none"/>
          <w:lang w:val="en-US" w:eastAsia="zh-CN" w:bidi="ar-SA"/>
        </w:rPr>
        <w:t>天数自动延长其质保期,甲方有权延后</w:t>
      </w:r>
      <w:r>
        <w:rPr>
          <w:rFonts w:hint="eastAsia" w:ascii="Times New Roman" w:hAnsi="Times New Roman" w:eastAsia="宋体" w:cs="Times New Roman"/>
          <w:kern w:val="2"/>
          <w:sz w:val="21"/>
          <w:szCs w:val="21"/>
          <w:highlight w:val="none"/>
          <w:lang w:val="en-US" w:eastAsia="zh-CN" w:bidi="ar-SA"/>
        </w:rPr>
        <w:t>履约保证金</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退还</w:t>
      </w:r>
      <w:r>
        <w:rPr>
          <w:rFonts w:ascii="Times New Roman" w:hAnsi="Times New Roman" w:eastAsia="宋体" w:cs="Times New Roman"/>
          <w:kern w:val="2"/>
          <w:sz w:val="21"/>
          <w:szCs w:val="21"/>
          <w:highlight w:val="none"/>
          <w:lang w:val="en-US" w:eastAsia="zh-CN" w:bidi="ar-SA"/>
        </w:rPr>
        <w:t>时间，并追究乙方因此引发的相应的法律责任。</w:t>
      </w:r>
    </w:p>
    <w:p w14:paraId="09D11822">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双方的权利和义务</w:t>
      </w:r>
    </w:p>
    <w:p w14:paraId="7CD3858D">
      <w:pPr>
        <w:widowControl w:val="0"/>
        <w:numPr>
          <w:ilvl w:val="0"/>
          <w:numId w:val="21"/>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甲方的权利和义务：</w:t>
      </w:r>
    </w:p>
    <w:p w14:paraId="563F516E">
      <w:pPr>
        <w:widowControl w:val="0"/>
        <w:numPr>
          <w:ilvl w:val="0"/>
          <w:numId w:val="22"/>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甲方有权获得乙方所提供的货物及相关服务。</w:t>
      </w:r>
    </w:p>
    <w:p w14:paraId="7148E8FA">
      <w:pPr>
        <w:widowControl w:val="0"/>
        <w:numPr>
          <w:ilvl w:val="0"/>
          <w:numId w:val="22"/>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甲方有权及时了解和监督乙方备货的进展情况。</w:t>
      </w:r>
    </w:p>
    <w:p w14:paraId="44C91165">
      <w:pPr>
        <w:widowControl w:val="0"/>
        <w:numPr>
          <w:ilvl w:val="0"/>
          <w:numId w:val="22"/>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甲方应向乙方提供完成货物安装、调试等所必需的资料和工作条件。</w:t>
      </w:r>
    </w:p>
    <w:p w14:paraId="6C4DE30B">
      <w:pPr>
        <w:widowControl w:val="0"/>
        <w:numPr>
          <w:ilvl w:val="0"/>
          <w:numId w:val="22"/>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甲方应按照合同约定向乙方支付合同价款。</w:t>
      </w:r>
    </w:p>
    <w:p w14:paraId="04DDC37E">
      <w:pPr>
        <w:widowControl w:val="0"/>
        <w:numPr>
          <w:ilvl w:val="0"/>
          <w:numId w:val="21"/>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乙方的权利和义务：</w:t>
      </w:r>
    </w:p>
    <w:p w14:paraId="59F73651">
      <w:pPr>
        <w:widowControl w:val="0"/>
        <w:numPr>
          <w:ilvl w:val="0"/>
          <w:numId w:val="23"/>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乙方有权按照本合同约定收取合同价款。</w:t>
      </w:r>
    </w:p>
    <w:p w14:paraId="5A236690">
      <w:pPr>
        <w:widowControl w:val="0"/>
        <w:numPr>
          <w:ilvl w:val="0"/>
          <w:numId w:val="23"/>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乙方有权要求甲方提供货物安装、调试所必需的资料和工作条件。</w:t>
      </w:r>
    </w:p>
    <w:p w14:paraId="7A0EDFFE">
      <w:pPr>
        <w:widowControl w:val="0"/>
        <w:numPr>
          <w:ilvl w:val="0"/>
          <w:numId w:val="23"/>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乙方应派遣身体健康、有相关工作经验和相应技能的技术人员到甲方现场并提供安装、调试、测试、试运行、维护及培训等技术服务，该技术服务费用包括在本合同总价内。</w:t>
      </w:r>
    </w:p>
    <w:p w14:paraId="478570D2">
      <w:pPr>
        <w:widowControl w:val="0"/>
        <w:numPr>
          <w:ilvl w:val="0"/>
          <w:numId w:val="23"/>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37266A86">
      <w:pPr>
        <w:widowControl w:val="0"/>
        <w:numPr>
          <w:ilvl w:val="0"/>
          <w:numId w:val="23"/>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662FB4D2">
      <w:pPr>
        <w:widowControl w:val="0"/>
        <w:numPr>
          <w:ilvl w:val="0"/>
          <w:numId w:val="23"/>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乙方保证其所交付的货物不存在任何权利瑕疵，如任何第三方就乙方交付的货物向甲方提起侵权索赔，乙方应负责与第三方交涉，并承担由此引起的一切法律责任，相关费用由乙方承担。</w:t>
      </w:r>
    </w:p>
    <w:p w14:paraId="6A2C50C0">
      <w:pPr>
        <w:widowControl w:val="0"/>
        <w:numPr>
          <w:ilvl w:val="0"/>
          <w:numId w:val="23"/>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41E7FC78">
      <w:pPr>
        <w:widowControl w:val="0"/>
        <w:numPr>
          <w:ilvl w:val="0"/>
          <w:numId w:val="23"/>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乙方对依照本合同向甲方提供的货物在安装、调试、使用、维修、保养等过程中所获得的所有数据及甲方商业秘密或其它技术及经营信息均负有保密义务，不得向任何第三方透露或泄露。</w:t>
      </w:r>
    </w:p>
    <w:p w14:paraId="00D29672">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违约责任</w:t>
      </w:r>
      <w:r>
        <w:rPr>
          <w:rFonts w:hint="eastAsia" w:ascii="Times New Roman" w:hAnsi="Times New Roman" w:eastAsia="宋体" w:cs="Times New Roman"/>
          <w:i/>
          <w:iCs/>
          <w:kern w:val="2"/>
          <w:sz w:val="21"/>
          <w:szCs w:val="21"/>
          <w:highlight w:val="none"/>
          <w:lang w:val="en-US" w:eastAsia="zh-CN" w:bidi="ar-SA"/>
        </w:rPr>
        <w:t>&lt;本条款中违约金比例可根据项目实际情况确定&gt;</w:t>
      </w:r>
    </w:p>
    <w:p w14:paraId="22C3E83F">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1.甲方违约责任：甲方无正当理由拒收货物的，甲方应偿付合同总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1</w:t>
      </w:r>
      <w:r>
        <w:rPr>
          <w:rFonts w:ascii="Times New Roman" w:hAnsi="Times New Roman" w:eastAsia="宋体" w:cs="Times New Roman"/>
          <w:kern w:val="2"/>
          <w:sz w:val="21"/>
          <w:szCs w:val="21"/>
          <w:highlight w:val="none"/>
          <w:u w:val="single"/>
          <w:lang w:val="en-US" w:eastAsia="zh-CN" w:bidi="ar-SA"/>
        </w:rPr>
        <w:t>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2E8669A4">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2.乙方违约责任：</w:t>
      </w:r>
    </w:p>
    <w:p w14:paraId="2D2627FC">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乙方拒绝交付货物，或交付的货物经两次验收仍不符合本合同约定的验收标准，甲方有权解除合同，乙方须向甲方支付合同总金额的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%作为违约金，并承担其它相应的经济损失，</w:t>
      </w:r>
    </w:p>
    <w:p w14:paraId="7302747F">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质保期内出现质量问题，</w:t>
      </w:r>
      <w:r>
        <w:rPr>
          <w:rFonts w:ascii="Times New Roman" w:hAnsi="Times New Roman" w:eastAsia="宋体" w:cs="Times New Roman"/>
          <w:kern w:val="2"/>
          <w:sz w:val="21"/>
          <w:szCs w:val="22"/>
          <w:highlight w:val="none"/>
          <w:lang w:val="en-US" w:eastAsia="zh-CN" w:bidi="ar-SA"/>
        </w:rPr>
        <w:t>因同一故障经乙方两次维修</w:t>
      </w:r>
      <w:r>
        <w:rPr>
          <w:rFonts w:ascii="Times New Roman" w:hAnsi="Times New Roman" w:eastAsia="宋体" w:cs="Times New Roman"/>
          <w:kern w:val="2"/>
          <w:sz w:val="21"/>
          <w:szCs w:val="21"/>
          <w:highlight w:val="none"/>
          <w:lang w:val="en-US" w:eastAsia="zh-CN" w:bidi="ar-SA"/>
        </w:rPr>
        <w:t>仍不能达到合同约定的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要求和技术指标，甲方有权解除合同并要求退货，乙方按照合同总</w:t>
      </w:r>
      <w:r>
        <w:rPr>
          <w:rFonts w:hint="eastAsia" w:ascii="Times New Roman" w:hAnsi="Times New Roman" w:eastAsia="宋体" w:cs="Times New Roman"/>
          <w:kern w:val="2"/>
          <w:sz w:val="21"/>
          <w:szCs w:val="21"/>
          <w:highlight w:val="none"/>
          <w:lang w:val="en-US" w:eastAsia="zh-CN" w:bidi="ar-SA"/>
        </w:rPr>
        <w:t>金额</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%向甲方支付违约金。</w:t>
      </w:r>
    </w:p>
    <w:p w14:paraId="4B34FAB8">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因乙方原因逾期</w:t>
      </w:r>
      <w:r>
        <w:rPr>
          <w:rFonts w:hint="eastAsia" w:ascii="Times New Roman" w:hAnsi="Times New Roman" w:eastAsia="宋体" w:cs="Times New Roman"/>
          <w:kern w:val="2"/>
          <w:sz w:val="21"/>
          <w:szCs w:val="21"/>
          <w:highlight w:val="none"/>
          <w:lang w:val="en-US" w:eastAsia="zh-CN" w:bidi="ar-SA"/>
        </w:rPr>
        <w:t>交付</w:t>
      </w:r>
      <w:r>
        <w:rPr>
          <w:rFonts w:ascii="Times New Roman" w:hAnsi="Times New Roman" w:eastAsia="宋体" w:cs="Times New Roman"/>
          <w:kern w:val="2"/>
          <w:sz w:val="21"/>
          <w:szCs w:val="21"/>
          <w:highlight w:val="none"/>
          <w:lang w:val="en-US" w:eastAsia="zh-CN" w:bidi="ar-SA"/>
        </w:rPr>
        <w:t>，每</w:t>
      </w:r>
      <w:r>
        <w:rPr>
          <w:rFonts w:hint="eastAsia" w:ascii="Times New Roman" w:hAnsi="Times New Roman" w:eastAsia="宋体" w:cs="Times New Roman"/>
          <w:kern w:val="2"/>
          <w:sz w:val="21"/>
          <w:szCs w:val="21"/>
          <w:highlight w:val="none"/>
          <w:lang w:val="en-US" w:eastAsia="zh-CN" w:bidi="ar-SA"/>
        </w:rPr>
        <w:t>逾期</w:t>
      </w:r>
      <w:r>
        <w:rPr>
          <w:rFonts w:ascii="Times New Roman" w:hAnsi="Times New Roman" w:eastAsia="宋体" w:cs="Times New Roman"/>
          <w:kern w:val="2"/>
          <w:sz w:val="21"/>
          <w:szCs w:val="21"/>
          <w:highlight w:val="none"/>
          <w:lang w:val="en-US" w:eastAsia="zh-CN" w:bidi="ar-SA"/>
        </w:rPr>
        <w:t>一天，须向甲方支付合同总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违约金。因乙方原因逾期交货超过</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天，甲方有权</w:t>
      </w:r>
      <w:r>
        <w:rPr>
          <w:rFonts w:hint="eastAsia" w:ascii="Times New Roman" w:hAnsi="Times New Roman" w:eastAsia="宋体" w:cs="Times New Roman"/>
          <w:kern w:val="2"/>
          <w:sz w:val="21"/>
          <w:szCs w:val="21"/>
          <w:highlight w:val="none"/>
          <w:lang w:val="en-US" w:eastAsia="zh-CN" w:bidi="ar-SA"/>
        </w:rPr>
        <w:t>单方面解除</w:t>
      </w:r>
      <w:r>
        <w:rPr>
          <w:rFonts w:ascii="Times New Roman" w:hAnsi="Times New Roman" w:eastAsia="宋体" w:cs="Times New Roman"/>
          <w:kern w:val="2"/>
          <w:sz w:val="21"/>
          <w:szCs w:val="21"/>
          <w:highlight w:val="none"/>
          <w:lang w:val="en-US" w:eastAsia="zh-CN" w:bidi="ar-SA"/>
        </w:rPr>
        <w:t>合同</w:t>
      </w:r>
      <w:r>
        <w:rPr>
          <w:rFonts w:hint="eastAsia" w:ascii="Times New Roman" w:hAnsi="Times New Roman" w:eastAsia="宋体" w:cs="Times New Roman"/>
          <w:kern w:val="2"/>
          <w:sz w:val="21"/>
          <w:szCs w:val="21"/>
          <w:highlight w:val="none"/>
          <w:lang w:val="en-US" w:eastAsia="zh-CN" w:bidi="ar-SA"/>
        </w:rPr>
        <w:t>，乙方须按合同总金额的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%向甲方支付违约金，</w:t>
      </w:r>
    </w:p>
    <w:p w14:paraId="1D4D59C8">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bookmarkStart w:id="99" w:name="OLE_LINK17"/>
      <w:bookmarkStart w:id="100" w:name="OLE_LINK18"/>
      <w:r>
        <w:rPr>
          <w:rFonts w:hint="eastAsia" w:ascii="Times New Roman" w:hAnsi="Times New Roman" w:eastAsia="宋体" w:cs="Times New Roman"/>
          <w:kern w:val="2"/>
          <w:sz w:val="21"/>
          <w:szCs w:val="21"/>
          <w:highlight w:val="none"/>
          <w:lang w:val="en-US" w:eastAsia="zh-CN" w:bidi="ar-SA"/>
        </w:rPr>
        <w:t>乙方未按合同约定及时履行培训及维护义务时，每发生一次，乙方应按合同总金额的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‰向甲方支付违约金，乙方支付违约金的同时，仍有义务对甲方进行培训及对货物进行维护。</w:t>
      </w:r>
    </w:p>
    <w:p w14:paraId="4D2A45FC">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作为违</w:t>
      </w:r>
      <w:r>
        <w:rPr>
          <w:rFonts w:ascii="Times New Roman" w:hAnsi="Times New Roman" w:eastAsia="宋体" w:cs="Times New Roman"/>
          <w:kern w:val="2"/>
          <w:sz w:val="21"/>
          <w:szCs w:val="21"/>
          <w:highlight w:val="none"/>
          <w:lang w:val="en-US" w:eastAsia="zh-CN" w:bidi="ar-SA"/>
        </w:rPr>
        <w:t>约金。</w:t>
      </w:r>
    </w:p>
    <w:bookmarkEnd w:id="99"/>
    <w:bookmarkEnd w:id="100"/>
    <w:p w14:paraId="76EDDBE4">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0365FECC">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交付货物因</w:t>
      </w:r>
      <w:r>
        <w:rPr>
          <w:rFonts w:ascii="Times New Roman" w:hAnsi="Times New Roman" w:eastAsia="宋体" w:cs="Times New Roman"/>
          <w:kern w:val="2"/>
          <w:sz w:val="21"/>
          <w:szCs w:val="21"/>
          <w:highlight w:val="none"/>
          <w:lang w:val="en-US" w:eastAsia="zh-CN" w:bidi="ar-SA"/>
        </w:rPr>
        <w:t>质量问题导致甲方及第三方人身、财产损失的，乙方承担由此造成的全部法律责任。</w:t>
      </w:r>
    </w:p>
    <w:p w14:paraId="2742A95F">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02134113">
      <w:pPr>
        <w:widowControl w:val="0"/>
        <w:numPr>
          <w:ilvl w:val="0"/>
          <w:numId w:val="24"/>
        </w:numPr>
        <w:snapToGrid w:val="0"/>
        <w:ind w:left="525" w:hanging="525" w:hangingChars="25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安装、</w:t>
      </w:r>
      <w:r>
        <w:rPr>
          <w:rFonts w:ascii="Times New Roman" w:hAnsi="Times New Roman" w:eastAsia="宋体" w:cs="Times New Roman"/>
          <w:kern w:val="2"/>
          <w:sz w:val="21"/>
          <w:szCs w:val="21"/>
          <w:highlight w:val="none"/>
          <w:lang w:val="en-US" w:eastAsia="zh-CN" w:bidi="ar-SA"/>
        </w:rPr>
        <w:t>调试及售后服务过程中，因未按规程</w:t>
      </w:r>
      <w:r>
        <w:rPr>
          <w:rFonts w:hint="eastAsia" w:ascii="Times New Roman" w:hAnsi="Times New Roman" w:eastAsia="宋体" w:cs="Times New Roman"/>
          <w:kern w:val="2"/>
          <w:sz w:val="21"/>
          <w:szCs w:val="21"/>
          <w:highlight w:val="none"/>
          <w:lang w:val="en-US" w:eastAsia="zh-CN" w:bidi="ar-SA"/>
        </w:rPr>
        <w:t>操作、</w:t>
      </w:r>
      <w:r>
        <w:rPr>
          <w:rFonts w:ascii="Times New Roman" w:hAnsi="Times New Roman" w:eastAsia="宋体" w:cs="Times New Roman"/>
          <w:kern w:val="2"/>
          <w:sz w:val="21"/>
          <w:szCs w:val="21"/>
          <w:highlight w:val="none"/>
          <w:lang w:val="en-US" w:eastAsia="zh-CN" w:bidi="ar-SA"/>
        </w:rPr>
        <w:t>未采取必要的安全防范措施等原因直接或间接造成甲方及第三方人身、财产损失的，由乙方承担由此造成的全部法律责任。</w:t>
      </w:r>
    </w:p>
    <w:p w14:paraId="32E43FF5">
      <w:pPr>
        <w:widowControl w:val="0"/>
        <w:numPr>
          <w:ilvl w:val="0"/>
          <w:numId w:val="24"/>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25415270">
      <w:pPr>
        <w:widowControl w:val="0"/>
        <w:snapToGrid w:val="0"/>
        <w:ind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3</w:t>
      </w:r>
      <w:r>
        <w:rPr>
          <w:rFonts w:ascii="Times New Roman" w:hAnsi="Times New Roman" w:eastAsia="宋体" w:cs="Times New Roman"/>
          <w:kern w:val="2"/>
          <w:sz w:val="21"/>
          <w:szCs w:val="21"/>
          <w:highlight w:val="none"/>
          <w:lang w:val="en-US" w:eastAsia="zh-CN" w:bidi="ar-SA"/>
        </w:rPr>
        <w:t>.本合同履行中如有任何一方违约，那么守约方为保障自己合法权益而产生的律师费、诉讼费、差旅费、公告费等，均由违约方承担。</w:t>
      </w:r>
    </w:p>
    <w:p w14:paraId="62EE1615">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不可抗力</w:t>
      </w:r>
    </w:p>
    <w:p w14:paraId="58337370">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7C2DF959">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争议解决办法</w:t>
      </w:r>
    </w:p>
    <w:p w14:paraId="1A93AB3C">
      <w:pPr>
        <w:widowControl w:val="0"/>
        <w:numPr>
          <w:ilvl w:val="0"/>
          <w:numId w:val="25"/>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w:t>
      </w:r>
      <w:r>
        <w:rPr>
          <w:rFonts w:hint="eastAsia" w:ascii="Times New Roman" w:hAnsi="Times New Roman" w:eastAsia="宋体" w:cs="Times New Roman"/>
          <w:kern w:val="2"/>
          <w:sz w:val="21"/>
          <w:szCs w:val="21"/>
          <w:highlight w:val="none"/>
          <w:lang w:val="en-US" w:eastAsia="zh-CN" w:bidi="ar-SA"/>
        </w:rPr>
        <w:t>货物</w:t>
      </w:r>
      <w:r>
        <w:rPr>
          <w:rFonts w:ascii="Times New Roman" w:hAnsi="Times New Roman" w:eastAsia="宋体" w:cs="Times New Roman"/>
          <w:kern w:val="2"/>
          <w:sz w:val="21"/>
          <w:szCs w:val="21"/>
          <w:highlight w:val="none"/>
          <w:lang w:val="en-US" w:eastAsia="zh-CN" w:bidi="ar-SA"/>
        </w:rPr>
        <w:t>的质量问题发生争议，由质量技术监督部门或其指定的质量鉴定机构进行质量鉴定。货物符合标准的，鉴定费由甲方承担；货物不符合质量标准的，鉴定费由乙方承担。</w:t>
      </w:r>
    </w:p>
    <w:p w14:paraId="3FBFC544">
      <w:pPr>
        <w:widowControl w:val="0"/>
        <w:numPr>
          <w:ilvl w:val="0"/>
          <w:numId w:val="25"/>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w:t>
      </w:r>
      <w:r>
        <w:rPr>
          <w:rFonts w:hint="eastAsia" w:ascii="Times New Roman" w:hAnsi="Times New Roman" w:eastAsia="宋体" w:cs="Times New Roman"/>
          <w:kern w:val="2"/>
          <w:sz w:val="21"/>
          <w:szCs w:val="21"/>
          <w:highlight w:val="none"/>
          <w:lang w:val="en-US" w:eastAsia="zh-CN" w:bidi="ar-SA"/>
        </w:rPr>
        <w:t>所在地</w:t>
      </w:r>
      <w:r>
        <w:rPr>
          <w:rFonts w:ascii="Times New Roman" w:hAnsi="Times New Roman" w:eastAsia="宋体" w:cs="Times New Roman"/>
          <w:kern w:val="2"/>
          <w:sz w:val="21"/>
          <w:szCs w:val="21"/>
          <w:highlight w:val="none"/>
          <w:lang w:val="en-US" w:eastAsia="zh-CN" w:bidi="ar-SA"/>
        </w:rPr>
        <w:t>具有管辖权的人民法院起诉。</w:t>
      </w:r>
    </w:p>
    <w:p w14:paraId="6E456CB4">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送达</w:t>
      </w:r>
      <w:r>
        <w:rPr>
          <w:rFonts w:hint="eastAsia" w:ascii="Times New Roman" w:hAnsi="Times New Roman" w:eastAsia="宋体" w:cs="Times New Roman"/>
          <w:b/>
          <w:bCs/>
          <w:kern w:val="2"/>
          <w:sz w:val="21"/>
          <w:szCs w:val="21"/>
          <w:highlight w:val="none"/>
          <w:lang w:val="en-US" w:eastAsia="zh-CN" w:bidi="ar-SA"/>
        </w:rPr>
        <w:t>（送达地址是司法机关、执法机关和仲裁机关将法律文书送达给当事人的收件地址）</w:t>
      </w:r>
    </w:p>
    <w:p w14:paraId="7BEA1EA4">
      <w:pPr>
        <w:widowControl w:val="0"/>
        <w:numPr>
          <w:ilvl w:val="0"/>
          <w:numId w:val="26"/>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522EE259">
      <w:pPr>
        <w:widowControl w:val="0"/>
        <w:numPr>
          <w:ilvl w:val="0"/>
          <w:numId w:val="26"/>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w:t>
      </w:r>
    </w:p>
    <w:p w14:paraId="5293DF6D">
      <w:pPr>
        <w:widowControl w:val="0"/>
        <w:numPr>
          <w:ilvl w:val="0"/>
          <w:numId w:val="26"/>
        </w:numPr>
        <w:snapToGrid w:val="0"/>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3869DCDA">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其他</w:t>
      </w:r>
    </w:p>
    <w:p w14:paraId="68DB43EB">
      <w:pPr>
        <w:widowControl w:val="0"/>
        <w:numPr>
          <w:ilvl w:val="0"/>
          <w:numId w:val="2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w:t>
      </w:r>
      <w:r>
        <w:rPr>
          <w:rFonts w:hint="eastAsia" w:ascii="Times New Roman" w:hAnsi="Times New Roman" w:eastAsia="宋体" w:cs="Times New Roman"/>
          <w:kern w:val="2"/>
          <w:sz w:val="21"/>
          <w:szCs w:val="21"/>
          <w:highlight w:val="none"/>
          <w:lang w:val="en-US" w:eastAsia="zh-CN" w:bidi="ar-SA"/>
        </w:rPr>
        <w:t>及本合同</w:t>
      </w:r>
      <w:r>
        <w:rPr>
          <w:rFonts w:ascii="Times New Roman" w:hAnsi="Times New Roman" w:eastAsia="宋体" w:cs="Times New Roman"/>
          <w:kern w:val="2"/>
          <w:sz w:val="21"/>
          <w:szCs w:val="21"/>
          <w:highlight w:val="none"/>
          <w:lang w:val="en-US" w:eastAsia="zh-CN" w:bidi="ar-SA"/>
        </w:rPr>
        <w:t>附件</w:t>
      </w:r>
      <w:r>
        <w:rPr>
          <w:rFonts w:hint="eastAsia" w:ascii="Times New Roman" w:hAnsi="Times New Roman" w:eastAsia="宋体" w:cs="Times New Roman"/>
          <w:kern w:val="2"/>
          <w:sz w:val="21"/>
          <w:szCs w:val="21"/>
          <w:highlight w:val="none"/>
          <w:lang w:val="en-US" w:eastAsia="zh-CN" w:bidi="ar-SA"/>
        </w:rPr>
        <w:t>均</w:t>
      </w:r>
      <w:r>
        <w:rPr>
          <w:rFonts w:ascii="Times New Roman" w:hAnsi="Times New Roman" w:eastAsia="宋体" w:cs="Times New Roman"/>
          <w:kern w:val="2"/>
          <w:sz w:val="21"/>
          <w:szCs w:val="21"/>
          <w:highlight w:val="none"/>
          <w:lang w:val="en-US" w:eastAsia="zh-CN" w:bidi="ar-SA"/>
        </w:rPr>
        <w:t>为本合同的组成部分，与本合同具有同等法律效力。</w:t>
      </w:r>
    </w:p>
    <w:p w14:paraId="71F9B33D">
      <w:pPr>
        <w:widowControl w:val="0"/>
        <w:numPr>
          <w:ilvl w:val="0"/>
          <w:numId w:val="27"/>
        </w:numPr>
        <w:snapToGrid w:val="0"/>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33530942">
      <w:pPr>
        <w:widowControl w:val="0"/>
        <w:numPr>
          <w:ilvl w:val="0"/>
          <w:numId w:val="10"/>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合同附件</w:t>
      </w:r>
    </w:p>
    <w:p w14:paraId="62D770C6">
      <w:pPr>
        <w:snapToGrid w:val="0"/>
        <w:rPr>
          <w:rFonts w:ascii="Times New Roman" w:hAnsi="Times New Roman" w:eastAsia="宋体" w:cs="Times New Roman"/>
          <w:szCs w:val="21"/>
          <w:highlight w:val="none"/>
        </w:rPr>
      </w:pPr>
      <w:r>
        <w:rPr>
          <w:rFonts w:ascii="Times New Roman" w:hAnsi="Times New Roman" w:eastAsia="宋体" w:cs="Times New Roman"/>
          <w:szCs w:val="21"/>
          <w:highlight w:val="none"/>
        </w:rPr>
        <w:t>附件1：配置清单</w:t>
      </w:r>
    </w:p>
    <w:p w14:paraId="26E899F7">
      <w:pPr>
        <w:snapToGrid w:val="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附件2：</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技术参数</w:t>
      </w:r>
    </w:p>
    <w:p w14:paraId="6619D33F">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 w:val="18"/>
          <w:szCs w:val="18"/>
          <w:highlight w:val="none"/>
        </w:rPr>
        <w:t>以下无正文</w:t>
      </w:r>
      <w:r>
        <w:rPr>
          <w:rFonts w:ascii="Times New Roman" w:hAnsi="Times New Roman" w:eastAsia="宋体" w:cs="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C08928B">
        <w:tblPrEx>
          <w:tblCellMar>
            <w:top w:w="0" w:type="dxa"/>
            <w:left w:w="0" w:type="dxa"/>
            <w:bottom w:w="0" w:type="dxa"/>
            <w:right w:w="0" w:type="dxa"/>
          </w:tblCellMar>
        </w:tblPrEx>
        <w:trPr>
          <w:trHeight w:val="519" w:hRule="atLeast"/>
          <w:jc w:val="center"/>
        </w:trPr>
        <w:tc>
          <w:tcPr>
            <w:tcW w:w="10214" w:type="dxa"/>
            <w:gridSpan w:val="2"/>
            <w:noWrap w:val="0"/>
            <w:vAlign w:val="top"/>
          </w:tcPr>
          <w:p w14:paraId="50FB583A">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签订时间：</w:t>
            </w:r>
            <w:r>
              <w:rPr>
                <w:rFonts w:ascii="Times New Roman" w:hAnsi="Times New Roman" w:eastAsia="宋体" w:cs="Times New Roman"/>
                <w:highlight w:val="none"/>
              </w:rPr>
              <w:t>202</w:t>
            </w:r>
            <w:r>
              <w:rPr>
                <w:rFonts w:hint="eastAsia" w:ascii="Times New Roman" w:hAnsi="Times New Roman" w:eastAsia="宋体" w:cs="Times New Roman"/>
                <w:highlight w:val="none"/>
              </w:rPr>
              <w:t>*</w:t>
            </w:r>
            <w:r>
              <w:rPr>
                <w:rFonts w:ascii="Times New Roman" w:hAnsi="Times New Roman" w:eastAsia="宋体" w:cs="Times New Roman"/>
                <w:szCs w:val="21"/>
                <w:highlight w:val="none"/>
              </w:rPr>
              <w:t>年***月***</w:t>
            </w:r>
            <w:r>
              <w:rPr>
                <w:rFonts w:hint="eastAsia" w:ascii="Times New Roman" w:hAnsi="Times New Roman" w:eastAsia="宋体" w:cs="Times New Roman"/>
                <w:szCs w:val="21"/>
                <w:highlight w:val="none"/>
              </w:rPr>
              <w:t>日</w:t>
            </w:r>
          </w:p>
        </w:tc>
      </w:tr>
      <w:tr w14:paraId="0F94F2C7">
        <w:tblPrEx>
          <w:tblCellMar>
            <w:top w:w="0" w:type="dxa"/>
            <w:left w:w="0" w:type="dxa"/>
            <w:bottom w:w="0" w:type="dxa"/>
            <w:right w:w="0" w:type="dxa"/>
          </w:tblCellMar>
        </w:tblPrEx>
        <w:trPr>
          <w:jc w:val="center"/>
        </w:trPr>
        <w:tc>
          <w:tcPr>
            <w:tcW w:w="4967" w:type="dxa"/>
            <w:noWrap w:val="0"/>
            <w:vAlign w:val="top"/>
          </w:tcPr>
          <w:p w14:paraId="004015F3">
            <w:pPr>
              <w:rPr>
                <w:rFonts w:ascii="Times New Roman" w:hAnsi="Times New Roman" w:eastAsia="宋体" w:cs="Times New Roman"/>
                <w:szCs w:val="21"/>
                <w:highlight w:val="none"/>
              </w:rPr>
            </w:pPr>
            <w:r>
              <w:rPr>
                <w:rFonts w:ascii="Times New Roman" w:hAnsi="Times New Roman" w:eastAsia="宋体" w:cs="Times New Roman"/>
                <w:szCs w:val="21"/>
                <w:highlight w:val="none"/>
              </w:rPr>
              <w:t>甲方：四川省人民医院（盖章）</w:t>
            </w:r>
          </w:p>
          <w:p w14:paraId="5F789A21">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26B6BD15">
            <w:pPr>
              <w:rPr>
                <w:rFonts w:ascii="Times New Roman" w:hAnsi="Times New Roman" w:eastAsia="宋体" w:cs="Times New Roman"/>
                <w:szCs w:val="21"/>
                <w:highlight w:val="none"/>
              </w:rPr>
            </w:pPr>
            <w:r>
              <w:rPr>
                <w:rFonts w:ascii="Times New Roman" w:hAnsi="Times New Roman" w:eastAsia="宋体" w:cs="Times New Roman"/>
                <w:szCs w:val="21"/>
                <w:highlight w:val="none"/>
              </w:rPr>
              <w:t>地    址：四川省成都市一环路西二段32号</w:t>
            </w:r>
          </w:p>
          <w:p w14:paraId="2A16D6DA">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开户银行：建设银行成都青羊支行</w:t>
            </w:r>
          </w:p>
          <w:p w14:paraId="7C45271A">
            <w:pPr>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账号：5100 1446 4360 5037 4282</w:t>
            </w:r>
          </w:p>
        </w:tc>
        <w:tc>
          <w:tcPr>
            <w:tcW w:w="5247" w:type="dxa"/>
            <w:noWrap w:val="0"/>
            <w:vAlign w:val="top"/>
          </w:tcPr>
          <w:p w14:paraId="452D2CEB">
            <w:pPr>
              <w:rPr>
                <w:rFonts w:ascii="Times New Roman" w:hAnsi="Times New Roman" w:eastAsia="宋体" w:cs="Times New Roman"/>
                <w:szCs w:val="21"/>
                <w:highlight w:val="none"/>
              </w:rPr>
            </w:pPr>
            <w:r>
              <w:rPr>
                <w:rFonts w:ascii="Times New Roman" w:hAnsi="Times New Roman" w:eastAsia="宋体" w:cs="Times New Roman"/>
                <w:szCs w:val="21"/>
                <w:highlight w:val="none"/>
              </w:rPr>
              <w:t>乙方：***（盖章）</w:t>
            </w:r>
          </w:p>
          <w:p w14:paraId="682282DA">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6B2974E7">
            <w:pPr>
              <w:rPr>
                <w:rFonts w:ascii="Times New Roman" w:hAnsi="Times New Roman" w:eastAsia="宋体" w:cs="Times New Roman"/>
                <w:szCs w:val="21"/>
                <w:highlight w:val="none"/>
              </w:rPr>
            </w:pPr>
            <w:r>
              <w:rPr>
                <w:rFonts w:ascii="Times New Roman" w:hAnsi="Times New Roman" w:eastAsia="宋体" w:cs="Times New Roman"/>
                <w:szCs w:val="21"/>
                <w:highlight w:val="none"/>
              </w:rPr>
              <w:t>地址：***</w:t>
            </w:r>
          </w:p>
          <w:p w14:paraId="5BA6FB13">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w:t>
            </w:r>
          </w:p>
          <w:p w14:paraId="1F2FE8AD">
            <w:pPr>
              <w:widowControl/>
              <w:jc w:val="left"/>
              <w:rPr>
                <w:rFonts w:hint="eastAsia" w:ascii="Times New Roman" w:hAnsi="Times New Roman" w:eastAsia="宋体" w:cs="Times New Roman"/>
                <w:highlight w:val="none"/>
              </w:rPr>
            </w:pPr>
            <w:r>
              <w:rPr>
                <w:rFonts w:ascii="Times New Roman" w:hAnsi="Times New Roman" w:eastAsia="宋体" w:cs="Times New Roman"/>
                <w:szCs w:val="21"/>
                <w:highlight w:val="none"/>
              </w:rPr>
              <w:t>账号：***</w:t>
            </w:r>
          </w:p>
        </w:tc>
      </w:tr>
    </w:tbl>
    <w:p w14:paraId="236CFB0B">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br w:type="page"/>
      </w:r>
    </w:p>
    <w:p w14:paraId="0EAC3426">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附件1：配置清单</w:t>
      </w:r>
    </w:p>
    <w:p w14:paraId="5CEDC58F">
      <w:pPr>
        <w:widowControl w:val="0"/>
        <w:spacing w:after="120"/>
        <w:jc w:val="both"/>
        <w:rPr>
          <w:rFonts w:hint="eastAsia" w:ascii="Calibri" w:hAnsi="Calibri" w:eastAsia="宋体" w:cs="Times New Roman"/>
          <w:kern w:val="2"/>
          <w:sz w:val="21"/>
          <w:szCs w:val="22"/>
          <w:highlight w:val="none"/>
          <w:lang w:val="en-US" w:eastAsia="zh-CN" w:bidi="ar-SA"/>
        </w:rPr>
      </w:pPr>
    </w:p>
    <w:p w14:paraId="306F3129">
      <w:pPr>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注：本合同第一条中写明的</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均须单独填写配置清单。</w:t>
      </w:r>
    </w:p>
    <w:p w14:paraId="2FF5E506">
      <w:pPr>
        <w:rPr>
          <w:rFonts w:ascii="Times New Roman" w:hAnsi="Times New Roman" w:eastAsia="宋体" w:cs="Times New Roman"/>
          <w:szCs w:val="21"/>
          <w:highlight w:val="none"/>
        </w:rPr>
      </w:pPr>
      <w:r>
        <w:rPr>
          <w:rFonts w:ascii="Times New Roman" w:hAnsi="Times New Roman" w:eastAsia="宋体" w:cs="Times New Roman"/>
          <w:szCs w:val="21"/>
          <w:highlight w:val="none"/>
        </w:rPr>
        <w:t>序号1：</w:t>
      </w:r>
      <w:r>
        <w:rPr>
          <w:rFonts w:hint="eastAsia" w:ascii="Times New Roman" w:hAnsi="Times New Roman" w:eastAsia="宋体" w:cs="Times New Roman"/>
          <w:szCs w:val="21"/>
          <w:highlight w:val="none"/>
        </w:rPr>
        <w:t>货物</w:t>
      </w:r>
      <w:r>
        <w:rPr>
          <w:rFonts w:ascii="Times New Roman" w:hAnsi="Times New Roman" w:eastAsia="宋体" w:cs="Times New Roman"/>
          <w:szCs w:val="21"/>
          <w:highlight w:val="none"/>
        </w:rPr>
        <w:t>名称：***</w:t>
      </w:r>
    </w:p>
    <w:p w14:paraId="52B3E9F7">
      <w:pPr>
        <w:rPr>
          <w:rFonts w:ascii="Times New Roman" w:hAnsi="Times New Roman" w:eastAsia="宋体" w:cs="Times New Roman"/>
          <w:szCs w:val="21"/>
          <w:highlight w:val="none"/>
        </w:rPr>
      </w:pPr>
      <w:r>
        <w:rPr>
          <w:rFonts w:ascii="Times New Roman" w:hAnsi="Times New Roman" w:eastAsia="宋体" w:cs="Times New Roman"/>
          <w:szCs w:val="21"/>
          <w:highlight w:val="none"/>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2845"/>
        <w:gridCol w:w="2415"/>
        <w:gridCol w:w="1446"/>
        <w:gridCol w:w="1305"/>
        <w:gridCol w:w="1022"/>
      </w:tblGrid>
      <w:tr w14:paraId="0ACA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B80EC0A">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序号</w:t>
            </w:r>
          </w:p>
        </w:tc>
        <w:tc>
          <w:tcPr>
            <w:tcW w:w="3073" w:type="dxa"/>
            <w:noWrap w:val="0"/>
            <w:vAlign w:val="center"/>
          </w:tcPr>
          <w:p w14:paraId="6E5B95C8">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组件名称</w:t>
            </w:r>
          </w:p>
        </w:tc>
        <w:tc>
          <w:tcPr>
            <w:tcW w:w="2609" w:type="dxa"/>
            <w:noWrap w:val="0"/>
            <w:vAlign w:val="center"/>
          </w:tcPr>
          <w:p w14:paraId="1E190D3A">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型号/规格（如有）</w:t>
            </w:r>
          </w:p>
        </w:tc>
        <w:tc>
          <w:tcPr>
            <w:tcW w:w="1562" w:type="dxa"/>
            <w:noWrap w:val="0"/>
            <w:vAlign w:val="center"/>
          </w:tcPr>
          <w:p w14:paraId="13BEB5AA">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单位</w:t>
            </w:r>
          </w:p>
        </w:tc>
        <w:tc>
          <w:tcPr>
            <w:tcW w:w="1410" w:type="dxa"/>
            <w:noWrap w:val="0"/>
            <w:vAlign w:val="center"/>
          </w:tcPr>
          <w:p w14:paraId="10E40C6D">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数量</w:t>
            </w:r>
          </w:p>
        </w:tc>
        <w:tc>
          <w:tcPr>
            <w:tcW w:w="1104" w:type="dxa"/>
            <w:noWrap w:val="0"/>
            <w:vAlign w:val="center"/>
          </w:tcPr>
          <w:p w14:paraId="04F9DD77">
            <w:pPr>
              <w:contextualSpacing/>
              <w:jc w:val="center"/>
              <w:outlineLvl w:val="0"/>
              <w:rPr>
                <w:rFonts w:ascii="Times New Roman" w:hAnsi="Times New Roman" w:eastAsia="宋体" w:cs="Times New Roman"/>
                <w:b/>
                <w:kern w:val="0"/>
                <w:szCs w:val="21"/>
                <w:highlight w:val="none"/>
              </w:rPr>
            </w:pPr>
            <w:r>
              <w:rPr>
                <w:rFonts w:ascii="Times New Roman" w:hAnsi="Times New Roman" w:eastAsia="宋体" w:cs="Times New Roman"/>
                <w:b/>
                <w:kern w:val="0"/>
                <w:szCs w:val="21"/>
                <w:highlight w:val="none"/>
              </w:rPr>
              <w:t>备注</w:t>
            </w:r>
          </w:p>
        </w:tc>
      </w:tr>
      <w:tr w14:paraId="0925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D50D49F">
            <w:pPr>
              <w:widowControl w:val="0"/>
              <w:spacing w:after="0"/>
              <w:contextualSpacing/>
              <w:jc w:val="center"/>
              <w:rPr>
                <w:rFonts w:ascii="Times New Roman" w:hAnsi="Times New Roman" w:eastAsia="宋体" w:cs="Times New Roman"/>
                <w:kern w:val="0"/>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w:t>
            </w:r>
          </w:p>
        </w:tc>
        <w:tc>
          <w:tcPr>
            <w:tcW w:w="3073" w:type="dxa"/>
            <w:noWrap w:val="0"/>
            <w:vAlign w:val="center"/>
          </w:tcPr>
          <w:p w14:paraId="7040436F">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5EB85FC3">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1EB6824F">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410" w:type="dxa"/>
            <w:noWrap w:val="0"/>
            <w:vAlign w:val="center"/>
          </w:tcPr>
          <w:p w14:paraId="599A3AC6">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104" w:type="dxa"/>
            <w:noWrap w:val="0"/>
            <w:vAlign w:val="center"/>
          </w:tcPr>
          <w:p w14:paraId="5CF8E076">
            <w:pPr>
              <w:contextualSpacing/>
              <w:rPr>
                <w:rFonts w:ascii="Times New Roman" w:hAnsi="Times New Roman" w:eastAsia="宋体" w:cs="Times New Roman"/>
                <w:b/>
                <w:bCs/>
                <w:szCs w:val="21"/>
                <w:highlight w:val="none"/>
              </w:rPr>
            </w:pPr>
          </w:p>
        </w:tc>
      </w:tr>
      <w:tr w14:paraId="5B0D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9C65183">
            <w:pPr>
              <w:widowControl w:val="0"/>
              <w:spacing w:after="0"/>
              <w:contextualSpacing/>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w:t>
            </w:r>
          </w:p>
        </w:tc>
        <w:tc>
          <w:tcPr>
            <w:tcW w:w="3073" w:type="dxa"/>
            <w:noWrap w:val="0"/>
            <w:vAlign w:val="center"/>
          </w:tcPr>
          <w:p w14:paraId="3EF2562D">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270BC70F">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52D0FB2A">
            <w:pPr>
              <w:contextualSpacing/>
              <w:rPr>
                <w:rFonts w:ascii="Times New Roman" w:hAnsi="Times New Roman" w:eastAsia="宋体" w:cs="Times New Roman"/>
                <w:b/>
                <w:bCs/>
                <w:szCs w:val="21"/>
                <w:highlight w:val="none"/>
              </w:rPr>
            </w:pPr>
          </w:p>
        </w:tc>
        <w:tc>
          <w:tcPr>
            <w:tcW w:w="1410" w:type="dxa"/>
            <w:noWrap w:val="0"/>
            <w:vAlign w:val="center"/>
          </w:tcPr>
          <w:p w14:paraId="12B09D44">
            <w:pPr>
              <w:contextualSpacing/>
              <w:rPr>
                <w:rFonts w:ascii="Times New Roman" w:hAnsi="Times New Roman" w:eastAsia="宋体" w:cs="Times New Roman"/>
                <w:b/>
                <w:bCs/>
                <w:szCs w:val="21"/>
                <w:highlight w:val="none"/>
              </w:rPr>
            </w:pPr>
          </w:p>
        </w:tc>
        <w:tc>
          <w:tcPr>
            <w:tcW w:w="1104" w:type="dxa"/>
            <w:noWrap w:val="0"/>
            <w:vAlign w:val="center"/>
          </w:tcPr>
          <w:p w14:paraId="03295253">
            <w:pPr>
              <w:contextualSpacing/>
              <w:rPr>
                <w:rFonts w:ascii="Times New Roman" w:hAnsi="Times New Roman" w:eastAsia="宋体" w:cs="Times New Roman"/>
                <w:b/>
                <w:bCs/>
                <w:szCs w:val="21"/>
                <w:highlight w:val="none"/>
              </w:rPr>
            </w:pPr>
          </w:p>
        </w:tc>
      </w:tr>
      <w:tr w14:paraId="61C4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35BDDDAF">
            <w:pPr>
              <w:widowControl w:val="0"/>
              <w:spacing w:after="0"/>
              <w:contextualSpacing/>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w:t>
            </w:r>
          </w:p>
        </w:tc>
        <w:tc>
          <w:tcPr>
            <w:tcW w:w="3073" w:type="dxa"/>
            <w:noWrap w:val="0"/>
            <w:vAlign w:val="center"/>
          </w:tcPr>
          <w:p w14:paraId="20C74245">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2609" w:type="dxa"/>
            <w:noWrap w:val="0"/>
            <w:vAlign w:val="center"/>
          </w:tcPr>
          <w:p w14:paraId="138ED0D8">
            <w:pPr>
              <w:widowControl w:val="0"/>
              <w:spacing w:after="0"/>
              <w:contextualSpacing/>
              <w:jc w:val="both"/>
              <w:rPr>
                <w:rFonts w:ascii="Times New Roman" w:hAnsi="Times New Roman" w:eastAsia="宋体" w:cs="Times New Roman"/>
                <w:b/>
                <w:bCs/>
                <w:kern w:val="2"/>
                <w:sz w:val="21"/>
                <w:szCs w:val="21"/>
                <w:highlight w:val="none"/>
                <w:lang w:val="en-US" w:eastAsia="zh-CN" w:bidi="ar-SA"/>
              </w:rPr>
            </w:pPr>
          </w:p>
        </w:tc>
        <w:tc>
          <w:tcPr>
            <w:tcW w:w="1562" w:type="dxa"/>
            <w:noWrap w:val="0"/>
            <w:vAlign w:val="center"/>
          </w:tcPr>
          <w:p w14:paraId="3B6F67F4">
            <w:pPr>
              <w:contextualSpacing/>
              <w:rPr>
                <w:rFonts w:ascii="Times New Roman" w:hAnsi="Times New Roman" w:eastAsia="宋体" w:cs="Times New Roman"/>
                <w:b/>
                <w:bCs/>
                <w:szCs w:val="21"/>
                <w:highlight w:val="none"/>
              </w:rPr>
            </w:pPr>
          </w:p>
        </w:tc>
        <w:tc>
          <w:tcPr>
            <w:tcW w:w="1410" w:type="dxa"/>
            <w:noWrap w:val="0"/>
            <w:vAlign w:val="center"/>
          </w:tcPr>
          <w:p w14:paraId="6EA7DEED">
            <w:pPr>
              <w:contextualSpacing/>
              <w:rPr>
                <w:rFonts w:ascii="Times New Roman" w:hAnsi="Times New Roman" w:eastAsia="宋体" w:cs="Times New Roman"/>
                <w:b/>
                <w:bCs/>
                <w:szCs w:val="21"/>
                <w:highlight w:val="none"/>
              </w:rPr>
            </w:pPr>
          </w:p>
        </w:tc>
        <w:tc>
          <w:tcPr>
            <w:tcW w:w="1104" w:type="dxa"/>
            <w:noWrap w:val="0"/>
            <w:vAlign w:val="center"/>
          </w:tcPr>
          <w:p w14:paraId="02D3CEAD">
            <w:pPr>
              <w:contextualSpacing/>
              <w:rPr>
                <w:rFonts w:ascii="Times New Roman" w:hAnsi="Times New Roman" w:eastAsia="宋体" w:cs="Times New Roman"/>
                <w:b/>
                <w:bCs/>
                <w:szCs w:val="21"/>
                <w:highlight w:val="none"/>
              </w:rPr>
            </w:pPr>
          </w:p>
        </w:tc>
      </w:tr>
    </w:tbl>
    <w:p w14:paraId="3AC34AA0">
      <w:pPr>
        <w:rPr>
          <w:rFonts w:ascii="Times New Roman" w:hAnsi="Times New Roman" w:eastAsia="宋体" w:cs="Times New Roman"/>
          <w:b/>
          <w:bCs/>
          <w:kern w:val="2"/>
          <w:sz w:val="21"/>
          <w:szCs w:val="22"/>
          <w:highlight w:val="none"/>
          <w:lang w:val="en-US" w:eastAsia="zh-CN" w:bidi="ar-SA"/>
        </w:rPr>
      </w:pPr>
      <w:r>
        <w:rPr>
          <w:rFonts w:ascii="Times New Roman" w:hAnsi="Times New Roman" w:eastAsia="宋体" w:cs="Times New Roman"/>
          <w:b/>
          <w:bCs/>
          <w:kern w:val="2"/>
          <w:sz w:val="21"/>
          <w:szCs w:val="22"/>
          <w:highlight w:val="none"/>
          <w:lang w:val="en-US" w:eastAsia="zh-CN" w:bidi="ar-SA"/>
        </w:rPr>
        <w:br w:type="page"/>
      </w:r>
    </w:p>
    <w:p w14:paraId="5853A180">
      <w:pPr>
        <w:widowControl w:val="0"/>
        <w:spacing w:after="120"/>
        <w:jc w:val="both"/>
        <w:rPr>
          <w:rFonts w:ascii="Times New Roman" w:hAnsi="Times New Roman" w:eastAsia="宋体" w:cs="Times New Roman"/>
          <w:b/>
          <w:bCs/>
          <w:kern w:val="2"/>
          <w:sz w:val="21"/>
          <w:szCs w:val="22"/>
          <w:highlight w:val="none"/>
          <w:lang w:val="en-US" w:eastAsia="zh-CN" w:bidi="ar-SA"/>
        </w:rPr>
      </w:pPr>
      <w:r>
        <w:rPr>
          <w:rFonts w:ascii="Times New Roman" w:hAnsi="Times New Roman" w:eastAsia="宋体" w:cs="Times New Roman"/>
          <w:b/>
          <w:bCs/>
          <w:kern w:val="2"/>
          <w:sz w:val="21"/>
          <w:szCs w:val="22"/>
          <w:highlight w:val="none"/>
          <w:lang w:val="en-US" w:eastAsia="zh-CN" w:bidi="ar-SA"/>
        </w:rPr>
        <w:t>附件2：货物技术参数</w:t>
      </w:r>
    </w:p>
    <w:p w14:paraId="61542DD0">
      <w:pPr>
        <w:widowControl w:val="0"/>
        <w:spacing w:after="120"/>
        <w:jc w:val="both"/>
        <w:rPr>
          <w:rFonts w:ascii="Times New Roman" w:hAnsi="Times New Roman" w:eastAsia="宋体" w:cs="Times New Roman"/>
          <w:kern w:val="2"/>
          <w:sz w:val="21"/>
          <w:szCs w:val="22"/>
          <w:highlight w:val="none"/>
          <w:lang w:val="en-US" w:eastAsia="zh-CN" w:bidi="ar-SA"/>
        </w:rPr>
      </w:pPr>
    </w:p>
    <w:p w14:paraId="1C58DDEF">
      <w:pPr>
        <w:widowControl w:val="0"/>
        <w:spacing w:after="120"/>
        <w:ind w:firstLine="0" w:firstLineChars="0"/>
        <w:jc w:val="both"/>
        <w:rPr>
          <w:rFonts w:hint="eastAsia" w:ascii="Calibri" w:hAnsi="Calibri" w:eastAsia="宋体" w:cs="Times New Roman"/>
          <w:kern w:val="2"/>
          <w:sz w:val="21"/>
          <w:szCs w:val="22"/>
          <w:highlight w:val="none"/>
          <w:lang w:val="en-US" w:eastAsia="zh-CN" w:bidi="ar-SA"/>
        </w:rPr>
      </w:pPr>
      <w:r>
        <w:rPr>
          <w:rFonts w:hint="eastAsia" w:ascii="Calibri" w:hAnsi="Calibri" w:eastAsia="宋体" w:cs="Times New Roman"/>
          <w:kern w:val="2"/>
          <w:sz w:val="21"/>
          <w:szCs w:val="22"/>
          <w:highlight w:val="none"/>
          <w:lang w:val="en-US" w:eastAsia="zh-CN" w:bidi="ar-SA"/>
        </w:rPr>
        <w:t>*</w:t>
      </w:r>
      <w:r>
        <w:rPr>
          <w:rFonts w:ascii="Calibri" w:hAnsi="Calibri" w:eastAsia="宋体" w:cs="Times New Roman"/>
          <w:kern w:val="2"/>
          <w:sz w:val="21"/>
          <w:szCs w:val="22"/>
          <w:highlight w:val="none"/>
          <w:lang w:val="en-US" w:eastAsia="zh-CN" w:bidi="ar-SA"/>
        </w:rPr>
        <w:t>**</w:t>
      </w:r>
    </w:p>
    <w:p w14:paraId="27C6C9DF">
      <w:pPr>
        <w:rPr>
          <w:rFonts w:ascii="Times New Roman" w:hAnsi="Times New Roman" w:cs="Times New Roman"/>
          <w:b/>
          <w:bCs/>
          <w:sz w:val="44"/>
          <w:szCs w:val="52"/>
          <w:highlight w:val="none"/>
        </w:rPr>
      </w:pPr>
    </w:p>
    <w:p w14:paraId="0CA01D3C">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758E30D4">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6AF43165">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3517DD9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6F9D957E">
      <w:pPr>
        <w:ind w:firstLine="560" w:firstLineChars="200"/>
        <w:rPr>
          <w:rFonts w:ascii="Times New Roman" w:hAnsi="Times New Roman" w:eastAsia="仿宋" w:cs="Times New Roman"/>
          <w:sz w:val="28"/>
          <w:szCs w:val="28"/>
          <w:highlight w:val="none"/>
        </w:rPr>
      </w:pPr>
    </w:p>
    <w:p w14:paraId="0B7CEB3A">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预防医药购销领域不正之风</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我院与供应商签订如下协议</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共同遵守</w:t>
      </w:r>
      <w:r>
        <w:rPr>
          <w:rFonts w:hint="eastAsia" w:ascii="Times New Roman" w:hAnsi="Times New Roman" w:eastAsia="仿宋" w:cs="Times New Roman"/>
          <w:sz w:val="28"/>
          <w:szCs w:val="28"/>
          <w:highlight w:val="none"/>
          <w:lang w:eastAsia="zh-CN"/>
        </w:rPr>
        <w:t>：</w:t>
      </w:r>
    </w:p>
    <w:p w14:paraId="5258CB7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一经查实</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按有关规定严肃处理并追究相关人员责任。</w:t>
      </w:r>
    </w:p>
    <w:p w14:paraId="50804A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归口管理部门、供应商、招标采购中心各执一份。</w:t>
      </w:r>
    </w:p>
    <w:p w14:paraId="22FF060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2C979A6E">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4F0C3DE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3AFE638">
      <w:pPr>
        <w:ind w:firstLine="560" w:firstLineChars="200"/>
        <w:rPr>
          <w:rFonts w:ascii="Times New Roman" w:hAnsi="Times New Roman" w:eastAsia="仿宋" w:cs="Times New Roman"/>
          <w:sz w:val="28"/>
          <w:szCs w:val="28"/>
          <w:highlight w:val="none"/>
        </w:rPr>
      </w:pPr>
    </w:p>
    <w:p w14:paraId="2E1FAC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 xml:space="preserve">        乙方：   供应单位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p>
    <w:p w14:paraId="10206FD8">
      <w:pPr>
        <w:ind w:firstLine="560" w:firstLineChars="200"/>
        <w:rPr>
          <w:rFonts w:ascii="Times New Roman" w:hAnsi="Times New Roman" w:eastAsia="仿宋" w:cs="Times New Roman"/>
          <w:sz w:val="28"/>
          <w:szCs w:val="28"/>
          <w:highlight w:val="none"/>
        </w:rPr>
      </w:pPr>
    </w:p>
    <w:p w14:paraId="476F5B5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甲方代表签字：                            乙方代表签字</w:t>
      </w:r>
      <w:r>
        <w:rPr>
          <w:rFonts w:hint="eastAsia" w:ascii="Times New Roman" w:hAnsi="Times New Roman" w:eastAsia="仿宋" w:cs="Times New Roman"/>
          <w:sz w:val="28"/>
          <w:szCs w:val="28"/>
          <w:highlight w:val="none"/>
          <w:lang w:eastAsia="zh-CN"/>
        </w:rPr>
        <w:t>：</w:t>
      </w:r>
    </w:p>
    <w:p w14:paraId="16107A24">
      <w:pPr>
        <w:ind w:firstLine="4200" w:firstLineChars="1500"/>
        <w:rPr>
          <w:rFonts w:ascii="Times New Roman" w:hAnsi="Times New Roman" w:eastAsia="仿宋" w:cs="Times New Roman"/>
          <w:sz w:val="28"/>
          <w:szCs w:val="28"/>
          <w:highlight w:val="none"/>
        </w:rPr>
      </w:pPr>
    </w:p>
    <w:p w14:paraId="112A86E1">
      <w:pPr>
        <w:jc w:val="right"/>
        <w:rPr>
          <w:rStyle w:val="33"/>
          <w:rFonts w:ascii="Times New Roman" w:hAnsi="Times New Roman" w:eastAsia="宋体" w:cs="Times New Roman"/>
          <w:b/>
          <w:bCs/>
          <w:sz w:val="32"/>
          <w:szCs w:val="32"/>
          <w:highlight w:val="none"/>
        </w:rPr>
      </w:pPr>
      <w:r>
        <w:rPr>
          <w:rFonts w:ascii="Times New Roman" w:hAnsi="Times New Roman" w:cs="Times New Roman"/>
          <w:highlight w:val="none"/>
        </w:rPr>
        <w:t>年   月   日</w:t>
      </w:r>
    </w:p>
    <w:p w14:paraId="27852A60">
      <w:pPr>
        <w:pStyle w:val="26"/>
        <w:rPr>
          <w:rFonts w:ascii="Times New Roman" w:hAnsi="Times New Roman"/>
          <w:highlight w:val="none"/>
        </w:rPr>
      </w:pPr>
    </w:p>
    <w:sectPr>
      <w:headerReference r:id="rId7" w:type="default"/>
      <w:footerReference r:id="rId8"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AE81521-3831-45A7-91A1-93144CE49C3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BFDC6D1-C94E-42A7-BF4F-414D635EF9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91B5C2F-957B-43E2-BAE3-3A1A5C2B35D0}"/>
  </w:font>
  <w:font w:name="仿宋">
    <w:panose1 w:val="02010609060101010101"/>
    <w:charset w:val="86"/>
    <w:family w:val="modern"/>
    <w:pitch w:val="default"/>
    <w:sig w:usb0="800002BF" w:usb1="38CF7CFA" w:usb2="00000016" w:usb3="00000000" w:csb0="00040001" w:csb1="00000000"/>
    <w:embedRegular r:id="rId4" w:fontKey="{332583FB-E7E7-4E98-A5EC-9F513493A65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95303FFC-30D9-49B4-AF73-7D018CB94855}"/>
  </w:font>
  <w:font w:name="Segoe UI Symbol">
    <w:panose1 w:val="020B0502040204020203"/>
    <w:charset w:val="00"/>
    <w:family w:val="swiss"/>
    <w:pitch w:val="default"/>
    <w:sig w:usb0="800001E3" w:usb1="1200FFEF" w:usb2="00040000" w:usb3="04000000" w:csb0="00000001" w:csb1="40000000"/>
    <w:embedRegular r:id="rId6" w:fontKey="{B61D060E-A561-48BA-956D-68969A42CCDB}"/>
  </w:font>
  <w:font w:name="Wingdings 2">
    <w:altName w:val="Wingdings"/>
    <w:panose1 w:val="05020102010507070707"/>
    <w:charset w:val="4D"/>
    <w:family w:val="decorative"/>
    <w:pitch w:val="default"/>
    <w:sig w:usb0="00000000" w:usb1="00000000" w:usb2="00000000" w:usb3="00000000" w:csb0="80000001" w:csb1="00000000"/>
    <w:embedRegular r:id="rId7" w:fontKey="{FF50C78F-2A0F-4DF0-8EE3-F9F07D9EC3B2}"/>
  </w:font>
  <w:font w:name="Songti SC">
    <w:altName w:val="宋体"/>
    <w:panose1 w:val="02010600040101010101"/>
    <w:charset w:val="86"/>
    <w:family w:val="auto"/>
    <w:pitch w:val="default"/>
    <w:sig w:usb0="00000000" w:usb1="00000000" w:usb2="00000010" w:usb3="00000000" w:csb0="0004009F" w:csb1="00000000"/>
    <w:embedRegular r:id="rId8" w:fontKey="{100DCF76-47BA-451C-8ED8-F5B5006B467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6B34">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9E96B34">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0B880">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6">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6"/>
  </w:num>
  <w:num w:numId="4">
    <w:abstractNumId w:val="25"/>
  </w:num>
  <w:num w:numId="5">
    <w:abstractNumId w:val="11"/>
  </w:num>
  <w:num w:numId="6">
    <w:abstractNumId w:val="2"/>
  </w:num>
  <w:num w:numId="7">
    <w:abstractNumId w:val="1"/>
  </w:num>
  <w:num w:numId="8">
    <w:abstractNumId w:val="0"/>
  </w:num>
  <w:num w:numId="9">
    <w:abstractNumId w:val="4"/>
  </w:num>
  <w:num w:numId="10">
    <w:abstractNumId w:val="7"/>
  </w:num>
  <w:num w:numId="11">
    <w:abstractNumId w:val="22"/>
  </w:num>
  <w:num w:numId="12">
    <w:abstractNumId w:val="5"/>
  </w:num>
  <w:num w:numId="13">
    <w:abstractNumId w:val="26"/>
  </w:num>
  <w:num w:numId="14">
    <w:abstractNumId w:val="24"/>
  </w:num>
  <w:num w:numId="15">
    <w:abstractNumId w:val="19"/>
  </w:num>
  <w:num w:numId="16">
    <w:abstractNumId w:val="8"/>
  </w:num>
  <w:num w:numId="17">
    <w:abstractNumId w:val="12"/>
  </w:num>
  <w:num w:numId="18">
    <w:abstractNumId w:val="6"/>
  </w:num>
  <w:num w:numId="19">
    <w:abstractNumId w:val="15"/>
  </w:num>
  <w:num w:numId="20">
    <w:abstractNumId w:val="23"/>
  </w:num>
  <w:num w:numId="21">
    <w:abstractNumId w:val="21"/>
  </w:num>
  <w:num w:numId="22">
    <w:abstractNumId w:val="17"/>
  </w:num>
  <w:num w:numId="23">
    <w:abstractNumId w:val="14"/>
  </w:num>
  <w:num w:numId="24">
    <w:abstractNumId w:val="9"/>
  </w:num>
  <w:num w:numId="25">
    <w:abstractNumId w:val="18"/>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3601"/>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42251C"/>
    <w:rsid w:val="0168325F"/>
    <w:rsid w:val="01A1683A"/>
    <w:rsid w:val="01AC5842"/>
    <w:rsid w:val="01D50A7C"/>
    <w:rsid w:val="01EA636A"/>
    <w:rsid w:val="01FF7230"/>
    <w:rsid w:val="023C235A"/>
    <w:rsid w:val="024C0DD3"/>
    <w:rsid w:val="03457CFC"/>
    <w:rsid w:val="035A25B5"/>
    <w:rsid w:val="03D1158F"/>
    <w:rsid w:val="041F679F"/>
    <w:rsid w:val="04BC1856"/>
    <w:rsid w:val="058C78B0"/>
    <w:rsid w:val="05E13064"/>
    <w:rsid w:val="05E51322"/>
    <w:rsid w:val="05FD48BE"/>
    <w:rsid w:val="06897EFF"/>
    <w:rsid w:val="07351E35"/>
    <w:rsid w:val="075B6BA0"/>
    <w:rsid w:val="078A573C"/>
    <w:rsid w:val="07EC1847"/>
    <w:rsid w:val="081952B3"/>
    <w:rsid w:val="082425D6"/>
    <w:rsid w:val="082C4FE6"/>
    <w:rsid w:val="083251D0"/>
    <w:rsid w:val="08326375"/>
    <w:rsid w:val="0837398B"/>
    <w:rsid w:val="083A1BBD"/>
    <w:rsid w:val="08473684"/>
    <w:rsid w:val="087150EF"/>
    <w:rsid w:val="08745B19"/>
    <w:rsid w:val="08EE39BE"/>
    <w:rsid w:val="093A3733"/>
    <w:rsid w:val="0A220AAD"/>
    <w:rsid w:val="0A5151D8"/>
    <w:rsid w:val="0A726EFC"/>
    <w:rsid w:val="0AAF1EFF"/>
    <w:rsid w:val="0ABF4C60"/>
    <w:rsid w:val="0B4508AE"/>
    <w:rsid w:val="0C120997"/>
    <w:rsid w:val="0C774C9E"/>
    <w:rsid w:val="0C965124"/>
    <w:rsid w:val="0CF161C9"/>
    <w:rsid w:val="0D26294C"/>
    <w:rsid w:val="0D3D37F2"/>
    <w:rsid w:val="0D5C636E"/>
    <w:rsid w:val="0D7D4536"/>
    <w:rsid w:val="0DA86300"/>
    <w:rsid w:val="0DF742E8"/>
    <w:rsid w:val="0E0B7FF0"/>
    <w:rsid w:val="0E5B6625"/>
    <w:rsid w:val="0EAC189D"/>
    <w:rsid w:val="0F07055B"/>
    <w:rsid w:val="0F5D2ECD"/>
    <w:rsid w:val="0FC14BAE"/>
    <w:rsid w:val="0FC401FA"/>
    <w:rsid w:val="101A497B"/>
    <w:rsid w:val="10432B4B"/>
    <w:rsid w:val="106F1380"/>
    <w:rsid w:val="10A15B58"/>
    <w:rsid w:val="10B244F7"/>
    <w:rsid w:val="110E1F50"/>
    <w:rsid w:val="11592BC4"/>
    <w:rsid w:val="117A5014"/>
    <w:rsid w:val="127F05A0"/>
    <w:rsid w:val="12850868"/>
    <w:rsid w:val="1299771C"/>
    <w:rsid w:val="12BC165D"/>
    <w:rsid w:val="12F157AA"/>
    <w:rsid w:val="130A5001"/>
    <w:rsid w:val="13685340"/>
    <w:rsid w:val="136D78F8"/>
    <w:rsid w:val="13806B2E"/>
    <w:rsid w:val="13AC16D1"/>
    <w:rsid w:val="13C24A51"/>
    <w:rsid w:val="14221993"/>
    <w:rsid w:val="144B0EEA"/>
    <w:rsid w:val="14A32AD4"/>
    <w:rsid w:val="150E4F8E"/>
    <w:rsid w:val="15567E5A"/>
    <w:rsid w:val="15CC4977"/>
    <w:rsid w:val="16077093"/>
    <w:rsid w:val="162A4F7D"/>
    <w:rsid w:val="16A82A66"/>
    <w:rsid w:val="16DE6045"/>
    <w:rsid w:val="16DE614F"/>
    <w:rsid w:val="17233056"/>
    <w:rsid w:val="17826121"/>
    <w:rsid w:val="18316649"/>
    <w:rsid w:val="18E216F1"/>
    <w:rsid w:val="1954595C"/>
    <w:rsid w:val="1994787E"/>
    <w:rsid w:val="1A7226F6"/>
    <w:rsid w:val="1A82318C"/>
    <w:rsid w:val="1B0B27A2"/>
    <w:rsid w:val="1B28127C"/>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D615C"/>
    <w:rsid w:val="1FCE373D"/>
    <w:rsid w:val="1FE21EC2"/>
    <w:rsid w:val="1FF95C9E"/>
    <w:rsid w:val="209239FD"/>
    <w:rsid w:val="20CF13CE"/>
    <w:rsid w:val="215D225D"/>
    <w:rsid w:val="21B53E47"/>
    <w:rsid w:val="22935D1D"/>
    <w:rsid w:val="23636EA1"/>
    <w:rsid w:val="2393373D"/>
    <w:rsid w:val="23B24AE2"/>
    <w:rsid w:val="23D4489F"/>
    <w:rsid w:val="23D83E1C"/>
    <w:rsid w:val="24466FD8"/>
    <w:rsid w:val="24727DCD"/>
    <w:rsid w:val="25186BC6"/>
    <w:rsid w:val="252B6033"/>
    <w:rsid w:val="25537BFE"/>
    <w:rsid w:val="25A95A70"/>
    <w:rsid w:val="25F95EEC"/>
    <w:rsid w:val="262001B9"/>
    <w:rsid w:val="264F486A"/>
    <w:rsid w:val="271635BC"/>
    <w:rsid w:val="272F6AF6"/>
    <w:rsid w:val="274F2647"/>
    <w:rsid w:val="277B343D"/>
    <w:rsid w:val="27B87AF9"/>
    <w:rsid w:val="27DA0163"/>
    <w:rsid w:val="27E80EA9"/>
    <w:rsid w:val="27FD02F5"/>
    <w:rsid w:val="280414A1"/>
    <w:rsid w:val="28570368"/>
    <w:rsid w:val="28A27020"/>
    <w:rsid w:val="28E14F1E"/>
    <w:rsid w:val="28F15BC1"/>
    <w:rsid w:val="29C5318E"/>
    <w:rsid w:val="29F32A64"/>
    <w:rsid w:val="2A142F93"/>
    <w:rsid w:val="2A73489F"/>
    <w:rsid w:val="2A81391B"/>
    <w:rsid w:val="2AD81CCC"/>
    <w:rsid w:val="2B502F98"/>
    <w:rsid w:val="2BE05F64"/>
    <w:rsid w:val="2C9A0A9E"/>
    <w:rsid w:val="2D2F2FAF"/>
    <w:rsid w:val="2DA70D65"/>
    <w:rsid w:val="2DBC4548"/>
    <w:rsid w:val="2E3D31FA"/>
    <w:rsid w:val="2E693FEF"/>
    <w:rsid w:val="2E9C2616"/>
    <w:rsid w:val="2F575E37"/>
    <w:rsid w:val="2FEF6776"/>
    <w:rsid w:val="30136908"/>
    <w:rsid w:val="30E31FB7"/>
    <w:rsid w:val="31322DBE"/>
    <w:rsid w:val="32165D3B"/>
    <w:rsid w:val="325356E2"/>
    <w:rsid w:val="32CB34CA"/>
    <w:rsid w:val="332B5D17"/>
    <w:rsid w:val="333F7A14"/>
    <w:rsid w:val="3427766B"/>
    <w:rsid w:val="343706EB"/>
    <w:rsid w:val="34713BFD"/>
    <w:rsid w:val="34830DA6"/>
    <w:rsid w:val="35154C31"/>
    <w:rsid w:val="351A08D0"/>
    <w:rsid w:val="35805CB0"/>
    <w:rsid w:val="35A26038"/>
    <w:rsid w:val="35A41DB0"/>
    <w:rsid w:val="35BC70FA"/>
    <w:rsid w:val="35F7727D"/>
    <w:rsid w:val="36334CE5"/>
    <w:rsid w:val="36D52B69"/>
    <w:rsid w:val="3701395E"/>
    <w:rsid w:val="37920A5A"/>
    <w:rsid w:val="37BE35FD"/>
    <w:rsid w:val="380A6843"/>
    <w:rsid w:val="382B5F8F"/>
    <w:rsid w:val="391E6AEA"/>
    <w:rsid w:val="393671C3"/>
    <w:rsid w:val="3A3F1B1E"/>
    <w:rsid w:val="3A551407"/>
    <w:rsid w:val="3A5C0EAC"/>
    <w:rsid w:val="3B033C36"/>
    <w:rsid w:val="3B9C7486"/>
    <w:rsid w:val="3BEE6DEE"/>
    <w:rsid w:val="3C333E8E"/>
    <w:rsid w:val="3C8A61A4"/>
    <w:rsid w:val="3C97266F"/>
    <w:rsid w:val="3CAB1C76"/>
    <w:rsid w:val="3CB90F2D"/>
    <w:rsid w:val="3CDC1B7D"/>
    <w:rsid w:val="3CE05DC4"/>
    <w:rsid w:val="3CEE6201"/>
    <w:rsid w:val="3D080C3E"/>
    <w:rsid w:val="3D385C00"/>
    <w:rsid w:val="3D96160A"/>
    <w:rsid w:val="3DBF7BA4"/>
    <w:rsid w:val="3E57579A"/>
    <w:rsid w:val="3E5D4E8E"/>
    <w:rsid w:val="3EF618CF"/>
    <w:rsid w:val="3FE25336"/>
    <w:rsid w:val="40073668"/>
    <w:rsid w:val="40866C82"/>
    <w:rsid w:val="40C31C84"/>
    <w:rsid w:val="41076015"/>
    <w:rsid w:val="42075FF8"/>
    <w:rsid w:val="422C3859"/>
    <w:rsid w:val="425863FC"/>
    <w:rsid w:val="42842020"/>
    <w:rsid w:val="42876CE2"/>
    <w:rsid w:val="42F51E9D"/>
    <w:rsid w:val="43EA7528"/>
    <w:rsid w:val="44055BE3"/>
    <w:rsid w:val="44150A49"/>
    <w:rsid w:val="4416656F"/>
    <w:rsid w:val="444340B2"/>
    <w:rsid w:val="44E81B7F"/>
    <w:rsid w:val="4513485D"/>
    <w:rsid w:val="452D721B"/>
    <w:rsid w:val="460F14C8"/>
    <w:rsid w:val="46181376"/>
    <w:rsid w:val="468567BB"/>
    <w:rsid w:val="46C73C2B"/>
    <w:rsid w:val="4734568A"/>
    <w:rsid w:val="476060E7"/>
    <w:rsid w:val="4782487D"/>
    <w:rsid w:val="47B71E17"/>
    <w:rsid w:val="49A10689"/>
    <w:rsid w:val="49D56585"/>
    <w:rsid w:val="49FC25C6"/>
    <w:rsid w:val="4A052D2B"/>
    <w:rsid w:val="4A3D2AA8"/>
    <w:rsid w:val="4A475610"/>
    <w:rsid w:val="4A6A3171"/>
    <w:rsid w:val="4ABD5996"/>
    <w:rsid w:val="4B31068E"/>
    <w:rsid w:val="4B410375"/>
    <w:rsid w:val="4BA55220"/>
    <w:rsid w:val="4BAD0151"/>
    <w:rsid w:val="4BCA036B"/>
    <w:rsid w:val="4BD44D46"/>
    <w:rsid w:val="4BF453E8"/>
    <w:rsid w:val="4C184E09"/>
    <w:rsid w:val="4C2757BD"/>
    <w:rsid w:val="4C7E73A7"/>
    <w:rsid w:val="4C8F75A2"/>
    <w:rsid w:val="4D1D3E23"/>
    <w:rsid w:val="4DAD3AA0"/>
    <w:rsid w:val="4DAD4403"/>
    <w:rsid w:val="4E0336C0"/>
    <w:rsid w:val="4E6F0D56"/>
    <w:rsid w:val="4E8C008E"/>
    <w:rsid w:val="4E9B1B4B"/>
    <w:rsid w:val="4EA312FE"/>
    <w:rsid w:val="4EDC5ADC"/>
    <w:rsid w:val="4EE002CE"/>
    <w:rsid w:val="4FE47521"/>
    <w:rsid w:val="4FEF758C"/>
    <w:rsid w:val="501A6E72"/>
    <w:rsid w:val="501C4F0D"/>
    <w:rsid w:val="50201D6B"/>
    <w:rsid w:val="503A2AB3"/>
    <w:rsid w:val="506F0D66"/>
    <w:rsid w:val="50771A9C"/>
    <w:rsid w:val="51547E24"/>
    <w:rsid w:val="51C47F6D"/>
    <w:rsid w:val="52434EB9"/>
    <w:rsid w:val="52B256B5"/>
    <w:rsid w:val="52FB52AE"/>
    <w:rsid w:val="53424C8B"/>
    <w:rsid w:val="54063F0A"/>
    <w:rsid w:val="5455382C"/>
    <w:rsid w:val="547F7727"/>
    <w:rsid w:val="55342CF9"/>
    <w:rsid w:val="554674F7"/>
    <w:rsid w:val="55EC7130"/>
    <w:rsid w:val="560662B2"/>
    <w:rsid w:val="567B1A0A"/>
    <w:rsid w:val="57967CD6"/>
    <w:rsid w:val="57A96194"/>
    <w:rsid w:val="57D60097"/>
    <w:rsid w:val="589C07F4"/>
    <w:rsid w:val="58B23912"/>
    <w:rsid w:val="58DF07E2"/>
    <w:rsid w:val="59357973"/>
    <w:rsid w:val="59965D30"/>
    <w:rsid w:val="5A2A6479"/>
    <w:rsid w:val="5A3727CC"/>
    <w:rsid w:val="5A6307F6"/>
    <w:rsid w:val="5A847FD6"/>
    <w:rsid w:val="5AA47FD9"/>
    <w:rsid w:val="5B866118"/>
    <w:rsid w:val="5BA529F7"/>
    <w:rsid w:val="5C205D85"/>
    <w:rsid w:val="5C6043D4"/>
    <w:rsid w:val="5CCD2EB9"/>
    <w:rsid w:val="5D0A3490"/>
    <w:rsid w:val="5D7E0D39"/>
    <w:rsid w:val="5DDF2DD1"/>
    <w:rsid w:val="5DE057CC"/>
    <w:rsid w:val="5E2D4789"/>
    <w:rsid w:val="5E2E5CB0"/>
    <w:rsid w:val="5E490A40"/>
    <w:rsid w:val="5E9D3F29"/>
    <w:rsid w:val="5EDF45D6"/>
    <w:rsid w:val="5F353859"/>
    <w:rsid w:val="5F64242D"/>
    <w:rsid w:val="5F893C41"/>
    <w:rsid w:val="5FB63195"/>
    <w:rsid w:val="60384CD1"/>
    <w:rsid w:val="60557590"/>
    <w:rsid w:val="60655808"/>
    <w:rsid w:val="606C7EF8"/>
    <w:rsid w:val="608E1541"/>
    <w:rsid w:val="60A40713"/>
    <w:rsid w:val="60F86CEE"/>
    <w:rsid w:val="612B495E"/>
    <w:rsid w:val="617D1584"/>
    <w:rsid w:val="6220263B"/>
    <w:rsid w:val="62BB2364"/>
    <w:rsid w:val="63A9427A"/>
    <w:rsid w:val="63D462B1"/>
    <w:rsid w:val="63E678B4"/>
    <w:rsid w:val="63FF44D2"/>
    <w:rsid w:val="641A3596"/>
    <w:rsid w:val="64C00105"/>
    <w:rsid w:val="64C36D7E"/>
    <w:rsid w:val="64D96647"/>
    <w:rsid w:val="64F90F01"/>
    <w:rsid w:val="651B2C0F"/>
    <w:rsid w:val="655B51E5"/>
    <w:rsid w:val="65E40ADA"/>
    <w:rsid w:val="66330B86"/>
    <w:rsid w:val="66967370"/>
    <w:rsid w:val="66E22203"/>
    <w:rsid w:val="677B6565"/>
    <w:rsid w:val="67AB0BF9"/>
    <w:rsid w:val="68B812C9"/>
    <w:rsid w:val="694A4441"/>
    <w:rsid w:val="698536CB"/>
    <w:rsid w:val="69D50CF4"/>
    <w:rsid w:val="69D73D89"/>
    <w:rsid w:val="69FF522C"/>
    <w:rsid w:val="6A535578"/>
    <w:rsid w:val="6ABD3784"/>
    <w:rsid w:val="6AE34B4E"/>
    <w:rsid w:val="6BBB1173"/>
    <w:rsid w:val="6C487AFD"/>
    <w:rsid w:val="6C8664BC"/>
    <w:rsid w:val="6CB24363"/>
    <w:rsid w:val="6D3E7C18"/>
    <w:rsid w:val="6D716441"/>
    <w:rsid w:val="6DBB3A8B"/>
    <w:rsid w:val="6DE573D0"/>
    <w:rsid w:val="6E027099"/>
    <w:rsid w:val="6E6547C4"/>
    <w:rsid w:val="6E721F63"/>
    <w:rsid w:val="6EA93466"/>
    <w:rsid w:val="6EBE56B6"/>
    <w:rsid w:val="6EFF37D8"/>
    <w:rsid w:val="6F146151"/>
    <w:rsid w:val="6F276F27"/>
    <w:rsid w:val="6F7D4948"/>
    <w:rsid w:val="6F960C48"/>
    <w:rsid w:val="6FCF0795"/>
    <w:rsid w:val="6FE70C3C"/>
    <w:rsid w:val="700560CB"/>
    <w:rsid w:val="70643A4D"/>
    <w:rsid w:val="70C90342"/>
    <w:rsid w:val="70F10A19"/>
    <w:rsid w:val="7105409D"/>
    <w:rsid w:val="71381023"/>
    <w:rsid w:val="7161057A"/>
    <w:rsid w:val="71F4213D"/>
    <w:rsid w:val="732B6917"/>
    <w:rsid w:val="735465E8"/>
    <w:rsid w:val="73714961"/>
    <w:rsid w:val="74060F7A"/>
    <w:rsid w:val="749D3FBF"/>
    <w:rsid w:val="74D27DA9"/>
    <w:rsid w:val="74D925D0"/>
    <w:rsid w:val="74F17E67"/>
    <w:rsid w:val="754825D6"/>
    <w:rsid w:val="754D1D92"/>
    <w:rsid w:val="75676A2A"/>
    <w:rsid w:val="758350A9"/>
    <w:rsid w:val="75A1363B"/>
    <w:rsid w:val="75AB44BA"/>
    <w:rsid w:val="75DE488F"/>
    <w:rsid w:val="76EE55AC"/>
    <w:rsid w:val="773521BD"/>
    <w:rsid w:val="778B3F6A"/>
    <w:rsid w:val="77BE6726"/>
    <w:rsid w:val="77EE068E"/>
    <w:rsid w:val="78412EB3"/>
    <w:rsid w:val="78713799"/>
    <w:rsid w:val="788B412F"/>
    <w:rsid w:val="78AA2807"/>
    <w:rsid w:val="79687E1D"/>
    <w:rsid w:val="7B560FD7"/>
    <w:rsid w:val="7B5F74F8"/>
    <w:rsid w:val="7B690630"/>
    <w:rsid w:val="7BC01667"/>
    <w:rsid w:val="7BD0027A"/>
    <w:rsid w:val="7BFF10BB"/>
    <w:rsid w:val="7C5123F4"/>
    <w:rsid w:val="7C6D24C9"/>
    <w:rsid w:val="7C7E6FA2"/>
    <w:rsid w:val="7D040AB6"/>
    <w:rsid w:val="7D4119E6"/>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38</Pages>
  <Words>4090</Words>
  <Characters>4266</Characters>
  <Lines>72</Lines>
  <Paragraphs>20</Paragraphs>
  <TotalTime>1</TotalTime>
  <ScaleCrop>false</ScaleCrop>
  <LinksUpToDate>false</LinksUpToDate>
  <CharactersWithSpaces>4338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2026-08-12T01:09:11Z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