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6DDE1">
      <w:pPr>
        <w:jc w:val="center"/>
        <w:rPr>
          <w:rFonts w:hint="default" w:ascii="仿宋_GB2312" w:hAnsi="仿宋_GB2312" w:eastAsia="仿宋_GB2312" w:cs="仿宋_GB2312"/>
          <w:b/>
          <w:sz w:val="30"/>
          <w:szCs w:val="30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  <w:t>四川省人民医院全院医用织物项目采购调研公告</w:t>
      </w:r>
    </w:p>
    <w:bookmarkEnd w:id="0"/>
    <w:p w14:paraId="6A76DA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24"/>
          <w:szCs w:val="24"/>
          <w:lang w:val="en-US" w:eastAsia="zh-CN"/>
        </w:rPr>
        <w:t>拟采购项目内容如下：</w:t>
      </w:r>
    </w:p>
    <w:p w14:paraId="6803BC5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一、织物制作要求：</w:t>
      </w:r>
    </w:p>
    <w:p w14:paraId="0CE0038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1.品类：满足且不限于清单所列品类；</w:t>
      </w:r>
    </w:p>
    <w:p w14:paraId="6FBB6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2.规格：满足且不限于清单所列规格；对所列规格需对其所对应的尺寸进行标注；</w:t>
      </w:r>
    </w:p>
    <w:p w14:paraId="3266A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3.颜色：满足且不限于清单所列颜色；中标人签订合同前提供色样卡供采购人选择；每件衣服含院徽和胸标印制，须采用环保热融转印和/或绣印，款式及颜色以采购人需求（中标后提供）为准。</w:t>
      </w:r>
    </w:p>
    <w:p w14:paraId="52113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4.布料质量：布料色泽柔和，手感柔软舒适，不起球。</w:t>
      </w:r>
    </w:p>
    <w:p w14:paraId="47D63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5.芯片：采用耦合、乳胶封装等技术保证性能稳定，具有可读可写（可往芯片内重复写入内容）功能，支持其它设备兼容性扫描，芯片发射信号对人体无害，具有抗磁干扰性能， 耐高温洗涤（不低于80℃,200次）,耐高温熨烫（不低于180℃、10秒,200次）,抗压力在常温下不低于60bar、高温（不低于80℃）条件下不低于2.0bar,高温灭菌：135度，20分钟；化学性能：能经受正常工业洗涤流程中的所有化料；安全使用频次不低于200次或3年。此类芯片为开放产品。（提供带CMA标识的检测报告复印件加盖投标人公章）。</w:t>
      </w:r>
    </w:p>
    <w:p w14:paraId="4260B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6.标签：复合纸材，具有可读写可视功能，标贴上追溯信息保存年限&gt;三年；经过灭菌程序后仍有足够粘性用于留档粘贴；产品应具有安全评价报告备案凭证，标签材质符合国家标准并且满足：180°剥离强度平均值4.1(N/cm)、90°剥离强度平均值3.6(N/cm);拉伸强度平均值75.26(X/10mm)、持粘性平均值&gt;322(s);初粘性7#球。</w:t>
      </w:r>
    </w:p>
    <w:p w14:paraId="6E9F3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二、生产设备要求：</w:t>
      </w:r>
    </w:p>
    <w:p w14:paraId="1F616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1.投标人能保障本项目生产要求的裁剪操作台、缝纫设备、熨烫台、印制设备；</w:t>
      </w:r>
    </w:p>
    <w:p w14:paraId="2E847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2.投标人具备满足本项目的货物运送工具。</w:t>
      </w:r>
    </w:p>
    <w:p w14:paraId="7C584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三、生产工艺要求：</w:t>
      </w:r>
    </w:p>
    <w:p w14:paraId="614644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1.外观：外观挺直，无色差、无异渍，各部位长短、大小、宽窄、对称一致，版型结构合理。</w:t>
      </w:r>
    </w:p>
    <w:p w14:paraId="27D17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2.裁剪工艺：面料裁剪纱线符合标准规范，裁剪均匀，无毛边，疵点，裁剪平整无跳纱。</w:t>
      </w:r>
    </w:p>
    <w:p w14:paraId="15332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3.缝纫工艺：针距细密，线迹均匀美观，顺直平整、不扭曲、不起皱、底、面线迹均匀，不跳针、不浮线，不断线、无线头，锁眼整齐光洁。</w:t>
      </w:r>
    </w:p>
    <w:p w14:paraId="3B152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4.包括且不限于对指定产品（清单中1-43项）进行标识、芯片、可视标签等缝制，符合缝制规范。</w:t>
      </w:r>
    </w:p>
    <w:p w14:paraId="538BE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四、生产资料要求：</w:t>
      </w:r>
    </w:p>
    <w:p w14:paraId="2923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1.中标人从项目实施之日起，应做好生产资料的充分储备，不得因备货不足影响供货周期。</w:t>
      </w:r>
    </w:p>
    <w:p w14:paraId="3446E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2.对采购清单内主要织物品类（含床品、病员服、手术类）材料备货不得少于10000米，其他织物品类材料备货不得少于1000米，辅材（含纽扣、缝线、松紧袖口、预制标识等）备货齐备。</w:t>
      </w:r>
    </w:p>
    <w:p w14:paraId="2F43D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3.工服备件不少于1000件。</w:t>
      </w:r>
    </w:p>
    <w:p w14:paraId="3014F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五、配送服务要求：</w:t>
      </w:r>
    </w:p>
    <w:p w14:paraId="4DE8A5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1.提供配送服务方案（含管理制度、配送人员及车辆配置运输方案、配送时限），专人负责与采购人联系售后服务事宜。</w:t>
      </w:r>
    </w:p>
    <w:p w14:paraId="203C7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2.配送时效与要求</w:t>
      </w:r>
    </w:p>
    <w:p w14:paraId="4274D4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一般配送：单次数量&lt;500件的订单，供应商须在接到通知后 15个工作日内完成制作并配送到指定院区。</w:t>
      </w:r>
    </w:p>
    <w:p w14:paraId="107F8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大宗订单： 针对制作，单次数量≥500件的订单，供应商须在 30个工作日内完成制作并配送。</w:t>
      </w:r>
    </w:p>
    <w:p w14:paraId="633DD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应急配送： 遇医院突发公共卫生事件或紧急调配，供应商需在 1小时内响应，并在 4小时内 满足配送需求，且需配备足够的应急运输车辆。</w:t>
      </w:r>
    </w:p>
    <w:p w14:paraId="12F66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3.配送范围</w:t>
      </w:r>
    </w:p>
    <w:p w14:paraId="284C3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服务区域： 必须覆盖四川省人民医院 本部、草堂院区、龙泉院区、温江院区 等所有指定地点。</w:t>
      </w:r>
    </w:p>
    <w:p w14:paraId="0CC4BA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4.交接规范：</w:t>
      </w:r>
    </w:p>
    <w:p w14:paraId="68E9E2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供应商需按院区、科室分别打包或分拣，外包装需标明“四川省人民医院-XX院区-XX科室”。配送人员需配合医院仓管人员进行现场清点，确保账物相符。对于不合格产品，需在5个工作日内完成退换货。</w:t>
      </w:r>
    </w:p>
    <w:p w14:paraId="16AF76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5.质量与追溯文件随货同行</w:t>
      </w:r>
    </w:p>
    <w:p w14:paraId="2F9CD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质检报告： 每批次大宗订单（≥500件次）必须随货附带由具备 CMA资质 的第三方检测机构出具的材料质检报告。</w:t>
      </w:r>
    </w:p>
    <w:p w14:paraId="05DBD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追溯信息：前序采购人要求的织物必须预先植入RFID芯片，确保在配送交接时可进行快速扫描盘点。</w:t>
      </w:r>
    </w:p>
    <w:p w14:paraId="1115F6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退换货</w:t>
      </w: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建立不合格品退换货机制，对于验收不合格的产品（如色差、尺寸不符、芯片失效等），供应商需提供上门取货服务，并在5个工作日内补送合格产品。</w:t>
      </w:r>
    </w:p>
    <w:p w14:paraId="45EB261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售后服务方案</w:t>
      </w:r>
    </w:p>
    <w:p w14:paraId="01B93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1.产品验收合格后，质保期不低于1年，质保期内，若产品出现质量问题，供应商在1小时内响应，2小时内提供解决方案，30日内根据采购人要求或合同履约条款进行更换。质保期内如发现产品存在设计质量问题，由中标人负责解决并承担有关费用。</w:t>
      </w:r>
    </w:p>
    <w:p w14:paraId="6CE61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2.中标人应具有售后服务能力，在对产品的如期交货、及时解决售后质量问题等方面具有支持。在每批次供货时，若中标人存在不能满足投标文件中的承诺的情况，采购人有权终止接收该批次货物，并有权要求中标人在30日内完全履行承诺。若中标人出现3次不能完全履行承诺的情况，采购人有权无偿终止合同。</w:t>
      </w:r>
    </w:p>
    <w:p w14:paraId="3B7D29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</w:p>
    <w:p w14:paraId="63634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24"/>
          <w:szCs w:val="24"/>
          <w:lang w:val="en-US" w:eastAsia="zh-CN"/>
        </w:rPr>
        <w:t>参数技术如下：</w:t>
      </w:r>
    </w:p>
    <w:tbl>
      <w:tblPr>
        <w:tblStyle w:val="4"/>
        <w:tblW w:w="76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238"/>
        <w:gridCol w:w="1749"/>
        <w:gridCol w:w="4712"/>
      </w:tblGrid>
      <w:tr w14:paraId="2ADDB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7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0D20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023E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3180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67A5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面料参数要求</w:t>
            </w:r>
          </w:p>
        </w:tc>
      </w:tr>
      <w:tr w14:paraId="27263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61D8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AA4B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长袖短装1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F63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8C5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工服冬装系列（涤棉半线卡）：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▲成份：65%（±5%）聚酯纤维 ，35%（±5%）棉；纱支：45s/2±2s(13tex±2tex×2）*21.0s±2s(28tex±2tex)；密度：经向密度568根/10cm±5根/10cm，纬向密度275根/10cm±5根/10cm；单位面积质量：243g/㎡（±3g/㎡）。（提供带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MA标志的第三方检测机构检测报告）。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pH值：4.0-8.5；甲醛含量≤75mg/kg。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 断裂强力：经向≥1800N，纬向≥950N。</w:t>
            </w:r>
          </w:p>
        </w:tc>
      </w:tr>
      <w:tr w14:paraId="5A0A1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22CA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FF79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长袖长装1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2603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4CE75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CEE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3C7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DE9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裤装1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01E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10A86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AEE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DC3A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530F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短袖短装1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14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631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工服夏装系列（涤棉半线府）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▲成份：65%（±5%）聚酯纤维 ，35%（±5%）棉；纱支：42s/2±2s（13tex±2tex×2）*21s±2s（27tex±2tex）；密度：经向密度340根/10cm±5根/10cm，纬向密度249根/10cm±5根/10cm；单位面积质量：173g/㎡（±3g/㎡）。（提供带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  <w:t>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MA标志第三方检测机构检测报告）。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PH值范围：4.0-8.5，甲醛含量≤75mg/kg。</w:t>
            </w:r>
          </w:p>
        </w:tc>
      </w:tr>
      <w:tr w14:paraId="5D88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9B70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2615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短袖长装1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A1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0FC6CC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74E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73D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15FB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长袖短装2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DE2E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D4E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工服冬装系列（导电丝防静电）：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 成份：85%聚酯纤维 ，15%棉；纱支：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径向：45s/2±3s；经向密度215根±5根/英寸，纬向密度115根±5根/英寸；静电性能（洗前）：≤7.0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3. pH值：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4.0-8.5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；甲醛含量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≤75mg/kg；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4. 断裂强力：经向≥1800N，纬向≥950N。</w:t>
            </w:r>
          </w:p>
        </w:tc>
      </w:tr>
      <w:tr w14:paraId="650BA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69F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164B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长袖长装2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7D8C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A4072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DE2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57B8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4CB3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裤装2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5D6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1E031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6BA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4E6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59D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短袖短装2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9053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36FA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工服夏装系列（导电丝防静电）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 成份：90%（±5%）聚酯纤维 ，10%（±5%）棉；纱支：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径向：32s/2±3s；经向密度165根±5根/英寸m，纬向密度100根/10cm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；静电性能（洗前）：</w:t>
            </w: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≤7.0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。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3. pH值：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4.0-8.5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；甲醛含量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≤75mg/kg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；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4. 断裂强力：经向≥1800N，纬向≥950N</w:t>
            </w:r>
          </w:p>
        </w:tc>
      </w:tr>
      <w:tr w14:paraId="7ABAD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B0A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758C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短袖长装2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AE5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5E15CA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0A1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3BD5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7AB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被套1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E03A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240*160cm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E3F2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床品系列1（缎条）：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成份：100%棉；纱支：35s±2s（17.0tex±2tex)*32s±2s(18tex±2tex)；密度：经向密度596根/10cm（±5根/10cm），纬向密度329根/10cm（±5根/10cm）；单位面积质量168g/㎡（±3g/㎡）。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色牢度：耐水色牢度≥3级，耐干摩擦色牢度≥3级，、</w:t>
            </w:r>
            <w:r>
              <w:rPr>
                <w:rFonts w:ascii="仿宋_GB2312" w:hAnsi="仿宋_GB2312" w:eastAsia="仿宋_GB2312" w:cs="仿宋_GB2312"/>
                <w:sz w:val="21"/>
              </w:rPr>
              <w:t>耐酸汗渍色牢度≥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3</w:t>
            </w:r>
            <w:r>
              <w:rPr>
                <w:rFonts w:ascii="仿宋_GB2312" w:hAnsi="仿宋_GB2312" w:eastAsia="仿宋_GB2312" w:cs="仿宋_GB2312"/>
                <w:sz w:val="21"/>
              </w:rPr>
              <w:t>级；耐碱汗渍色牢度≥</w:t>
            </w:r>
            <w:r>
              <w:rPr>
                <w:rFonts w:hint="eastAsia" w:ascii="仿宋_GB2312" w:hAnsi="仿宋_GB2312" w:eastAsia="仿宋_GB2312" w:cs="仿宋_GB2312"/>
                <w:sz w:val="21"/>
                <w:lang w:val="en-US" w:eastAsia="zh-CN"/>
              </w:rPr>
              <w:t>3</w:t>
            </w:r>
            <w:r>
              <w:rPr>
                <w:rFonts w:ascii="仿宋_GB2312" w:hAnsi="仿宋_GB2312" w:eastAsia="仿宋_GB2312" w:cs="仿宋_GB2312"/>
                <w:sz w:val="21"/>
              </w:rPr>
              <w:t>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。提供带CMA标志第三方检测机构检测报告）。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pH值：4.0-8.5，甲醛含量≤75mg/kg。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 断裂强力：经向≥790N，纬向≥450N。</w:t>
            </w:r>
          </w:p>
        </w:tc>
      </w:tr>
      <w:tr w14:paraId="3BF62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427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BF60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被套2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7C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100*100cm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C5B46B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C77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82D4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6AB4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床罩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E4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210*100*20*20cm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6E9A2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F98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9E88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E409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床单1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357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290*180cm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1B2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床品系列2含各种杂件（平布）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1.成份：100%棉；纱支：42s±2s(14tex±2tex)*42s±2s(14tex±2tex) ， 密度：经向密度534根/10cm（±5根/10cm），纬向密度340根/10cm（±5根/10cm）；单位面积质量≥130g/㎡（±3g/㎡）。提供带CMA标志第三方检测机构检测报告）。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2.耐次氯酸盐漂白色牢度≥4级。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3.pH值：4.0-8.5，甲醛含量≤75mg/kg。</w:t>
            </w:r>
          </w:p>
        </w:tc>
      </w:tr>
      <w:tr w14:paraId="04750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31B5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4C49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床单2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E71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双层，110*75cm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56785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898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EB3F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12FC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床单3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46D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双层，180*100cm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24A8E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2FD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E00D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2C40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中单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AC7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200*100cm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832E1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C73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B23B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4476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枕套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7C3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80*53cm（满足定制）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08F4C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84F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631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BFB2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病人衣1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E61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成人短款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ED0710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214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1B2E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3C5A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病人衣2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BF25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成人长款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BF1F8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F80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B24C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9D12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病人衣3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EF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儿童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D98ECC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41A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5426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4A5F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病人裤1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941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成人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EC6BC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2E5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5A7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D31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病人裤2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768A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儿童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85481B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D7A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B2E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7B08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包布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BE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双层、无拼接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948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手术室系列1（无尘面料）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 ▲成份：100%棉；纱支：26tex±3tex*26tex±3tex；密度：经向密度：133根±5/10cm，纬向密度：70根±5/10cm；单位面积质量≥180g/㎡（±3g/㎡）。（提供带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MA标志第三方检测机构检测报告）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 耐次氯酸盐漂白色牢度≥4级。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3. pH值：4.0-8.5，甲醛含量≤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mg/kg。</w:t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.干态落絮系数≤4.0</w:t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5.包布、刀帕、盆布、眼科单、有孔单等成品无拼接。</w:t>
            </w:r>
          </w:p>
        </w:tc>
      </w:tr>
      <w:tr w14:paraId="3A239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1A54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ED54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刀帕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EEE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54AE2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15F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E614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E215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盆布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7BBF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4C163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10A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47E6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F1A9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桌布2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983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33BE4B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796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E237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6FA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眼科单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9671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90CCF5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E52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EB7C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663A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有孔单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93B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41FBF4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1F7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2D03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9ED4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剖腹单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456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BE13AF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98A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DBC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0A64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开刀衣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0CD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E5D1F8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8D3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575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C7BB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脚桶1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7DD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单层110x73cm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FE2B3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EDB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6669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E906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脚桶2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E1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双层150*105cm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9A3B5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E1B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A288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B689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脚桶3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868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双层加填充物棉150*105cm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70B59D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81F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AEDF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02A0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洗手衣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EB7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433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手术室系列2（涤棉纱斜）：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▲成份：64.4%（±5%）聚酯纤维 ，35.6%（±5%）棉；纱支：32s±2s（18tex±2tex）*32s±2s（18tex±2tex）；密度：经向密度530根/10cm±5根/10cm，纬向密度260根/10cm±5根/10cm；单位面积质量：150g/㎡（±3g/㎡）。（提供带CMA标志第三方检测机构检测报告）。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PH值范围：4.0-8.5，甲醛含量≤75mg/kg。</w:t>
            </w:r>
          </w:p>
        </w:tc>
      </w:tr>
      <w:tr w14:paraId="3A8A1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B3C6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3DD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洗手裤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EC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D5C4D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A8F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BD04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51D8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V领长袖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C05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8078F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868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1728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FF06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加温衣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239C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双层S-XXXL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0FCA7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3F4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3D55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1773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体位套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512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30*13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55F5E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411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C739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219B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腰麻带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78C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823D9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AC7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31AB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9C2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手术衣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0C24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0BE0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▲手术室系列3（可重复用手术衣）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关键区域材料由上下两层为聚酯长丝纤维、导电丝纤维材料，中间层为聚氨酯（PU）或聚四氟乙烯（PTFE）的医用复合材料构成；非关键区域为聚酯长丝纤维、导电丝纤维织造而成。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阻微生物穿透：湿态产品关键区域≥2.8IB；（提供产品注册药监部门出具的检测报告）。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3.洁净度：微粒物质：关键区域≤3.OIPM，非关键区域≤3.OIPM；落絮：关键区域≤4.OLog10，非关键区域≤4.OLog10 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4.抗渗水性：关键区域每次使用≥100cmH20（提供药监部门出具的检测报告）；反复洗涤20次≥800cmH20，反复洗涤100次≥100cmH20（提供带CMA标志第三方检测机构检测报告）。</w:t>
            </w:r>
          </w:p>
        </w:tc>
      </w:tr>
      <w:tr w14:paraId="14BC5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FBDA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7103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隔离衣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56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907C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成份：关键区域100%聚酯纤维防水工艺处理，非关键区域100%棉。</w:t>
            </w:r>
          </w:p>
        </w:tc>
      </w:tr>
      <w:tr w14:paraId="379C0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A3C5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B280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探视服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EAF0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F6D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1.成份：100%聚酯纤维；</w:t>
            </w:r>
          </w:p>
          <w:p w14:paraId="6ECE7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★2.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pH值：4.0-8.5；甲醛含量≤75mg/kg。</w:t>
            </w:r>
          </w:p>
        </w:tc>
      </w:tr>
      <w:tr w14:paraId="05C78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3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2AC8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7FC5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窗帘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7C5B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79EC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成分：100%聚酯纤维；单位面积质量≥295g/㎡（±3g/㎡）。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PH值：4.0～9.0，甲醛含量≤300mg/kg，无异味，无可分解致癌芳香胺染料。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_GB2312" w:hAnsi="仿宋_GB2312" w:eastAsia="仿宋_GB2312" w:cs="仿宋_GB2312"/>
                <w:sz w:val="21"/>
                <w:lang w:eastAsia="zh-CN"/>
              </w:rPr>
              <w:t>。</w:t>
            </w:r>
          </w:p>
          <w:p w14:paraId="783FB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4.耐皂洗色牢度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、耐干洗色牢度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、耐热压色牢度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、耐光色牢度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、耐湿摩擦色牢度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 面料断裂强力经向≥1600N，纬向≥2200N。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 起球≥4级，防紫外线性能UPF≥50，T（UVA）＜1。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 ▲面料阻燃要求：氧指数≥32%；续燃时间≤5s ；阴燃时间≤5s；损毁长度≤120mm；燃烧滴落物：不能引起脱脂棉燃烧或阴燃；（提供带CMA标志第三方检测机构检测报告）</w:t>
            </w:r>
          </w:p>
        </w:tc>
      </w:tr>
      <w:tr w14:paraId="382DA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C7B2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A04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隔帘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6A1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804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1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 ▲成分：100%聚酯纤维；,单位面积干燥重量283g/㎡（±3g/㎡）；水洗尺寸变化率经向-0.8%（±-0.1%）；水洗尺寸变化率纬向-0.4%（±-0.1%）；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 PH值：4.0～9.0，甲醛含量≤300mg/kg，无异味，无可分解致癌芳香胺染料。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 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_GB2312" w:hAnsi="仿宋_GB2312" w:eastAsia="仿宋_GB2312" w:cs="仿宋_GB2312"/>
                <w:sz w:val="21"/>
                <w:lang w:eastAsia="zh-CN"/>
              </w:rPr>
              <w:t>。</w:t>
            </w:r>
          </w:p>
          <w:p w14:paraId="2EDD5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4.耐皂洗色牢度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、耐干洗色牢度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、耐热压色牢度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、耐光色牢度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、耐湿摩擦色牢度</w:t>
            </w:r>
            <w:r>
              <w:rPr>
                <w:rFonts w:ascii="仿宋_GB2312" w:hAnsi="仿宋_GB2312" w:eastAsia="仿宋_GB2312" w:cs="仿宋_GB2312"/>
                <w:sz w:val="21"/>
              </w:rPr>
              <w:t>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5.▲ 面料阻燃要求：氧指数≥32%；续燃时间≤5s ；阴燃时间≤5s；损毁长度≤120mm；燃烧滴落物：不能引起脱脂棉燃烧或阴燃。（提供带CMA标志第三方检测机构检测报告）。</w:t>
            </w:r>
          </w:p>
        </w:tc>
      </w:tr>
      <w:tr w14:paraId="1E068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91AB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66CB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窗纱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7E1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8C4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1.成分：聚酯纤维100%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2.pH值：4.0-9.0；甲醛含量≤300mg/kg，无异味，无可分解致癌芳香胺染料。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</w:tr>
      <w:tr w14:paraId="0C26D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98EB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D1FB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棉地垫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814A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471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14D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1.色牢度：</w:t>
            </w:r>
            <w:r>
              <w:rPr>
                <w:rFonts w:ascii="仿宋_GB2312" w:hAnsi="仿宋_GB2312" w:eastAsia="仿宋_GB2312" w:cs="仿宋_GB2312"/>
                <w:sz w:val="21"/>
              </w:rPr>
              <w:t>耐水色牢度≥3级；耐干摩擦色牢度≥3级；耐酸汗渍色牢度≥3级；耐碱汗渍色牢度≥3级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</w:tr>
      <w:tr w14:paraId="6910C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752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1DF6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工作帽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128C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34D6F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1.pH值：4.0-8.5；甲醛含量≤75mg/kg。</w:t>
            </w:r>
          </w:p>
        </w:tc>
      </w:tr>
      <w:tr w14:paraId="666AC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27D4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6B6A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围腰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143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6425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1.无异味，无可分解致癌芳香胺染料</w:t>
            </w:r>
          </w:p>
        </w:tc>
      </w:tr>
      <w:tr w14:paraId="51C7C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DFAF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3609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袖套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201B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32F4D4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32B2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39E3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F420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污衣袋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AFE2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96A342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8FC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F3D7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5B6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避光带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3C6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01C3D8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67E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8BE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BD95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约束带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32B5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BA4D88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7EB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74C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1866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布套（小）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5D5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含奶瓶、沐浴桌、沐浴架、氧气袋等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293F7A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443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A4A5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767E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布套（大）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624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含沙发、座椅等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1CDB0C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E9D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28C1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20C4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仪器套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BD7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含餐车、各种检查治疗仪等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7996C9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A73E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9EBA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69F8B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桌布1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88C9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单层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722B92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87D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B395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4E5D6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开纱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CDA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0E674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成份：100%棉纱</w:t>
            </w:r>
          </w:p>
        </w:tc>
      </w:tr>
      <w:tr w14:paraId="589EE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2EE3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17958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阴道塞</w:t>
            </w:r>
          </w:p>
        </w:tc>
        <w:tc>
          <w:tcPr>
            <w:tcW w:w="118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74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50420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成份：100%棉纱</w:t>
            </w:r>
          </w:p>
        </w:tc>
      </w:tr>
    </w:tbl>
    <w:p w14:paraId="492C0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/>
          <w:bCs w:val="0"/>
          <w:sz w:val="24"/>
          <w:szCs w:val="24"/>
          <w:lang w:val="en-US" w:eastAsia="zh-CN"/>
        </w:rPr>
      </w:pPr>
    </w:p>
    <w:p w14:paraId="651E1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1A6B14"/>
    <w:multiLevelType w:val="singleLevel"/>
    <w:tmpl w:val="401A6B14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6C697A0"/>
    <w:multiLevelType w:val="singleLevel"/>
    <w:tmpl w:val="56C697A0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85A62"/>
    <w:rsid w:val="1573093F"/>
    <w:rsid w:val="621A25FF"/>
    <w:rsid w:val="7C78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21"/>
    <w:basedOn w:val="5"/>
    <w:qFormat/>
    <w:uiPriority w:val="0"/>
    <w:rPr>
      <w:rFonts w:hint="eastAsia" w:ascii="方正仿宋_GB2312" w:hAnsi="方正仿宋_GB2312" w:eastAsia="方正仿宋_GB2312" w:cs="方正仿宋_GB2312"/>
      <w:color w:val="000000"/>
      <w:sz w:val="20"/>
      <w:szCs w:val="20"/>
      <w:u w:val="none"/>
    </w:rPr>
  </w:style>
  <w:style w:type="character" w:customStyle="1" w:styleId="7">
    <w:name w:val="font41"/>
    <w:basedOn w:val="5"/>
    <w:qFormat/>
    <w:uiPriority w:val="0"/>
    <w:rPr>
      <w:rFonts w:hint="eastAsia" w:ascii="方正仿宋_GB2312" w:hAnsi="方正仿宋_GB2312" w:eastAsia="方正仿宋_GB2312" w:cs="方正仿宋_GB2312"/>
      <w:color w:val="FF0000"/>
      <w:sz w:val="20"/>
      <w:szCs w:val="20"/>
      <w:u w:val="none"/>
    </w:rPr>
  </w:style>
  <w:style w:type="character" w:customStyle="1" w:styleId="8">
    <w:name w:val="font51"/>
    <w:basedOn w:val="5"/>
    <w:qFormat/>
    <w:uiPriority w:val="0"/>
    <w:rPr>
      <w:rFonts w:hint="eastAsia" w:ascii="方正仿宋_GB2312" w:hAnsi="方正仿宋_GB2312" w:eastAsia="方正仿宋_GB2312" w:cs="方正仿宋_GB2312"/>
      <w:color w:val="FF0000"/>
      <w:sz w:val="20"/>
      <w:szCs w:val="20"/>
      <w:u w:val="none"/>
    </w:rPr>
  </w:style>
  <w:style w:type="character" w:customStyle="1" w:styleId="9">
    <w:name w:val="font1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2026-04-24T06:49:00Z</dcterms:created>
  <dc:creator>费明</dc:creator>
  <cp:lastModifiedBy>费明</cp:lastModifiedBy>
  <dcterms:modified xsi:type="dcterms:W3CDTF">2026-04-24T07:46:30Z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68CBF41CD995448CA2E6BD9BC34CE94D_13</vt:lpwstr>
  </property>
  <property fmtid="{D5CDD505-2E9C-101B-9397-08002B2CF9AE}" pid="4" name="KSOTemplateDocerSaveRecord">
    <vt:lpwstr>eyJoZGlkIjoiOTkyMTAwNWNkOWQxN2M2ZGU0YTllNDJiNjQ2ZjgyNjkiLCJ1c2VySWQiOiIzNjM4OTIzNDkifQ==</vt:lpwstr>
  </property>
</Properties>
</file>