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四川省医学科学院·四川省人民医院高新医学中心一期项目清单编制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四川省医学科学院·四川省人民医院高新医学中心一期项目清单编制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四川省医学科学院·四川省人民医院高新医学中心一期项目清单编制。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：项目概况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四川省医学科学院•四川省人民医院高新医学中心一期项目总建筑面积 177574㎡，工程估算总投资185888万元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sz w:val="24"/>
          <w:szCs w:val="24"/>
        </w:rPr>
        <w:t>规划总床位 800 张；聚焦精神卫生中心（心身医学中心）、神经疾病区域医疗中心、眼科区域医疗中心“三大中心”核心功能布局，地上建筑面积 107394 ㎡，以“三大中心”为主体，集中配置各中心专属诊疗用房（含急诊、门诊、住院单元）、学科协同诊室、科研教学空间及成果转化平台，同步配套保障系统与业务管理用房；地下建筑面积 70180 ㎡，包括地下停车场、放射影像、核医学、中心库房、人防医院及设备用房等。配套建设室外硬质铺装、室外管线、照明、环卫、安防、消防工程、医疗设备等配套工程。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bookmarkStart w:id="2" w:name="_GoBack"/>
      <w:bookmarkEnd w:id="2"/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（4）编制周期：评估拟完成清单编制工作所需的时间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实力：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过往业绩：近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年内完成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或承接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的类似项目。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②类似项目目前运行情况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技术能力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技术团队：核心技术人员资质、经验及数量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，拟派本项目的核心技术人员资质、项目业绩情况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②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技术方案：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针对医院，提出意见、建议</w:t>
      </w:r>
      <w: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  <w:t>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</w:rPr>
        <w:t>.</w:t>
      </w:r>
      <w:bookmarkStart w:id="1" w:name="OLE_LINK2"/>
      <w:r>
        <w:rPr>
          <w:rFonts w:hint="eastAsia" w:ascii="仿宋" w:hAnsi="仿宋" w:eastAsia="仿宋" w:cs="仿宋"/>
          <w:sz w:val="24"/>
          <w:szCs w:val="24"/>
        </w:rPr>
        <w:t>请务必确保线上信息收集内容的真实有效性</w:t>
      </w:r>
      <w:bookmarkEnd w:id="1"/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DF73C5E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3264DF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60502BF3"/>
    <w:rsid w:val="610466BA"/>
    <w:rsid w:val="61210847"/>
    <w:rsid w:val="61497B2C"/>
    <w:rsid w:val="61615278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890BCB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1897</Words>
  <Characters>2066</Characters>
  <Lines>6</Lines>
  <Paragraphs>1</Paragraphs>
  <TotalTime>7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2026-06-17T09:17:05Z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39A9E8B321614DFC97E22BAC187BDCE5_13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