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四川省人民医院院区一体化设备-自助机采购项目</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bookmarkStart w:id="97" w:name="_GoBack"/>
      <w:bookmarkEnd w:id="97"/>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29</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numPr>
          <w:ilvl w:val="0"/>
          <w:numId w:val="0"/>
        </w:numPr>
        <w:ind w:left="0" w:leftChars="0" w:firstLine="0" w:firstLineChars="0"/>
        <w:rPr>
          <w:rFonts w:ascii="Times New Roman" w:hAnsi="Times New Roman" w:cs="Times New Roman"/>
        </w:rPr>
      </w:pPr>
      <w:bookmarkStart w:id="0" w:name="_Toc3240"/>
      <w:bookmarkStart w:id="1" w:name="_Toc20358"/>
      <w:bookmarkStart w:id="2" w:name="_Toc21919"/>
      <w:bookmarkStart w:id="3" w:name="_Toc1907"/>
      <w:bookmarkStart w:id="4" w:name="_Toc62832406"/>
      <w:bookmarkStart w:id="5" w:name="_Toc471310326"/>
      <w:r>
        <w:rPr>
          <w:rFonts w:hint="eastAsia" w:ascii="Times New Roman" w:hAnsi="Times New Roman" w:eastAsia="黑体" w:cs="Times New Roman"/>
          <w:b/>
          <w:kern w:val="44"/>
          <w:sz w:val="36"/>
          <w:lang w:val="zh-CN" w:eastAsia="zh-CN" w:bidi="ar-SA"/>
        </w:rPr>
        <w:t xml:space="preserve">第一章 </w:t>
      </w:r>
      <w:r>
        <w:rPr>
          <w:rFonts w:ascii="Times New Roman" w:hAnsi="Times New Roman" w:cs="Times New Roman"/>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7"/>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、中国农业银行股份有限公司成都光华支行</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四川省人民医院院区一体化设备-自助机采购项目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6674" w:type="dxa"/>
            <w:vAlign w:val="center"/>
          </w:tcPr>
          <w:p w14:paraId="2EC76405">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CGZX-YXX20260565</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rPr>
            </w:pPr>
            <w:r>
              <w:rPr>
                <w:rFonts w:ascii="Times New Roman" w:hAnsi="Times New Roman" w:eastAsia="仿宋" w:cs="Times New Roman"/>
                <w:b w:val="0"/>
                <w:bCs w:val="0"/>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u w:val="none"/>
                <w:lang w:val="en-US" w:eastAsia="zh-CN"/>
              </w:rPr>
            </w:pPr>
            <w:r>
              <w:rPr>
                <w:rFonts w:hint="eastAsia" w:ascii="仿宋" w:hAnsi="仿宋" w:eastAsia="仿宋" w:cs="仿宋"/>
                <w:sz w:val="22"/>
                <w:u w:val="none"/>
              </w:rPr>
              <w:t>人民币</w:t>
            </w:r>
            <w:r>
              <w:rPr>
                <w:rFonts w:hint="eastAsia" w:ascii="仿宋" w:hAnsi="仿宋" w:eastAsia="仿宋" w:cs="仿宋"/>
                <w:sz w:val="22"/>
                <w:u w:val="none"/>
                <w:lang w:val="en-US" w:eastAsia="zh-CN"/>
              </w:rPr>
              <w:t>228.7万</w:t>
            </w:r>
            <w:r>
              <w:rPr>
                <w:rFonts w:hint="eastAsia" w:ascii="仿宋" w:hAnsi="仿宋" w:eastAsia="仿宋" w:cs="仿宋"/>
                <w:sz w:val="22"/>
                <w:u w:val="none"/>
              </w:rPr>
              <w:t>元</w:t>
            </w:r>
            <w:r>
              <w:rPr>
                <w:rFonts w:hint="eastAsia" w:ascii="仿宋" w:hAnsi="仿宋" w:eastAsia="仿宋" w:cs="仿宋"/>
                <w:sz w:val="22"/>
                <w:u w:val="none"/>
                <w:lang w:eastAsia="zh-CN"/>
              </w:rPr>
              <w:t>。限高单价</w:t>
            </w:r>
            <w:r>
              <w:rPr>
                <w:rFonts w:hint="eastAsia" w:ascii="仿宋" w:hAnsi="仿宋" w:eastAsia="仿宋" w:cs="仿宋"/>
                <w:sz w:val="22"/>
                <w:u w:val="none"/>
                <w:lang w:val="en-US" w:eastAsia="zh-CN"/>
              </w:rPr>
              <w:t>详见第四章。</w:t>
            </w:r>
          </w:p>
          <w:p w14:paraId="056F690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r>
              <w:rPr>
                <w:rFonts w:hint="eastAsia" w:ascii="Times New Roman" w:hAnsi="Times New Roman" w:eastAsia="仿宋" w:cs="Times New Roman"/>
                <w:sz w:val="22"/>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514FE3FE">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1.</w:t>
            </w: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合同总价10%（逾期未缴纳履约保证金，视为自动放弃中标资格。）</w:t>
            </w:r>
          </w:p>
          <w:p w14:paraId="00EA646A">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2.</w:t>
            </w:r>
            <w:r>
              <w:rPr>
                <w:rFonts w:ascii="Times New Roman" w:hAnsi="Times New Roman" w:eastAsia="仿宋" w:cs="Times New Roman"/>
                <w:sz w:val="22"/>
                <w:szCs w:val="22"/>
                <w:lang w:val="zh-CN"/>
              </w:rPr>
              <w:t>交款方式：履约保证金可以</w:t>
            </w:r>
            <w:r>
              <w:rPr>
                <w:rFonts w:hint="eastAsia" w:ascii="Times New Roman" w:hAnsi="Times New Roman" w:eastAsia="仿宋" w:cs="Times New Roman"/>
                <w:sz w:val="22"/>
                <w:szCs w:val="22"/>
                <w:lang w:val="zh-CN" w:eastAsia="zh-CN"/>
              </w:rPr>
              <w:t>以现金转账的形式提交（包括网银转账，电汇等方式）</w:t>
            </w:r>
            <w:r>
              <w:rPr>
                <w:rFonts w:ascii="Times New Roman" w:hAnsi="Times New Roman" w:eastAsia="仿宋" w:cs="Times New Roman"/>
                <w:sz w:val="22"/>
                <w:szCs w:val="22"/>
                <w:lang w:val="zh-CN"/>
              </w:rPr>
              <w:t>；</w:t>
            </w:r>
          </w:p>
          <w:p w14:paraId="3B1AE184">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114A68D6">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6EA49D8D">
            <w:pPr>
              <w:pStyle w:val="28"/>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eastAsia="zh-CN"/>
              </w:rPr>
              <w:t>22804101040009833</w:t>
            </w:r>
          </w:p>
          <w:p w14:paraId="3C3D12D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3.</w:t>
            </w:r>
            <w:r>
              <w:rPr>
                <w:rFonts w:ascii="Times New Roman" w:hAnsi="Times New Roman" w:eastAsia="仿宋" w:cs="Times New Roman"/>
                <w:sz w:val="22"/>
                <w:szCs w:val="22"/>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4.</w:t>
            </w: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lang w:val="zh-CN"/>
              </w:rPr>
              <w:t>；</w:t>
            </w:r>
          </w:p>
          <w:p w14:paraId="7E8CCB73">
            <w:pPr>
              <w:pStyle w:val="28"/>
              <w:numPr>
                <w:ilvl w:val="0"/>
                <w:numId w:val="0"/>
              </w:numPr>
              <w:tabs>
                <w:tab w:val="left" w:pos="220"/>
              </w:tabs>
              <w:spacing w:line="360" w:lineRule="auto"/>
              <w:ind w:left="210" w:leftChars="100" w:firstLine="10" w:firstLineChars="0"/>
              <w:jc w:val="both"/>
              <w:rPr>
                <w:rFonts w:ascii="Times New Roman" w:hAnsi="Times New Roman" w:eastAsia="仿宋" w:cs="Times New Roman"/>
                <w:sz w:val="22"/>
                <w:szCs w:val="22"/>
                <w:lang w:val="zh-CN"/>
              </w:rPr>
            </w:pPr>
            <w:r>
              <w:rPr>
                <w:rFonts w:hint="default" w:ascii="Times New Roman" w:hAnsi="Times New Roman" w:eastAsia="仿宋" w:cs="Times New Roman"/>
                <w:sz w:val="22"/>
                <w:szCs w:val="22"/>
                <w:lang w:val="zh-CN" w:eastAsia="zh-CN" w:bidi="ar-SA"/>
              </w:rPr>
              <w:t>5.</w:t>
            </w:r>
            <w:r>
              <w:rPr>
                <w:rFonts w:ascii="Times New Roman" w:hAnsi="Times New Roman" w:eastAsia="仿宋" w:cs="Times New Roman"/>
                <w:sz w:val="22"/>
                <w:szCs w:val="22"/>
                <w:lang w:val="zh-CN"/>
              </w:rPr>
              <w:t>履约保证金不予退还情形：</w:t>
            </w:r>
          </w:p>
          <w:p w14:paraId="7A65F462">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供应商拒绝履行与采购人订立的合同</w:t>
            </w:r>
            <w:r>
              <w:rPr>
                <w:rFonts w:ascii="Times New Roman" w:hAnsi="Times New Roman" w:eastAsia="仿宋" w:cs="Times New Roman"/>
                <w:sz w:val="22"/>
                <w:szCs w:val="22"/>
                <w:lang w:val="zh-CN"/>
              </w:rPr>
              <w:t>；</w:t>
            </w:r>
          </w:p>
          <w:p w14:paraId="7A456483">
            <w:pPr>
              <w:pStyle w:val="28"/>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eastAsia="zh-CN"/>
              </w:rPr>
              <w:t>因供应商严重违约或其它违法违规行为等情形，导致双方无法继续履约</w:t>
            </w:r>
            <w:r>
              <w:rPr>
                <w:rFonts w:ascii="Times New Roman" w:hAnsi="Times New Roman" w:eastAsia="仿宋" w:cs="Times New Roman"/>
                <w:sz w:val="22"/>
                <w:szCs w:val="22"/>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733" w:type="dxa"/>
            <w:vAlign w:val="center"/>
          </w:tcPr>
          <w:p w14:paraId="64FAF6B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25CCCAFC">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8"/>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733" w:type="dxa"/>
            <w:vAlign w:val="center"/>
          </w:tcPr>
          <w:p w14:paraId="7F4F2CEE">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6674" w:type="dxa"/>
            <w:vAlign w:val="center"/>
          </w:tcPr>
          <w:p w14:paraId="1D4FA264">
            <w:pPr>
              <w:spacing w:line="360" w:lineRule="auto"/>
              <w:ind w:left="210" w:leftChars="100"/>
              <w:rPr>
                <w:rFonts w:hint="eastAsia" w:ascii="仿宋" w:hAnsi="仿宋" w:eastAsia="仿宋" w:cs="仿宋"/>
                <w:sz w:val="22"/>
                <w:szCs w:val="22"/>
              </w:rPr>
            </w:pPr>
            <w:r>
              <w:rPr>
                <w:rFonts w:hint="eastAsia" w:ascii="仿宋" w:hAnsi="仿宋" w:eastAsia="仿宋" w:cs="仿宋"/>
                <w:sz w:val="22"/>
                <w:szCs w:val="22"/>
              </w:rPr>
              <w:t>（1）采购部门：招标采购中心</w:t>
            </w:r>
          </w:p>
          <w:p w14:paraId="59C9C6D4">
            <w:pPr>
              <w:spacing w:line="360" w:lineRule="auto"/>
              <w:ind w:left="210" w:leftChars="100"/>
              <w:rPr>
                <w:rFonts w:hint="eastAsia" w:ascii="仿宋" w:hAnsi="仿宋" w:eastAsia="仿宋" w:cs="仿宋"/>
                <w:sz w:val="22"/>
                <w:szCs w:val="22"/>
                <w:u w:val="none"/>
                <w:lang w:val="en-US" w:eastAsia="zh-CN"/>
              </w:rPr>
            </w:pPr>
            <w:r>
              <w:rPr>
                <w:rFonts w:hint="eastAsia" w:ascii="仿宋" w:hAnsi="仿宋" w:eastAsia="仿宋" w:cs="仿宋"/>
                <w:sz w:val="22"/>
                <w:szCs w:val="22"/>
                <w:u w:val="none"/>
              </w:rPr>
              <w:t>联系方式：</w:t>
            </w:r>
            <w:r>
              <w:rPr>
                <w:rFonts w:hint="eastAsia" w:ascii="仿宋" w:hAnsi="仿宋" w:eastAsia="仿宋" w:cs="仿宋"/>
                <w:sz w:val="22"/>
                <w:szCs w:val="22"/>
                <w:u w:val="none"/>
                <w:lang w:val="en-US" w:eastAsia="zh-CN"/>
              </w:rPr>
              <w:t>丁</w:t>
            </w:r>
            <w:r>
              <w:rPr>
                <w:rFonts w:hint="eastAsia" w:ascii="仿宋" w:hAnsi="仿宋" w:eastAsia="仿宋" w:cs="仿宋"/>
                <w:sz w:val="22"/>
                <w:szCs w:val="22"/>
                <w:u w:val="none"/>
              </w:rPr>
              <w:t>老师</w:t>
            </w:r>
            <w:r>
              <w:rPr>
                <w:rFonts w:hint="eastAsia" w:ascii="仿宋" w:hAnsi="仿宋" w:eastAsia="仿宋" w:cs="仿宋"/>
                <w:sz w:val="22"/>
                <w:szCs w:val="22"/>
                <w:u w:val="none"/>
                <w:lang w:val="en-US" w:eastAsia="zh-CN"/>
              </w:rPr>
              <w:t xml:space="preserve"> </w:t>
            </w:r>
            <w:r>
              <w:rPr>
                <w:rFonts w:hint="eastAsia" w:ascii="仿宋" w:hAnsi="仿宋" w:eastAsia="仿宋" w:cs="仿宋"/>
                <w:sz w:val="22"/>
                <w:szCs w:val="22"/>
                <w:u w:val="none"/>
              </w:rPr>
              <w:t>028-</w:t>
            </w:r>
            <w:r>
              <w:rPr>
                <w:rFonts w:hint="eastAsia" w:ascii="仿宋" w:hAnsi="仿宋" w:eastAsia="仿宋" w:cs="仿宋"/>
                <w:sz w:val="22"/>
                <w:szCs w:val="22"/>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u w:val="none"/>
              </w:rPr>
              <w:t>（2）归口部</w:t>
            </w:r>
            <w:r>
              <w:rPr>
                <w:rFonts w:hint="eastAsia" w:ascii="仿宋" w:hAnsi="仿宋" w:eastAsia="仿宋" w:cs="仿宋"/>
                <w:sz w:val="22"/>
                <w:szCs w:val="22"/>
                <w:highlight w:val="none"/>
                <w:u w:val="none"/>
              </w:rPr>
              <w:t>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王</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rPr>
            </w:pPr>
            <w:r>
              <w:rPr>
                <w:rFonts w:hint="eastAsia" w:ascii="仿宋" w:hAnsi="仿宋" w:eastAsia="仿宋" w:cs="仿宋"/>
                <w:sz w:val="22"/>
                <w:szCs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numPr>
          <w:ilvl w:val="0"/>
          <w:numId w:val="0"/>
        </w:numPr>
        <w:ind w:left="0" w:leftChars="0" w:firstLine="0" w:firstLineChars="0"/>
        <w:rPr>
          <w:rFonts w:ascii="Times New Roman" w:hAnsi="Times New Roman" w:cs="Times New Roman"/>
        </w:rPr>
      </w:pPr>
      <w:bookmarkStart w:id="6" w:name="_Toc14460"/>
      <w:bookmarkStart w:id="7" w:name="_Toc24154"/>
      <w:bookmarkStart w:id="8" w:name="_Toc22329"/>
      <w:r>
        <w:rPr>
          <w:rFonts w:hint="eastAsia" w:ascii="Times New Roman" w:hAnsi="Times New Roman" w:eastAsia="黑体" w:cs="Times New Roman"/>
          <w:b/>
          <w:kern w:val="44"/>
          <w:sz w:val="36"/>
          <w:lang w:val="zh-CN" w:eastAsia="zh-CN" w:bidi="ar-SA"/>
        </w:rPr>
        <w:t xml:space="preserve">第二章 </w:t>
      </w:r>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4"/>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3463</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hint="eastAsia" w:ascii="Times New Roman" w:hAnsi="Times New Roman" w:eastAsia="仿宋" w:cs="Times New Roman"/>
                <w:sz w:val="22"/>
                <w:szCs w:val="22"/>
                <w:lang w:val="zh-CN"/>
              </w:rPr>
              <w:t>。</w:t>
            </w:r>
          </w:p>
          <w:p w14:paraId="7D5E8660">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9"/>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8"/>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8"/>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numPr>
          <w:ilvl w:val="0"/>
          <w:numId w:val="0"/>
        </w:numPr>
        <w:ind w:left="0" w:leftChars="0" w:firstLine="0" w:firstLineChars="0"/>
        <w:rPr>
          <w:rFonts w:ascii="Times New Roman" w:hAnsi="Times New Roman" w:cs="Times New Roman"/>
        </w:rPr>
      </w:pPr>
      <w:bookmarkStart w:id="9" w:name="_Toc19400"/>
      <w:bookmarkStart w:id="10" w:name="_Toc32181"/>
      <w:bookmarkStart w:id="11" w:name="_Toc28050"/>
      <w:r>
        <w:rPr>
          <w:rFonts w:hint="eastAsia" w:ascii="Times New Roman" w:hAnsi="Times New Roman" w:eastAsia="黑体" w:cs="Times New Roman"/>
          <w:b/>
          <w:kern w:val="44"/>
          <w:sz w:val="36"/>
          <w:lang w:val="zh-CN" w:eastAsia="zh-CN" w:bidi="ar-SA"/>
        </w:rPr>
        <w:t xml:space="preserve">第三章 </w:t>
      </w:r>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9"/>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14:paraId="3097070C">
            <w:pPr>
              <w:rPr>
                <w:rFonts w:ascii="Times New Roman" w:hAnsi="Times New Roman" w:eastAsia="仿宋" w:cs="Times New Roman"/>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14:paraId="25FAAFA7">
            <w:pPr>
              <w:rPr>
                <w:rFonts w:ascii="Times New Roman" w:hAnsi="Times New Roman" w:eastAsia="仿宋" w:cs="Times New Roman"/>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22915FD">
            <w:pPr>
              <w:widowControl/>
              <w:jc w:val="left"/>
              <w:rPr>
                <w:rFonts w:hint="default"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 xml:space="preserve">  无  </w:t>
            </w:r>
            <w:r>
              <w:rPr>
                <w:rFonts w:hint="eastAsia" w:ascii="仿宋" w:hAnsi="仿宋" w:eastAsia="仿宋" w:cs="仿宋"/>
                <w:b w:val="0"/>
                <w:bCs w:val="0"/>
                <w:sz w:val="22"/>
                <w:lang w:val="en-US" w:eastAsia="zh-CN"/>
              </w:rPr>
              <w:t>。</w:t>
            </w:r>
          </w:p>
        </w:tc>
        <w:tc>
          <w:tcPr>
            <w:tcW w:w="2846" w:type="pct"/>
            <w:vAlign w:val="center"/>
          </w:tcPr>
          <w:p w14:paraId="7D3D2FEC">
            <w:pPr>
              <w:rPr>
                <w:rFonts w:hint="eastAsia" w:ascii="Times New Roman" w:hAnsi="Times New Roman" w:eastAsia="仿宋" w:cs="Times New Roman"/>
                <w:sz w:val="22"/>
                <w:u w:val="single"/>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r>
              <w:rPr>
                <w:rFonts w:ascii="Times New Roman" w:hAnsi="Times New Roman" w:eastAsia="仿宋" w:cs="Times New Roman"/>
                <w:sz w:val="22"/>
                <w:u w:val="single"/>
              </w:rPr>
              <w:t xml:space="preserve">  </w:t>
            </w: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8"/>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89F809D">
      <w:pPr>
        <w:rPr>
          <w:rFonts w:ascii="Times New Roman" w:hAnsi="Times New Roman" w:cs="Times New Roman"/>
        </w:rPr>
      </w:pPr>
      <w:r>
        <w:rPr>
          <w:rFonts w:ascii="Times New Roman" w:hAnsi="Times New Roman" w:cs="Times New Roman"/>
        </w:rPr>
        <w:br w:type="page"/>
      </w:r>
    </w:p>
    <w:p w14:paraId="7A15FB65">
      <w:pPr>
        <w:pStyle w:val="2"/>
        <w:numPr>
          <w:ilvl w:val="0"/>
          <w:numId w:val="0"/>
        </w:numPr>
        <w:ind w:left="0" w:leftChars="0" w:firstLine="0" w:firstLineChars="0"/>
        <w:rPr>
          <w:rFonts w:ascii="Times New Roman" w:hAnsi="Times New Roman" w:cs="Times New Roman"/>
        </w:rPr>
      </w:pPr>
      <w:bookmarkStart w:id="12" w:name="_Toc3988"/>
      <w:bookmarkStart w:id="13" w:name="_Toc16403"/>
      <w:bookmarkStart w:id="14" w:name="_Toc12668"/>
      <w:r>
        <w:rPr>
          <w:rFonts w:hint="eastAsia" w:ascii="Times New Roman" w:hAnsi="Times New Roman" w:eastAsia="黑体" w:cs="Times New Roman"/>
          <w:b/>
          <w:kern w:val="44"/>
          <w:sz w:val="36"/>
          <w:lang w:val="zh-CN" w:eastAsia="zh-CN" w:bidi="ar-SA"/>
        </w:rPr>
        <w:t xml:space="preserve">第四章 </w:t>
      </w:r>
      <w:r>
        <w:rPr>
          <w:rFonts w:ascii="Times New Roman" w:hAnsi="Times New Roman" w:cs="Times New Roman"/>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sz w:val="24"/>
          <w:szCs w:val="24"/>
        </w:rPr>
        <w:t>本项目拟确定一名供应商，为采购人提供自助机及配套服务。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b/>
          <w:bCs/>
          <w:sz w:val="24"/>
          <w:szCs w:val="24"/>
        </w:rPr>
        <w:t>采购内容</w:t>
      </w:r>
      <w:r>
        <w:rPr>
          <w:rFonts w:hint="eastAsia" w:ascii="仿宋" w:hAnsi="仿宋" w:eastAsia="仿宋" w:cs="仿宋"/>
          <w:sz w:val="24"/>
          <w:szCs w:val="24"/>
        </w:rPr>
        <w:cr/>
      </w:r>
      <w:r>
        <w:rPr>
          <w:rFonts w:hint="eastAsia" w:ascii="仿宋" w:hAnsi="仿宋" w:eastAsia="仿宋" w:cs="仿宋"/>
          <w:kern w:val="2"/>
          <w:sz w:val="24"/>
          <w:szCs w:val="24"/>
        </w:rPr>
        <w:t>★</w:t>
      </w:r>
      <w:r>
        <w:rPr>
          <w:rFonts w:hint="eastAsia" w:ascii="仿宋" w:hAnsi="仿宋" w:cs="仿宋"/>
          <w:kern w:val="2"/>
          <w:sz w:val="24"/>
          <w:szCs w:val="24"/>
          <w:lang w:val="en-US" w:eastAsia="zh-CN"/>
        </w:rPr>
        <w:t>1.</w:t>
      </w:r>
      <w:r>
        <w:rPr>
          <w:rFonts w:hint="eastAsia" w:ascii="仿宋" w:hAnsi="仿宋" w:eastAsia="仿宋" w:cs="仿宋"/>
          <w:kern w:val="2"/>
          <w:sz w:val="24"/>
          <w:szCs w:val="24"/>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38"/>
        <w:gridCol w:w="1609"/>
        <w:gridCol w:w="2454"/>
        <w:gridCol w:w="1091"/>
        <w:gridCol w:w="1042"/>
        <w:gridCol w:w="1407"/>
        <w:gridCol w:w="1407"/>
      </w:tblGrid>
      <w:tr w14:paraId="7129F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8" w:type="dxa"/>
            <w:shd w:val="clear" w:color="auto" w:fill="auto"/>
            <w:tcMar>
              <w:top w:w="0" w:type="dxa"/>
              <w:left w:w="105" w:type="dxa"/>
              <w:bottom w:w="0" w:type="dxa"/>
              <w:right w:w="105" w:type="dxa"/>
            </w:tcMar>
            <w:vAlign w:val="center"/>
          </w:tcPr>
          <w:p w14:paraId="31A7546B">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序号</w:t>
            </w:r>
          </w:p>
        </w:tc>
        <w:tc>
          <w:tcPr>
            <w:tcW w:w="1609" w:type="dxa"/>
            <w:shd w:val="clear" w:color="auto" w:fill="auto"/>
            <w:tcMar>
              <w:top w:w="0" w:type="dxa"/>
              <w:left w:w="105" w:type="dxa"/>
              <w:bottom w:w="0" w:type="dxa"/>
              <w:right w:w="105" w:type="dxa"/>
            </w:tcMar>
            <w:vAlign w:val="center"/>
          </w:tcPr>
          <w:p w14:paraId="07EFE8C0">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品名</w:t>
            </w:r>
          </w:p>
        </w:tc>
        <w:tc>
          <w:tcPr>
            <w:tcW w:w="2454" w:type="dxa"/>
            <w:shd w:val="clear" w:color="auto" w:fill="auto"/>
            <w:tcMar>
              <w:top w:w="0" w:type="dxa"/>
              <w:left w:w="105" w:type="dxa"/>
              <w:bottom w:w="0" w:type="dxa"/>
              <w:right w:w="105" w:type="dxa"/>
            </w:tcMar>
            <w:vAlign w:val="center"/>
          </w:tcPr>
          <w:p w14:paraId="53AFCCC3">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详细描述</w:t>
            </w:r>
          </w:p>
        </w:tc>
        <w:tc>
          <w:tcPr>
            <w:tcW w:w="1091" w:type="dxa"/>
            <w:shd w:val="clear" w:color="auto" w:fill="auto"/>
            <w:tcMar>
              <w:top w:w="0" w:type="dxa"/>
              <w:left w:w="105" w:type="dxa"/>
              <w:bottom w:w="0" w:type="dxa"/>
              <w:right w:w="105" w:type="dxa"/>
            </w:tcMar>
            <w:vAlign w:val="center"/>
          </w:tcPr>
          <w:p w14:paraId="039B950F">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数量</w:t>
            </w:r>
          </w:p>
        </w:tc>
        <w:tc>
          <w:tcPr>
            <w:tcW w:w="1042" w:type="dxa"/>
            <w:shd w:val="clear" w:color="auto" w:fill="auto"/>
            <w:tcMar>
              <w:top w:w="0" w:type="dxa"/>
              <w:left w:w="105" w:type="dxa"/>
              <w:bottom w:w="0" w:type="dxa"/>
              <w:right w:w="105" w:type="dxa"/>
            </w:tcMar>
            <w:vAlign w:val="center"/>
          </w:tcPr>
          <w:p w14:paraId="6CC6D7B9">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单位</w:t>
            </w:r>
          </w:p>
        </w:tc>
        <w:tc>
          <w:tcPr>
            <w:tcW w:w="1407" w:type="dxa"/>
            <w:shd w:val="clear" w:color="auto" w:fill="auto"/>
            <w:tcMar>
              <w:top w:w="0" w:type="dxa"/>
              <w:left w:w="105" w:type="dxa"/>
              <w:bottom w:w="0" w:type="dxa"/>
              <w:right w:w="105" w:type="dxa"/>
            </w:tcMar>
            <w:vAlign w:val="center"/>
          </w:tcPr>
          <w:p w14:paraId="7F18AF1D">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限高单价（元）</w:t>
            </w:r>
          </w:p>
        </w:tc>
        <w:tc>
          <w:tcPr>
            <w:tcW w:w="1407" w:type="dxa"/>
            <w:shd w:val="clear" w:color="auto" w:fill="auto"/>
            <w:tcMar>
              <w:top w:w="0" w:type="dxa"/>
              <w:left w:w="105" w:type="dxa"/>
              <w:bottom w:w="0" w:type="dxa"/>
              <w:right w:w="105" w:type="dxa"/>
            </w:tcMar>
            <w:vAlign w:val="center"/>
          </w:tcPr>
          <w:p w14:paraId="60E50773">
            <w:pPr>
              <w:pStyle w:val="14"/>
              <w:keepNext w:val="0"/>
              <w:keepLines w:val="0"/>
              <w:widowControl/>
              <w:suppressLineNumbers w:val="0"/>
              <w:autoSpaceDE w:val="0"/>
              <w:autoSpaceDN/>
              <w:spacing w:line="24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lang w:val="en-US" w:eastAsia="zh-CN"/>
              </w:rPr>
              <w:t>分项</w:t>
            </w:r>
            <w:r>
              <w:rPr>
                <w:rStyle w:val="21"/>
                <w:rFonts w:hint="eastAsia" w:ascii="仿宋" w:hAnsi="仿宋" w:eastAsia="仿宋" w:cs="仿宋"/>
                <w:b/>
                <w:bCs/>
                <w:sz w:val="24"/>
                <w:szCs w:val="24"/>
                <w:highlight w:val="none"/>
              </w:rPr>
              <w:t>限高总价（元）</w:t>
            </w:r>
          </w:p>
        </w:tc>
      </w:tr>
      <w:tr w14:paraId="17F8A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8" w:type="dxa"/>
            <w:shd w:val="clear" w:color="auto" w:fill="auto"/>
            <w:tcMar>
              <w:top w:w="0" w:type="dxa"/>
              <w:left w:w="105" w:type="dxa"/>
              <w:bottom w:w="0" w:type="dxa"/>
              <w:right w:w="105" w:type="dxa"/>
            </w:tcMar>
            <w:vAlign w:val="center"/>
          </w:tcPr>
          <w:p w14:paraId="2CF60AE1">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609" w:type="dxa"/>
            <w:shd w:val="clear" w:color="auto" w:fill="auto"/>
            <w:tcMar>
              <w:top w:w="0" w:type="dxa"/>
              <w:left w:w="105" w:type="dxa"/>
              <w:bottom w:w="0" w:type="dxa"/>
              <w:right w:w="105" w:type="dxa"/>
            </w:tcMar>
            <w:vAlign w:val="center"/>
          </w:tcPr>
          <w:p w14:paraId="11AAAB33">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自助机</w:t>
            </w:r>
          </w:p>
        </w:tc>
        <w:tc>
          <w:tcPr>
            <w:tcW w:w="2454" w:type="dxa"/>
            <w:shd w:val="clear" w:color="auto" w:fill="auto"/>
            <w:tcMar>
              <w:top w:w="0" w:type="dxa"/>
              <w:left w:w="105" w:type="dxa"/>
              <w:bottom w:w="0" w:type="dxa"/>
              <w:right w:w="105" w:type="dxa"/>
            </w:tcMar>
            <w:vAlign w:val="center"/>
          </w:tcPr>
          <w:p w14:paraId="707DB2FC">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医保刷脸型</w:t>
            </w:r>
          </w:p>
        </w:tc>
        <w:tc>
          <w:tcPr>
            <w:tcW w:w="1091" w:type="dxa"/>
            <w:shd w:val="clear" w:color="auto" w:fill="auto"/>
            <w:tcMar>
              <w:top w:w="0" w:type="dxa"/>
              <w:left w:w="105" w:type="dxa"/>
              <w:bottom w:w="0" w:type="dxa"/>
              <w:right w:w="105" w:type="dxa"/>
            </w:tcMar>
            <w:vAlign w:val="center"/>
          </w:tcPr>
          <w:p w14:paraId="59EE73C4">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31</w:t>
            </w:r>
          </w:p>
        </w:tc>
        <w:tc>
          <w:tcPr>
            <w:tcW w:w="1042" w:type="dxa"/>
            <w:shd w:val="clear" w:color="auto" w:fill="auto"/>
            <w:tcMar>
              <w:top w:w="0" w:type="dxa"/>
              <w:left w:w="105" w:type="dxa"/>
              <w:bottom w:w="0" w:type="dxa"/>
              <w:right w:w="105" w:type="dxa"/>
            </w:tcMar>
            <w:vAlign w:val="center"/>
          </w:tcPr>
          <w:p w14:paraId="3D0E95CD">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台</w:t>
            </w:r>
          </w:p>
        </w:tc>
        <w:tc>
          <w:tcPr>
            <w:tcW w:w="1407" w:type="dxa"/>
            <w:shd w:val="clear" w:color="auto" w:fill="auto"/>
            <w:tcMar>
              <w:top w:w="0" w:type="dxa"/>
              <w:left w:w="105" w:type="dxa"/>
              <w:bottom w:w="0" w:type="dxa"/>
              <w:right w:w="105" w:type="dxa"/>
            </w:tcMar>
            <w:vAlign w:val="center"/>
          </w:tcPr>
          <w:p w14:paraId="7575188B">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52000</w:t>
            </w:r>
          </w:p>
        </w:tc>
        <w:tc>
          <w:tcPr>
            <w:tcW w:w="1407" w:type="dxa"/>
            <w:shd w:val="clear" w:color="auto" w:fill="auto"/>
            <w:tcMar>
              <w:top w:w="0" w:type="dxa"/>
              <w:left w:w="105" w:type="dxa"/>
              <w:bottom w:w="0" w:type="dxa"/>
              <w:right w:w="105" w:type="dxa"/>
            </w:tcMar>
            <w:vAlign w:val="center"/>
          </w:tcPr>
          <w:p w14:paraId="78325AF4">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1612000</w:t>
            </w:r>
          </w:p>
        </w:tc>
      </w:tr>
      <w:tr w14:paraId="06CD7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rPr>
        <w:tc>
          <w:tcPr>
            <w:tcW w:w="838" w:type="dxa"/>
            <w:shd w:val="clear" w:color="auto" w:fill="auto"/>
            <w:tcMar>
              <w:top w:w="0" w:type="dxa"/>
              <w:left w:w="105" w:type="dxa"/>
              <w:bottom w:w="0" w:type="dxa"/>
              <w:right w:w="105" w:type="dxa"/>
            </w:tcMar>
            <w:vAlign w:val="center"/>
          </w:tcPr>
          <w:p w14:paraId="1CD842B1">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2</w:t>
            </w:r>
          </w:p>
        </w:tc>
        <w:tc>
          <w:tcPr>
            <w:tcW w:w="1609" w:type="dxa"/>
            <w:shd w:val="clear" w:color="auto" w:fill="auto"/>
            <w:tcMar>
              <w:top w:w="0" w:type="dxa"/>
              <w:left w:w="105" w:type="dxa"/>
              <w:bottom w:w="0" w:type="dxa"/>
              <w:right w:w="105" w:type="dxa"/>
            </w:tcMar>
            <w:vAlign w:val="center"/>
          </w:tcPr>
          <w:p w14:paraId="0020860C">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配套服务</w:t>
            </w:r>
          </w:p>
        </w:tc>
        <w:tc>
          <w:tcPr>
            <w:tcW w:w="2454" w:type="dxa"/>
            <w:shd w:val="clear" w:color="auto" w:fill="auto"/>
            <w:tcMar>
              <w:top w:w="0" w:type="dxa"/>
              <w:left w:w="105" w:type="dxa"/>
              <w:bottom w:w="0" w:type="dxa"/>
              <w:right w:w="105" w:type="dxa"/>
            </w:tcMar>
            <w:vAlign w:val="center"/>
          </w:tcPr>
          <w:p w14:paraId="5252CC02">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31台自助机运营服务</w:t>
            </w:r>
          </w:p>
        </w:tc>
        <w:tc>
          <w:tcPr>
            <w:tcW w:w="1091" w:type="dxa"/>
            <w:shd w:val="clear" w:color="auto" w:fill="auto"/>
            <w:tcMar>
              <w:top w:w="0" w:type="dxa"/>
              <w:left w:w="105" w:type="dxa"/>
              <w:bottom w:w="0" w:type="dxa"/>
              <w:right w:w="105" w:type="dxa"/>
            </w:tcMar>
            <w:vAlign w:val="center"/>
          </w:tcPr>
          <w:p w14:paraId="5A4ED939">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042" w:type="dxa"/>
            <w:shd w:val="clear" w:color="auto" w:fill="auto"/>
            <w:tcMar>
              <w:top w:w="0" w:type="dxa"/>
              <w:left w:w="105" w:type="dxa"/>
              <w:bottom w:w="0" w:type="dxa"/>
              <w:right w:w="105" w:type="dxa"/>
            </w:tcMar>
            <w:vAlign w:val="center"/>
          </w:tcPr>
          <w:p w14:paraId="35273219">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套</w:t>
            </w:r>
          </w:p>
        </w:tc>
        <w:tc>
          <w:tcPr>
            <w:tcW w:w="1407" w:type="dxa"/>
            <w:shd w:val="clear" w:color="auto" w:fill="auto"/>
            <w:tcMar>
              <w:top w:w="0" w:type="dxa"/>
              <w:left w:w="105" w:type="dxa"/>
              <w:bottom w:w="0" w:type="dxa"/>
              <w:right w:w="105" w:type="dxa"/>
            </w:tcMar>
            <w:vAlign w:val="center"/>
          </w:tcPr>
          <w:p w14:paraId="093E8B2D">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675000</w:t>
            </w:r>
          </w:p>
        </w:tc>
        <w:tc>
          <w:tcPr>
            <w:tcW w:w="1407" w:type="dxa"/>
            <w:shd w:val="clear" w:color="auto" w:fill="auto"/>
            <w:tcMar>
              <w:top w:w="0" w:type="dxa"/>
              <w:left w:w="105" w:type="dxa"/>
              <w:bottom w:w="0" w:type="dxa"/>
              <w:right w:w="105" w:type="dxa"/>
            </w:tcMar>
            <w:vAlign w:val="center"/>
          </w:tcPr>
          <w:p w14:paraId="0B066460">
            <w:pPr>
              <w:pStyle w:val="14"/>
              <w:keepNext w:val="0"/>
              <w:keepLines w:val="0"/>
              <w:widowControl/>
              <w:suppressLineNumbers w:val="0"/>
              <w:autoSpaceDE w:val="0"/>
              <w:autoSpaceDN/>
              <w:spacing w:line="240" w:lineRule="auto"/>
              <w:jc w:val="center"/>
              <w:rPr>
                <w:rFonts w:hint="eastAsia" w:ascii="仿宋" w:hAnsi="仿宋" w:eastAsia="仿宋" w:cs="仿宋"/>
                <w:sz w:val="24"/>
                <w:szCs w:val="24"/>
              </w:rPr>
            </w:pPr>
            <w:r>
              <w:rPr>
                <w:rFonts w:hint="eastAsia" w:ascii="仿宋" w:hAnsi="仿宋" w:eastAsia="仿宋" w:cs="仿宋"/>
                <w:sz w:val="24"/>
                <w:szCs w:val="24"/>
              </w:rPr>
              <w:t>675000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rPr>
      </w:pPr>
      <w:r>
        <w:rPr>
          <w:rFonts w:hint="eastAsia" w:ascii="仿宋" w:hAnsi="仿宋" w:eastAsia="仿宋" w:cs="仿宋"/>
          <w:kern w:val="2"/>
          <w:sz w:val="24"/>
          <w:szCs w:val="24"/>
        </w:rPr>
        <w:t>★</w:t>
      </w:r>
      <w:r>
        <w:rPr>
          <w:rFonts w:hint="eastAsia" w:ascii="仿宋" w:hAnsi="仿宋" w:cs="仿宋"/>
          <w:kern w:val="2"/>
          <w:sz w:val="24"/>
          <w:szCs w:val="24"/>
          <w:lang w:val="en-US" w:eastAsia="zh-CN"/>
        </w:rPr>
        <w:t>2.</w:t>
      </w:r>
      <w:r>
        <w:rPr>
          <w:rFonts w:hint="eastAsia" w:ascii="仿宋" w:hAnsi="仿宋" w:eastAsia="仿宋" w:cs="仿宋"/>
          <w:kern w:val="2"/>
          <w:sz w:val="24"/>
          <w:szCs w:val="24"/>
        </w:rPr>
        <w:t>接口清单</w:t>
      </w:r>
    </w:p>
    <w:p w14:paraId="12F3375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firstLine="480" w:firstLineChars="200"/>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除“东软集团股份有限公司”外采购人现有软件供应商友好协商，并于协商前向采购人提交接口方案清单，对接所产生费用的限高价为本项目合同总价的10%。</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2"/>
        <w:gridCol w:w="3122"/>
        <w:gridCol w:w="5834"/>
      </w:tblGrid>
      <w:tr w14:paraId="36C0B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14A819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Style w:val="21"/>
                <w:rFonts w:ascii="仿宋" w:hAnsi="仿宋" w:eastAsia="仿宋" w:cs="仿宋"/>
                <w:sz w:val="24"/>
                <w:szCs w:val="24"/>
              </w:rPr>
              <w:t>序号</w:t>
            </w:r>
          </w:p>
        </w:tc>
        <w:tc>
          <w:tcPr>
            <w:tcW w:w="3122" w:type="dxa"/>
            <w:shd w:val="clear" w:color="auto" w:fill="auto"/>
            <w:tcMar>
              <w:top w:w="0" w:type="dxa"/>
              <w:left w:w="105" w:type="dxa"/>
              <w:bottom w:w="0" w:type="dxa"/>
              <w:right w:w="105" w:type="dxa"/>
            </w:tcMar>
            <w:vAlign w:val="center"/>
          </w:tcPr>
          <w:p w14:paraId="16A263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Style w:val="21"/>
                <w:rFonts w:hint="eastAsia" w:ascii="仿宋" w:hAnsi="仿宋" w:eastAsia="仿宋" w:cs="仿宋"/>
                <w:sz w:val="24"/>
                <w:szCs w:val="24"/>
              </w:rPr>
              <w:t>软件接口名称</w:t>
            </w:r>
          </w:p>
        </w:tc>
        <w:tc>
          <w:tcPr>
            <w:tcW w:w="5834" w:type="dxa"/>
            <w:shd w:val="clear" w:color="auto" w:fill="auto"/>
            <w:tcMar>
              <w:top w:w="0" w:type="dxa"/>
              <w:left w:w="105" w:type="dxa"/>
              <w:bottom w:w="0" w:type="dxa"/>
              <w:right w:w="105" w:type="dxa"/>
            </w:tcMar>
            <w:vAlign w:val="center"/>
          </w:tcPr>
          <w:p w14:paraId="1C81A0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Style w:val="21"/>
                <w:rFonts w:hint="eastAsia" w:ascii="仿宋" w:hAnsi="仿宋" w:eastAsia="仿宋" w:cs="仿宋"/>
                <w:sz w:val="24"/>
                <w:szCs w:val="24"/>
              </w:rPr>
              <w:t>生产厂商（全称）</w:t>
            </w:r>
          </w:p>
        </w:tc>
      </w:tr>
      <w:tr w14:paraId="30A5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18347A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1</w:t>
            </w:r>
          </w:p>
        </w:tc>
        <w:tc>
          <w:tcPr>
            <w:tcW w:w="3122" w:type="dxa"/>
            <w:shd w:val="clear" w:color="auto" w:fill="auto"/>
            <w:tcMar>
              <w:top w:w="0" w:type="dxa"/>
              <w:left w:w="105" w:type="dxa"/>
              <w:bottom w:w="0" w:type="dxa"/>
              <w:right w:w="105" w:type="dxa"/>
            </w:tcMar>
            <w:vAlign w:val="center"/>
          </w:tcPr>
          <w:p w14:paraId="0061F8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HIS</w:t>
            </w:r>
          </w:p>
        </w:tc>
        <w:tc>
          <w:tcPr>
            <w:tcW w:w="5834" w:type="dxa"/>
            <w:shd w:val="clear" w:color="auto" w:fill="auto"/>
            <w:tcMar>
              <w:top w:w="0" w:type="dxa"/>
              <w:left w:w="105" w:type="dxa"/>
              <w:bottom w:w="0" w:type="dxa"/>
              <w:right w:w="105" w:type="dxa"/>
            </w:tcMar>
            <w:vAlign w:val="center"/>
          </w:tcPr>
          <w:p w14:paraId="6BE6769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东软集团股份有限公司</w:t>
            </w:r>
          </w:p>
        </w:tc>
      </w:tr>
      <w:tr w14:paraId="3D899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69B6C53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2</w:t>
            </w:r>
          </w:p>
        </w:tc>
        <w:tc>
          <w:tcPr>
            <w:tcW w:w="3122" w:type="dxa"/>
            <w:shd w:val="clear" w:color="auto" w:fill="auto"/>
            <w:tcMar>
              <w:top w:w="0" w:type="dxa"/>
              <w:left w:w="105" w:type="dxa"/>
              <w:bottom w:w="0" w:type="dxa"/>
              <w:right w:w="105" w:type="dxa"/>
            </w:tcMar>
            <w:vAlign w:val="center"/>
          </w:tcPr>
          <w:p w14:paraId="7479D6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LIS</w:t>
            </w:r>
          </w:p>
        </w:tc>
        <w:tc>
          <w:tcPr>
            <w:tcW w:w="5834" w:type="dxa"/>
            <w:shd w:val="clear" w:color="auto" w:fill="auto"/>
            <w:tcMar>
              <w:top w:w="0" w:type="dxa"/>
              <w:left w:w="105" w:type="dxa"/>
              <w:bottom w:w="0" w:type="dxa"/>
              <w:right w:w="105" w:type="dxa"/>
            </w:tcMar>
            <w:vAlign w:val="center"/>
          </w:tcPr>
          <w:p w14:paraId="134BD65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东软集团股份有限公司</w:t>
            </w:r>
          </w:p>
        </w:tc>
      </w:tr>
      <w:tr w14:paraId="5B4DE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657FD2F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3</w:t>
            </w:r>
          </w:p>
        </w:tc>
        <w:tc>
          <w:tcPr>
            <w:tcW w:w="3122" w:type="dxa"/>
            <w:shd w:val="clear" w:color="auto" w:fill="auto"/>
            <w:tcMar>
              <w:top w:w="0" w:type="dxa"/>
              <w:left w:w="105" w:type="dxa"/>
              <w:bottom w:w="0" w:type="dxa"/>
              <w:right w:w="105" w:type="dxa"/>
            </w:tcMar>
            <w:vAlign w:val="center"/>
          </w:tcPr>
          <w:p w14:paraId="3199CAD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MISPOS</w:t>
            </w:r>
          </w:p>
        </w:tc>
        <w:tc>
          <w:tcPr>
            <w:tcW w:w="5834" w:type="dxa"/>
            <w:shd w:val="clear" w:color="auto" w:fill="auto"/>
            <w:tcMar>
              <w:top w:w="0" w:type="dxa"/>
              <w:left w:w="105" w:type="dxa"/>
              <w:bottom w:w="0" w:type="dxa"/>
              <w:right w:w="105" w:type="dxa"/>
            </w:tcMar>
            <w:vAlign w:val="center"/>
          </w:tcPr>
          <w:p w14:paraId="5EB99DD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南京银石计算机系统有限公司</w:t>
            </w:r>
          </w:p>
        </w:tc>
      </w:tr>
      <w:tr w14:paraId="6B2FA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4E421F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4</w:t>
            </w:r>
          </w:p>
        </w:tc>
        <w:tc>
          <w:tcPr>
            <w:tcW w:w="3122" w:type="dxa"/>
            <w:shd w:val="clear" w:color="auto" w:fill="auto"/>
            <w:tcMar>
              <w:top w:w="0" w:type="dxa"/>
              <w:left w:w="105" w:type="dxa"/>
              <w:bottom w:w="0" w:type="dxa"/>
              <w:right w:w="105" w:type="dxa"/>
            </w:tcMar>
            <w:vAlign w:val="center"/>
          </w:tcPr>
          <w:p w14:paraId="40D572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手写签名</w:t>
            </w:r>
          </w:p>
        </w:tc>
        <w:tc>
          <w:tcPr>
            <w:tcW w:w="5834" w:type="dxa"/>
            <w:shd w:val="clear" w:color="auto" w:fill="auto"/>
            <w:tcMar>
              <w:top w:w="0" w:type="dxa"/>
              <w:left w:w="105" w:type="dxa"/>
              <w:bottom w:w="0" w:type="dxa"/>
              <w:right w:w="105" w:type="dxa"/>
            </w:tcMar>
            <w:vAlign w:val="center"/>
          </w:tcPr>
          <w:p w14:paraId="6B5151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北京安信天行科技有限公司</w:t>
            </w:r>
          </w:p>
        </w:tc>
      </w:tr>
      <w:tr w14:paraId="6DF86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6DC8E76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5</w:t>
            </w:r>
          </w:p>
        </w:tc>
        <w:tc>
          <w:tcPr>
            <w:tcW w:w="3122" w:type="dxa"/>
            <w:shd w:val="clear" w:color="auto" w:fill="auto"/>
            <w:tcMar>
              <w:top w:w="0" w:type="dxa"/>
              <w:left w:w="105" w:type="dxa"/>
              <w:bottom w:w="0" w:type="dxa"/>
              <w:right w:w="105" w:type="dxa"/>
            </w:tcMar>
            <w:vAlign w:val="center"/>
          </w:tcPr>
          <w:p w14:paraId="7B3EA9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lang w:val="en-US" w:eastAsia="zh-CN"/>
              </w:rPr>
              <w:t>叫号系统</w:t>
            </w:r>
          </w:p>
        </w:tc>
        <w:tc>
          <w:tcPr>
            <w:tcW w:w="5834" w:type="dxa"/>
            <w:shd w:val="clear" w:color="auto" w:fill="auto"/>
            <w:tcMar>
              <w:top w:w="0" w:type="dxa"/>
              <w:left w:w="105" w:type="dxa"/>
              <w:bottom w:w="0" w:type="dxa"/>
              <w:right w:w="105" w:type="dxa"/>
            </w:tcMar>
            <w:vAlign w:val="center"/>
          </w:tcPr>
          <w:p w14:paraId="4101AC9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成都欧利德电子科技有限公司</w:t>
            </w:r>
          </w:p>
        </w:tc>
      </w:tr>
      <w:tr w14:paraId="760E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3F30D36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6</w:t>
            </w:r>
          </w:p>
        </w:tc>
        <w:tc>
          <w:tcPr>
            <w:tcW w:w="3122" w:type="dxa"/>
            <w:shd w:val="clear" w:color="auto" w:fill="auto"/>
            <w:tcMar>
              <w:top w:w="0" w:type="dxa"/>
              <w:left w:w="105" w:type="dxa"/>
              <w:bottom w:w="0" w:type="dxa"/>
              <w:right w:w="105" w:type="dxa"/>
            </w:tcMar>
            <w:vAlign w:val="center"/>
          </w:tcPr>
          <w:p w14:paraId="067415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病理</w:t>
            </w:r>
          </w:p>
        </w:tc>
        <w:tc>
          <w:tcPr>
            <w:tcW w:w="5834" w:type="dxa"/>
            <w:shd w:val="clear" w:color="auto" w:fill="auto"/>
            <w:tcMar>
              <w:top w:w="0" w:type="dxa"/>
              <w:left w:w="105" w:type="dxa"/>
              <w:bottom w:w="0" w:type="dxa"/>
              <w:right w:w="105" w:type="dxa"/>
            </w:tcMar>
            <w:vAlign w:val="center"/>
          </w:tcPr>
          <w:p w14:paraId="6AF3341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宁波江丰生物信息技术有限公司</w:t>
            </w:r>
          </w:p>
        </w:tc>
      </w:tr>
      <w:tr w14:paraId="1F97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1DC0C5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7</w:t>
            </w:r>
          </w:p>
        </w:tc>
        <w:tc>
          <w:tcPr>
            <w:tcW w:w="3122" w:type="dxa"/>
            <w:shd w:val="clear" w:color="auto" w:fill="auto"/>
            <w:tcMar>
              <w:top w:w="0" w:type="dxa"/>
              <w:left w:w="105" w:type="dxa"/>
              <w:bottom w:w="0" w:type="dxa"/>
              <w:right w:w="105" w:type="dxa"/>
            </w:tcMar>
            <w:vAlign w:val="center"/>
          </w:tcPr>
          <w:p w14:paraId="0E6403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心超</w:t>
            </w:r>
          </w:p>
        </w:tc>
        <w:tc>
          <w:tcPr>
            <w:tcW w:w="5834" w:type="dxa"/>
            <w:shd w:val="clear" w:color="auto" w:fill="auto"/>
            <w:tcMar>
              <w:top w:w="0" w:type="dxa"/>
              <w:left w:w="105" w:type="dxa"/>
              <w:bottom w:w="0" w:type="dxa"/>
              <w:right w:w="105" w:type="dxa"/>
            </w:tcMar>
            <w:vAlign w:val="center"/>
          </w:tcPr>
          <w:p w14:paraId="75E3218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成都试金石软件开发有限责任公司</w:t>
            </w:r>
          </w:p>
        </w:tc>
      </w:tr>
      <w:tr w14:paraId="35F64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jc w:val="center"/>
        </w:trPr>
        <w:tc>
          <w:tcPr>
            <w:tcW w:w="892" w:type="dxa"/>
            <w:shd w:val="clear" w:color="auto" w:fill="auto"/>
            <w:tcMar>
              <w:top w:w="0" w:type="dxa"/>
              <w:left w:w="105" w:type="dxa"/>
              <w:bottom w:w="0" w:type="dxa"/>
              <w:right w:w="105" w:type="dxa"/>
            </w:tcMar>
            <w:vAlign w:val="center"/>
          </w:tcPr>
          <w:p w14:paraId="3BE101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jc w:val="center"/>
              <w:textAlignment w:val="auto"/>
              <w:rPr>
                <w:sz w:val="24"/>
                <w:szCs w:val="24"/>
              </w:rPr>
            </w:pPr>
            <w:r>
              <w:rPr>
                <w:rFonts w:hint="eastAsia" w:ascii="仿宋" w:hAnsi="仿宋" w:eastAsia="仿宋" w:cs="仿宋"/>
                <w:sz w:val="24"/>
                <w:szCs w:val="24"/>
              </w:rPr>
              <w:t>8</w:t>
            </w:r>
          </w:p>
        </w:tc>
        <w:tc>
          <w:tcPr>
            <w:tcW w:w="3122" w:type="dxa"/>
            <w:shd w:val="clear" w:color="auto" w:fill="auto"/>
            <w:tcMar>
              <w:top w:w="0" w:type="dxa"/>
              <w:left w:w="105" w:type="dxa"/>
              <w:bottom w:w="0" w:type="dxa"/>
              <w:right w:w="105" w:type="dxa"/>
            </w:tcMar>
            <w:vAlign w:val="center"/>
          </w:tcPr>
          <w:p w14:paraId="5F226A0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心电</w:t>
            </w:r>
          </w:p>
        </w:tc>
        <w:tc>
          <w:tcPr>
            <w:tcW w:w="5834" w:type="dxa"/>
            <w:shd w:val="clear" w:color="auto" w:fill="auto"/>
            <w:tcMar>
              <w:top w:w="0" w:type="dxa"/>
              <w:left w:w="105" w:type="dxa"/>
              <w:bottom w:w="0" w:type="dxa"/>
              <w:right w:w="105" w:type="dxa"/>
            </w:tcMar>
            <w:vAlign w:val="center"/>
          </w:tcPr>
          <w:p w14:paraId="1097B9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firstLine="0"/>
              <w:jc w:val="center"/>
              <w:textAlignment w:val="auto"/>
              <w:rPr>
                <w:sz w:val="24"/>
                <w:szCs w:val="24"/>
              </w:rPr>
            </w:pPr>
            <w:r>
              <w:rPr>
                <w:rFonts w:hint="eastAsia" w:ascii="仿宋" w:hAnsi="仿宋" w:eastAsia="仿宋" w:cs="仿宋"/>
                <w:sz w:val="24"/>
                <w:szCs w:val="24"/>
              </w:rPr>
              <w:t>纳龙健康科技股份有限公司</w:t>
            </w:r>
          </w:p>
        </w:tc>
      </w:tr>
    </w:tbl>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
        </w:rPr>
        <w:t>三、</w:t>
      </w:r>
      <w:r>
        <w:rPr>
          <w:rFonts w:hint="eastAsia" w:ascii="仿宋" w:hAnsi="仿宋" w:eastAsia="仿宋" w:cs="仿宋"/>
          <w:b/>
          <w:bCs/>
          <w:sz w:val="24"/>
          <w:szCs w:val="24"/>
        </w:rPr>
        <w:t>技术、服务要求</w:t>
      </w:r>
      <w:r>
        <w:rPr>
          <w:rFonts w:hint="eastAsia" w:ascii="仿宋" w:hAnsi="仿宋" w:eastAsia="仿宋" w:cs="仿宋"/>
          <w:b/>
          <w:bCs/>
          <w:sz w:val="24"/>
          <w:szCs w:val="24"/>
          <w:lang w:eastAsia="zh-CN"/>
        </w:rPr>
        <w:t>：</w:t>
      </w:r>
      <w:r>
        <w:rPr>
          <w:rFonts w:hint="eastAsia" w:ascii="仿宋" w:hAnsi="仿宋" w:eastAsia="仿宋" w:cs="仿宋"/>
          <w:sz w:val="24"/>
          <w:szCs w:val="24"/>
        </w:rPr>
        <w:cr/>
      </w:r>
      <w:r>
        <w:rPr>
          <w:rFonts w:hint="eastAsia" w:ascii="仿宋" w:hAnsi="仿宋" w:eastAsia="仿宋" w:cs="仿宋"/>
          <w:b/>
          <w:bCs/>
          <w:sz w:val="24"/>
          <w:szCs w:val="24"/>
          <w:lang w:val="en-US" w:eastAsia="zh-CN"/>
        </w:rPr>
        <w:t>1.技术要求</w:t>
      </w:r>
    </w:p>
    <w:p w14:paraId="0F2B3ECD">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default" w:ascii="仿宋" w:hAnsi="仿宋" w:eastAsia="仿宋" w:cs="仿宋"/>
          <w:sz w:val="24"/>
          <w:szCs w:val="24"/>
          <w:lang w:val="en-US" w:eastAsia="zh-CN"/>
        </w:rPr>
      </w:pPr>
      <w:r>
        <w:rPr>
          <w:rStyle w:val="21"/>
          <w:rFonts w:hint="eastAsia" w:ascii="宋体" w:hAnsi="宋体" w:eastAsia="宋体" w:cs="宋体"/>
          <w:b/>
          <w:bCs/>
          <w:kern w:val="2"/>
          <w:sz w:val="24"/>
          <w:szCs w:val="24"/>
        </w:rPr>
        <w:t>★</w:t>
      </w:r>
      <w:r>
        <w:rPr>
          <w:rFonts w:hint="eastAsia" w:ascii="仿宋" w:hAnsi="仿宋" w:eastAsia="仿宋" w:cs="仿宋"/>
          <w:sz w:val="24"/>
          <w:szCs w:val="24"/>
          <w:lang w:val="en-US" w:eastAsia="zh-CN"/>
        </w:rPr>
        <w:t>1.1自助机硬件参数</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2"/>
        <w:gridCol w:w="1772"/>
        <w:gridCol w:w="7184"/>
      </w:tblGrid>
      <w:tr w14:paraId="2D37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20" w:hRule="atLeast"/>
        </w:trPr>
        <w:tc>
          <w:tcPr>
            <w:tcW w:w="892" w:type="dxa"/>
            <w:shd w:val="clear" w:color="auto" w:fill="auto"/>
            <w:tcMar>
              <w:top w:w="0" w:type="dxa"/>
              <w:left w:w="105" w:type="dxa"/>
              <w:bottom w:w="0" w:type="dxa"/>
              <w:right w:w="105" w:type="dxa"/>
            </w:tcMar>
            <w:vAlign w:val="center"/>
          </w:tcPr>
          <w:p w14:paraId="04CAF5C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Fonts w:hint="eastAsia" w:ascii="仿宋" w:hAnsi="仿宋" w:eastAsia="仿宋" w:cs="仿宋"/>
                <w:sz w:val="24"/>
                <w:szCs w:val="24"/>
              </w:rPr>
              <w:t>序号</w:t>
            </w:r>
          </w:p>
        </w:tc>
        <w:tc>
          <w:tcPr>
            <w:tcW w:w="1772" w:type="dxa"/>
            <w:shd w:val="clear" w:color="auto" w:fill="auto"/>
            <w:tcMar>
              <w:top w:w="0" w:type="dxa"/>
              <w:left w:w="105" w:type="dxa"/>
              <w:bottom w:w="0" w:type="dxa"/>
              <w:right w:w="105" w:type="dxa"/>
            </w:tcMar>
            <w:vAlign w:val="center"/>
          </w:tcPr>
          <w:p w14:paraId="1570F7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sz w:val="24"/>
                <w:szCs w:val="24"/>
              </w:rPr>
              <w:t>主要部件</w:t>
            </w:r>
          </w:p>
        </w:tc>
        <w:tc>
          <w:tcPr>
            <w:tcW w:w="7184" w:type="dxa"/>
            <w:shd w:val="clear" w:color="auto" w:fill="auto"/>
            <w:tcMar>
              <w:top w:w="0" w:type="dxa"/>
              <w:left w:w="105" w:type="dxa"/>
              <w:bottom w:w="0" w:type="dxa"/>
              <w:right w:w="105" w:type="dxa"/>
            </w:tcMar>
            <w:vAlign w:val="center"/>
          </w:tcPr>
          <w:p w14:paraId="4196DC2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sz w:val="24"/>
                <w:szCs w:val="24"/>
              </w:rPr>
              <w:t>技术要求</w:t>
            </w:r>
          </w:p>
        </w:tc>
      </w:tr>
      <w:tr w14:paraId="590B2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05E7B33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rPr>
              <w:t>1</w:t>
            </w:r>
          </w:p>
        </w:tc>
        <w:tc>
          <w:tcPr>
            <w:tcW w:w="1772" w:type="dxa"/>
            <w:shd w:val="clear" w:color="auto" w:fill="auto"/>
            <w:tcMar>
              <w:top w:w="0" w:type="dxa"/>
              <w:left w:w="105" w:type="dxa"/>
              <w:bottom w:w="0" w:type="dxa"/>
              <w:right w:w="105" w:type="dxa"/>
            </w:tcMar>
            <w:vAlign w:val="center"/>
          </w:tcPr>
          <w:p w14:paraId="774083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Fonts w:hint="eastAsia" w:ascii="仿宋" w:hAnsi="仿宋" w:eastAsia="仿宋" w:cs="仿宋"/>
                <w:sz w:val="24"/>
                <w:szCs w:val="24"/>
              </w:rPr>
              <w:t>工控主机</w:t>
            </w:r>
          </w:p>
        </w:tc>
        <w:tc>
          <w:tcPr>
            <w:tcW w:w="7184" w:type="dxa"/>
            <w:shd w:val="clear" w:color="auto" w:fill="auto"/>
            <w:tcMar>
              <w:top w:w="0" w:type="dxa"/>
              <w:left w:w="105" w:type="dxa"/>
              <w:bottom w:w="0" w:type="dxa"/>
              <w:right w:w="105" w:type="dxa"/>
            </w:tcMar>
            <w:vAlign w:val="center"/>
          </w:tcPr>
          <w:p w14:paraId="1FDC3E8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1.专业工</w:t>
            </w:r>
            <w:r>
              <w:rPr>
                <w:rFonts w:hint="eastAsia" w:ascii="仿宋" w:hAnsi="仿宋" w:eastAsia="仿宋" w:cs="仿宋"/>
                <w:color w:val="auto"/>
                <w:sz w:val="24"/>
                <w:szCs w:val="24"/>
              </w:rPr>
              <w:t>控主机：双核四线程处理器，基础主频≥2.3GHz；</w:t>
            </w:r>
          </w:p>
          <w:p w14:paraId="3F26E86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2.内存</w:t>
            </w:r>
            <w:r>
              <w:rPr>
                <w:rFonts w:hint="eastAsia" w:ascii="仿宋" w:hAnsi="仿宋" w:eastAsia="仿宋" w:cs="仿宋"/>
                <w:sz w:val="24"/>
                <w:szCs w:val="24"/>
                <w:shd w:val="clear"/>
              </w:rPr>
              <w:t>：≥4G</w:t>
            </w:r>
            <w:r>
              <w:rPr>
                <w:rFonts w:hint="eastAsia" w:ascii="仿宋" w:hAnsi="仿宋" w:eastAsia="仿宋" w:cs="仿宋"/>
                <w:sz w:val="24"/>
                <w:szCs w:val="24"/>
              </w:rPr>
              <w:t>内存；</w:t>
            </w:r>
          </w:p>
          <w:p w14:paraId="7015C0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highlight w:val="none"/>
              </w:rPr>
              <w:t>3</w:t>
            </w:r>
            <w:r>
              <w:rPr>
                <w:rFonts w:hint="eastAsia" w:ascii="仿宋" w:hAnsi="仿宋" w:eastAsia="仿宋" w:cs="仿宋"/>
                <w:sz w:val="24"/>
                <w:szCs w:val="24"/>
              </w:rPr>
              <w:t>.硬盘：≥128G固态硬盘；</w:t>
            </w:r>
          </w:p>
          <w:p w14:paraId="4C91387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4.RS232串口：≥6个；</w:t>
            </w:r>
          </w:p>
          <w:p w14:paraId="7135CC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5.USB接口：≥8 个；</w:t>
            </w:r>
          </w:p>
          <w:p w14:paraId="7CC80A5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6.集成显卡：≥1 个；</w:t>
            </w:r>
          </w:p>
          <w:p w14:paraId="3DB05CC6">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7.声卡：</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1</w:t>
            </w:r>
            <w:r>
              <w:rPr>
                <w:rFonts w:hint="eastAsia" w:ascii="仿宋" w:hAnsi="仿宋" w:eastAsia="仿宋" w:cs="仿宋"/>
                <w:sz w:val="24"/>
                <w:szCs w:val="24"/>
                <w:highlight w:val="none"/>
              </w:rPr>
              <w:t xml:space="preserve"> 个；</w:t>
            </w:r>
          </w:p>
          <w:p w14:paraId="562B001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网卡：≥100M/1000M 自适应网卡 1 个。</w:t>
            </w:r>
          </w:p>
        </w:tc>
      </w:tr>
      <w:tr w14:paraId="2C7BB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7A581BA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rPr>
              <w:t>2</w:t>
            </w:r>
          </w:p>
        </w:tc>
        <w:tc>
          <w:tcPr>
            <w:tcW w:w="1772" w:type="dxa"/>
            <w:shd w:val="clear" w:color="auto" w:fill="auto"/>
            <w:tcMar>
              <w:top w:w="0" w:type="dxa"/>
              <w:left w:w="105" w:type="dxa"/>
              <w:bottom w:w="0" w:type="dxa"/>
              <w:right w:w="105" w:type="dxa"/>
            </w:tcMar>
            <w:vAlign w:val="center"/>
          </w:tcPr>
          <w:p w14:paraId="22E1049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触显屏</w:t>
            </w:r>
          </w:p>
        </w:tc>
        <w:tc>
          <w:tcPr>
            <w:tcW w:w="7184" w:type="dxa"/>
            <w:shd w:val="clear" w:color="auto" w:fill="auto"/>
            <w:tcMar>
              <w:top w:w="0" w:type="dxa"/>
              <w:left w:w="105" w:type="dxa"/>
              <w:bottom w:w="0" w:type="dxa"/>
              <w:right w:w="105" w:type="dxa"/>
            </w:tcMar>
            <w:vAlign w:val="center"/>
          </w:tcPr>
          <w:p w14:paraId="0E1E2C5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1.≥32</w:t>
            </w:r>
            <w:r>
              <w:rPr>
                <w:rFonts w:hint="eastAsia" w:ascii="仿宋" w:hAnsi="仿宋" w:eastAsia="仿宋" w:cs="仿宋"/>
                <w:sz w:val="24"/>
                <w:szCs w:val="24"/>
                <w:lang w:eastAsia="zh-CN"/>
              </w:rPr>
              <w:t>英寸</w:t>
            </w:r>
            <w:r>
              <w:rPr>
                <w:rFonts w:hint="eastAsia" w:ascii="仿宋" w:hAnsi="仿宋" w:eastAsia="仿宋" w:cs="仿宋"/>
                <w:sz w:val="24"/>
                <w:szCs w:val="24"/>
              </w:rPr>
              <w:t>显示面板；</w:t>
            </w:r>
          </w:p>
          <w:p w14:paraId="78D3B0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2.分辨率≥1080P（1920*1080）；</w:t>
            </w:r>
          </w:p>
          <w:p w14:paraId="4DF3690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3.≥6ms响应时间，亮度≥300cd/㎡；</w:t>
            </w:r>
          </w:p>
          <w:p w14:paraId="645D91E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4.对比度≥1400:1；</w:t>
            </w:r>
          </w:p>
          <w:p w14:paraId="5D8EE4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5.宽高比16:9，刷新率≥60Hz,颜色数量≥16.7M，寿命≥30000小时；</w:t>
            </w:r>
          </w:p>
          <w:p w14:paraId="46E44B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6.投射式电容触摸屏</w:t>
            </w:r>
          </w:p>
          <w:p w14:paraId="6C062CE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7.G+G(触摸屏的双层玻璃结构),USB接口，10点触摸，</w:t>
            </w:r>
          </w:p>
          <w:p w14:paraId="636AFD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8.精度4096X4096，定位精度小于3mm，</w:t>
            </w:r>
          </w:p>
          <w:p w14:paraId="1D5017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Fonts w:hint="eastAsia" w:ascii="仿宋" w:hAnsi="仿宋" w:eastAsia="仿宋" w:cs="仿宋"/>
                <w:sz w:val="24"/>
                <w:szCs w:val="24"/>
              </w:rPr>
              <w:t>9.触摸寿命：单点≥10万次。</w:t>
            </w:r>
          </w:p>
        </w:tc>
      </w:tr>
      <w:tr w14:paraId="3263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1BB9A72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rPr>
              <w:t>3</w:t>
            </w:r>
          </w:p>
        </w:tc>
        <w:tc>
          <w:tcPr>
            <w:tcW w:w="1772" w:type="dxa"/>
            <w:shd w:val="clear" w:color="auto" w:fill="auto"/>
            <w:tcMar>
              <w:top w:w="0" w:type="dxa"/>
              <w:left w:w="105" w:type="dxa"/>
              <w:bottom w:w="0" w:type="dxa"/>
              <w:right w:w="105" w:type="dxa"/>
            </w:tcMar>
            <w:vAlign w:val="center"/>
          </w:tcPr>
          <w:p w14:paraId="7645E7B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Style w:val="21"/>
                <w:rFonts w:hint="eastAsia" w:ascii="仿宋" w:hAnsi="仿宋" w:eastAsia="仿宋" w:cs="仿宋"/>
                <w:b/>
                <w:bCs/>
                <w:sz w:val="24"/>
                <w:szCs w:val="24"/>
              </w:rPr>
              <w:t>医保刷脸终端</w:t>
            </w:r>
          </w:p>
        </w:tc>
        <w:tc>
          <w:tcPr>
            <w:tcW w:w="7184" w:type="dxa"/>
            <w:shd w:val="clear" w:color="auto" w:fill="auto"/>
            <w:tcMar>
              <w:top w:w="0" w:type="dxa"/>
              <w:left w:w="105" w:type="dxa"/>
              <w:bottom w:w="0" w:type="dxa"/>
              <w:right w:w="105" w:type="dxa"/>
            </w:tcMar>
            <w:vAlign w:val="center"/>
          </w:tcPr>
          <w:p w14:paraId="63CEA7DF">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1.显示器：</w:t>
            </w:r>
            <w:r>
              <w:rPr>
                <w:rFonts w:hint="eastAsia" w:ascii="仿宋" w:hAnsi="仿宋" w:eastAsia="仿宋" w:cs="仿宋"/>
                <w:color w:val="auto"/>
                <w:sz w:val="24"/>
                <w:szCs w:val="24"/>
                <w:highlight w:val="none"/>
              </w:rPr>
              <w:t>尺寸：</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lang w:eastAsia="zh-CN"/>
              </w:rPr>
              <w:t>英寸</w:t>
            </w:r>
            <w:r>
              <w:rPr>
                <w:rFonts w:hint="eastAsia" w:ascii="仿宋" w:hAnsi="仿宋" w:eastAsia="仿宋" w:cs="仿宋"/>
                <w:color w:val="auto"/>
                <w:sz w:val="24"/>
                <w:szCs w:val="24"/>
                <w:highlight w:val="none"/>
              </w:rPr>
              <w:t>竖屏，分辨率：</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800*1280，电容式触控屏；</w:t>
            </w:r>
          </w:p>
          <w:p w14:paraId="154C2D23">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2.处理器：≤12nm制成工艺；四核A73+四核A53，</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主频1.6GHz</w:t>
            </w:r>
          </w:p>
          <w:p w14:paraId="6276E416">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3.内存：</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4GB；</w:t>
            </w:r>
          </w:p>
          <w:p w14:paraId="43F0B8F1">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4.存储</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64G。</w:t>
            </w:r>
          </w:p>
          <w:p w14:paraId="6B46FFFB">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rPr>
              <w:t>操作系统：</w:t>
            </w:r>
            <w:r>
              <w:rPr>
                <w:rFonts w:hint="eastAsia" w:ascii="仿宋" w:hAnsi="仿宋" w:eastAsia="仿宋" w:cs="仿宋"/>
                <w:color w:val="auto"/>
                <w:sz w:val="24"/>
                <w:szCs w:val="24"/>
                <w:highlight w:val="none"/>
                <w:shd w:val="clear"/>
              </w:rPr>
              <w:t>≥</w:t>
            </w:r>
            <w:r>
              <w:rPr>
                <w:rFonts w:hint="eastAsia" w:ascii="仿宋" w:hAnsi="仿宋" w:eastAsia="仿宋" w:cs="仿宋"/>
                <w:color w:val="auto"/>
                <w:sz w:val="24"/>
                <w:szCs w:val="24"/>
                <w:highlight w:val="none"/>
              </w:rPr>
              <w:t>Android11</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t>提供原厂商针对本项目的承诺函加盖原厂商公章</w:t>
            </w:r>
            <w:r>
              <w:rPr>
                <w:rFonts w:hint="eastAsia" w:ascii="仿宋" w:hAnsi="仿宋" w:eastAsia="仿宋" w:cs="仿宋"/>
                <w:color w:val="auto"/>
                <w:sz w:val="24"/>
                <w:szCs w:val="24"/>
                <w:highlight w:val="none"/>
              </w:rPr>
              <w:t>）</w:t>
            </w:r>
          </w:p>
          <w:p w14:paraId="4792C651">
            <w:pPr>
              <w:pStyle w:val="14"/>
              <w:keepNext w:val="0"/>
              <w:keepLines w:val="0"/>
              <w:pageBreakBefore w:val="0"/>
              <w:widowControl/>
              <w:suppressLineNumbers w:val="0"/>
              <w:shd w:val="clear"/>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6.支持扩展副屏：支持副屏同步主屏全部应用软件及触控，主副屏完全同步，主副屏报错完全一样（提供功能和实物照片、原厂商针对本项目的承诺函并加盖原厂商公章）。</w:t>
            </w:r>
          </w:p>
          <w:p w14:paraId="4083CD0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left"/>
              <w:textAlignment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7.人脸识别：基于3D结构光摄像头,具备人脸识别功能并能通过人脸识别确认用户身份。</w:t>
            </w:r>
          </w:p>
          <w:p w14:paraId="2E2ED7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left"/>
              <w:textAlignment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8.加密安全：</w:t>
            </w:r>
            <w:r>
              <w:rPr>
                <w:rFonts w:hint="eastAsia" w:ascii="仿宋" w:hAnsi="仿宋" w:eastAsia="仿宋" w:cs="仿宋"/>
                <w:sz w:val="24"/>
                <w:szCs w:val="24"/>
                <w:highlight w:val="none"/>
              </w:rPr>
              <w:t>内置国家密码管理部门核准硬件</w:t>
            </w:r>
            <w:r>
              <w:rPr>
                <w:rFonts w:hint="eastAsia" w:ascii="仿宋" w:hAnsi="仿宋" w:eastAsia="仿宋" w:cs="仿宋"/>
                <w:color w:val="000000"/>
                <w:sz w:val="24"/>
                <w:szCs w:val="24"/>
                <w:highlight w:val="none"/>
              </w:rPr>
              <w:t>密码技术加固</w:t>
            </w:r>
            <w:r>
              <w:rPr>
                <w:rFonts w:hint="eastAsia" w:ascii="仿宋" w:hAnsi="仿宋" w:eastAsia="仿宋" w:cs="仿宋"/>
                <w:sz w:val="24"/>
                <w:szCs w:val="24"/>
                <w:highlight w:val="none"/>
              </w:rPr>
              <w:t>安全模块，终端部件防拆</w:t>
            </w:r>
            <w:r>
              <w:rPr>
                <w:rFonts w:hint="eastAsia" w:ascii="仿宋" w:hAnsi="仿宋" w:eastAsia="仿宋" w:cs="仿宋"/>
                <w:sz w:val="24"/>
                <w:szCs w:val="24"/>
                <w:highlight w:val="none"/>
                <w:lang w:eastAsia="zh-CN"/>
              </w:rPr>
              <w:t>（</w:t>
            </w:r>
            <w:r>
              <w:rPr>
                <w:rFonts w:hint="eastAsia" w:ascii="仿宋" w:hAnsi="仿宋" w:eastAsia="仿宋" w:cs="仿宋"/>
                <w:b/>
                <w:bCs/>
                <w:sz w:val="24"/>
                <w:szCs w:val="24"/>
                <w:highlight w:val="none"/>
                <w:lang w:val="en-US" w:eastAsia="zh-CN"/>
              </w:rPr>
              <w:t>供应商提供承诺函</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w:t>
            </w:r>
          </w:p>
          <w:p w14:paraId="628D4B5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9.产品认证：国家医保局CHS认证机构检测《医保业务综合服务终端检测报告证书》</w:t>
            </w:r>
            <w:r>
              <w:rPr>
                <w:rFonts w:hint="eastAsia" w:ascii="仿宋" w:hAnsi="仿宋" w:eastAsia="仿宋" w:cs="仿宋"/>
                <w:color w:val="000000"/>
                <w:sz w:val="24"/>
                <w:szCs w:val="24"/>
                <w:highlight w:val="none"/>
                <w:lang w:eastAsia="zh-CN"/>
              </w:rPr>
              <w:t>（提供复印件加盖供应商公章）。</w:t>
            </w:r>
          </w:p>
        </w:tc>
      </w:tr>
      <w:tr w14:paraId="5729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0844C9D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772" w:type="dxa"/>
            <w:shd w:val="clear" w:color="auto" w:fill="auto"/>
            <w:tcMar>
              <w:top w:w="0" w:type="dxa"/>
              <w:left w:w="105" w:type="dxa"/>
              <w:bottom w:w="0" w:type="dxa"/>
              <w:right w:w="105" w:type="dxa"/>
            </w:tcMar>
            <w:vAlign w:val="center"/>
          </w:tcPr>
          <w:p w14:paraId="694387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rPr>
                <w:rFonts w:hint="eastAsia" w:ascii="仿宋" w:hAnsi="仿宋" w:eastAsia="仿宋" w:cs="仿宋"/>
                <w:sz w:val="24"/>
                <w:szCs w:val="24"/>
              </w:rPr>
            </w:pPr>
            <w:r>
              <w:rPr>
                <w:rStyle w:val="21"/>
                <w:rFonts w:hint="eastAsia" w:ascii="仿宋" w:hAnsi="仿宋" w:eastAsia="仿宋" w:cs="仿宋"/>
                <w:b/>
                <w:bCs/>
                <w:sz w:val="24"/>
                <w:szCs w:val="24"/>
              </w:rPr>
              <w:t>条码打印机</w:t>
            </w:r>
          </w:p>
        </w:tc>
        <w:tc>
          <w:tcPr>
            <w:tcW w:w="7184" w:type="dxa"/>
            <w:shd w:val="clear" w:color="auto" w:fill="auto"/>
            <w:tcMar>
              <w:top w:w="0" w:type="dxa"/>
              <w:left w:w="105" w:type="dxa"/>
              <w:bottom w:w="0" w:type="dxa"/>
              <w:right w:w="105" w:type="dxa"/>
            </w:tcMar>
            <w:vAlign w:val="top"/>
          </w:tcPr>
          <w:p w14:paraId="62DBD5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1.打印方式：支持热敏/热转印</w:t>
            </w:r>
          </w:p>
          <w:p w14:paraId="51873DA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2.打印宽度：25.4mm~118mm</w:t>
            </w:r>
          </w:p>
          <w:p w14:paraId="0D30FF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3.打印密度：至少支持203dpi×203dpi</w:t>
            </w:r>
          </w:p>
          <w:p w14:paraId="09ECD7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4.打印速度：≥200mm/s</w:t>
            </w:r>
          </w:p>
          <w:p w14:paraId="33B357B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5.接口：USB≥1个、RS-232≥1个、10/100M以太网≥1个</w:t>
            </w:r>
          </w:p>
        </w:tc>
      </w:tr>
      <w:tr w14:paraId="569DD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2471DB0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5</w:t>
            </w:r>
          </w:p>
        </w:tc>
        <w:tc>
          <w:tcPr>
            <w:tcW w:w="1772" w:type="dxa"/>
            <w:shd w:val="clear" w:color="auto" w:fill="auto"/>
            <w:tcMar>
              <w:top w:w="0" w:type="dxa"/>
              <w:left w:w="105" w:type="dxa"/>
              <w:bottom w:w="0" w:type="dxa"/>
              <w:right w:w="105" w:type="dxa"/>
            </w:tcMar>
            <w:vAlign w:val="center"/>
          </w:tcPr>
          <w:p w14:paraId="04CDD5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微信人脸支付摄像头</w:t>
            </w:r>
          </w:p>
        </w:tc>
        <w:tc>
          <w:tcPr>
            <w:tcW w:w="7184" w:type="dxa"/>
            <w:shd w:val="clear" w:color="auto" w:fill="auto"/>
            <w:tcMar>
              <w:top w:w="0" w:type="dxa"/>
              <w:left w:w="105" w:type="dxa"/>
              <w:bottom w:w="0" w:type="dxa"/>
              <w:right w:w="105" w:type="dxa"/>
            </w:tcMar>
            <w:vAlign w:val="top"/>
          </w:tcPr>
          <w:p w14:paraId="39F6022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功能：3D散斑结构光摄像头模组（集成化的3D 视觉感知硬件单元，基于散斑结构光技术，能快速获取物体/人脸的三维深度信息与纹理），支持近距离（0.28~1m）内的人脸识别、深度数据采集、立体与平面判断等应用。</w:t>
            </w:r>
          </w:p>
        </w:tc>
      </w:tr>
      <w:tr w14:paraId="31105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23FA2BE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772" w:type="dxa"/>
            <w:shd w:val="clear" w:color="auto" w:fill="auto"/>
            <w:tcMar>
              <w:top w:w="0" w:type="dxa"/>
              <w:left w:w="105" w:type="dxa"/>
              <w:bottom w:w="0" w:type="dxa"/>
              <w:right w:w="105" w:type="dxa"/>
            </w:tcMar>
            <w:vAlign w:val="center"/>
          </w:tcPr>
          <w:p w14:paraId="4112365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金属加密键盘</w:t>
            </w:r>
          </w:p>
        </w:tc>
        <w:tc>
          <w:tcPr>
            <w:tcW w:w="7184" w:type="dxa"/>
            <w:shd w:val="clear" w:color="auto" w:fill="auto"/>
            <w:tcMar>
              <w:top w:w="0" w:type="dxa"/>
              <w:left w:w="105" w:type="dxa"/>
              <w:bottom w:w="0" w:type="dxa"/>
              <w:right w:w="105" w:type="dxa"/>
            </w:tcMar>
            <w:vAlign w:val="top"/>
          </w:tcPr>
          <w:p w14:paraId="2942071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1.支持EPP硬件加密键盘、标准COM通讯；</w:t>
            </w:r>
          </w:p>
          <w:p w14:paraId="6442582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2.通过银联认证和国密认证；</w:t>
            </w:r>
          </w:p>
          <w:p w14:paraId="686485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3.支持DES，3DES算法，支持国密、ATM协议；</w:t>
            </w:r>
          </w:p>
          <w:p w14:paraId="2CE7BF3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4.使用3DES加密算法加密2048字节的运算时间小于2秒；</w:t>
            </w:r>
          </w:p>
          <w:p w14:paraId="52F0EA3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5.软件：支持最新Triple DES算法,可以支持ANSI、ECB标准；</w:t>
            </w:r>
          </w:p>
          <w:p w14:paraId="5A3675F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6.密钥管理：至少存储16组64位的密钥，只能写入不能读出，加密后如拆离键盘，必须自动启动密钥自毁功能；</w:t>
            </w:r>
          </w:p>
          <w:p w14:paraId="73C1BFB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7.键数：16键金属键盘，10个数字键，6个功能键；</w:t>
            </w:r>
          </w:p>
          <w:p w14:paraId="08EBC8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8.IP65静态/IP54动态（据客户需求）；</w:t>
            </w:r>
          </w:p>
          <w:p w14:paraId="5A89C6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9.整体设计防尘、防水、防暴；</w:t>
            </w:r>
          </w:p>
          <w:p w14:paraId="332806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10.加装密码键盘防护罩；</w:t>
            </w:r>
          </w:p>
        </w:tc>
      </w:tr>
      <w:tr w14:paraId="7513E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704FBB4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7</w:t>
            </w:r>
          </w:p>
        </w:tc>
        <w:tc>
          <w:tcPr>
            <w:tcW w:w="1772" w:type="dxa"/>
            <w:shd w:val="clear" w:color="auto" w:fill="auto"/>
            <w:tcMar>
              <w:top w:w="0" w:type="dxa"/>
              <w:left w:w="105" w:type="dxa"/>
              <w:bottom w:w="0" w:type="dxa"/>
              <w:right w:w="105" w:type="dxa"/>
            </w:tcMar>
            <w:vAlign w:val="center"/>
          </w:tcPr>
          <w:p w14:paraId="5C840E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电动读卡器</w:t>
            </w:r>
          </w:p>
        </w:tc>
        <w:tc>
          <w:tcPr>
            <w:tcW w:w="7184" w:type="dxa"/>
            <w:shd w:val="clear" w:color="auto" w:fill="auto"/>
            <w:tcMar>
              <w:top w:w="0" w:type="dxa"/>
              <w:left w:w="105" w:type="dxa"/>
              <w:bottom w:w="0" w:type="dxa"/>
              <w:right w:w="105" w:type="dxa"/>
            </w:tcMar>
            <w:vAlign w:val="center"/>
          </w:tcPr>
          <w:p w14:paraId="58B07F9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1.磁卡：至少支持ISO7810 ID-1、7811；</w:t>
            </w:r>
          </w:p>
          <w:p w14:paraId="7582A79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2.IC卡：至少支持ISO7816-2、T=0、T=1；</w:t>
            </w:r>
          </w:p>
          <w:p w14:paraId="370AF44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3.CPU卡：至少支持 T=0、T=1 SIM卡；</w:t>
            </w:r>
          </w:p>
          <w:p w14:paraId="568500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4.RF卡：至少支持ISO14443 TYPE A＆B、Mifare S50、S70、UL卡；</w:t>
            </w:r>
          </w:p>
          <w:p w14:paraId="0372497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5.磁头寿命：≥500,000 passes</w:t>
            </w:r>
          </w:p>
          <w:p w14:paraId="12635D8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6.IC卡触点：≥300,000 passes</w:t>
            </w:r>
          </w:p>
          <w:p w14:paraId="4D0F525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7.传动装置：≥500,000 passes</w:t>
            </w:r>
          </w:p>
          <w:p w14:paraId="6B7F4B5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8.卡位置检测：光电检测</w:t>
            </w:r>
          </w:p>
          <w:p w14:paraId="590513A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9.掉电吐卡功能：有；</w:t>
            </w:r>
          </w:p>
          <w:p w14:paraId="462E5E9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10.自动识别异物：有；</w:t>
            </w:r>
          </w:p>
          <w:p w14:paraId="42F945B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11.电动保护闸门：磁感应电动式；</w:t>
            </w:r>
          </w:p>
          <w:p w14:paraId="7418D7B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12.认证：符合PBOC3.0、EMV标准。</w:t>
            </w:r>
          </w:p>
        </w:tc>
      </w:tr>
      <w:tr w14:paraId="02446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5144D1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8</w:t>
            </w:r>
          </w:p>
        </w:tc>
        <w:tc>
          <w:tcPr>
            <w:tcW w:w="1772" w:type="dxa"/>
            <w:shd w:val="clear" w:color="auto" w:fill="auto"/>
            <w:tcMar>
              <w:top w:w="0" w:type="dxa"/>
              <w:left w:w="105" w:type="dxa"/>
              <w:bottom w:w="0" w:type="dxa"/>
              <w:right w:w="105" w:type="dxa"/>
            </w:tcMar>
            <w:vAlign w:val="center"/>
          </w:tcPr>
          <w:p w14:paraId="09D0A13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条码、二维码扫描模块</w:t>
            </w:r>
          </w:p>
        </w:tc>
        <w:tc>
          <w:tcPr>
            <w:tcW w:w="7184" w:type="dxa"/>
            <w:shd w:val="clear" w:color="auto" w:fill="auto"/>
            <w:tcMar>
              <w:top w:w="0" w:type="dxa"/>
              <w:left w:w="105" w:type="dxa"/>
              <w:bottom w:w="0" w:type="dxa"/>
              <w:right w:w="105" w:type="dxa"/>
            </w:tcMar>
            <w:vAlign w:val="top"/>
          </w:tcPr>
          <w:p w14:paraId="1BD554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1.图像传感器 采用CMOS工艺</w:t>
            </w:r>
          </w:p>
          <w:p w14:paraId="06145A1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2.分辨率≥640*480；</w:t>
            </w:r>
          </w:p>
          <w:p w14:paraId="0A7C4A7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3.通讯接口TTL232≥1个, RS232≥1个, USB(HID,CDC)≥1个；</w:t>
            </w:r>
          </w:p>
          <w:p w14:paraId="21AC5F3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4.识读精度：5mil；</w:t>
            </w:r>
          </w:p>
          <w:p w14:paraId="335AD2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5.照明：White LED</w:t>
            </w:r>
          </w:p>
          <w:p w14:paraId="207BD1B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6.旋转灵敏度：旋转≥360°倾斜±50°偏转±50°</w:t>
            </w:r>
          </w:p>
          <w:p w14:paraId="109EFA0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lang w:eastAsia="zh-CN"/>
              </w:rPr>
            </w:pPr>
            <w:r>
              <w:rPr>
                <w:rFonts w:hint="eastAsia" w:ascii="仿宋" w:hAnsi="仿宋" w:eastAsia="仿宋" w:cs="仿宋"/>
                <w:color w:val="000000"/>
                <w:sz w:val="24"/>
                <w:szCs w:val="24"/>
              </w:rPr>
              <w:t>7.重量：≤30g</w:t>
            </w:r>
          </w:p>
          <w:p w14:paraId="5441E3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8.指示：蜂鸣器</w:t>
            </w:r>
          </w:p>
          <w:p w14:paraId="420D20F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9.标准功耗：0.9W输入电压 DC 5.5~3.3V</w:t>
            </w:r>
          </w:p>
        </w:tc>
      </w:tr>
      <w:tr w14:paraId="32CC3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66F8605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9</w:t>
            </w:r>
          </w:p>
        </w:tc>
        <w:tc>
          <w:tcPr>
            <w:tcW w:w="1772" w:type="dxa"/>
            <w:shd w:val="clear" w:color="auto" w:fill="auto"/>
            <w:tcMar>
              <w:top w:w="0" w:type="dxa"/>
              <w:left w:w="105" w:type="dxa"/>
              <w:bottom w:w="0" w:type="dxa"/>
              <w:right w:w="105" w:type="dxa"/>
            </w:tcMar>
            <w:vAlign w:val="center"/>
          </w:tcPr>
          <w:p w14:paraId="2CABAFC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身份证阅读模块</w:t>
            </w:r>
          </w:p>
        </w:tc>
        <w:tc>
          <w:tcPr>
            <w:tcW w:w="7184" w:type="dxa"/>
            <w:shd w:val="clear" w:color="auto" w:fill="auto"/>
            <w:tcMar>
              <w:top w:w="0" w:type="dxa"/>
              <w:left w:w="105" w:type="dxa"/>
              <w:bottom w:w="0" w:type="dxa"/>
              <w:right w:w="105" w:type="dxa"/>
            </w:tcMar>
            <w:vAlign w:val="center"/>
          </w:tcPr>
          <w:p w14:paraId="4BF89D6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1.射频技术：符合ISO14443 Type B标准；</w:t>
            </w:r>
          </w:p>
          <w:p w14:paraId="659E92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2.保密模块：身份证核验系统专用模块；</w:t>
            </w:r>
          </w:p>
          <w:p w14:paraId="664E097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3.读卡距离：0-50mm；</w:t>
            </w:r>
          </w:p>
          <w:p w14:paraId="4C43E2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4.读卡时间：1.0s；</w:t>
            </w:r>
          </w:p>
          <w:p w14:paraId="7046BCE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5.通讯接口：COM通讯接口；通过公安部认证；</w:t>
            </w:r>
          </w:p>
        </w:tc>
      </w:tr>
      <w:tr w14:paraId="0F5F9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1F17CFA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772" w:type="dxa"/>
            <w:shd w:val="clear" w:color="auto" w:fill="auto"/>
            <w:tcMar>
              <w:top w:w="0" w:type="dxa"/>
              <w:left w:w="105" w:type="dxa"/>
              <w:bottom w:w="0" w:type="dxa"/>
              <w:right w:w="105" w:type="dxa"/>
            </w:tcMar>
            <w:vAlign w:val="center"/>
          </w:tcPr>
          <w:p w14:paraId="1D9982C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社保卡读写模块</w:t>
            </w:r>
          </w:p>
        </w:tc>
        <w:tc>
          <w:tcPr>
            <w:tcW w:w="7184" w:type="dxa"/>
            <w:shd w:val="clear" w:color="auto" w:fill="auto"/>
            <w:tcMar>
              <w:top w:w="0" w:type="dxa"/>
              <w:left w:w="105" w:type="dxa"/>
              <w:bottom w:w="0" w:type="dxa"/>
              <w:right w:w="105" w:type="dxa"/>
            </w:tcMar>
            <w:vAlign w:val="center"/>
          </w:tcPr>
          <w:p w14:paraId="767C3E4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1.符合人力资源社会保障部《社会保障（个人）卡规范》标准</w:t>
            </w:r>
          </w:p>
          <w:p w14:paraId="20B5835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2.支持非接触卡、接触卡读写</w:t>
            </w:r>
          </w:p>
          <w:p w14:paraId="7FED297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3.内置蜂鸣器、指示灯，提升用户的使用体验</w:t>
            </w:r>
          </w:p>
          <w:p w14:paraId="0B0BE60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4.符合标准: PBOC3.0 L1、qPBOC3.0 L1、人社部、住建部、卫健委</w:t>
            </w:r>
          </w:p>
          <w:p w14:paraId="1CB57C5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5.通讯接口: RS232≥1个、USB≥1个；</w:t>
            </w:r>
          </w:p>
          <w:p w14:paraId="69912AA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6.接触式卡: 支持1个ISO7816标准的IC卡</w:t>
            </w:r>
          </w:p>
          <w:p w14:paraId="76FDF2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7.非接触卡: 支持ISO14443 TypeA/B标准感应IC卡</w:t>
            </w:r>
          </w:p>
          <w:p w14:paraId="247A244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8.SAM卡座: 2个</w:t>
            </w:r>
          </w:p>
          <w:p w14:paraId="7C5BEAA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9.电源: DC 5V</w:t>
            </w:r>
          </w:p>
          <w:p w14:paraId="138280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10.工作环境: 温度:-10°C~50°C;相对湿度:5%~93%(非冷凝)</w:t>
            </w:r>
          </w:p>
        </w:tc>
      </w:tr>
      <w:tr w14:paraId="47044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52D6E9E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772" w:type="dxa"/>
            <w:shd w:val="clear" w:color="auto" w:fill="auto"/>
            <w:tcMar>
              <w:top w:w="0" w:type="dxa"/>
              <w:left w:w="105" w:type="dxa"/>
              <w:bottom w:w="0" w:type="dxa"/>
              <w:right w:w="105" w:type="dxa"/>
            </w:tcMar>
            <w:vAlign w:val="center"/>
          </w:tcPr>
          <w:p w14:paraId="31DC8D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凭条打印机</w:t>
            </w:r>
          </w:p>
        </w:tc>
        <w:tc>
          <w:tcPr>
            <w:tcW w:w="7184" w:type="dxa"/>
            <w:shd w:val="clear" w:color="auto" w:fill="auto"/>
            <w:tcMar>
              <w:top w:w="0" w:type="dxa"/>
              <w:left w:w="105" w:type="dxa"/>
              <w:bottom w:w="0" w:type="dxa"/>
              <w:right w:w="105" w:type="dxa"/>
            </w:tcMar>
            <w:vAlign w:val="top"/>
          </w:tcPr>
          <w:p w14:paraId="4E4B294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1.打印方式：热敏行式打印</w:t>
            </w:r>
          </w:p>
          <w:p w14:paraId="2B42161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2.接口方式：支持串口、USB2.0</w:t>
            </w:r>
          </w:p>
          <w:p w14:paraId="4B3CC46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3.打印密度：8 点/mm</w:t>
            </w:r>
          </w:p>
          <w:p w14:paraId="4DC610E2">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4.打印方向：进纸方向</w:t>
            </w:r>
          </w:p>
          <w:p w14:paraId="75478A0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5.打印速度：150mm/s（Max）</w:t>
            </w:r>
          </w:p>
          <w:p w14:paraId="554FE820">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6.有效打印宽度：72mm</w:t>
            </w:r>
          </w:p>
          <w:p w14:paraId="5B9B623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7.纸处理方式：自动切纸（全切或半切）</w:t>
            </w:r>
          </w:p>
          <w:p w14:paraId="1556B26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 xml:space="preserve">8.行宽：3.75mm </w:t>
            </w:r>
          </w:p>
          <w:p w14:paraId="2EEE4B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9.打印宽度：79.5 ±0.5毫米</w:t>
            </w:r>
          </w:p>
          <w:p w14:paraId="331223F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10.纸张类型：热敏纸</w:t>
            </w:r>
          </w:p>
          <w:p w14:paraId="24FF3EB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11.纸宽：79.5±0.5mm</w:t>
            </w:r>
          </w:p>
          <w:p w14:paraId="49B6800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12.纸卷直径：150mm（Max）</w:t>
            </w:r>
          </w:p>
          <w:p w14:paraId="772FBA2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13.热敏头寿命：100KM</w:t>
            </w:r>
          </w:p>
          <w:p w14:paraId="5729EE1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14.切刀寿命：100 万次</w:t>
            </w:r>
          </w:p>
          <w:p w14:paraId="2C91FD2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15.缺纸检测：预缺纸（少纸）检测、缺纸检测、缺纸报警</w:t>
            </w:r>
          </w:p>
        </w:tc>
      </w:tr>
      <w:tr w14:paraId="6D575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511F8AD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772" w:type="dxa"/>
            <w:shd w:val="clear" w:color="auto" w:fill="auto"/>
            <w:tcMar>
              <w:top w:w="0" w:type="dxa"/>
              <w:left w:w="105" w:type="dxa"/>
              <w:bottom w:w="0" w:type="dxa"/>
              <w:right w:w="105" w:type="dxa"/>
            </w:tcMar>
            <w:vAlign w:val="center"/>
          </w:tcPr>
          <w:p w14:paraId="665D202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激光打印机</w:t>
            </w:r>
          </w:p>
          <w:p w14:paraId="1C47D71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lang w:eastAsia="zh-CN"/>
              </w:rPr>
            </w:pPr>
          </w:p>
        </w:tc>
        <w:tc>
          <w:tcPr>
            <w:tcW w:w="7184" w:type="dxa"/>
            <w:shd w:val="clear" w:color="auto" w:fill="auto"/>
            <w:tcMar>
              <w:top w:w="0" w:type="dxa"/>
              <w:left w:w="105" w:type="dxa"/>
              <w:bottom w:w="0" w:type="dxa"/>
              <w:right w:w="105" w:type="dxa"/>
            </w:tcMar>
            <w:vAlign w:val="top"/>
          </w:tcPr>
          <w:p w14:paraId="6F56728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 xml:space="preserve">1.端口：USB≥1个； </w:t>
            </w:r>
          </w:p>
          <w:p w14:paraId="1E1736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2.单面支持纸张尺寸A4、A5；</w:t>
            </w:r>
          </w:p>
          <w:p w14:paraId="371E58E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3.打印速度:≥38页/分；</w:t>
            </w:r>
          </w:p>
          <w:p w14:paraId="47B46E6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4.月负荷：≥80000页；</w:t>
            </w:r>
          </w:p>
          <w:p w14:paraId="172F071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5.首页输出时间：≤6.4秒；</w:t>
            </w:r>
          </w:p>
          <w:p w14:paraId="2C6971D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6.分辨率:</w:t>
            </w:r>
            <w:r>
              <w:rPr>
                <w:rFonts w:hint="eastAsia" w:ascii="仿宋" w:hAnsi="仿宋" w:eastAsia="仿宋" w:cs="仿宋"/>
                <w:color w:val="000000"/>
                <w:sz w:val="24"/>
                <w:szCs w:val="24"/>
                <w:lang w:val="en-US" w:eastAsia="zh-CN"/>
              </w:rPr>
              <w:t>≥</w:t>
            </w:r>
            <w:r>
              <w:rPr>
                <w:rFonts w:hint="eastAsia" w:ascii="仿宋" w:hAnsi="仿宋" w:eastAsia="仿宋" w:cs="仿宋"/>
                <w:color w:val="000000"/>
                <w:sz w:val="24"/>
                <w:szCs w:val="24"/>
              </w:rPr>
              <w:t>1200*1200dpi；</w:t>
            </w:r>
          </w:p>
          <w:p w14:paraId="3AAE84B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7.耗电功率：打印：≤591W，就绪：≤6.1W，睡眠：≤2.8W；</w:t>
            </w:r>
          </w:p>
          <w:p w14:paraId="0FA628C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8.进纸方式:自动进纸</w:t>
            </w:r>
            <w:r>
              <w:rPr>
                <w:rFonts w:hint="eastAsia" w:ascii="仿宋" w:hAnsi="仿宋" w:eastAsia="仿宋" w:cs="仿宋"/>
                <w:color w:val="000000"/>
                <w:sz w:val="24"/>
                <w:szCs w:val="24"/>
              </w:rPr>
              <w:br w:type="textWrapping"/>
            </w:r>
            <w:r>
              <w:rPr>
                <w:rFonts w:hint="eastAsia" w:ascii="仿宋" w:hAnsi="仿宋" w:eastAsia="仿宋" w:cs="仿宋"/>
                <w:color w:val="000000"/>
                <w:sz w:val="24"/>
                <w:szCs w:val="24"/>
              </w:rPr>
              <w:t xml:space="preserve">进纸盒容量：标配纸盒≥250页； </w:t>
            </w:r>
          </w:p>
        </w:tc>
      </w:tr>
      <w:tr w14:paraId="7F5FE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892" w:type="dxa"/>
            <w:shd w:val="clear" w:color="auto" w:fill="auto"/>
            <w:tcMar>
              <w:top w:w="0" w:type="dxa"/>
              <w:left w:w="105" w:type="dxa"/>
              <w:bottom w:w="0" w:type="dxa"/>
              <w:right w:w="105" w:type="dxa"/>
            </w:tcMar>
            <w:vAlign w:val="center"/>
          </w:tcPr>
          <w:p w14:paraId="5CACA60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13</w:t>
            </w:r>
          </w:p>
        </w:tc>
        <w:tc>
          <w:tcPr>
            <w:tcW w:w="1772" w:type="dxa"/>
            <w:shd w:val="clear" w:color="auto" w:fill="auto"/>
            <w:tcMar>
              <w:top w:w="0" w:type="dxa"/>
              <w:left w:w="105" w:type="dxa"/>
              <w:bottom w:w="0" w:type="dxa"/>
              <w:right w:w="105" w:type="dxa"/>
            </w:tcMar>
            <w:vAlign w:val="center"/>
          </w:tcPr>
          <w:p w14:paraId="16FEAF88">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rPr>
                <w:rFonts w:hint="eastAsia" w:ascii="仿宋" w:hAnsi="仿宋" w:eastAsia="仿宋" w:cs="仿宋"/>
                <w:sz w:val="24"/>
                <w:szCs w:val="24"/>
              </w:rPr>
            </w:pPr>
            <w:r>
              <w:rPr>
                <w:rStyle w:val="21"/>
                <w:rFonts w:hint="eastAsia" w:ascii="仿宋" w:hAnsi="仿宋" w:eastAsia="仿宋" w:cs="仿宋"/>
                <w:b/>
                <w:bCs/>
                <w:sz w:val="24"/>
                <w:szCs w:val="24"/>
              </w:rPr>
              <w:t>时控开关</w:t>
            </w:r>
          </w:p>
        </w:tc>
        <w:tc>
          <w:tcPr>
            <w:tcW w:w="7184" w:type="dxa"/>
            <w:shd w:val="clear" w:color="auto" w:fill="auto"/>
            <w:tcMar>
              <w:top w:w="0" w:type="dxa"/>
              <w:left w:w="105" w:type="dxa"/>
              <w:bottom w:w="0" w:type="dxa"/>
              <w:right w:w="105" w:type="dxa"/>
            </w:tcMar>
            <w:vAlign w:val="top"/>
          </w:tcPr>
          <w:p w14:paraId="5A3C2C7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1.工作电压：85%-110%；</w:t>
            </w:r>
          </w:p>
          <w:p w14:paraId="334E99F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2.额定电压Ac50Hz</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Ac220V；</w:t>
            </w:r>
          </w:p>
          <w:p w14:paraId="264A4AD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3.内部电源：具备可充电电池，无需更换；</w:t>
            </w:r>
          </w:p>
          <w:p w14:paraId="2A93EA1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4.工作方式：支持手动开、手动关、自动开关；</w:t>
            </w:r>
          </w:p>
          <w:p w14:paraId="06A256C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5.纬度自动调整开、纬度自动调整关；</w:t>
            </w:r>
          </w:p>
          <w:p w14:paraId="2BE1CE7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6.可编程数：16开16关；</w:t>
            </w:r>
          </w:p>
          <w:p w14:paraId="32B1330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0" w:afterAutospacing="0" w:line="240" w:lineRule="auto"/>
              <w:ind w:left="0" w:firstLine="0"/>
              <w:rPr>
                <w:rFonts w:hint="eastAsia" w:ascii="仿宋" w:hAnsi="仿宋" w:eastAsia="仿宋" w:cs="仿宋"/>
                <w:sz w:val="24"/>
                <w:szCs w:val="24"/>
              </w:rPr>
            </w:pPr>
            <w:r>
              <w:rPr>
                <w:rFonts w:hint="eastAsia" w:ascii="仿宋" w:hAnsi="仿宋" w:eastAsia="仿宋" w:cs="仿宋"/>
                <w:color w:val="000000"/>
                <w:sz w:val="24"/>
                <w:szCs w:val="24"/>
              </w:rPr>
              <w:t>7.时控范围：1分-168小时</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计时误差：≤2秒/天；</w:t>
            </w:r>
          </w:p>
        </w:tc>
      </w:tr>
    </w:tbl>
    <w:p w14:paraId="643921B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1.2自助机配套软件</w:t>
      </w:r>
    </w:p>
    <w:p w14:paraId="4425F5A9">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textAlignment w:val="auto"/>
        <w:rPr>
          <w:sz w:val="24"/>
          <w:szCs w:val="24"/>
        </w:rPr>
      </w:pPr>
      <w:r>
        <w:rPr>
          <w:rFonts w:hint="eastAsia" w:ascii="仿宋" w:hAnsi="仿宋" w:eastAsia="仿宋" w:cs="仿宋"/>
          <w:kern w:val="2"/>
          <w:sz w:val="24"/>
          <w:szCs w:val="24"/>
        </w:rPr>
        <w:t>（一）自助机系统软件开发、出入院管理和结算系统、一码付支付系统、人社一卡通系统</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94"/>
        <w:gridCol w:w="1618"/>
        <w:gridCol w:w="7436"/>
      </w:tblGrid>
      <w:tr w14:paraId="730FE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098B9B4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590" w:type="dxa"/>
            <w:shd w:val="clear" w:color="auto" w:fill="auto"/>
            <w:tcMar>
              <w:top w:w="0" w:type="dxa"/>
              <w:left w:w="105" w:type="dxa"/>
              <w:bottom w:w="0" w:type="dxa"/>
              <w:right w:w="105" w:type="dxa"/>
            </w:tcMar>
            <w:vAlign w:val="center"/>
          </w:tcPr>
          <w:p w14:paraId="24E8EA24">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功能</w:t>
            </w:r>
          </w:p>
        </w:tc>
        <w:tc>
          <w:tcPr>
            <w:tcW w:w="7305" w:type="dxa"/>
            <w:shd w:val="clear" w:color="auto" w:fill="auto"/>
            <w:tcMar>
              <w:top w:w="0" w:type="dxa"/>
              <w:left w:w="105" w:type="dxa"/>
              <w:bottom w:w="0" w:type="dxa"/>
              <w:right w:w="105" w:type="dxa"/>
            </w:tcMar>
            <w:vAlign w:val="center"/>
          </w:tcPr>
          <w:p w14:paraId="253879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rPr>
            </w:pPr>
            <w:r>
              <w:rPr>
                <w:rFonts w:hint="eastAsia" w:ascii="仿宋" w:hAnsi="仿宋" w:eastAsia="仿宋" w:cs="仿宋"/>
                <w:sz w:val="24"/>
                <w:szCs w:val="24"/>
              </w:rPr>
              <w:t>功能描述</w:t>
            </w:r>
          </w:p>
        </w:tc>
      </w:tr>
      <w:tr w14:paraId="52362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0BFC729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590" w:type="dxa"/>
            <w:shd w:val="clear" w:color="auto" w:fill="auto"/>
            <w:tcMar>
              <w:top w:w="0" w:type="dxa"/>
              <w:left w:w="105" w:type="dxa"/>
              <w:bottom w:w="0" w:type="dxa"/>
              <w:right w:w="105" w:type="dxa"/>
            </w:tcMar>
            <w:vAlign w:val="center"/>
          </w:tcPr>
          <w:p w14:paraId="28FBD658">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★建档/取票</w:t>
            </w:r>
          </w:p>
        </w:tc>
        <w:tc>
          <w:tcPr>
            <w:tcW w:w="7305" w:type="dxa"/>
            <w:shd w:val="clear" w:color="auto" w:fill="auto"/>
            <w:tcMar>
              <w:top w:w="0" w:type="dxa"/>
              <w:left w:w="105" w:type="dxa"/>
              <w:bottom w:w="0" w:type="dxa"/>
              <w:right w:w="105" w:type="dxa"/>
            </w:tcMar>
            <w:vAlign w:val="center"/>
          </w:tcPr>
          <w:p w14:paraId="3134D7C1">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患者使用身份证、院内就诊卡、外国人永久居留身份证（新旧版）、电子社保卡、医保电子凭证、实体医保卡、电子健康卡在自助机上建档取票。支持在自助机上进行入院登记。支持在自助机上使用成都市人社电子社保卡通过一卡通平台做就诊介质用。</w:t>
            </w:r>
          </w:p>
        </w:tc>
      </w:tr>
      <w:tr w14:paraId="54462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269AA09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590" w:type="dxa"/>
            <w:shd w:val="clear" w:color="auto" w:fill="auto"/>
            <w:tcMar>
              <w:top w:w="0" w:type="dxa"/>
              <w:left w:w="105" w:type="dxa"/>
              <w:bottom w:w="0" w:type="dxa"/>
              <w:right w:w="105" w:type="dxa"/>
            </w:tcMar>
            <w:vAlign w:val="center"/>
          </w:tcPr>
          <w:p w14:paraId="10F97DAB">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★人脸识别</w:t>
            </w:r>
          </w:p>
        </w:tc>
        <w:tc>
          <w:tcPr>
            <w:tcW w:w="7305" w:type="dxa"/>
            <w:shd w:val="clear" w:color="auto" w:fill="auto"/>
            <w:tcMar>
              <w:top w:w="0" w:type="dxa"/>
              <w:left w:w="105" w:type="dxa"/>
              <w:bottom w:w="0" w:type="dxa"/>
              <w:right w:w="105" w:type="dxa"/>
            </w:tcMar>
            <w:vAlign w:val="center"/>
          </w:tcPr>
          <w:p w14:paraId="6517F499">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支持在自助机上使用微信公众号注册人脸做就诊介质用。</w:t>
            </w:r>
          </w:p>
        </w:tc>
      </w:tr>
      <w:tr w14:paraId="689EA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4F6FF17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590" w:type="dxa"/>
            <w:shd w:val="clear" w:color="auto" w:fill="auto"/>
            <w:tcMar>
              <w:top w:w="0" w:type="dxa"/>
              <w:left w:w="105" w:type="dxa"/>
              <w:bottom w:w="0" w:type="dxa"/>
              <w:right w:w="105" w:type="dxa"/>
            </w:tcMar>
            <w:vAlign w:val="center"/>
          </w:tcPr>
          <w:p w14:paraId="58FBB5FA">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★挂号/取号</w:t>
            </w:r>
          </w:p>
        </w:tc>
        <w:tc>
          <w:tcPr>
            <w:tcW w:w="7305" w:type="dxa"/>
            <w:shd w:val="clear" w:color="auto" w:fill="auto"/>
            <w:tcMar>
              <w:top w:w="0" w:type="dxa"/>
              <w:left w:w="105" w:type="dxa"/>
              <w:bottom w:w="0" w:type="dxa"/>
              <w:right w:w="105" w:type="dxa"/>
            </w:tcMar>
            <w:vAlign w:val="center"/>
          </w:tcPr>
          <w:p w14:paraId="4366CD7C">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支持在自助终端当日挂号、预约挂号通过银行卡、微信、支付宝缴费；支持通过诊间、114电话预约等未缴费的患者缴费取号。</w:t>
            </w:r>
          </w:p>
        </w:tc>
      </w:tr>
      <w:tr w14:paraId="46762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478655F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590" w:type="dxa"/>
            <w:shd w:val="clear" w:color="auto" w:fill="auto"/>
            <w:tcMar>
              <w:top w:w="0" w:type="dxa"/>
              <w:left w:w="105" w:type="dxa"/>
              <w:bottom w:w="0" w:type="dxa"/>
              <w:right w:w="105" w:type="dxa"/>
            </w:tcMar>
            <w:vAlign w:val="center"/>
          </w:tcPr>
          <w:p w14:paraId="38A901B9">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★开单缴费</w:t>
            </w:r>
          </w:p>
        </w:tc>
        <w:tc>
          <w:tcPr>
            <w:tcW w:w="7305" w:type="dxa"/>
            <w:shd w:val="clear" w:color="auto" w:fill="auto"/>
            <w:tcMar>
              <w:top w:w="0" w:type="dxa"/>
              <w:left w:w="105" w:type="dxa"/>
              <w:bottom w:w="0" w:type="dxa"/>
              <w:right w:w="105" w:type="dxa"/>
            </w:tcMar>
            <w:vAlign w:val="center"/>
          </w:tcPr>
          <w:p w14:paraId="706F7F39">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支持在自助终端通过银行卡、微信、支付宝实现门诊缴费、体检缴费、自助开单并缴费。</w:t>
            </w:r>
          </w:p>
        </w:tc>
      </w:tr>
      <w:tr w14:paraId="6BDC7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3BBC7A5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590" w:type="dxa"/>
            <w:shd w:val="clear" w:color="auto" w:fill="auto"/>
            <w:tcMar>
              <w:top w:w="0" w:type="dxa"/>
              <w:left w:w="105" w:type="dxa"/>
              <w:bottom w:w="0" w:type="dxa"/>
              <w:right w:w="105" w:type="dxa"/>
            </w:tcMar>
            <w:vAlign w:val="center"/>
          </w:tcPr>
          <w:p w14:paraId="59BFE419">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★充值/预交</w:t>
            </w:r>
          </w:p>
        </w:tc>
        <w:tc>
          <w:tcPr>
            <w:tcW w:w="7305" w:type="dxa"/>
            <w:shd w:val="clear" w:color="auto" w:fill="auto"/>
            <w:tcMar>
              <w:top w:w="0" w:type="dxa"/>
              <w:left w:w="105" w:type="dxa"/>
              <w:bottom w:w="0" w:type="dxa"/>
              <w:right w:w="105" w:type="dxa"/>
            </w:tcMar>
            <w:vAlign w:val="center"/>
          </w:tcPr>
          <w:p w14:paraId="05F3B0B9">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支持在自助机上实现通过银行卡、微信、支付宝门诊充值、住院金预交到个人账户；并提供充值金明细查询与打印。</w:t>
            </w:r>
          </w:p>
        </w:tc>
      </w:tr>
      <w:tr w14:paraId="1E8F7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359127C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590" w:type="dxa"/>
            <w:shd w:val="clear" w:color="auto" w:fill="auto"/>
            <w:tcMar>
              <w:top w:w="0" w:type="dxa"/>
              <w:left w:w="105" w:type="dxa"/>
              <w:bottom w:w="0" w:type="dxa"/>
              <w:right w:w="105" w:type="dxa"/>
            </w:tcMar>
            <w:vAlign w:val="center"/>
          </w:tcPr>
          <w:p w14:paraId="6F57480A">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★检查预约</w:t>
            </w:r>
          </w:p>
        </w:tc>
        <w:tc>
          <w:tcPr>
            <w:tcW w:w="7305" w:type="dxa"/>
            <w:shd w:val="clear" w:color="auto" w:fill="auto"/>
            <w:tcMar>
              <w:top w:w="0" w:type="dxa"/>
              <w:left w:w="105" w:type="dxa"/>
              <w:bottom w:w="0" w:type="dxa"/>
              <w:right w:w="105" w:type="dxa"/>
            </w:tcMar>
            <w:vAlign w:val="center"/>
          </w:tcPr>
          <w:p w14:paraId="4FD375EC">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支持在自助终端对有检查(放射、CT、磁共振、超声等)预约需求的患者进行自主预约、智能预约、手动修改预约。</w:t>
            </w:r>
          </w:p>
        </w:tc>
      </w:tr>
      <w:tr w14:paraId="185A4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33D64C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590" w:type="dxa"/>
            <w:shd w:val="clear" w:color="auto" w:fill="auto"/>
            <w:tcMar>
              <w:top w:w="0" w:type="dxa"/>
              <w:left w:w="105" w:type="dxa"/>
              <w:bottom w:w="0" w:type="dxa"/>
              <w:right w:w="105" w:type="dxa"/>
            </w:tcMar>
            <w:vAlign w:val="center"/>
          </w:tcPr>
          <w:p w14:paraId="2D97D29E">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★报告打印</w:t>
            </w:r>
          </w:p>
        </w:tc>
        <w:tc>
          <w:tcPr>
            <w:tcW w:w="7305" w:type="dxa"/>
            <w:shd w:val="clear" w:color="auto" w:fill="auto"/>
            <w:tcMar>
              <w:top w:w="0" w:type="dxa"/>
              <w:left w:w="105" w:type="dxa"/>
              <w:bottom w:w="0" w:type="dxa"/>
              <w:right w:w="105" w:type="dxa"/>
            </w:tcMar>
            <w:vAlign w:val="center"/>
          </w:tcPr>
          <w:p w14:paraId="252C8FB6">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通过院内检验条码在自助机打印检验报告、病理报告、心电报告、腹部超声报告、心血管超声报告、核医学告报告、消化内镜报告、门诊病历、门诊和住院电子票据、门诊和住院清单查询和打印。支持在自助机上打印电子发票及发票清单。支持在自助机上打印导诊单。支持在自助机上进行腕带打印、出院清单打印、出院诊断证明书、出院医保结算单。</w:t>
            </w:r>
          </w:p>
        </w:tc>
      </w:tr>
      <w:tr w14:paraId="0AAF9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0F8993B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590" w:type="dxa"/>
            <w:shd w:val="clear" w:color="auto" w:fill="auto"/>
            <w:tcMar>
              <w:top w:w="0" w:type="dxa"/>
              <w:left w:w="105" w:type="dxa"/>
              <w:bottom w:w="0" w:type="dxa"/>
              <w:right w:w="105" w:type="dxa"/>
            </w:tcMar>
            <w:vAlign w:val="center"/>
          </w:tcPr>
          <w:p w14:paraId="4787D1AD">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★处方打印</w:t>
            </w:r>
          </w:p>
        </w:tc>
        <w:tc>
          <w:tcPr>
            <w:tcW w:w="7305" w:type="dxa"/>
            <w:shd w:val="clear" w:color="auto" w:fill="auto"/>
            <w:tcMar>
              <w:top w:w="0" w:type="dxa"/>
              <w:left w:w="105" w:type="dxa"/>
              <w:bottom w:w="0" w:type="dxa"/>
              <w:right w:w="105" w:type="dxa"/>
            </w:tcMar>
            <w:vAlign w:val="center"/>
          </w:tcPr>
          <w:p w14:paraId="065A7594">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支持在自助机上打印各类处方。</w:t>
            </w:r>
          </w:p>
        </w:tc>
      </w:tr>
      <w:tr w14:paraId="3BAF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170EEF6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9</w:t>
            </w:r>
          </w:p>
        </w:tc>
        <w:tc>
          <w:tcPr>
            <w:tcW w:w="1590" w:type="dxa"/>
            <w:shd w:val="clear" w:color="auto" w:fill="auto"/>
            <w:tcMar>
              <w:top w:w="0" w:type="dxa"/>
              <w:left w:w="105" w:type="dxa"/>
              <w:bottom w:w="0" w:type="dxa"/>
              <w:right w:w="105" w:type="dxa"/>
            </w:tcMar>
            <w:vAlign w:val="center"/>
          </w:tcPr>
          <w:p w14:paraId="5AFD4A61">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★结算单打印</w:t>
            </w:r>
          </w:p>
        </w:tc>
        <w:tc>
          <w:tcPr>
            <w:tcW w:w="7305" w:type="dxa"/>
            <w:shd w:val="clear" w:color="auto" w:fill="auto"/>
            <w:tcMar>
              <w:top w:w="0" w:type="dxa"/>
              <w:left w:w="105" w:type="dxa"/>
              <w:bottom w:w="0" w:type="dxa"/>
              <w:right w:w="105" w:type="dxa"/>
            </w:tcMar>
            <w:vAlign w:val="center"/>
          </w:tcPr>
          <w:p w14:paraId="4A7FE77D">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-支持在自助机上打印医保结算清单。</w:t>
            </w:r>
          </w:p>
        </w:tc>
      </w:tr>
      <w:tr w14:paraId="6CB3E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640746D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10</w:t>
            </w:r>
          </w:p>
        </w:tc>
        <w:tc>
          <w:tcPr>
            <w:tcW w:w="1590" w:type="dxa"/>
            <w:shd w:val="clear" w:color="auto" w:fill="auto"/>
            <w:tcMar>
              <w:top w:w="0" w:type="dxa"/>
              <w:left w:w="105" w:type="dxa"/>
              <w:bottom w:w="0" w:type="dxa"/>
              <w:right w:w="105" w:type="dxa"/>
            </w:tcMar>
            <w:vAlign w:val="center"/>
          </w:tcPr>
          <w:p w14:paraId="6559C1A9">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★签到</w:t>
            </w:r>
          </w:p>
        </w:tc>
        <w:tc>
          <w:tcPr>
            <w:tcW w:w="7305" w:type="dxa"/>
            <w:shd w:val="clear" w:color="auto" w:fill="auto"/>
            <w:tcMar>
              <w:top w:w="0" w:type="dxa"/>
              <w:left w:w="105" w:type="dxa"/>
              <w:bottom w:w="0" w:type="dxa"/>
              <w:right w:w="105" w:type="dxa"/>
            </w:tcMar>
            <w:vAlign w:val="center"/>
          </w:tcPr>
          <w:p w14:paraId="74896A79">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支持在自助机上实现排队、医技、心电图、内镜签到，内镜知情同意书签名。</w:t>
            </w:r>
          </w:p>
        </w:tc>
      </w:tr>
      <w:tr w14:paraId="73C95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1CC8C89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590" w:type="dxa"/>
            <w:shd w:val="clear" w:color="auto" w:fill="auto"/>
            <w:tcMar>
              <w:top w:w="0" w:type="dxa"/>
              <w:left w:w="105" w:type="dxa"/>
              <w:bottom w:w="0" w:type="dxa"/>
              <w:right w:w="105" w:type="dxa"/>
            </w:tcMar>
            <w:vAlign w:val="center"/>
          </w:tcPr>
          <w:p w14:paraId="164ABCD6">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★物价公示</w:t>
            </w:r>
          </w:p>
        </w:tc>
        <w:tc>
          <w:tcPr>
            <w:tcW w:w="7305" w:type="dxa"/>
            <w:shd w:val="clear" w:color="auto" w:fill="auto"/>
            <w:tcMar>
              <w:top w:w="0" w:type="dxa"/>
              <w:left w:w="105" w:type="dxa"/>
              <w:bottom w:w="0" w:type="dxa"/>
              <w:right w:w="105" w:type="dxa"/>
            </w:tcMar>
            <w:vAlign w:val="center"/>
          </w:tcPr>
          <w:p w14:paraId="42DE1B8E">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支持在自助终端上查看物价信息。</w:t>
            </w:r>
          </w:p>
        </w:tc>
      </w:tr>
      <w:tr w14:paraId="5C1EB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4355C4C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12</w:t>
            </w:r>
          </w:p>
        </w:tc>
        <w:tc>
          <w:tcPr>
            <w:tcW w:w="1590" w:type="dxa"/>
            <w:shd w:val="clear" w:color="auto" w:fill="auto"/>
            <w:tcMar>
              <w:top w:w="0" w:type="dxa"/>
              <w:left w:w="105" w:type="dxa"/>
              <w:bottom w:w="0" w:type="dxa"/>
              <w:right w:w="105" w:type="dxa"/>
            </w:tcMar>
            <w:vAlign w:val="center"/>
          </w:tcPr>
          <w:p w14:paraId="110F9E4D">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★凭条补打</w:t>
            </w:r>
          </w:p>
        </w:tc>
        <w:tc>
          <w:tcPr>
            <w:tcW w:w="7305" w:type="dxa"/>
            <w:shd w:val="clear" w:color="auto" w:fill="auto"/>
            <w:tcMar>
              <w:top w:w="0" w:type="dxa"/>
              <w:left w:w="105" w:type="dxa"/>
              <w:bottom w:w="0" w:type="dxa"/>
              <w:right w:w="105" w:type="dxa"/>
            </w:tcMar>
            <w:vAlign w:val="center"/>
          </w:tcPr>
          <w:p w14:paraId="609EF753">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对已经挂号成功的交易可进行再次挂号凭条、预交凭条、门诊缴费票据补打，检查预约凭条补打。</w:t>
            </w:r>
          </w:p>
        </w:tc>
      </w:tr>
      <w:tr w14:paraId="5D45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645C2EA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13</w:t>
            </w:r>
          </w:p>
        </w:tc>
        <w:tc>
          <w:tcPr>
            <w:tcW w:w="1590" w:type="dxa"/>
            <w:shd w:val="clear" w:color="auto" w:fill="auto"/>
            <w:tcMar>
              <w:top w:w="0" w:type="dxa"/>
              <w:left w:w="105" w:type="dxa"/>
              <w:bottom w:w="0" w:type="dxa"/>
              <w:right w:w="105" w:type="dxa"/>
            </w:tcMar>
            <w:vAlign w:val="center"/>
          </w:tcPr>
          <w:p w14:paraId="3B861F91">
            <w:pPr>
              <w:pStyle w:val="14"/>
              <w:keepNext w:val="0"/>
              <w:keepLines w:val="0"/>
              <w:widowControl/>
              <w:suppressLineNumbers w:val="0"/>
              <w:spacing w:line="360" w:lineRule="auto"/>
              <w:ind w:left="0" w:firstLine="240"/>
              <w:rPr>
                <w:rFonts w:hint="eastAsia" w:ascii="仿宋" w:hAnsi="仿宋" w:eastAsia="仿宋" w:cs="仿宋"/>
                <w:sz w:val="24"/>
                <w:szCs w:val="24"/>
              </w:rPr>
            </w:pPr>
            <w:r>
              <w:rPr>
                <w:rFonts w:hint="eastAsia" w:ascii="仿宋" w:hAnsi="仿宋" w:eastAsia="仿宋" w:cs="仿宋"/>
                <w:sz w:val="24"/>
                <w:szCs w:val="24"/>
              </w:rPr>
              <w:t>●CA签名</w:t>
            </w:r>
          </w:p>
        </w:tc>
        <w:tc>
          <w:tcPr>
            <w:tcW w:w="7305" w:type="dxa"/>
            <w:shd w:val="clear" w:color="auto" w:fill="auto"/>
            <w:tcMar>
              <w:top w:w="0" w:type="dxa"/>
              <w:left w:w="105" w:type="dxa"/>
              <w:bottom w:w="0" w:type="dxa"/>
              <w:right w:w="105" w:type="dxa"/>
            </w:tcMar>
            <w:vAlign w:val="center"/>
          </w:tcPr>
          <w:p w14:paraId="23518946">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在自助机上实现：对外伤患者进行CA 加密签名审核保存，通过银行卡、微信、支付宝缴费。缴费成功后，须文件签名日期和文件生成日期一致。对生成保存的PDF 进行再次编辑时会提示有数字签名。</w:t>
            </w:r>
          </w:p>
        </w:tc>
      </w:tr>
      <w:tr w14:paraId="13A54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3C892AE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14</w:t>
            </w:r>
          </w:p>
        </w:tc>
        <w:tc>
          <w:tcPr>
            <w:tcW w:w="1590" w:type="dxa"/>
            <w:shd w:val="clear" w:color="auto" w:fill="auto"/>
            <w:tcMar>
              <w:top w:w="0" w:type="dxa"/>
              <w:left w:w="105" w:type="dxa"/>
              <w:bottom w:w="0" w:type="dxa"/>
              <w:right w:w="105" w:type="dxa"/>
            </w:tcMar>
            <w:vAlign w:val="center"/>
          </w:tcPr>
          <w:p w14:paraId="1A672BAF">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★关爱模式</w:t>
            </w:r>
          </w:p>
        </w:tc>
        <w:tc>
          <w:tcPr>
            <w:tcW w:w="7305" w:type="dxa"/>
            <w:shd w:val="clear" w:color="auto" w:fill="auto"/>
            <w:tcMar>
              <w:top w:w="0" w:type="dxa"/>
              <w:left w:w="105" w:type="dxa"/>
              <w:bottom w:w="0" w:type="dxa"/>
              <w:right w:w="105" w:type="dxa"/>
            </w:tcMar>
            <w:vAlign w:val="center"/>
          </w:tcPr>
          <w:p w14:paraId="3CC77150">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支持在自助机开启关爱模式，支持建档，当日挂号，预约挂号，门诊缴费，报告打印。</w:t>
            </w:r>
          </w:p>
        </w:tc>
      </w:tr>
      <w:tr w14:paraId="25F20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5A9D5B2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15</w:t>
            </w:r>
          </w:p>
        </w:tc>
        <w:tc>
          <w:tcPr>
            <w:tcW w:w="1590" w:type="dxa"/>
            <w:shd w:val="clear" w:color="auto" w:fill="auto"/>
            <w:tcMar>
              <w:top w:w="0" w:type="dxa"/>
              <w:left w:w="105" w:type="dxa"/>
              <w:bottom w:w="0" w:type="dxa"/>
              <w:right w:w="105" w:type="dxa"/>
            </w:tcMar>
            <w:vAlign w:val="center"/>
          </w:tcPr>
          <w:p w14:paraId="48EC3E39">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★医院简介</w:t>
            </w:r>
          </w:p>
        </w:tc>
        <w:tc>
          <w:tcPr>
            <w:tcW w:w="7305" w:type="dxa"/>
            <w:shd w:val="clear" w:color="auto" w:fill="auto"/>
            <w:tcMar>
              <w:top w:w="0" w:type="dxa"/>
              <w:left w:w="105" w:type="dxa"/>
              <w:bottom w:w="0" w:type="dxa"/>
              <w:right w:w="105" w:type="dxa"/>
            </w:tcMar>
            <w:vAlign w:val="center"/>
          </w:tcPr>
          <w:p w14:paraId="18A59811">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医院简介，科室简介，医生简介展示 。</w:t>
            </w:r>
          </w:p>
        </w:tc>
      </w:tr>
      <w:tr w14:paraId="09A10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6100230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16</w:t>
            </w:r>
          </w:p>
        </w:tc>
        <w:tc>
          <w:tcPr>
            <w:tcW w:w="1590" w:type="dxa"/>
            <w:shd w:val="clear" w:color="auto" w:fill="auto"/>
            <w:tcMar>
              <w:top w:w="0" w:type="dxa"/>
              <w:left w:w="105" w:type="dxa"/>
              <w:bottom w:w="0" w:type="dxa"/>
              <w:right w:w="105" w:type="dxa"/>
            </w:tcMar>
            <w:vAlign w:val="center"/>
          </w:tcPr>
          <w:p w14:paraId="095E34BC">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★支付</w:t>
            </w:r>
          </w:p>
        </w:tc>
        <w:tc>
          <w:tcPr>
            <w:tcW w:w="7305" w:type="dxa"/>
            <w:shd w:val="clear" w:color="auto" w:fill="auto"/>
            <w:tcMar>
              <w:top w:w="0" w:type="dxa"/>
              <w:left w:w="105" w:type="dxa"/>
              <w:bottom w:w="0" w:type="dxa"/>
              <w:right w:w="105" w:type="dxa"/>
            </w:tcMar>
            <w:vAlign w:val="center"/>
          </w:tcPr>
          <w:p w14:paraId="621D277A">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支持在自助机上使用微信扫码、微信刷掌、支付宝、云闪付主扫或被扫支付、银行卡支付、银行网金,人社支付平台支付。 支持在自助机上使用微信识别支付。支持在自助机上调用聚合支付系统支付。</w:t>
            </w:r>
          </w:p>
        </w:tc>
      </w:tr>
      <w:tr w14:paraId="2339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607EE48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17</w:t>
            </w:r>
          </w:p>
        </w:tc>
        <w:tc>
          <w:tcPr>
            <w:tcW w:w="1590" w:type="dxa"/>
            <w:shd w:val="clear" w:color="auto" w:fill="auto"/>
            <w:tcMar>
              <w:top w:w="0" w:type="dxa"/>
              <w:left w:w="105" w:type="dxa"/>
              <w:bottom w:w="0" w:type="dxa"/>
              <w:right w:w="105" w:type="dxa"/>
            </w:tcMar>
            <w:vAlign w:val="center"/>
          </w:tcPr>
          <w:p w14:paraId="14689175">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★本地及异地医保结算</w:t>
            </w:r>
          </w:p>
        </w:tc>
        <w:tc>
          <w:tcPr>
            <w:tcW w:w="7305" w:type="dxa"/>
            <w:shd w:val="clear" w:color="auto" w:fill="auto"/>
            <w:tcMar>
              <w:top w:w="0" w:type="dxa"/>
              <w:left w:w="105" w:type="dxa"/>
              <w:bottom w:w="0" w:type="dxa"/>
              <w:right w:w="105" w:type="dxa"/>
            </w:tcMar>
            <w:vAlign w:val="center"/>
          </w:tcPr>
          <w:p w14:paraId="0AC56E4C">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支持在自助机上进行实体医保卡、医保电子凭证的医保本地及异地结算。以及本地及异地自动退费功能，支持在自助终端获取患者医保病种。</w:t>
            </w:r>
          </w:p>
        </w:tc>
      </w:tr>
      <w:tr w14:paraId="30E08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60" w:hRule="atLeast"/>
        </w:trPr>
        <w:tc>
          <w:tcPr>
            <w:tcW w:w="780" w:type="dxa"/>
            <w:shd w:val="clear" w:color="auto" w:fill="auto"/>
            <w:tcMar>
              <w:top w:w="0" w:type="dxa"/>
              <w:left w:w="105" w:type="dxa"/>
              <w:bottom w:w="0" w:type="dxa"/>
              <w:right w:w="105" w:type="dxa"/>
            </w:tcMar>
            <w:vAlign w:val="center"/>
          </w:tcPr>
          <w:p w14:paraId="467C380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18</w:t>
            </w:r>
          </w:p>
        </w:tc>
        <w:tc>
          <w:tcPr>
            <w:tcW w:w="1590" w:type="dxa"/>
            <w:shd w:val="clear" w:color="auto" w:fill="auto"/>
            <w:tcMar>
              <w:top w:w="0" w:type="dxa"/>
              <w:left w:w="105" w:type="dxa"/>
              <w:bottom w:w="0" w:type="dxa"/>
              <w:right w:w="105" w:type="dxa"/>
            </w:tcMar>
            <w:vAlign w:val="center"/>
          </w:tcPr>
          <w:p w14:paraId="3BEC11F2">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★本地及异地医保退费</w:t>
            </w:r>
          </w:p>
        </w:tc>
        <w:tc>
          <w:tcPr>
            <w:tcW w:w="7305" w:type="dxa"/>
            <w:shd w:val="clear" w:color="auto" w:fill="auto"/>
            <w:tcMar>
              <w:top w:w="0" w:type="dxa"/>
              <w:left w:w="105" w:type="dxa"/>
              <w:bottom w:w="0" w:type="dxa"/>
              <w:right w:w="105" w:type="dxa"/>
            </w:tcMar>
            <w:vAlign w:val="center"/>
          </w:tcPr>
          <w:p w14:paraId="797F64D3">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在自助机上进行实体医保卡、医保电子凭证的HIS确认失败后支持本地及异地自动退费功能。</w:t>
            </w:r>
          </w:p>
        </w:tc>
      </w:tr>
      <w:tr w14:paraId="16EF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60" w:hRule="atLeast"/>
        </w:trPr>
        <w:tc>
          <w:tcPr>
            <w:tcW w:w="780" w:type="dxa"/>
            <w:shd w:val="clear" w:color="auto" w:fill="auto"/>
            <w:tcMar>
              <w:top w:w="0" w:type="dxa"/>
              <w:left w:w="105" w:type="dxa"/>
              <w:bottom w:w="0" w:type="dxa"/>
              <w:right w:w="105" w:type="dxa"/>
            </w:tcMar>
            <w:vAlign w:val="center"/>
          </w:tcPr>
          <w:p w14:paraId="1893390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19</w:t>
            </w:r>
          </w:p>
        </w:tc>
        <w:tc>
          <w:tcPr>
            <w:tcW w:w="1590" w:type="dxa"/>
            <w:shd w:val="clear" w:color="auto" w:fill="auto"/>
            <w:tcMar>
              <w:top w:w="0" w:type="dxa"/>
              <w:left w:w="105" w:type="dxa"/>
              <w:bottom w:w="0" w:type="dxa"/>
              <w:right w:w="105" w:type="dxa"/>
            </w:tcMar>
            <w:vAlign w:val="center"/>
          </w:tcPr>
          <w:p w14:paraId="0848F6AC">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★医保人脸结算</w:t>
            </w:r>
          </w:p>
        </w:tc>
        <w:tc>
          <w:tcPr>
            <w:tcW w:w="7305" w:type="dxa"/>
            <w:shd w:val="clear" w:color="auto" w:fill="auto"/>
            <w:tcMar>
              <w:top w:w="0" w:type="dxa"/>
              <w:left w:w="105" w:type="dxa"/>
              <w:bottom w:w="0" w:type="dxa"/>
              <w:right w:w="105" w:type="dxa"/>
            </w:tcMar>
            <w:vAlign w:val="center"/>
          </w:tcPr>
          <w:p w14:paraId="0DE839BF">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支持在自助机上实现医保人脸识别结算。</w:t>
            </w:r>
          </w:p>
        </w:tc>
      </w:tr>
      <w:tr w14:paraId="1151F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720" w:hRule="atLeast"/>
        </w:trPr>
        <w:tc>
          <w:tcPr>
            <w:tcW w:w="780" w:type="dxa"/>
            <w:shd w:val="clear" w:color="auto" w:fill="auto"/>
            <w:tcMar>
              <w:top w:w="0" w:type="dxa"/>
              <w:left w:w="105" w:type="dxa"/>
              <w:bottom w:w="0" w:type="dxa"/>
              <w:right w:w="105" w:type="dxa"/>
            </w:tcMar>
            <w:vAlign w:val="center"/>
          </w:tcPr>
          <w:p w14:paraId="7C37235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20</w:t>
            </w:r>
          </w:p>
        </w:tc>
        <w:tc>
          <w:tcPr>
            <w:tcW w:w="1590" w:type="dxa"/>
            <w:shd w:val="clear" w:color="auto" w:fill="auto"/>
            <w:tcMar>
              <w:top w:w="0" w:type="dxa"/>
              <w:left w:w="105" w:type="dxa"/>
              <w:bottom w:w="0" w:type="dxa"/>
              <w:right w:w="105" w:type="dxa"/>
            </w:tcMar>
            <w:vAlign w:val="center"/>
          </w:tcPr>
          <w:p w14:paraId="2C89CE32">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★人社一卡通</w:t>
            </w:r>
          </w:p>
        </w:tc>
        <w:tc>
          <w:tcPr>
            <w:tcW w:w="7305" w:type="dxa"/>
            <w:shd w:val="clear" w:color="auto" w:fill="auto"/>
            <w:tcMar>
              <w:top w:w="0" w:type="dxa"/>
              <w:left w:w="105" w:type="dxa"/>
              <w:bottom w:w="0" w:type="dxa"/>
              <w:right w:w="105" w:type="dxa"/>
            </w:tcMar>
            <w:vAlign w:val="center"/>
          </w:tcPr>
          <w:p w14:paraId="66A88C24">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支持在自助机上电子社保卡，成都市电子健康卡支付。</w:t>
            </w:r>
          </w:p>
        </w:tc>
      </w:tr>
      <w:tr w14:paraId="25276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01F6FAF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21</w:t>
            </w:r>
          </w:p>
        </w:tc>
        <w:tc>
          <w:tcPr>
            <w:tcW w:w="1590" w:type="dxa"/>
            <w:shd w:val="clear" w:color="auto" w:fill="auto"/>
            <w:tcMar>
              <w:top w:w="0" w:type="dxa"/>
              <w:left w:w="105" w:type="dxa"/>
              <w:bottom w:w="0" w:type="dxa"/>
              <w:right w:w="105" w:type="dxa"/>
            </w:tcMar>
            <w:vAlign w:val="center"/>
          </w:tcPr>
          <w:p w14:paraId="234033A5">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★人脸支付</w:t>
            </w:r>
          </w:p>
        </w:tc>
        <w:tc>
          <w:tcPr>
            <w:tcW w:w="7305" w:type="dxa"/>
            <w:shd w:val="clear" w:color="auto" w:fill="auto"/>
            <w:tcMar>
              <w:top w:w="0" w:type="dxa"/>
              <w:left w:w="105" w:type="dxa"/>
              <w:bottom w:w="0" w:type="dxa"/>
              <w:right w:w="105" w:type="dxa"/>
            </w:tcMar>
            <w:vAlign w:val="center"/>
          </w:tcPr>
          <w:p w14:paraId="414A8470">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支持通过微信或支付宝人脸支付费用。</w:t>
            </w:r>
          </w:p>
        </w:tc>
      </w:tr>
      <w:tr w14:paraId="6319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34FD219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22</w:t>
            </w:r>
          </w:p>
        </w:tc>
        <w:tc>
          <w:tcPr>
            <w:tcW w:w="1590" w:type="dxa"/>
            <w:shd w:val="clear" w:color="auto" w:fill="auto"/>
            <w:tcMar>
              <w:top w:w="0" w:type="dxa"/>
              <w:left w:w="105" w:type="dxa"/>
              <w:bottom w:w="0" w:type="dxa"/>
              <w:right w:w="105" w:type="dxa"/>
            </w:tcMar>
            <w:vAlign w:val="center"/>
          </w:tcPr>
          <w:p w14:paraId="73185DAF">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★混合支付</w:t>
            </w:r>
          </w:p>
        </w:tc>
        <w:tc>
          <w:tcPr>
            <w:tcW w:w="7305" w:type="dxa"/>
            <w:shd w:val="clear" w:color="auto" w:fill="auto"/>
            <w:tcMar>
              <w:top w:w="0" w:type="dxa"/>
              <w:left w:w="105" w:type="dxa"/>
              <w:bottom w:w="0" w:type="dxa"/>
              <w:right w:w="105" w:type="dxa"/>
            </w:tcMar>
            <w:vAlign w:val="center"/>
          </w:tcPr>
          <w:p w14:paraId="6FE832F8">
            <w:pPr>
              <w:pStyle w:val="14"/>
              <w:keepNext w:val="0"/>
              <w:keepLines w:val="0"/>
              <w:widowControl/>
              <w:suppressLineNumbers w:val="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支持通过医保+扫码/银行卡/人社支付平台组合方式支付处方费用。</w:t>
            </w:r>
          </w:p>
        </w:tc>
      </w:tr>
      <w:tr w14:paraId="1357A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4C9621E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23</w:t>
            </w:r>
          </w:p>
        </w:tc>
        <w:tc>
          <w:tcPr>
            <w:tcW w:w="1590" w:type="dxa"/>
            <w:shd w:val="clear" w:color="auto" w:fill="auto"/>
            <w:tcMar>
              <w:top w:w="0" w:type="dxa"/>
              <w:left w:w="105" w:type="dxa"/>
              <w:bottom w:w="0" w:type="dxa"/>
              <w:right w:w="105" w:type="dxa"/>
            </w:tcMar>
            <w:vAlign w:val="center"/>
          </w:tcPr>
          <w:p w14:paraId="70622B85">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★重特药结算</w:t>
            </w:r>
          </w:p>
        </w:tc>
        <w:tc>
          <w:tcPr>
            <w:tcW w:w="7305" w:type="dxa"/>
            <w:shd w:val="clear" w:color="auto" w:fill="auto"/>
            <w:tcMar>
              <w:top w:w="0" w:type="dxa"/>
              <w:left w:w="105" w:type="dxa"/>
              <w:bottom w:w="0" w:type="dxa"/>
              <w:right w:w="105" w:type="dxa"/>
            </w:tcMar>
            <w:vAlign w:val="center"/>
          </w:tcPr>
          <w:p w14:paraId="6A19807B">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在自助机上实现：患者重特药费用结算和门特药费用结算。</w:t>
            </w:r>
          </w:p>
        </w:tc>
      </w:tr>
      <w:tr w14:paraId="57EC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5B03FEA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24</w:t>
            </w:r>
          </w:p>
        </w:tc>
        <w:tc>
          <w:tcPr>
            <w:tcW w:w="1590" w:type="dxa"/>
            <w:shd w:val="clear" w:color="auto" w:fill="auto"/>
            <w:tcMar>
              <w:top w:w="0" w:type="dxa"/>
              <w:left w:w="105" w:type="dxa"/>
              <w:bottom w:w="0" w:type="dxa"/>
              <w:right w:w="105" w:type="dxa"/>
            </w:tcMar>
            <w:vAlign w:val="center"/>
          </w:tcPr>
          <w:p w14:paraId="6D72AD93">
            <w:pPr>
              <w:pStyle w:val="14"/>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★发票模式</w:t>
            </w:r>
          </w:p>
        </w:tc>
        <w:tc>
          <w:tcPr>
            <w:tcW w:w="7305" w:type="dxa"/>
            <w:shd w:val="clear" w:color="auto" w:fill="auto"/>
            <w:tcMar>
              <w:top w:w="0" w:type="dxa"/>
              <w:left w:w="105" w:type="dxa"/>
              <w:bottom w:w="0" w:type="dxa"/>
              <w:right w:w="105" w:type="dxa"/>
            </w:tcMar>
            <w:vAlign w:val="center"/>
          </w:tcPr>
          <w:p w14:paraId="55DD8405">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 xml:space="preserve">同时支持在自助机上实现单发票结算和多发票结算模式。 </w:t>
            </w:r>
          </w:p>
        </w:tc>
      </w:tr>
      <w:tr w14:paraId="5B372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25CB7F4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25</w:t>
            </w:r>
          </w:p>
        </w:tc>
        <w:tc>
          <w:tcPr>
            <w:tcW w:w="1590" w:type="dxa"/>
            <w:shd w:val="clear" w:color="auto" w:fill="auto"/>
            <w:tcMar>
              <w:top w:w="0" w:type="dxa"/>
              <w:left w:w="105" w:type="dxa"/>
              <w:bottom w:w="0" w:type="dxa"/>
              <w:right w:w="105" w:type="dxa"/>
            </w:tcMar>
            <w:vAlign w:val="center"/>
          </w:tcPr>
          <w:p w14:paraId="6BCC38DF">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★出入院管理和结算</w:t>
            </w:r>
          </w:p>
        </w:tc>
        <w:tc>
          <w:tcPr>
            <w:tcW w:w="7305" w:type="dxa"/>
            <w:shd w:val="clear" w:color="auto" w:fill="auto"/>
            <w:tcMar>
              <w:top w:w="0" w:type="dxa"/>
              <w:left w:w="105" w:type="dxa"/>
              <w:bottom w:w="0" w:type="dxa"/>
              <w:right w:w="105" w:type="dxa"/>
            </w:tcMar>
            <w:vAlign w:val="center"/>
          </w:tcPr>
          <w:p w14:paraId="51A3457A">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在自助机上实现：入院登记办理、医保登记；支持患者在自助机上进行自助办理出院，办理医保结算；支持个账支付、混合支付结算。</w:t>
            </w:r>
          </w:p>
        </w:tc>
      </w:tr>
      <w:tr w14:paraId="3D4D5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79BCE10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26</w:t>
            </w:r>
          </w:p>
        </w:tc>
        <w:tc>
          <w:tcPr>
            <w:tcW w:w="1590" w:type="dxa"/>
            <w:shd w:val="clear" w:color="auto" w:fill="auto"/>
            <w:tcMar>
              <w:top w:w="0" w:type="dxa"/>
              <w:left w:w="105" w:type="dxa"/>
              <w:bottom w:w="0" w:type="dxa"/>
              <w:right w:w="105" w:type="dxa"/>
            </w:tcMar>
            <w:vAlign w:val="center"/>
          </w:tcPr>
          <w:p w14:paraId="6CC0CDEE">
            <w:pPr>
              <w:pStyle w:val="14"/>
              <w:keepNext w:val="0"/>
              <w:keepLines w:val="0"/>
              <w:widowControl/>
              <w:suppressLineNumbers w:val="0"/>
              <w:spacing w:line="360" w:lineRule="auto"/>
              <w:ind w:left="0" w:leftChars="0" w:right="0" w:rightChars="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bidi="ar"/>
              </w:rPr>
              <w:t>医保刷脸一码付</w:t>
            </w:r>
          </w:p>
        </w:tc>
        <w:tc>
          <w:tcPr>
            <w:tcW w:w="7305" w:type="dxa"/>
            <w:shd w:val="clear" w:color="auto" w:fill="auto"/>
            <w:tcMar>
              <w:top w:w="0" w:type="dxa"/>
              <w:left w:w="105" w:type="dxa"/>
              <w:bottom w:w="0" w:type="dxa"/>
              <w:right w:w="105" w:type="dxa"/>
            </w:tcMar>
            <w:vAlign w:val="center"/>
          </w:tcPr>
          <w:p w14:paraId="59398977">
            <w:pPr>
              <w:pStyle w:val="14"/>
              <w:keepNext w:val="0"/>
              <w:keepLines w:val="0"/>
              <w:widowControl/>
              <w:suppressLineNumbers w:val="0"/>
              <w:spacing w:line="360" w:lineRule="auto"/>
              <w:ind w:left="0" w:leftChars="0" w:right="0" w:rightChars="0"/>
              <w:rPr>
                <w:rFonts w:hint="eastAsia" w:ascii="仿宋" w:hAnsi="仿宋" w:eastAsia="仿宋" w:cs="仿宋"/>
                <w:sz w:val="24"/>
                <w:szCs w:val="24"/>
              </w:rPr>
            </w:pPr>
            <w:r>
              <w:rPr>
                <w:rFonts w:hint="eastAsia" w:ascii="仿宋" w:hAnsi="仿宋" w:eastAsia="仿宋" w:cs="仿宋"/>
                <w:sz w:val="24"/>
                <w:szCs w:val="24"/>
                <w:lang w:val="en-US" w:eastAsia="zh-CN" w:bidi="ar"/>
              </w:rPr>
              <w:t>在自助机上实现：患者缴费时仅需一次医保刷脸，即可同时完成“医保结算”和“个人自费支付”：支付成功后，须在支付宝平台上展示缴费时间、金额，必须与自助机打印的缴费小票时间、金额一致。</w:t>
            </w:r>
          </w:p>
        </w:tc>
      </w:tr>
      <w:tr w14:paraId="79DB8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73FF916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27</w:t>
            </w:r>
          </w:p>
        </w:tc>
        <w:tc>
          <w:tcPr>
            <w:tcW w:w="1590" w:type="dxa"/>
            <w:shd w:val="clear" w:color="auto" w:fill="auto"/>
            <w:tcMar>
              <w:top w:w="0" w:type="dxa"/>
              <w:left w:w="105" w:type="dxa"/>
              <w:bottom w:w="0" w:type="dxa"/>
              <w:right w:w="105" w:type="dxa"/>
            </w:tcMar>
            <w:vAlign w:val="center"/>
          </w:tcPr>
          <w:p w14:paraId="31DC8B31">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★日间化疗结算</w:t>
            </w:r>
          </w:p>
        </w:tc>
        <w:tc>
          <w:tcPr>
            <w:tcW w:w="7305" w:type="dxa"/>
            <w:shd w:val="clear" w:color="auto" w:fill="auto"/>
            <w:tcMar>
              <w:top w:w="0" w:type="dxa"/>
              <w:left w:w="105" w:type="dxa"/>
              <w:bottom w:w="0" w:type="dxa"/>
              <w:right w:w="105" w:type="dxa"/>
            </w:tcMar>
            <w:vAlign w:val="center"/>
          </w:tcPr>
          <w:p w14:paraId="16D4DCFA">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支持日间化疗患者费用结算。</w:t>
            </w:r>
          </w:p>
        </w:tc>
      </w:tr>
      <w:tr w14:paraId="28A3F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1431C8E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28</w:t>
            </w:r>
          </w:p>
        </w:tc>
        <w:tc>
          <w:tcPr>
            <w:tcW w:w="1590" w:type="dxa"/>
            <w:shd w:val="clear" w:color="auto" w:fill="auto"/>
            <w:tcMar>
              <w:top w:w="0" w:type="dxa"/>
              <w:left w:w="105" w:type="dxa"/>
              <w:bottom w:w="0" w:type="dxa"/>
              <w:right w:w="105" w:type="dxa"/>
            </w:tcMar>
            <w:vAlign w:val="center"/>
          </w:tcPr>
          <w:p w14:paraId="0A4AB2BC">
            <w:pPr>
              <w:pStyle w:val="14"/>
              <w:keepNext w:val="0"/>
              <w:keepLines w:val="0"/>
              <w:widowControl/>
              <w:suppressLineNumbers w:val="0"/>
              <w:spacing w:line="360" w:lineRule="auto"/>
              <w:ind w:left="0" w:leftChars="0" w:right="0" w:rightChars="0"/>
              <w:rPr>
                <w:rFonts w:hint="eastAsia" w:ascii="仿宋" w:hAnsi="仿宋" w:eastAsia="仿宋" w:cs="仿宋"/>
                <w:sz w:val="24"/>
                <w:szCs w:val="24"/>
              </w:rPr>
            </w:pPr>
            <w:r>
              <w:rPr>
                <w:rFonts w:hint="eastAsia" w:ascii="仿宋" w:hAnsi="仿宋" w:eastAsia="仿宋" w:cs="仿宋"/>
                <w:sz w:val="24"/>
                <w:szCs w:val="24"/>
              </w:rPr>
              <w:t>●医保共济</w:t>
            </w:r>
          </w:p>
        </w:tc>
        <w:tc>
          <w:tcPr>
            <w:tcW w:w="7305" w:type="dxa"/>
            <w:shd w:val="clear" w:color="auto" w:fill="auto"/>
            <w:tcMar>
              <w:top w:w="0" w:type="dxa"/>
              <w:left w:w="105" w:type="dxa"/>
              <w:bottom w:w="0" w:type="dxa"/>
              <w:right w:w="105" w:type="dxa"/>
            </w:tcMar>
            <w:vAlign w:val="center"/>
          </w:tcPr>
          <w:p w14:paraId="1B87B6E3">
            <w:pPr>
              <w:pStyle w:val="14"/>
              <w:keepNext w:val="0"/>
              <w:keepLines w:val="0"/>
              <w:widowControl/>
              <w:suppressLineNumbers w:val="0"/>
              <w:spacing w:line="360" w:lineRule="auto"/>
              <w:ind w:left="0" w:leftChars="0" w:right="0" w:rightChars="0"/>
              <w:rPr>
                <w:rFonts w:hint="eastAsia" w:ascii="仿宋" w:hAnsi="仿宋" w:eastAsia="仿宋" w:cs="仿宋"/>
                <w:sz w:val="24"/>
                <w:szCs w:val="24"/>
              </w:rPr>
            </w:pPr>
            <w:r>
              <w:rPr>
                <w:rFonts w:hint="eastAsia" w:ascii="仿宋" w:hAnsi="仿宋" w:eastAsia="仿宋" w:cs="仿宋"/>
                <w:sz w:val="24"/>
                <w:szCs w:val="24"/>
                <w:lang w:val="en-US" w:eastAsia="zh-CN"/>
              </w:rPr>
              <w:t>在自助机上实现，使用医保共济方式支付门诊处方费用。须支付成功后，在支付宝医保平台或国家医保平台上能查询到本次缴费医保信息，医保支付信息，和缴费小票内容一致。</w:t>
            </w:r>
          </w:p>
        </w:tc>
      </w:tr>
      <w:tr w14:paraId="6D46A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80" w:type="dxa"/>
            <w:shd w:val="clear" w:color="auto" w:fill="auto"/>
            <w:tcMar>
              <w:top w:w="0" w:type="dxa"/>
              <w:left w:w="105" w:type="dxa"/>
              <w:bottom w:w="0" w:type="dxa"/>
              <w:right w:w="105" w:type="dxa"/>
            </w:tcMar>
            <w:vAlign w:val="center"/>
          </w:tcPr>
          <w:p w14:paraId="2D7D32D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29</w:t>
            </w:r>
          </w:p>
        </w:tc>
        <w:tc>
          <w:tcPr>
            <w:tcW w:w="1590" w:type="dxa"/>
            <w:shd w:val="clear" w:color="auto" w:fill="auto"/>
            <w:tcMar>
              <w:top w:w="0" w:type="dxa"/>
              <w:left w:w="105" w:type="dxa"/>
              <w:bottom w:w="0" w:type="dxa"/>
              <w:right w:w="105" w:type="dxa"/>
            </w:tcMar>
            <w:vAlign w:val="center"/>
          </w:tcPr>
          <w:p w14:paraId="67F20D1D">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★银行对账</w:t>
            </w:r>
          </w:p>
        </w:tc>
        <w:tc>
          <w:tcPr>
            <w:tcW w:w="7305" w:type="dxa"/>
            <w:shd w:val="clear" w:color="auto" w:fill="auto"/>
            <w:tcMar>
              <w:top w:w="0" w:type="dxa"/>
              <w:left w:w="105" w:type="dxa"/>
              <w:bottom w:w="0" w:type="dxa"/>
              <w:right w:w="105" w:type="dxa"/>
            </w:tcMar>
            <w:vAlign w:val="center"/>
          </w:tcPr>
          <w:p w14:paraId="7441A28B">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sz w:val="24"/>
                <w:szCs w:val="24"/>
              </w:rPr>
              <w:t>完成全院自助机、各银行端对账功能;支持按键律动，提示患者进行下一步操作;有语音提示;支持下载宣教视频/图片,并且随功能联动展示操作指引;支持各个院区功能个性化修改；聚合支付平台支付和自助机独立调用支付切换；支付等重要数据双重备份；支持兼容扩展长城系列老自助机软件和硬件（供应商需自备开发包）。</w:t>
            </w:r>
          </w:p>
        </w:tc>
      </w:tr>
    </w:tbl>
    <w:p w14:paraId="3FE94B2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textAlignment w:val="auto"/>
      </w:pPr>
      <w:r>
        <w:rPr>
          <w:rFonts w:hint="eastAsia" w:ascii="仿宋" w:hAnsi="仿宋" w:eastAsia="仿宋" w:cs="仿宋"/>
          <w:kern w:val="2"/>
          <w:sz w:val="24"/>
          <w:szCs w:val="24"/>
        </w:rPr>
        <w:t>（二）后台管理系统</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55"/>
        <w:gridCol w:w="1077"/>
        <w:gridCol w:w="8016"/>
      </w:tblGrid>
      <w:tr w14:paraId="0997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00" w:hRule="atLeast"/>
        </w:trPr>
        <w:tc>
          <w:tcPr>
            <w:tcW w:w="755" w:type="dxa"/>
            <w:shd w:val="clear" w:color="auto" w:fill="auto"/>
            <w:tcMar>
              <w:top w:w="0" w:type="dxa"/>
              <w:left w:w="105" w:type="dxa"/>
              <w:bottom w:w="0" w:type="dxa"/>
              <w:right w:w="105" w:type="dxa"/>
            </w:tcMar>
            <w:vAlign w:val="center"/>
          </w:tcPr>
          <w:p w14:paraId="0B9D43D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077" w:type="dxa"/>
            <w:shd w:val="clear" w:color="auto" w:fill="auto"/>
            <w:tcMar>
              <w:top w:w="0" w:type="dxa"/>
              <w:left w:w="105" w:type="dxa"/>
              <w:bottom w:w="0" w:type="dxa"/>
              <w:right w:w="105" w:type="dxa"/>
            </w:tcMar>
            <w:vAlign w:val="center"/>
          </w:tcPr>
          <w:p w14:paraId="1299EBAB">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功能</w:t>
            </w:r>
          </w:p>
        </w:tc>
        <w:tc>
          <w:tcPr>
            <w:tcW w:w="8016" w:type="dxa"/>
            <w:shd w:val="clear" w:color="auto" w:fill="auto"/>
            <w:tcMar>
              <w:top w:w="0" w:type="dxa"/>
              <w:left w:w="105" w:type="dxa"/>
              <w:bottom w:w="0" w:type="dxa"/>
              <w:right w:w="105" w:type="dxa"/>
            </w:tcMar>
            <w:vAlign w:val="center"/>
          </w:tcPr>
          <w:p w14:paraId="56D0153E">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功能描述</w:t>
            </w:r>
          </w:p>
        </w:tc>
      </w:tr>
      <w:tr w14:paraId="6899C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40" w:hRule="atLeast"/>
        </w:trPr>
        <w:tc>
          <w:tcPr>
            <w:tcW w:w="755" w:type="dxa"/>
            <w:shd w:val="clear" w:color="auto" w:fill="auto"/>
            <w:tcMar>
              <w:top w:w="0" w:type="dxa"/>
              <w:left w:w="105" w:type="dxa"/>
              <w:bottom w:w="0" w:type="dxa"/>
              <w:right w:w="105" w:type="dxa"/>
            </w:tcMar>
            <w:vAlign w:val="center"/>
          </w:tcPr>
          <w:p w14:paraId="36FC734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077" w:type="dxa"/>
            <w:shd w:val="clear" w:color="auto" w:fill="auto"/>
            <w:tcMar>
              <w:top w:w="0" w:type="dxa"/>
              <w:left w:w="105" w:type="dxa"/>
              <w:bottom w:w="0" w:type="dxa"/>
              <w:right w:w="105" w:type="dxa"/>
            </w:tcMar>
            <w:vAlign w:val="center"/>
          </w:tcPr>
          <w:p w14:paraId="26B3E97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★数据统计</w:t>
            </w:r>
          </w:p>
        </w:tc>
        <w:tc>
          <w:tcPr>
            <w:tcW w:w="8016" w:type="dxa"/>
            <w:shd w:val="clear" w:color="auto" w:fill="auto"/>
            <w:tcMar>
              <w:top w:w="0" w:type="dxa"/>
              <w:left w:w="105" w:type="dxa"/>
              <w:bottom w:w="0" w:type="dxa"/>
              <w:right w:w="105" w:type="dxa"/>
            </w:tcMar>
            <w:vAlign w:val="center"/>
          </w:tcPr>
          <w:p w14:paraId="1E66626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Style w:val="21"/>
                <w:rFonts w:hint="eastAsia" w:ascii="仿宋" w:hAnsi="仿宋" w:eastAsia="仿宋" w:cs="仿宋"/>
                <w:sz w:val="24"/>
                <w:szCs w:val="24"/>
              </w:rPr>
              <w:t>图形报表</w:t>
            </w:r>
            <w:r>
              <w:rPr>
                <w:rFonts w:hint="eastAsia" w:ascii="仿宋" w:hAnsi="仿宋" w:eastAsia="仿宋" w:cs="仿宋"/>
                <w:sz w:val="24"/>
                <w:szCs w:val="24"/>
              </w:rPr>
              <w:t>：通过院区，时间维度统计分析业务类型饼状图、支付类型柱状图，通过柱状图展示统计分析交易量前100、交易金额前100设备终端号，以及高峰时段折线图。医保、非医保和混合支付的占比饼状图。</w:t>
            </w:r>
          </w:p>
          <w:p w14:paraId="5439F92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Style w:val="21"/>
                <w:rFonts w:hint="eastAsia" w:ascii="仿宋" w:hAnsi="仿宋" w:eastAsia="仿宋" w:cs="仿宋"/>
                <w:sz w:val="24"/>
                <w:szCs w:val="24"/>
              </w:rPr>
              <w:t>缴费统计</w:t>
            </w:r>
            <w:r>
              <w:rPr>
                <w:rFonts w:hint="eastAsia" w:ascii="仿宋" w:hAnsi="仿宋" w:eastAsia="仿宋" w:cs="仿宋"/>
                <w:sz w:val="24"/>
                <w:szCs w:val="24"/>
              </w:rPr>
              <w:t>：通过时间维度统计各个院区的医保、银行卡、聚合等支付方式的正常及异常的交易金额和交易笔数，并支持查看统计明细及导出。</w:t>
            </w:r>
          </w:p>
          <w:p w14:paraId="30993EA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使用统计：通过时间段、设备、院区三个维度统计自助机的所有功能使用次数统计，并支持按次数进行排序。且可查看当前终端所在位置及导出。</w:t>
            </w:r>
          </w:p>
          <w:p w14:paraId="2D2CCE9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Style w:val="21"/>
                <w:rFonts w:hint="eastAsia" w:ascii="仿宋" w:hAnsi="仿宋" w:eastAsia="仿宋" w:cs="仿宋"/>
                <w:sz w:val="24"/>
                <w:szCs w:val="24"/>
              </w:rPr>
              <w:t>纸张统计</w:t>
            </w:r>
            <w:r>
              <w:rPr>
                <w:rFonts w:hint="eastAsia" w:ascii="仿宋" w:hAnsi="仿宋" w:eastAsia="仿宋" w:cs="仿宋"/>
                <w:sz w:val="24"/>
                <w:szCs w:val="24"/>
              </w:rPr>
              <w:t>：通过时间段、设备、院区三个维度统计自助机的所有打印功能打印纸张统计，并支持按数量进行排序。且支持查看对应终端所在位置。对查询结果支持数据导出。</w:t>
            </w:r>
          </w:p>
          <w:p w14:paraId="707D5D2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Style w:val="21"/>
                <w:rFonts w:hint="eastAsia" w:ascii="仿宋" w:hAnsi="仿宋" w:eastAsia="仿宋" w:cs="仿宋"/>
                <w:sz w:val="24"/>
                <w:szCs w:val="24"/>
              </w:rPr>
              <w:t>维护统计</w:t>
            </w:r>
            <w:r>
              <w:rPr>
                <w:rFonts w:hint="eastAsia" w:ascii="仿宋" w:hAnsi="仿宋" w:eastAsia="仿宋" w:cs="仿宋"/>
                <w:sz w:val="24"/>
                <w:szCs w:val="24"/>
              </w:rPr>
              <w:t>：通过时间段、院区维度统计分析自助机的所有故障情况并通过饼状图展示，并通过柱状图展示故障前10设备终端号。</w:t>
            </w:r>
          </w:p>
          <w:p w14:paraId="7AC45F3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lang w:eastAsia="zh-CN"/>
              </w:rPr>
            </w:pPr>
            <w:r>
              <w:rPr>
                <w:rStyle w:val="21"/>
                <w:rFonts w:hint="eastAsia" w:ascii="仿宋" w:hAnsi="仿宋" w:eastAsia="仿宋" w:cs="仿宋"/>
                <w:sz w:val="24"/>
                <w:szCs w:val="24"/>
              </w:rPr>
              <w:t>设备开机率</w:t>
            </w:r>
            <w:r>
              <w:rPr>
                <w:rFonts w:hint="eastAsia" w:ascii="仿宋" w:hAnsi="仿宋" w:eastAsia="仿宋" w:cs="仿宋"/>
                <w:sz w:val="24"/>
                <w:szCs w:val="24"/>
              </w:rPr>
              <w:t>：通过时间段、设备维度统计分析自助机的开机情况并通过饼状图展示。</w:t>
            </w:r>
          </w:p>
        </w:tc>
      </w:tr>
      <w:tr w14:paraId="4C73D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485" w:hRule="atLeast"/>
        </w:trPr>
        <w:tc>
          <w:tcPr>
            <w:tcW w:w="755" w:type="dxa"/>
            <w:shd w:val="clear" w:color="auto" w:fill="auto"/>
            <w:tcMar>
              <w:top w:w="0" w:type="dxa"/>
              <w:left w:w="105" w:type="dxa"/>
              <w:bottom w:w="0" w:type="dxa"/>
              <w:right w:w="105" w:type="dxa"/>
            </w:tcMar>
            <w:vAlign w:val="center"/>
          </w:tcPr>
          <w:p w14:paraId="02F05B4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077" w:type="dxa"/>
            <w:shd w:val="clear" w:color="auto" w:fill="auto"/>
            <w:tcMar>
              <w:top w:w="0" w:type="dxa"/>
              <w:left w:w="105" w:type="dxa"/>
              <w:bottom w:w="0" w:type="dxa"/>
              <w:right w:w="105" w:type="dxa"/>
            </w:tcMar>
            <w:vAlign w:val="center"/>
          </w:tcPr>
          <w:p w14:paraId="417CA79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★驾驶舱展示</w:t>
            </w:r>
          </w:p>
        </w:tc>
        <w:tc>
          <w:tcPr>
            <w:tcW w:w="8016" w:type="dxa"/>
            <w:shd w:val="clear" w:color="auto" w:fill="auto"/>
            <w:tcMar>
              <w:top w:w="0" w:type="dxa"/>
              <w:left w:w="105" w:type="dxa"/>
              <w:bottom w:w="0" w:type="dxa"/>
              <w:right w:w="105" w:type="dxa"/>
            </w:tcMar>
            <w:vAlign w:val="center"/>
          </w:tcPr>
          <w:p w14:paraId="4F4EEC5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1.展示当日收款总额，医保、混合、非医保支付笔数及占比。</w:t>
            </w:r>
          </w:p>
          <w:p w14:paraId="4DA2D1A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2.设备按区域分类展示统计设备数量、故障量、总故障、使用量及相对使用量占比。</w:t>
            </w:r>
          </w:p>
          <w:p w14:paraId="11585B6A">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3.展示当前所有故障设备的区域编号和故障现象。</w:t>
            </w:r>
          </w:p>
          <w:p w14:paraId="301F4C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4.展示功能使用量前十和后十排名包含功能名称交易量、终端使用对多或最少量、设备所在院区、地址和编号的排名分析报告。</w:t>
            </w:r>
          </w:p>
          <w:p w14:paraId="7158D07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5.所有纸张打印功能的打印数量和占比分析。</w:t>
            </w:r>
          </w:p>
          <w:p w14:paraId="671C747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6.自助机所有功能使用饼状图占比分析。</w:t>
            </w:r>
          </w:p>
          <w:p w14:paraId="64FD014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lang w:eastAsia="zh-CN"/>
              </w:rPr>
            </w:pPr>
            <w:r>
              <w:rPr>
                <w:rFonts w:hint="eastAsia" w:ascii="仿宋" w:hAnsi="仿宋" w:eastAsia="仿宋" w:cs="仿宋"/>
                <w:sz w:val="24"/>
                <w:szCs w:val="24"/>
              </w:rPr>
              <w:t>7.区域自助设备交易金额排序汇总柱状图。</w:t>
            </w:r>
          </w:p>
        </w:tc>
      </w:tr>
      <w:tr w14:paraId="425C21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635" w:hRule="atLeast"/>
        </w:trPr>
        <w:tc>
          <w:tcPr>
            <w:tcW w:w="755" w:type="dxa"/>
            <w:shd w:val="clear" w:color="auto" w:fill="auto"/>
            <w:tcMar>
              <w:top w:w="0" w:type="dxa"/>
              <w:left w:w="105" w:type="dxa"/>
              <w:bottom w:w="0" w:type="dxa"/>
              <w:right w:w="105" w:type="dxa"/>
            </w:tcMar>
            <w:vAlign w:val="center"/>
          </w:tcPr>
          <w:p w14:paraId="7D2F79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077" w:type="dxa"/>
            <w:shd w:val="clear" w:color="auto" w:fill="auto"/>
            <w:tcMar>
              <w:top w:w="0" w:type="dxa"/>
              <w:left w:w="105" w:type="dxa"/>
              <w:bottom w:w="0" w:type="dxa"/>
              <w:right w:w="105" w:type="dxa"/>
            </w:tcMar>
            <w:vAlign w:val="center"/>
          </w:tcPr>
          <w:p w14:paraId="47AC33A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★数据明细</w:t>
            </w:r>
          </w:p>
        </w:tc>
        <w:tc>
          <w:tcPr>
            <w:tcW w:w="8016" w:type="dxa"/>
            <w:shd w:val="clear" w:color="auto" w:fill="auto"/>
            <w:tcMar>
              <w:top w:w="0" w:type="dxa"/>
              <w:left w:w="105" w:type="dxa"/>
              <w:bottom w:w="0" w:type="dxa"/>
              <w:right w:w="105" w:type="dxa"/>
            </w:tcMar>
            <w:vAlign w:val="center"/>
          </w:tcPr>
          <w:p w14:paraId="2214173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交易记录: 查询并展示当前所有交易情况如：终端号、患者卡号、患者基本信息、业务类型、交易日期、打印张数等。</w:t>
            </w:r>
          </w:p>
          <w:p w14:paraId="236B42E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缴费明细: 查询并展示当前所有收费记录。如: 终端号、患者卡号、患者基本信息、业务类型(挂号、缴费、住院预交等)以及对应的银行收款信息、社保收款信息和提交HIS状态等。对查询结果支持数据导出。</w:t>
            </w:r>
          </w:p>
        </w:tc>
      </w:tr>
      <w:tr w14:paraId="2EE64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55" w:type="dxa"/>
            <w:shd w:val="clear" w:color="auto" w:fill="auto"/>
            <w:tcMar>
              <w:top w:w="0" w:type="dxa"/>
              <w:left w:w="105" w:type="dxa"/>
              <w:bottom w:w="0" w:type="dxa"/>
              <w:right w:w="105" w:type="dxa"/>
            </w:tcMar>
            <w:vAlign w:val="center"/>
          </w:tcPr>
          <w:p w14:paraId="2272C657">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077" w:type="dxa"/>
            <w:shd w:val="clear" w:color="auto" w:fill="auto"/>
            <w:tcMar>
              <w:top w:w="0" w:type="dxa"/>
              <w:left w:w="105" w:type="dxa"/>
              <w:bottom w:w="0" w:type="dxa"/>
              <w:right w:w="105" w:type="dxa"/>
            </w:tcMar>
            <w:vAlign w:val="center"/>
          </w:tcPr>
          <w:p w14:paraId="64BCF63F">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★设备管理</w:t>
            </w:r>
          </w:p>
        </w:tc>
        <w:tc>
          <w:tcPr>
            <w:tcW w:w="8016" w:type="dxa"/>
            <w:shd w:val="clear" w:color="auto" w:fill="auto"/>
            <w:tcMar>
              <w:top w:w="0" w:type="dxa"/>
              <w:left w:w="105" w:type="dxa"/>
              <w:bottom w:w="0" w:type="dxa"/>
              <w:right w:w="105" w:type="dxa"/>
            </w:tcMar>
            <w:vAlign w:val="center"/>
          </w:tcPr>
          <w:p w14:paraId="5DA46EE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设备列表:支持实时查询当前所有设备，包括设备终端号、IP、软件版本、设备状态、更新时间、所在位置、设备型号、MAC地址等。并支持新增、修改、删除、停用设备。对查询结果支持数据导出。</w:t>
            </w:r>
          </w:p>
          <w:p w14:paraId="6182803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异常列表: 支持实时查询当前异常设备包括设备终端号、IP、软件版本、设备状态、更新时间、所在位置、设备型号、MAC地址及导出等。</w:t>
            </w:r>
          </w:p>
          <w:p w14:paraId="2B287790">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设备控制: 对所有设备进行管理，支持关机、重启、升级、暂停、修改开关机时间、查看维修记录、开关终端功能等。</w:t>
            </w:r>
          </w:p>
          <w:p w14:paraId="5911E165">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维护记录: 通过时间、设备编号、错误状态、错误状态码查看故障设备的维修记录。包括故障的开始时间，结束时间，耗时时长。以及错误状态。</w:t>
            </w:r>
          </w:p>
          <w:p w14:paraId="59CBB0AC">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广告发布: 支持在后台发布视频或图片。对终端播放的广告内容进行更新。</w:t>
            </w:r>
          </w:p>
        </w:tc>
      </w:tr>
      <w:tr w14:paraId="1273E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90" w:hRule="atLeast"/>
        </w:trPr>
        <w:tc>
          <w:tcPr>
            <w:tcW w:w="755" w:type="dxa"/>
            <w:shd w:val="clear" w:color="auto" w:fill="auto"/>
            <w:tcMar>
              <w:top w:w="0" w:type="dxa"/>
              <w:left w:w="105" w:type="dxa"/>
              <w:bottom w:w="0" w:type="dxa"/>
              <w:right w:w="105" w:type="dxa"/>
            </w:tcMar>
            <w:vAlign w:val="center"/>
          </w:tcPr>
          <w:p w14:paraId="409399A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077" w:type="dxa"/>
            <w:shd w:val="clear" w:color="auto" w:fill="auto"/>
            <w:tcMar>
              <w:top w:w="0" w:type="dxa"/>
              <w:left w:w="105" w:type="dxa"/>
              <w:bottom w:w="0" w:type="dxa"/>
              <w:right w:w="105" w:type="dxa"/>
            </w:tcMar>
            <w:vAlign w:val="center"/>
          </w:tcPr>
          <w:p w14:paraId="20943C0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●故障实时监控</w:t>
            </w:r>
          </w:p>
        </w:tc>
        <w:tc>
          <w:tcPr>
            <w:tcW w:w="8016" w:type="dxa"/>
            <w:shd w:val="clear" w:color="auto" w:fill="auto"/>
            <w:tcMar>
              <w:top w:w="0" w:type="dxa"/>
              <w:left w:w="105" w:type="dxa"/>
              <w:bottom w:w="0" w:type="dxa"/>
              <w:right w:w="105" w:type="dxa"/>
            </w:tcMar>
            <w:vAlign w:val="center"/>
          </w:tcPr>
          <w:p w14:paraId="270B22B2">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对所有自助机设备（精确到每一台）故障进行实时推送到企业微信，内容包括：故障原因，机器型号，终端号，报修时间，院区位置，故障的总数等信息。</w:t>
            </w:r>
          </w:p>
        </w:tc>
      </w:tr>
      <w:tr w14:paraId="0FF2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950" w:hRule="atLeast"/>
        </w:trPr>
        <w:tc>
          <w:tcPr>
            <w:tcW w:w="755" w:type="dxa"/>
            <w:shd w:val="clear" w:color="auto" w:fill="auto"/>
            <w:tcMar>
              <w:top w:w="0" w:type="dxa"/>
              <w:left w:w="105" w:type="dxa"/>
              <w:bottom w:w="0" w:type="dxa"/>
              <w:right w:w="105" w:type="dxa"/>
            </w:tcMar>
            <w:vAlign w:val="center"/>
          </w:tcPr>
          <w:p w14:paraId="1DB77D8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6</w:t>
            </w:r>
          </w:p>
        </w:tc>
        <w:tc>
          <w:tcPr>
            <w:tcW w:w="1077" w:type="dxa"/>
            <w:shd w:val="clear" w:color="auto" w:fill="auto"/>
            <w:tcMar>
              <w:top w:w="0" w:type="dxa"/>
              <w:left w:w="105" w:type="dxa"/>
              <w:bottom w:w="0" w:type="dxa"/>
              <w:right w:w="105" w:type="dxa"/>
            </w:tcMar>
            <w:vAlign w:val="center"/>
          </w:tcPr>
          <w:p w14:paraId="51B6A91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★系统设置</w:t>
            </w:r>
          </w:p>
        </w:tc>
        <w:tc>
          <w:tcPr>
            <w:tcW w:w="8016" w:type="dxa"/>
            <w:shd w:val="clear" w:color="auto" w:fill="auto"/>
            <w:tcMar>
              <w:top w:w="0" w:type="dxa"/>
              <w:left w:w="105" w:type="dxa"/>
              <w:bottom w:w="0" w:type="dxa"/>
              <w:right w:w="105" w:type="dxa"/>
            </w:tcMar>
            <w:vAlign w:val="center"/>
          </w:tcPr>
          <w:p w14:paraId="25D5BE7D">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主要配置：对系统的基本配置进行设置，如系统名称，是否进行短信故障通知、是否显示医保交易信息、设备功能等。</w:t>
            </w:r>
          </w:p>
          <w:p w14:paraId="4F1DE7B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院区管理：支持对院区进行新增、修改、删除以及导出。</w:t>
            </w:r>
          </w:p>
          <w:p w14:paraId="50CAE99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楼栋管理：对院内楼栋进行基本的新增、修改、删除、所属院区等基本信息进行维护。</w:t>
            </w:r>
          </w:p>
          <w:p w14:paraId="20ED76E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状态代码：对终端出现的故障状态代码进行基本维护。</w:t>
            </w:r>
          </w:p>
        </w:tc>
      </w:tr>
      <w:tr w14:paraId="58A75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90" w:hRule="atLeast"/>
        </w:trPr>
        <w:tc>
          <w:tcPr>
            <w:tcW w:w="755" w:type="dxa"/>
            <w:shd w:val="clear" w:color="auto" w:fill="auto"/>
            <w:tcMar>
              <w:top w:w="0" w:type="dxa"/>
              <w:left w:w="105" w:type="dxa"/>
              <w:bottom w:w="0" w:type="dxa"/>
              <w:right w:w="105" w:type="dxa"/>
            </w:tcMar>
            <w:vAlign w:val="center"/>
          </w:tcPr>
          <w:p w14:paraId="76049E9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7</w:t>
            </w:r>
          </w:p>
        </w:tc>
        <w:tc>
          <w:tcPr>
            <w:tcW w:w="1077" w:type="dxa"/>
            <w:shd w:val="clear" w:color="auto" w:fill="auto"/>
            <w:tcMar>
              <w:top w:w="0" w:type="dxa"/>
              <w:left w:w="105" w:type="dxa"/>
              <w:bottom w:w="0" w:type="dxa"/>
              <w:right w:w="105" w:type="dxa"/>
            </w:tcMar>
            <w:vAlign w:val="center"/>
          </w:tcPr>
          <w:p w14:paraId="6DDF33F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★院区权限</w:t>
            </w:r>
          </w:p>
        </w:tc>
        <w:tc>
          <w:tcPr>
            <w:tcW w:w="8016" w:type="dxa"/>
            <w:shd w:val="clear" w:color="auto" w:fill="auto"/>
            <w:tcMar>
              <w:top w:w="0" w:type="dxa"/>
              <w:left w:w="105" w:type="dxa"/>
              <w:bottom w:w="0" w:type="dxa"/>
              <w:right w:w="105" w:type="dxa"/>
            </w:tcMar>
            <w:vAlign w:val="center"/>
          </w:tcPr>
          <w:p w14:paraId="1778F786">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医院权限：对系统分配的用户进行院区权限管理。</w:t>
            </w:r>
          </w:p>
          <w:p w14:paraId="305B4621">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故障通知：对自助故障时短信通知的联系人、联系电话、院区、通知周期进行新增、删除、修改及导出</w:t>
            </w:r>
          </w:p>
        </w:tc>
      </w:tr>
      <w:tr w14:paraId="116F4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580" w:hRule="atLeast"/>
        </w:trPr>
        <w:tc>
          <w:tcPr>
            <w:tcW w:w="755" w:type="dxa"/>
            <w:shd w:val="clear" w:color="auto" w:fill="auto"/>
            <w:tcMar>
              <w:top w:w="0" w:type="dxa"/>
              <w:left w:w="105" w:type="dxa"/>
              <w:bottom w:w="0" w:type="dxa"/>
              <w:right w:w="105" w:type="dxa"/>
            </w:tcMar>
            <w:vAlign w:val="center"/>
          </w:tcPr>
          <w:p w14:paraId="3B4A9ADB">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8</w:t>
            </w:r>
          </w:p>
        </w:tc>
        <w:tc>
          <w:tcPr>
            <w:tcW w:w="1077" w:type="dxa"/>
            <w:shd w:val="clear" w:color="auto" w:fill="auto"/>
            <w:tcMar>
              <w:top w:w="0" w:type="dxa"/>
              <w:left w:w="105" w:type="dxa"/>
              <w:bottom w:w="0" w:type="dxa"/>
              <w:right w:w="105" w:type="dxa"/>
            </w:tcMar>
            <w:vAlign w:val="center"/>
          </w:tcPr>
          <w:p w14:paraId="328A00C3">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jc w:val="center"/>
              <w:textAlignment w:val="auto"/>
              <w:rPr>
                <w:rFonts w:hint="eastAsia" w:ascii="仿宋" w:hAnsi="仿宋" w:eastAsia="仿宋" w:cs="仿宋"/>
                <w:sz w:val="24"/>
                <w:szCs w:val="24"/>
              </w:rPr>
            </w:pPr>
            <w:r>
              <w:rPr>
                <w:rFonts w:hint="eastAsia" w:ascii="仿宋" w:hAnsi="仿宋" w:eastAsia="仿宋" w:cs="仿宋"/>
                <w:sz w:val="24"/>
                <w:szCs w:val="24"/>
              </w:rPr>
              <w:t>★系统管理</w:t>
            </w:r>
          </w:p>
        </w:tc>
        <w:tc>
          <w:tcPr>
            <w:tcW w:w="8016" w:type="dxa"/>
            <w:shd w:val="clear" w:color="auto" w:fill="auto"/>
            <w:tcMar>
              <w:top w:w="0" w:type="dxa"/>
              <w:left w:w="105" w:type="dxa"/>
              <w:bottom w:w="0" w:type="dxa"/>
              <w:right w:w="105" w:type="dxa"/>
            </w:tcMar>
            <w:vAlign w:val="center"/>
          </w:tcPr>
          <w:p w14:paraId="00EF6C14">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用户管理：对系统分配的用户进行基本的新增、修改、删除、停用、启用以及权限进行管理，或密码重置等。</w:t>
            </w:r>
          </w:p>
          <w:p w14:paraId="1CE3DED8">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角色管理：新增、修改、删除系统分配的角色。以及对角色权限进行分配。</w:t>
            </w:r>
          </w:p>
          <w:p w14:paraId="6D94E959">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日志管理：操作日志:通过系统模块、操作人员、类型、状态、时间等条件查询条件范围类的操作情况。以便对相关数据进行索源。登录日志：可实时查看所有用户的登录情况包括登录IP，登录时间，登录的操作系统、浏览器等。</w:t>
            </w:r>
          </w:p>
          <w:p w14:paraId="32AA991E">
            <w:pPr>
              <w:pStyle w:val="14"/>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textAlignment w:val="auto"/>
              <w:rPr>
                <w:rFonts w:hint="eastAsia" w:ascii="仿宋" w:hAnsi="仿宋" w:eastAsia="仿宋" w:cs="仿宋"/>
                <w:sz w:val="24"/>
                <w:szCs w:val="24"/>
              </w:rPr>
            </w:pPr>
            <w:r>
              <w:rPr>
                <w:rFonts w:hint="eastAsia" w:ascii="仿宋" w:hAnsi="仿宋" w:eastAsia="仿宋" w:cs="仿宋"/>
                <w:sz w:val="24"/>
                <w:szCs w:val="24"/>
              </w:rPr>
              <w:t>定时任务：对系统的定时任务进行管理及维护。</w:t>
            </w:r>
          </w:p>
        </w:tc>
      </w:tr>
    </w:tbl>
    <w:p w14:paraId="28BDC9DF">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88" w:lineRule="auto"/>
        <w:ind w:left="0" w:firstLine="0"/>
        <w:textAlignment w:val="auto"/>
        <w:rPr>
          <w:rFonts w:hint="eastAsia" w:ascii="仿宋" w:hAnsi="仿宋" w:eastAsia="仿宋" w:cs="仿宋"/>
          <w:b w:val="0"/>
          <w:bCs w:val="0"/>
          <w:sz w:val="24"/>
          <w:szCs w:val="24"/>
        </w:rPr>
      </w:pPr>
      <w:r>
        <w:rPr>
          <w:rFonts w:hint="eastAsia" w:ascii="仿宋" w:hAnsi="仿宋" w:eastAsia="仿宋" w:cs="仿宋"/>
          <w:b w:val="0"/>
          <w:bCs w:val="0"/>
          <w:kern w:val="2"/>
          <w:sz w:val="24"/>
          <w:szCs w:val="24"/>
        </w:rPr>
        <w:t>★（三）</w:t>
      </w:r>
      <w:r>
        <w:rPr>
          <w:rStyle w:val="21"/>
          <w:rFonts w:hint="eastAsia" w:ascii="仿宋" w:hAnsi="仿宋" w:eastAsia="仿宋" w:cs="仿宋"/>
          <w:b w:val="0"/>
          <w:bCs w:val="0"/>
          <w:kern w:val="2"/>
          <w:sz w:val="24"/>
          <w:szCs w:val="24"/>
        </w:rPr>
        <w:t>相关结算功能（含医保、对账、退费）</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58"/>
        <w:gridCol w:w="1334"/>
        <w:gridCol w:w="7756"/>
      </w:tblGrid>
      <w:tr w14:paraId="61D70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1FBE7210">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334" w:type="dxa"/>
            <w:shd w:val="clear" w:color="auto" w:fill="auto"/>
            <w:tcMar>
              <w:top w:w="0" w:type="dxa"/>
              <w:left w:w="105" w:type="dxa"/>
              <w:bottom w:w="0" w:type="dxa"/>
              <w:right w:w="105" w:type="dxa"/>
            </w:tcMar>
            <w:vAlign w:val="center"/>
          </w:tcPr>
          <w:p w14:paraId="13B72517">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功能</w:t>
            </w:r>
          </w:p>
        </w:tc>
        <w:tc>
          <w:tcPr>
            <w:tcW w:w="7756" w:type="dxa"/>
            <w:shd w:val="clear" w:color="auto" w:fill="auto"/>
            <w:tcMar>
              <w:top w:w="0" w:type="dxa"/>
              <w:left w:w="105" w:type="dxa"/>
              <w:bottom w:w="0" w:type="dxa"/>
              <w:right w:w="105" w:type="dxa"/>
            </w:tcMar>
            <w:vAlign w:val="center"/>
          </w:tcPr>
          <w:p w14:paraId="37D2EB20">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功能描述</w:t>
            </w:r>
          </w:p>
        </w:tc>
      </w:tr>
      <w:tr w14:paraId="4F229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4EDF5EAF">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334" w:type="dxa"/>
            <w:shd w:val="clear" w:color="auto" w:fill="auto"/>
            <w:tcMar>
              <w:top w:w="0" w:type="dxa"/>
              <w:left w:w="105" w:type="dxa"/>
              <w:bottom w:w="0" w:type="dxa"/>
              <w:right w:w="105" w:type="dxa"/>
            </w:tcMar>
            <w:vAlign w:val="center"/>
          </w:tcPr>
          <w:p w14:paraId="79F20847">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支付功能</w:t>
            </w:r>
          </w:p>
        </w:tc>
        <w:tc>
          <w:tcPr>
            <w:tcW w:w="7756" w:type="dxa"/>
            <w:shd w:val="clear" w:color="auto" w:fill="auto"/>
            <w:tcMar>
              <w:top w:w="0" w:type="dxa"/>
              <w:left w:w="105" w:type="dxa"/>
              <w:bottom w:w="0" w:type="dxa"/>
              <w:right w:w="105" w:type="dxa"/>
            </w:tcMar>
            <w:vAlign w:val="center"/>
          </w:tcPr>
          <w:p w14:paraId="0216CF73">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结算支付：</w:t>
            </w:r>
            <w:r>
              <w:rPr>
                <w:rFonts w:hint="eastAsia" w:ascii="仿宋" w:hAnsi="仿宋" w:eastAsia="仿宋" w:cs="仿宋"/>
                <w:sz w:val="24"/>
                <w:szCs w:val="24"/>
              </w:rPr>
              <w:t>独立实现在前端对医院所有自助机 所有收费、退费方式提供统一支付结算界面，能够选择任意方式支付结算，与所有自助机界面嵌入协调，完成预结算、支付、结算业务。独立实现在前端界面上直接对接医保，完成医院相关业务（如挂号、取号、住院预交、缴费、出院结算等）， 所有收费、退费方式的预结算、门诊统筹、门特等所有医保结算功能，如个账不足则需实现混合支付、共济支付；扣费完成后，需完成和HIS的业务确认（如收费结算，发票生成等）直到业务结束；根据各种返回状态进行票据打印，并做完善处理（退费、继续提交HIS等）；上述操作步骤需在电脑软件界面上有直观流程显示。</w:t>
            </w:r>
          </w:p>
        </w:tc>
      </w:tr>
      <w:tr w14:paraId="5AFE9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42152B6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334" w:type="dxa"/>
            <w:shd w:val="clear" w:color="auto" w:fill="auto"/>
            <w:tcMar>
              <w:top w:w="0" w:type="dxa"/>
              <w:left w:w="105" w:type="dxa"/>
              <w:bottom w:w="0" w:type="dxa"/>
              <w:right w:w="105" w:type="dxa"/>
            </w:tcMar>
            <w:vAlign w:val="center"/>
          </w:tcPr>
          <w:p w14:paraId="4B1507A9">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支付管理</w:t>
            </w:r>
          </w:p>
        </w:tc>
        <w:tc>
          <w:tcPr>
            <w:tcW w:w="7756" w:type="dxa"/>
            <w:shd w:val="clear" w:color="auto" w:fill="auto"/>
            <w:tcMar>
              <w:top w:w="0" w:type="dxa"/>
              <w:left w:w="105" w:type="dxa"/>
              <w:bottom w:w="0" w:type="dxa"/>
              <w:right w:w="105" w:type="dxa"/>
            </w:tcMar>
            <w:vAlign w:val="center"/>
          </w:tcPr>
          <w:p w14:paraId="79B89D60">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渠道终端管理：</w:t>
            </w:r>
            <w:r>
              <w:rPr>
                <w:rFonts w:hint="eastAsia" w:ascii="仿宋" w:hAnsi="仿宋" w:eastAsia="仿宋" w:cs="仿宋"/>
                <w:sz w:val="24"/>
                <w:szCs w:val="24"/>
              </w:rPr>
              <w:t>1.渠道信息：后台能够新增、修改、删除自助机的支付渠道。2.支付通道：后台能够新增、修改、删除渠道下的通道信息：院内所有自助机收费、退费方式的支付通道。3.通道支付方式配置：后台能够新增、修改、删除、停用/启用对应通道下的支付方式，实时控制每台自助终端的支付方式，控制是否支持门特，混合支付，银行冲正等。4.终端信息：管理院内每台自助机的IP，编号，摆放位置，归属的支付通道，最大退款金额，自助机是否在平台注册等。5.上述操作须在电脑软件界面上进行直观显示。</w:t>
            </w:r>
          </w:p>
          <w:p w14:paraId="7D3B24D0">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银行交易记录：</w:t>
            </w:r>
            <w:r>
              <w:rPr>
                <w:rFonts w:hint="eastAsia" w:ascii="仿宋" w:hAnsi="仿宋" w:eastAsia="仿宋" w:cs="仿宋"/>
                <w:sz w:val="24"/>
                <w:szCs w:val="24"/>
              </w:rPr>
              <w:t>1.银行交易记录：按支付通道，时间，银行名称，院区，金额等查询银行支付流水记录。2.银行冲正记录：按支付通道，时间，银行名称，院区，金额等查询银行冲正记录流水。3.无卡无密退费记录：按支付通道，时间，银行名称，院区，金额等查询银行退费记录。4.其他收款渠道记录。5.对全院所有自助机完成上述功能。6.上述操作须在电脑软件界面上直观显示。</w:t>
            </w:r>
          </w:p>
        </w:tc>
      </w:tr>
      <w:tr w14:paraId="16A54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5EDC8167">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334" w:type="dxa"/>
            <w:shd w:val="clear" w:color="auto" w:fill="auto"/>
            <w:tcMar>
              <w:top w:w="0" w:type="dxa"/>
              <w:left w:w="105" w:type="dxa"/>
              <w:bottom w:w="0" w:type="dxa"/>
              <w:right w:w="105" w:type="dxa"/>
            </w:tcMar>
            <w:vAlign w:val="center"/>
          </w:tcPr>
          <w:p w14:paraId="4AE0A2D4">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对账功能</w:t>
            </w:r>
          </w:p>
        </w:tc>
        <w:tc>
          <w:tcPr>
            <w:tcW w:w="7756" w:type="dxa"/>
            <w:shd w:val="clear" w:color="auto" w:fill="auto"/>
            <w:tcMar>
              <w:top w:w="0" w:type="dxa"/>
              <w:left w:w="105" w:type="dxa"/>
              <w:bottom w:w="0" w:type="dxa"/>
              <w:right w:w="105" w:type="dxa"/>
            </w:tcMar>
            <w:vAlign w:val="center"/>
          </w:tcPr>
          <w:p w14:paraId="36E99F05">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对账配置：</w:t>
            </w:r>
            <w:r>
              <w:rPr>
                <w:rFonts w:hint="eastAsia" w:ascii="仿宋" w:hAnsi="仿宋" w:eastAsia="仿宋" w:cs="仿宋"/>
                <w:sz w:val="24"/>
                <w:szCs w:val="24"/>
              </w:rPr>
              <w:t xml:space="preserve">新增、修改、删除平台的对账信息。按挂号，门诊，住院预交配置不同院区，不同银行,不同支付渠道的对账地址，对账商户。支持定时任务自动根据配置的信息获取所有自助机（建行，农行，建行网金）的his费用（汇总）明细，银行账单（汇总）明细,自动完成对账过程，将单边账展示出来。对全院所有自助机上完成上述功能。 </w:t>
            </w:r>
          </w:p>
          <w:p w14:paraId="54D8D7F2">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单边帐处理：</w:t>
            </w:r>
            <w:r>
              <w:rPr>
                <w:rFonts w:hint="eastAsia" w:ascii="仿宋" w:hAnsi="仿宋" w:eastAsia="仿宋" w:cs="仿宋"/>
                <w:sz w:val="24"/>
                <w:szCs w:val="24"/>
              </w:rPr>
              <w:t>功能包括查询，重置，导出，退费申请，重新银行账单，重新下载HIS账单。查询条件根据对账时间，院区，操作类型，来源，通道代码，单边状态（单边账，异常账，当日退款，跨天账等），是否退费，银行交易时间段，银行流水号展示每一个支付渠道的明细，不同的操作员根据分配的权限查看不一样的数据；实现单边账自动退费，并做好退费记录。对全院所有自助机上完成上述功能。</w:t>
            </w:r>
          </w:p>
          <w:p w14:paraId="57638E09">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导入银行单边账明细：</w:t>
            </w:r>
            <w:r>
              <w:rPr>
                <w:rFonts w:hint="eastAsia" w:ascii="仿宋" w:hAnsi="仿宋" w:eastAsia="仿宋" w:cs="仿宋"/>
                <w:sz w:val="24"/>
                <w:szCs w:val="24"/>
              </w:rPr>
              <w:t>功能包括查询，重置，导出，导入。根据财务提供的单边账excel表,导入数据库，与对出的单边帐明细记录进行对比，减少财务人员查看明细时间；不同的操作员根据分配的权限查看不一样的数据。</w:t>
            </w:r>
          </w:p>
          <w:p w14:paraId="3B1795E1">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银行账单处理：</w:t>
            </w:r>
            <w:r>
              <w:rPr>
                <w:rFonts w:hint="eastAsia" w:ascii="仿宋" w:hAnsi="仿宋" w:eastAsia="仿宋" w:cs="仿宋"/>
                <w:sz w:val="24"/>
                <w:szCs w:val="24"/>
              </w:rPr>
              <w:t xml:space="preserve">功能包括查询，重置，导出，重新下载银行账单（含账单明细、汇总）。可按账单的时间，账单的明细、操作类型，对账日期，有效性等查询。不同的操作员根据分配的权限查看不一样的数据；字段可以隐藏，显示，移动设置；对全院所有自助机完成上述功能。 </w:t>
            </w:r>
          </w:p>
          <w:p w14:paraId="571A02CA">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原路退回记录：</w:t>
            </w:r>
            <w:r>
              <w:rPr>
                <w:rFonts w:hint="eastAsia" w:ascii="仿宋" w:hAnsi="仿宋" w:eastAsia="仿宋" w:cs="仿宋"/>
                <w:sz w:val="24"/>
                <w:szCs w:val="24"/>
              </w:rPr>
              <w:t>功能包括查询，重置，导出，异常发起退费。按时间，操作类型，退费日期，退费金额范围段，通道代码，患者信息，支付流水号，总金额范围段等查询明细； 1.提供api接口给第三方或者 his,由第三方发起退费请求，对全院所有自助机（建行，农行，建行网金），微信，支付宝，进行原路退回。2.记录原路退回数据，进行汇总，统计收费院区，退费院区，不同的操作员对不同渠道费用的退费情况。3.由于平台原因导致退费异常的，提供再次发起退费功能；不同的操作员根据分配的权限查看不一样的数据；字段可以隐藏，显示，移动设置。对全院所有自助机完成上述功能。</w:t>
            </w:r>
          </w:p>
          <w:p w14:paraId="0D51A674">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医保异常处理：</w:t>
            </w:r>
            <w:r>
              <w:rPr>
                <w:rFonts w:hint="eastAsia" w:ascii="仿宋" w:hAnsi="仿宋" w:eastAsia="仿宋" w:cs="仿宋"/>
                <w:sz w:val="24"/>
                <w:szCs w:val="24"/>
              </w:rPr>
              <w:t>实时展示医保异常数据，根据异常数据状态进行退费、冲正、重新提交HIS等处理，并核查原因。 不同的操作员根据分配的权限查看不一样的数据；导出明细要包括医院指定字段内容；字段可以隐藏，显示，移动设置。对全院所有自助机完成上述功能。</w:t>
            </w:r>
          </w:p>
        </w:tc>
      </w:tr>
      <w:tr w14:paraId="24898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1EB6E1EA">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334" w:type="dxa"/>
            <w:shd w:val="clear" w:color="auto" w:fill="auto"/>
            <w:tcMar>
              <w:top w:w="0" w:type="dxa"/>
              <w:left w:w="105" w:type="dxa"/>
              <w:bottom w:w="0" w:type="dxa"/>
              <w:right w:w="105" w:type="dxa"/>
            </w:tcMar>
            <w:vAlign w:val="center"/>
          </w:tcPr>
          <w:p w14:paraId="3B2C505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电子票据</w:t>
            </w:r>
          </w:p>
        </w:tc>
        <w:tc>
          <w:tcPr>
            <w:tcW w:w="7756" w:type="dxa"/>
            <w:shd w:val="clear" w:color="auto" w:fill="auto"/>
            <w:tcMar>
              <w:top w:w="0" w:type="dxa"/>
              <w:left w:w="105" w:type="dxa"/>
              <w:bottom w:w="0" w:type="dxa"/>
              <w:right w:w="105" w:type="dxa"/>
            </w:tcMar>
            <w:vAlign w:val="center"/>
          </w:tcPr>
          <w:p w14:paraId="70326FC1">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电子发票</w:t>
            </w:r>
            <w:r>
              <w:rPr>
                <w:rFonts w:hint="eastAsia" w:ascii="仿宋" w:hAnsi="仿宋" w:eastAsia="仿宋" w:cs="仿宋"/>
                <w:sz w:val="24"/>
                <w:szCs w:val="24"/>
              </w:rPr>
              <w:t>：根据患者信息，院区，操作类型，时间段等条件查询全院生成的电子发票信息，查看电子发票h5页面，冲红电子发票，上传电子发票，导出发票信息。</w:t>
            </w:r>
          </w:p>
          <w:p w14:paraId="60F56792">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发票信息</w:t>
            </w:r>
            <w:r>
              <w:rPr>
                <w:rFonts w:hint="eastAsia" w:ascii="仿宋" w:hAnsi="仿宋" w:eastAsia="仿宋" w:cs="仿宋"/>
                <w:sz w:val="24"/>
                <w:szCs w:val="24"/>
              </w:rPr>
              <w:t>：根据患者信息，票据信息，院区，操作类型，时间段等查询全院生成的电子发票信息，导出发票信息。</w:t>
            </w:r>
          </w:p>
        </w:tc>
      </w:tr>
      <w:tr w14:paraId="6D780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0952E865">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334" w:type="dxa"/>
            <w:shd w:val="clear" w:color="auto" w:fill="auto"/>
            <w:tcMar>
              <w:top w:w="0" w:type="dxa"/>
              <w:left w:w="105" w:type="dxa"/>
              <w:bottom w:w="0" w:type="dxa"/>
              <w:right w:w="105" w:type="dxa"/>
            </w:tcMar>
            <w:vAlign w:val="center"/>
          </w:tcPr>
          <w:p w14:paraId="0420731C">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医保功能</w:t>
            </w:r>
          </w:p>
        </w:tc>
        <w:tc>
          <w:tcPr>
            <w:tcW w:w="7756" w:type="dxa"/>
            <w:shd w:val="clear" w:color="auto" w:fill="auto"/>
            <w:tcMar>
              <w:top w:w="0" w:type="dxa"/>
              <w:left w:w="105" w:type="dxa"/>
              <w:bottom w:w="0" w:type="dxa"/>
              <w:right w:w="105" w:type="dxa"/>
            </w:tcMar>
            <w:vAlign w:val="center"/>
          </w:tcPr>
          <w:p w14:paraId="0A8E0ADC">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医保单边账省市查询：</w:t>
            </w:r>
            <w:r>
              <w:rPr>
                <w:rFonts w:hint="eastAsia" w:ascii="仿宋" w:hAnsi="仿宋" w:eastAsia="仿宋" w:cs="仿宋"/>
                <w:sz w:val="24"/>
                <w:szCs w:val="24"/>
              </w:rPr>
              <w:t>通过结算经办机柜，清算类别，险种，患者姓名，结算时间，人员变化来查询单边账并显示：结算经办单位，清算类别，换新姓名，人员变化，医疗费总额，基金支付总额，个人账户支出，操作人，结算时间，备注等。 清算类别符合社保规范。</w:t>
            </w:r>
          </w:p>
          <w:p w14:paraId="6C9FE4D5">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sz w:val="24"/>
                <w:szCs w:val="24"/>
              </w:rPr>
              <w:t>省市医保对账</w:t>
            </w:r>
            <w:r>
              <w:rPr>
                <w:rFonts w:hint="eastAsia" w:ascii="仿宋" w:hAnsi="仿宋" w:eastAsia="仿宋" w:cs="仿宋"/>
                <w:sz w:val="24"/>
                <w:szCs w:val="24"/>
              </w:rPr>
              <w:t>：通过对账，结算进步机构，对账结果进行查询。显示对账日期，结算经办机构，险种，清算类别，医疗费总额，基金支付总额，个账账户金额，定点医疗机构结算笔数，对账结果，对账结果说明。查询医保总账和医保明细进行对账。医保明细显示：清算类别，患者姓名，操作员，结算时间，人员编号，就诊ID，结算ID，医疗费总额，基金支付总额，个人账户支出，备注</w:t>
            </w:r>
          </w:p>
        </w:tc>
      </w:tr>
      <w:tr w14:paraId="1BCEB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58" w:type="dxa"/>
            <w:shd w:val="clear" w:color="auto" w:fill="auto"/>
            <w:tcMar>
              <w:top w:w="0" w:type="dxa"/>
              <w:left w:w="105" w:type="dxa"/>
              <w:bottom w:w="0" w:type="dxa"/>
              <w:right w:w="105" w:type="dxa"/>
            </w:tcMar>
            <w:vAlign w:val="center"/>
          </w:tcPr>
          <w:p w14:paraId="21099E52">
            <w:pPr>
              <w:keepNext w:val="0"/>
              <w:keepLines w:val="0"/>
              <w:pageBreakBefore w:val="0"/>
              <w:widowControl/>
              <w:suppressLineNumbers w:val="0"/>
              <w:kinsoku/>
              <w:wordWrap/>
              <w:overflowPunct/>
              <w:topLinePunct w:val="0"/>
              <w:autoSpaceDN/>
              <w:bidi w:val="0"/>
              <w:spacing w:beforeAutospacing="0" w:afterAutospacing="0" w:line="240" w:lineRule="auto"/>
              <w:ind w:left="0" w:firstLine="0"/>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334" w:type="dxa"/>
            <w:shd w:val="clear" w:color="auto" w:fill="auto"/>
            <w:tcMar>
              <w:top w:w="0" w:type="dxa"/>
              <w:left w:w="105" w:type="dxa"/>
              <w:bottom w:w="0" w:type="dxa"/>
              <w:right w:w="105" w:type="dxa"/>
            </w:tcMar>
            <w:vAlign w:val="center"/>
          </w:tcPr>
          <w:p w14:paraId="665ED6FD">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系统管理</w:t>
            </w:r>
          </w:p>
        </w:tc>
        <w:tc>
          <w:tcPr>
            <w:tcW w:w="7756" w:type="dxa"/>
            <w:shd w:val="clear" w:color="auto" w:fill="auto"/>
            <w:tcMar>
              <w:top w:w="0" w:type="dxa"/>
              <w:left w:w="105" w:type="dxa"/>
              <w:bottom w:w="0" w:type="dxa"/>
              <w:right w:w="105" w:type="dxa"/>
            </w:tcMar>
            <w:vAlign w:val="center"/>
          </w:tcPr>
          <w:p w14:paraId="04028F11">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用户管理：对系统分配的用户进行基本的新增、修改、删除以及权限进行管理，或密码重置，分配不同的院区，操作类型的权限等</w:t>
            </w:r>
          </w:p>
          <w:p w14:paraId="1DF8808E">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角色管理：新增、修改、删除系统分配的角色。</w:t>
            </w:r>
          </w:p>
          <w:p w14:paraId="395C458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组织架构：新增、修改、删除用户组织架构（院区，部门）</w:t>
            </w:r>
          </w:p>
          <w:p w14:paraId="6A510A79">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权限管理：以及对角色权限进行分配。</w:t>
            </w:r>
          </w:p>
          <w:p w14:paraId="1790FE4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日志管理：系统日志:通过IP，角色、状态、时间，操作类型等条件查询条件范围类的操作情况。以便对相关数据进行索源。</w:t>
            </w:r>
          </w:p>
          <w:p w14:paraId="42A2FB44">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定时任务：1.任务配置：根据实际情况设置定时任务的执行，包括黑名单的加入，自动下载银行账单，his账单等。2.执行记录：查看定时任务的执行情况。</w:t>
            </w:r>
          </w:p>
          <w:p w14:paraId="26A4FB5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系统设置：菜单设置:新增、修改、删除平台配置的显示页面，为不同的页面设置不同的按钮功能。</w:t>
            </w:r>
          </w:p>
        </w:tc>
      </w:tr>
    </w:tbl>
    <w:p w14:paraId="13F9F298">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88" w:lineRule="auto"/>
        <w:ind w:left="0" w:firstLine="0"/>
        <w:textAlignment w:val="auto"/>
        <w:rPr>
          <w:rFonts w:hint="eastAsia" w:ascii="仿宋" w:hAnsi="仿宋" w:eastAsia="仿宋" w:cs="仿宋"/>
          <w:b w:val="0"/>
          <w:bCs w:val="0"/>
          <w:sz w:val="24"/>
          <w:szCs w:val="24"/>
        </w:rPr>
      </w:pPr>
      <w:r>
        <w:rPr>
          <w:rFonts w:hint="eastAsia" w:ascii="仿宋" w:hAnsi="仿宋" w:eastAsia="仿宋" w:cs="仿宋"/>
          <w:b w:val="0"/>
          <w:bCs w:val="0"/>
          <w:kern w:val="2"/>
          <w:sz w:val="24"/>
          <w:szCs w:val="24"/>
        </w:rPr>
        <w:t>（四）病案打印系统</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42"/>
        <w:gridCol w:w="1577"/>
        <w:gridCol w:w="7529"/>
      </w:tblGrid>
      <w:tr w14:paraId="05671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720" w:type="dxa"/>
            <w:shd w:val="clear" w:color="auto" w:fill="auto"/>
            <w:tcMar>
              <w:top w:w="0" w:type="dxa"/>
              <w:left w:w="105" w:type="dxa"/>
              <w:bottom w:w="0" w:type="dxa"/>
              <w:right w:w="105" w:type="dxa"/>
            </w:tcMar>
            <w:vAlign w:val="center"/>
          </w:tcPr>
          <w:p w14:paraId="651A5449">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序号</w:t>
            </w:r>
          </w:p>
        </w:tc>
        <w:tc>
          <w:tcPr>
            <w:tcW w:w="1530" w:type="dxa"/>
            <w:shd w:val="clear" w:color="auto" w:fill="auto"/>
            <w:tcMar>
              <w:top w:w="0" w:type="dxa"/>
              <w:left w:w="105" w:type="dxa"/>
              <w:bottom w:w="0" w:type="dxa"/>
              <w:right w:w="105" w:type="dxa"/>
            </w:tcMar>
            <w:vAlign w:val="center"/>
          </w:tcPr>
          <w:p w14:paraId="12B8BB4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功能</w:t>
            </w:r>
          </w:p>
        </w:tc>
        <w:tc>
          <w:tcPr>
            <w:tcW w:w="7305" w:type="dxa"/>
            <w:shd w:val="clear" w:color="auto" w:fill="auto"/>
            <w:tcMar>
              <w:top w:w="0" w:type="dxa"/>
              <w:left w:w="105" w:type="dxa"/>
              <w:bottom w:w="0" w:type="dxa"/>
              <w:right w:w="105" w:type="dxa"/>
            </w:tcMar>
            <w:vAlign w:val="center"/>
          </w:tcPr>
          <w:p w14:paraId="4BA706FB">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 xml:space="preserve">功能描述 </w:t>
            </w:r>
          </w:p>
        </w:tc>
      </w:tr>
      <w:tr w14:paraId="6AB3A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20" w:type="dxa"/>
            <w:shd w:val="clear" w:color="auto" w:fill="auto"/>
            <w:tcMar>
              <w:top w:w="0" w:type="dxa"/>
              <w:left w:w="105" w:type="dxa"/>
              <w:bottom w:w="0" w:type="dxa"/>
              <w:right w:w="105" w:type="dxa"/>
            </w:tcMar>
            <w:vAlign w:val="center"/>
          </w:tcPr>
          <w:p w14:paraId="398786F4">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530" w:type="dxa"/>
            <w:shd w:val="clear" w:color="auto" w:fill="auto"/>
            <w:tcMar>
              <w:top w:w="0" w:type="dxa"/>
              <w:left w:w="105" w:type="dxa"/>
              <w:bottom w:w="0" w:type="dxa"/>
              <w:right w:w="105" w:type="dxa"/>
            </w:tcMar>
            <w:vAlign w:val="center"/>
          </w:tcPr>
          <w:p w14:paraId="6D59C346">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★电子病案打印收费</w:t>
            </w:r>
          </w:p>
        </w:tc>
        <w:tc>
          <w:tcPr>
            <w:tcW w:w="7305" w:type="dxa"/>
            <w:shd w:val="clear" w:color="auto" w:fill="auto"/>
            <w:tcMar>
              <w:top w:w="0" w:type="dxa"/>
              <w:left w:w="105" w:type="dxa"/>
              <w:bottom w:w="0" w:type="dxa"/>
              <w:right w:w="105" w:type="dxa"/>
            </w:tcMar>
            <w:vAlign w:val="center"/>
          </w:tcPr>
          <w:p w14:paraId="264A6865">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根据身份证，病案号，姓名，获取患者所有住院记录，根据每次住院流水号，打印本院，东院、温江院区等院区的病案，软件去公章等操作，从不同的公司获取病案数据获取患者的病案图片，选择，放大缩小，根据院区匹配不同的单页收费金额，计算总金额，保存患者提供的待打印资料，进行收费。</w:t>
            </w:r>
          </w:p>
        </w:tc>
      </w:tr>
      <w:tr w14:paraId="402C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20" w:type="dxa"/>
            <w:shd w:val="clear" w:color="auto" w:fill="auto"/>
            <w:tcMar>
              <w:top w:w="0" w:type="dxa"/>
              <w:left w:w="105" w:type="dxa"/>
              <w:bottom w:w="0" w:type="dxa"/>
              <w:right w:w="105" w:type="dxa"/>
            </w:tcMar>
            <w:vAlign w:val="center"/>
          </w:tcPr>
          <w:p w14:paraId="2FDF144C">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2</w:t>
            </w:r>
          </w:p>
        </w:tc>
        <w:tc>
          <w:tcPr>
            <w:tcW w:w="1530" w:type="dxa"/>
            <w:shd w:val="clear" w:color="auto" w:fill="auto"/>
            <w:tcMar>
              <w:top w:w="0" w:type="dxa"/>
              <w:left w:w="105" w:type="dxa"/>
              <w:bottom w:w="0" w:type="dxa"/>
              <w:right w:w="105" w:type="dxa"/>
            </w:tcMar>
            <w:vAlign w:val="center"/>
          </w:tcPr>
          <w:p w14:paraId="78314136">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★电子病案打印</w:t>
            </w:r>
          </w:p>
        </w:tc>
        <w:tc>
          <w:tcPr>
            <w:tcW w:w="7305" w:type="dxa"/>
            <w:shd w:val="clear" w:color="auto" w:fill="auto"/>
            <w:tcMar>
              <w:top w:w="0" w:type="dxa"/>
              <w:left w:w="105" w:type="dxa"/>
              <w:bottom w:w="0" w:type="dxa"/>
              <w:right w:w="105" w:type="dxa"/>
            </w:tcMar>
            <w:vAlign w:val="center"/>
          </w:tcPr>
          <w:p w14:paraId="0B182250">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1.收费员配置:新增，编辑，删除， 操作员设置，设置操作员院区，</w:t>
            </w:r>
          </w:p>
          <w:p w14:paraId="41885CB9">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银行类型，用户名称，业务类型，收费商户号，终端号，单页打印金额，使用途径等，以便操作员收费的时候随时改变收费方式。</w:t>
            </w:r>
          </w:p>
          <w:p w14:paraId="3E679502">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2.打印记录: 根据住院号，住院流水号，平台流水号，患者姓名，打印时间，打印人，使用途径，查询患者的入院日期，打印数量，打印份数，打印费用，实收费用，使用途径，出院科室，打印时间，打印人，备注等信息，并可以，补打收费小票，补打病案，进行退费申请等。</w:t>
            </w:r>
          </w:p>
          <w:p w14:paraId="5928E5CF">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3.费用收取:根据住院号/病案号，身份证号，姓名，查询所有院区的，旅鸽系统的，联众系统的，中科系统的患者信息，选择不同的住院流水号，查询住院病案，按一列，二列，三列，四列进行排列展示不同的病案信息，选择需要打印的病案信息，进行费用的汇总，按操作员配置时的费用信息，选择打印份数自动进行计费，收费时，选择不同的收费方式，现金支付，扫码支付（自己对接银行实现收费退费），不同的付款方式（正常患者，本院职工，对公，补打，线上邮寄），如果打印不需要进行收费（本院职工，对公，补打，线上邮寄）则需要进行申请，等待审核通过后方可打印，否则，只能进行收费。收费后，需要使用高拍仪拍照的，将图片信息保存到数据库，并对打印记录，收费记录，进行保存，通过打印机打印出收费小票，病案图片。</w:t>
            </w:r>
          </w:p>
          <w:p w14:paraId="1515E92E">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4.免费患者申请审核:根据，收费员申请的信息，如患者姓名，身份证号，入院日期，出院日期，申请人，申请时间，申请原因，使用途径等，对申请信息进行审核，审核通过后，操作员可对患者进行免费打印，审核不通过，则需要缴费才能进行打印。</w:t>
            </w:r>
          </w:p>
          <w:p w14:paraId="126172EA">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5.患者身份照片存档:根据患者姓名，住院流水号，打印时间，查询患者在收费打印时高拍仪拍的图片信息，并展示出来。</w:t>
            </w:r>
          </w:p>
        </w:tc>
      </w:tr>
      <w:tr w14:paraId="69D28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0" w:hRule="atLeast"/>
        </w:trPr>
        <w:tc>
          <w:tcPr>
            <w:tcW w:w="720" w:type="dxa"/>
            <w:shd w:val="clear" w:color="auto" w:fill="auto"/>
            <w:tcMar>
              <w:top w:w="0" w:type="dxa"/>
              <w:left w:w="105" w:type="dxa"/>
              <w:bottom w:w="0" w:type="dxa"/>
              <w:right w:w="105" w:type="dxa"/>
            </w:tcMar>
            <w:vAlign w:val="center"/>
          </w:tcPr>
          <w:p w14:paraId="6937223C">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3</w:t>
            </w:r>
          </w:p>
        </w:tc>
        <w:tc>
          <w:tcPr>
            <w:tcW w:w="1530" w:type="dxa"/>
            <w:shd w:val="clear" w:color="auto" w:fill="auto"/>
            <w:tcMar>
              <w:top w:w="0" w:type="dxa"/>
              <w:left w:w="105" w:type="dxa"/>
              <w:bottom w:w="0" w:type="dxa"/>
              <w:right w:w="105" w:type="dxa"/>
            </w:tcMar>
            <w:vAlign w:val="center"/>
          </w:tcPr>
          <w:p w14:paraId="68E57568">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★电子病案打印退费</w:t>
            </w:r>
          </w:p>
        </w:tc>
        <w:tc>
          <w:tcPr>
            <w:tcW w:w="7305" w:type="dxa"/>
            <w:shd w:val="clear" w:color="auto" w:fill="auto"/>
            <w:tcMar>
              <w:top w:w="0" w:type="dxa"/>
              <w:left w:w="105" w:type="dxa"/>
              <w:bottom w:w="0" w:type="dxa"/>
              <w:right w:w="105" w:type="dxa"/>
            </w:tcMar>
            <w:vAlign w:val="center"/>
          </w:tcPr>
          <w:p w14:paraId="0A144F7E">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退费审核:根据住院号，患者姓名，申请时间，退费状态，审核状态查询打印记录中提交的退费申请信息，核对患者信息后，进行退费审核，审核成功后退费。</w:t>
            </w:r>
          </w:p>
        </w:tc>
      </w:tr>
      <w:tr w14:paraId="7D4EC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200" w:hRule="atLeast"/>
        </w:trPr>
        <w:tc>
          <w:tcPr>
            <w:tcW w:w="720" w:type="dxa"/>
            <w:shd w:val="clear" w:color="auto" w:fill="auto"/>
            <w:tcMar>
              <w:top w:w="0" w:type="dxa"/>
              <w:left w:w="105" w:type="dxa"/>
              <w:bottom w:w="0" w:type="dxa"/>
              <w:right w:w="105" w:type="dxa"/>
            </w:tcMar>
            <w:vAlign w:val="center"/>
          </w:tcPr>
          <w:p w14:paraId="269BEDD8">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4</w:t>
            </w:r>
          </w:p>
        </w:tc>
        <w:tc>
          <w:tcPr>
            <w:tcW w:w="1530" w:type="dxa"/>
            <w:shd w:val="clear" w:color="auto" w:fill="auto"/>
            <w:tcMar>
              <w:top w:w="0" w:type="dxa"/>
              <w:left w:w="105" w:type="dxa"/>
              <w:bottom w:w="0" w:type="dxa"/>
              <w:right w:w="105" w:type="dxa"/>
            </w:tcMar>
            <w:vAlign w:val="center"/>
          </w:tcPr>
          <w:p w14:paraId="7DD119DD">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★电子病案打印费用查询统计</w:t>
            </w:r>
          </w:p>
        </w:tc>
        <w:tc>
          <w:tcPr>
            <w:tcW w:w="7305" w:type="dxa"/>
            <w:shd w:val="clear" w:color="auto" w:fill="auto"/>
            <w:tcMar>
              <w:top w:w="0" w:type="dxa"/>
              <w:left w:w="105" w:type="dxa"/>
              <w:bottom w:w="0" w:type="dxa"/>
              <w:right w:w="105" w:type="dxa"/>
            </w:tcMar>
            <w:vAlign w:val="center"/>
          </w:tcPr>
          <w:p w14:paraId="53DC3DE1">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电子病案打印费用查询统计。</w:t>
            </w:r>
          </w:p>
        </w:tc>
      </w:tr>
      <w:tr w14:paraId="3015A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70" w:hRule="atLeast"/>
        </w:trPr>
        <w:tc>
          <w:tcPr>
            <w:tcW w:w="720" w:type="dxa"/>
            <w:shd w:val="clear" w:color="auto" w:fill="auto"/>
            <w:tcMar>
              <w:top w:w="0" w:type="dxa"/>
              <w:left w:w="105" w:type="dxa"/>
              <w:bottom w:w="0" w:type="dxa"/>
              <w:right w:w="105" w:type="dxa"/>
            </w:tcMar>
            <w:vAlign w:val="center"/>
          </w:tcPr>
          <w:p w14:paraId="1CC01DF3">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5</w:t>
            </w:r>
          </w:p>
        </w:tc>
        <w:tc>
          <w:tcPr>
            <w:tcW w:w="1530" w:type="dxa"/>
            <w:shd w:val="clear" w:color="auto" w:fill="auto"/>
            <w:tcMar>
              <w:top w:w="0" w:type="dxa"/>
              <w:left w:w="105" w:type="dxa"/>
              <w:bottom w:w="0" w:type="dxa"/>
              <w:right w:w="105" w:type="dxa"/>
            </w:tcMar>
            <w:vAlign w:val="center"/>
          </w:tcPr>
          <w:p w14:paraId="51DD86EE">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★电子病案打印对账</w:t>
            </w:r>
          </w:p>
        </w:tc>
        <w:tc>
          <w:tcPr>
            <w:tcW w:w="7305" w:type="dxa"/>
            <w:shd w:val="clear" w:color="auto" w:fill="auto"/>
            <w:tcMar>
              <w:top w:w="0" w:type="dxa"/>
              <w:left w:w="105" w:type="dxa"/>
              <w:bottom w:w="0" w:type="dxa"/>
              <w:right w:w="105" w:type="dxa"/>
            </w:tcMar>
            <w:vAlign w:val="center"/>
          </w:tcPr>
          <w:p w14:paraId="4E8D95D8">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1.银行汇总:根据院区，对账时间，通道代码，有效性，操作时间，查询银行账单汇总，手动从新下载银行账单，导出查询记录为excel。</w:t>
            </w:r>
          </w:p>
          <w:p w14:paraId="25F5247D">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2.银行明细:根据院区，对账时间，通道代码，有效性，交易时间，交易参考号，流水号查询银行账单明细 ，导出查询记录为excel。</w:t>
            </w:r>
          </w:p>
          <w:p w14:paraId="0EAF3523">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3.对账数据:根据院区，对账时间，通道代码，业务类型，每天自动下载银行账单进行对账，手动下载银行账单进行对账，对比出，银行数量，银行金额，平台数量，平台金额，异常数量，异常金额。导出查询记录为excel。</w:t>
            </w:r>
          </w:p>
          <w:p w14:paraId="3E857B62">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4.单边明细:根据院区，对账时间，交易时间，业务类型，是否异常，是否退费查询单边记录，选择对应的记录，进行退费申请，导出查询记录为excel。</w:t>
            </w:r>
          </w:p>
          <w:p w14:paraId="59159A6D">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5.退费审核:根据院区，对账时间，订单号，交易时间，退费状态，申请时间，查询出申请的退费记录，进行退费，导出查询记录为excel。</w:t>
            </w:r>
          </w:p>
          <w:p w14:paraId="514625A3">
            <w:pPr>
              <w:pStyle w:val="14"/>
              <w:keepNext w:val="0"/>
              <w:keepLines w:val="0"/>
              <w:pageBreakBefore w:val="0"/>
              <w:widowControl/>
              <w:suppressLineNumbers w:val="0"/>
              <w:kinsoku/>
              <w:wordWrap/>
              <w:overflowPunct/>
              <w:topLinePunct w:val="0"/>
              <w:autoSpaceDN/>
              <w:bidi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6.退费记录:根据通道代码，返回状态，金额，支付流水号，退费时间等查询退费流水号相关的商户号，终端号，总金额，支付流水号，返回状态，备注，交易状态，退费时间，退费人，院区等信息，导出查询记录为excel。</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b/>
          <w:bCs/>
          <w:sz w:val="24"/>
          <w:szCs w:val="24"/>
        </w:rPr>
      </w:pPr>
      <w:r>
        <w:rPr>
          <w:rFonts w:hint="eastAsia" w:ascii="仿宋" w:hAnsi="仿宋" w:eastAsia="仿宋" w:cs="仿宋"/>
          <w:b/>
          <w:bCs/>
          <w:kern w:val="2"/>
          <w:sz w:val="24"/>
          <w:szCs w:val="24"/>
        </w:rPr>
        <w:t>★</w:t>
      </w:r>
      <w:r>
        <w:rPr>
          <w:rFonts w:hint="eastAsia" w:ascii="仿宋" w:hAnsi="仿宋" w:eastAsia="仿宋" w:cs="仿宋"/>
          <w:b/>
          <w:bCs/>
          <w:sz w:val="24"/>
          <w:szCs w:val="24"/>
          <w:lang w:val="en-US" w:eastAsia="zh-CN"/>
        </w:rPr>
        <w:t>2.</w:t>
      </w:r>
      <w:r>
        <w:rPr>
          <w:rFonts w:hint="eastAsia" w:ascii="仿宋" w:hAnsi="仿宋" w:eastAsia="仿宋" w:cs="仿宋"/>
          <w:b/>
          <w:bCs/>
          <w:kern w:val="2"/>
          <w:sz w:val="24"/>
          <w:szCs w:val="24"/>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9"/>
        <w:gridCol w:w="1532"/>
        <w:gridCol w:w="6110"/>
        <w:gridCol w:w="1437"/>
      </w:tblGrid>
      <w:tr w14:paraId="10E3D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9" w:type="dxa"/>
            <w:shd w:val="clear" w:color="auto" w:fill="auto"/>
            <w:tcMar>
              <w:top w:w="0" w:type="dxa"/>
              <w:left w:w="105" w:type="dxa"/>
              <w:bottom w:w="0" w:type="dxa"/>
              <w:right w:w="105" w:type="dxa"/>
            </w:tcMar>
            <w:vAlign w:val="top"/>
          </w:tcPr>
          <w:p w14:paraId="6F08E86F">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ind w:left="0" w:firstLine="0"/>
              <w:jc w:val="lef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序号</w:t>
            </w:r>
          </w:p>
        </w:tc>
        <w:tc>
          <w:tcPr>
            <w:tcW w:w="1532" w:type="dxa"/>
            <w:shd w:val="clear" w:color="auto" w:fill="auto"/>
            <w:tcMar>
              <w:top w:w="0" w:type="dxa"/>
              <w:left w:w="105" w:type="dxa"/>
              <w:bottom w:w="0" w:type="dxa"/>
              <w:right w:w="105" w:type="dxa"/>
            </w:tcMar>
            <w:vAlign w:val="top"/>
          </w:tcPr>
          <w:p w14:paraId="54D4D42F">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服务类型</w:t>
            </w:r>
          </w:p>
        </w:tc>
        <w:tc>
          <w:tcPr>
            <w:tcW w:w="6110" w:type="dxa"/>
            <w:shd w:val="clear" w:color="auto" w:fill="auto"/>
            <w:tcMar>
              <w:top w:w="0" w:type="dxa"/>
              <w:left w:w="105" w:type="dxa"/>
              <w:bottom w:w="0" w:type="dxa"/>
              <w:right w:w="105" w:type="dxa"/>
            </w:tcMar>
            <w:vAlign w:val="top"/>
          </w:tcPr>
          <w:p w14:paraId="1760F7E8">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服务内容</w:t>
            </w:r>
          </w:p>
        </w:tc>
        <w:tc>
          <w:tcPr>
            <w:tcW w:w="1437" w:type="dxa"/>
            <w:shd w:val="clear" w:color="auto" w:fill="auto"/>
            <w:tcMar>
              <w:top w:w="0" w:type="dxa"/>
              <w:left w:w="105" w:type="dxa"/>
              <w:bottom w:w="0" w:type="dxa"/>
              <w:right w:w="105" w:type="dxa"/>
            </w:tcMar>
            <w:vAlign w:val="top"/>
          </w:tcPr>
          <w:p w14:paraId="3AA75520">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服务期</w:t>
            </w:r>
          </w:p>
        </w:tc>
      </w:tr>
      <w:tr w14:paraId="08B81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9" w:type="dxa"/>
            <w:shd w:val="clear" w:color="auto" w:fill="auto"/>
            <w:tcMar>
              <w:top w:w="0" w:type="dxa"/>
              <w:left w:w="105" w:type="dxa"/>
              <w:bottom w:w="0" w:type="dxa"/>
              <w:right w:w="105" w:type="dxa"/>
            </w:tcMar>
            <w:vAlign w:val="center"/>
          </w:tcPr>
          <w:p w14:paraId="2DEF879E">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1</w:t>
            </w:r>
          </w:p>
        </w:tc>
        <w:tc>
          <w:tcPr>
            <w:tcW w:w="1532" w:type="dxa"/>
            <w:shd w:val="clear" w:color="auto" w:fill="auto"/>
            <w:tcMar>
              <w:top w:w="0" w:type="dxa"/>
              <w:left w:w="105" w:type="dxa"/>
              <w:bottom w:w="0" w:type="dxa"/>
              <w:right w:w="105" w:type="dxa"/>
            </w:tcMar>
            <w:vAlign w:val="center"/>
          </w:tcPr>
          <w:p w14:paraId="703FB7A2">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sz w:val="24"/>
                <w:szCs w:val="24"/>
              </w:rPr>
            </w:pPr>
            <w:r>
              <w:rPr>
                <w:rStyle w:val="21"/>
                <w:rFonts w:hint="eastAsia" w:ascii="仿宋" w:hAnsi="仿宋" w:eastAsia="仿宋" w:cs="仿宋"/>
                <w:b/>
                <w:bCs/>
                <w:sz w:val="24"/>
                <w:szCs w:val="24"/>
              </w:rPr>
              <w:t>基本服务</w:t>
            </w:r>
          </w:p>
        </w:tc>
        <w:tc>
          <w:tcPr>
            <w:tcW w:w="6110" w:type="dxa"/>
            <w:shd w:val="clear" w:color="auto" w:fill="auto"/>
            <w:tcMar>
              <w:top w:w="0" w:type="dxa"/>
              <w:left w:w="105" w:type="dxa"/>
              <w:bottom w:w="0" w:type="dxa"/>
              <w:right w:w="105" w:type="dxa"/>
            </w:tcMar>
            <w:vAlign w:val="top"/>
          </w:tcPr>
          <w:p w14:paraId="34C676FD">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基本服务至少满足以下内容：</w:t>
            </w:r>
          </w:p>
          <w:p w14:paraId="2481A439">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1、稳定性：</w:t>
            </w:r>
            <w:r>
              <w:rPr>
                <w:rFonts w:hint="eastAsia" w:ascii="仿宋" w:hAnsi="仿宋" w:eastAsia="仿宋" w:cs="仿宋"/>
                <w:sz w:val="24"/>
                <w:szCs w:val="24"/>
              </w:rPr>
              <w:t>服务期内需保障业务稳定，不无故出现崩溃或宕机现象；</w:t>
            </w:r>
          </w:p>
          <w:p w14:paraId="40AF081D">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2、安全性：</w:t>
            </w:r>
            <w:r>
              <w:rPr>
                <w:rFonts w:hint="eastAsia" w:ascii="仿宋" w:hAnsi="仿宋" w:eastAsia="仿宋" w:cs="仿宋"/>
                <w:sz w:val="24"/>
                <w:szCs w:val="24"/>
              </w:rPr>
              <w:t>具备完善的安全防护机制，做好数据备份，在合同签订后15个工作日内提交《安全事件应急响应手册》，重大安全事件（数据泄露、勒索病毒等）30 分钟内电话通报、2小时内到场、4小时内出具初步处置报告；</w:t>
            </w:r>
          </w:p>
          <w:p w14:paraId="45382C9C">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3、数据质量：</w:t>
            </w:r>
            <w:r>
              <w:rPr>
                <w:rFonts w:hint="eastAsia" w:ascii="仿宋" w:hAnsi="仿宋" w:eastAsia="仿宋" w:cs="仿宋"/>
                <w:sz w:val="24"/>
                <w:szCs w:val="24"/>
              </w:rPr>
              <w:t>供应商收到异议后</w:t>
            </w:r>
            <w:r>
              <w:rPr>
                <w:rFonts w:hint="eastAsia" w:ascii="仿宋" w:hAnsi="仿宋" w:eastAsia="仿宋" w:cs="仿宋"/>
                <w:b w:val="0"/>
                <w:bCs w:val="0"/>
                <w:sz w:val="24"/>
                <w:szCs w:val="24"/>
              </w:rPr>
              <w:t>，</w:t>
            </w:r>
            <w:r>
              <w:rPr>
                <w:rFonts w:hint="eastAsia" w:ascii="仿宋" w:hAnsi="仿宋" w:eastAsia="仿宋" w:cs="仿宋"/>
                <w:sz w:val="24"/>
                <w:szCs w:val="24"/>
                <w:lang w:eastAsia="zh-CN"/>
              </w:rPr>
              <w:t>成交</w:t>
            </w:r>
            <w:r>
              <w:rPr>
                <w:rFonts w:hint="eastAsia" w:ascii="仿宋" w:hAnsi="仿宋" w:eastAsia="仿宋" w:cs="仿宋"/>
                <w:sz w:val="24"/>
                <w:szCs w:val="24"/>
              </w:rPr>
              <w:t>供应商应在5个工作日内对数据质量问题进行原因查找和反馈，30个工作日内对数据质量问题进行数据清洗；</w:t>
            </w:r>
          </w:p>
          <w:p w14:paraId="2207AC16">
            <w:pPr>
              <w:pStyle w:val="14"/>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4、响应速度：</w:t>
            </w:r>
            <w:r>
              <w:rPr>
                <w:rFonts w:hint="eastAsia" w:ascii="仿宋" w:hAnsi="仿宋" w:eastAsia="仿宋" w:cs="仿宋"/>
                <w:sz w:val="24"/>
                <w:szCs w:val="24"/>
              </w:rPr>
              <w:t>服务期内，采购人通过电话、微信、现场提出的支持需求，供应商须在需求提出的当日完成响应；</w:t>
            </w:r>
          </w:p>
          <w:p w14:paraId="39CC816F">
            <w:pPr>
              <w:pStyle w:val="14"/>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color w:val="auto"/>
                <w:sz w:val="24"/>
                <w:szCs w:val="24"/>
              </w:rPr>
            </w:pPr>
            <w:r>
              <w:rPr>
                <w:rStyle w:val="21"/>
                <w:rFonts w:hint="eastAsia" w:ascii="仿宋" w:hAnsi="仿宋" w:eastAsia="仿宋" w:cs="仿宋"/>
                <w:b/>
                <w:bCs/>
                <w:color w:val="auto"/>
                <w:sz w:val="24"/>
                <w:szCs w:val="24"/>
                <w:shd w:val="clear"/>
              </w:rPr>
              <w:t>5、备件供应：</w:t>
            </w:r>
            <w:r>
              <w:rPr>
                <w:rFonts w:hint="eastAsia" w:ascii="仿宋" w:hAnsi="仿宋" w:eastAsia="仿宋" w:cs="仿宋"/>
                <w:color w:val="auto"/>
                <w:sz w:val="24"/>
                <w:szCs w:val="24"/>
                <w:shd w:val="clear"/>
              </w:rPr>
              <w:t>服务期内设备故障并经排查，明确2小时内无法恢复，应当在4小时内提供相同类型和性能的可用机器恢复业务工作，直至故障排除；</w:t>
            </w:r>
          </w:p>
          <w:p w14:paraId="7A0EB787">
            <w:pPr>
              <w:pStyle w:val="14"/>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6、定期巡检：</w:t>
            </w:r>
            <w:r>
              <w:rPr>
                <w:rFonts w:hint="eastAsia" w:ascii="仿宋" w:hAnsi="仿宋" w:eastAsia="仿宋" w:cs="仿宋"/>
                <w:sz w:val="24"/>
                <w:szCs w:val="24"/>
              </w:rPr>
              <w:t>服务期内每月提供至少1次软硬件服务期巡检报告；</w:t>
            </w:r>
          </w:p>
          <w:p w14:paraId="46985E7C">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7、培训服务：</w:t>
            </w:r>
            <w:r>
              <w:rPr>
                <w:rFonts w:hint="eastAsia" w:ascii="仿宋" w:hAnsi="仿宋" w:eastAsia="仿宋" w:cs="仿宋"/>
                <w:sz w:val="24"/>
                <w:szCs w:val="24"/>
              </w:rPr>
              <w:t>每年提供≥2次培训服务，并提交培训方案和签到表；</w:t>
            </w:r>
          </w:p>
          <w:p w14:paraId="3C2D51A6">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Style w:val="21"/>
                <w:rFonts w:hint="eastAsia" w:ascii="仿宋" w:hAnsi="仿宋" w:eastAsia="仿宋" w:cs="仿宋"/>
                <w:b/>
                <w:bCs/>
                <w:sz w:val="24"/>
                <w:szCs w:val="24"/>
              </w:rPr>
              <w:t>8、文档服务：</w:t>
            </w:r>
            <w:r>
              <w:rPr>
                <w:rFonts w:hint="eastAsia" w:ascii="仿宋" w:hAnsi="仿宋" w:eastAsia="仿宋" w:cs="仿宋"/>
                <w:sz w:val="24"/>
                <w:szCs w:val="24"/>
              </w:rPr>
              <w:t>上线运行之日提交本次采购内容的《四川省人民医院应用系统档案》。服务期满后需提交本次采购内容的运维记录签字扫描版本。</w:t>
            </w:r>
          </w:p>
          <w:p w14:paraId="56948495">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rPr>
              <w:t>9、</w:t>
            </w:r>
            <w:r>
              <w:rPr>
                <w:rStyle w:val="21"/>
                <w:rFonts w:hint="eastAsia" w:ascii="仿宋" w:hAnsi="仿宋" w:eastAsia="仿宋" w:cs="仿宋"/>
                <w:b/>
                <w:bCs/>
                <w:sz w:val="24"/>
                <w:szCs w:val="24"/>
              </w:rPr>
              <w:t>人员服务：</w:t>
            </w:r>
            <w:r>
              <w:rPr>
                <w:rFonts w:hint="eastAsia" w:ascii="仿宋" w:hAnsi="仿宋" w:eastAsia="仿宋" w:cs="仿宋"/>
                <w:sz w:val="24"/>
                <w:szCs w:val="24"/>
              </w:rPr>
              <w:t>从进场之日起，至三年服务期结束，供应商须提供驻场人员：自助机导医3名、运维工程师2名、开发工程师1名，费用包含在项目总价内；负责医院的患者引导、自助机耗材更换、过保设备维修和软件开发工作；工作时间如下：</w:t>
            </w:r>
          </w:p>
          <w:p w14:paraId="3CBEDEBF">
            <w:pPr>
              <w:pStyle w:val="14"/>
              <w:keepNext w:val="0"/>
              <w:keepLines w:val="0"/>
              <w:pageBreakBefore w:val="0"/>
              <w:widowControl/>
              <w:suppressLineNumbers w:val="0"/>
              <w:kinsoku/>
              <w:wordWrap/>
              <w:overflowPunct/>
              <w:topLinePunct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工作日：8:00-17:30，提供驻场引导，硬件维护和软件开发。</w:t>
            </w:r>
          </w:p>
          <w:p w14:paraId="531989D9">
            <w:pPr>
              <w:pStyle w:val="14"/>
              <w:keepNext w:val="0"/>
              <w:keepLines w:val="0"/>
              <w:pageBreakBefore w:val="0"/>
              <w:widowControl/>
              <w:suppressLineNumbers w:val="0"/>
              <w:kinsoku/>
              <w:wordWrap/>
              <w:overflowPunct/>
              <w:topLinePunct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夜班：17：30-次日8：00，至少一名驻场工程师驻场值班；软件开发工程师远程值班。</w:t>
            </w:r>
          </w:p>
          <w:p w14:paraId="3C6C4627">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周末和法定节假日：须安排导医和驻场工程师各两名值班、软件工程师远程值班。</w:t>
            </w:r>
          </w:p>
          <w:p w14:paraId="29AFF692">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b/>
                <w:bCs/>
                <w:sz w:val="24"/>
                <w:szCs w:val="24"/>
              </w:rPr>
              <w:t>10、</w:t>
            </w:r>
            <w:r>
              <w:rPr>
                <w:rStyle w:val="21"/>
                <w:rFonts w:hint="eastAsia" w:ascii="仿宋" w:hAnsi="仿宋" w:eastAsia="仿宋" w:cs="仿宋"/>
                <w:b/>
                <w:bCs/>
                <w:sz w:val="24"/>
                <w:szCs w:val="24"/>
              </w:rPr>
              <w:t>其他：</w:t>
            </w:r>
          </w:p>
          <w:p w14:paraId="6D13978A">
            <w:pPr>
              <w:pStyle w:val="14"/>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color w:val="auto"/>
                <w:sz w:val="24"/>
                <w:szCs w:val="24"/>
                <w:u w:val="none"/>
              </w:rPr>
            </w:pPr>
            <w:r>
              <w:rPr>
                <w:rFonts w:hint="eastAsia" w:ascii="仿宋" w:hAnsi="仿宋" w:eastAsia="仿宋" w:cs="仿宋"/>
                <w:sz w:val="24"/>
                <w:szCs w:val="24"/>
              </w:rPr>
              <w:t>1）从合同签订生</w:t>
            </w:r>
            <w:r>
              <w:rPr>
                <w:rFonts w:hint="eastAsia" w:ascii="仿宋" w:hAnsi="仿宋" w:eastAsia="仿宋" w:cs="仿宋"/>
                <w:sz w:val="24"/>
                <w:szCs w:val="24"/>
                <w:u w:val="none"/>
              </w:rPr>
              <w:t>效之日起，采购人</w:t>
            </w:r>
            <w:r>
              <w:rPr>
                <w:rStyle w:val="21"/>
                <w:rFonts w:hint="eastAsia" w:ascii="仿宋" w:hAnsi="仿宋" w:eastAsia="仿宋" w:cs="仿宋"/>
                <w:b/>
                <w:bCs/>
                <w:sz w:val="24"/>
                <w:szCs w:val="24"/>
                <w:u w:val="none"/>
              </w:rPr>
              <w:t>每月</w:t>
            </w:r>
            <w:r>
              <w:rPr>
                <w:rFonts w:hint="eastAsia" w:ascii="仿宋" w:hAnsi="仿宋" w:eastAsia="仿宋" w:cs="仿宋"/>
                <w:sz w:val="24"/>
                <w:szCs w:val="24"/>
                <w:u w:val="none"/>
              </w:rPr>
              <w:t>按照</w:t>
            </w:r>
            <w:r>
              <w:rPr>
                <w:rStyle w:val="21"/>
                <w:rFonts w:hint="eastAsia" w:ascii="仿宋" w:hAnsi="仿宋" w:eastAsia="仿宋" w:cs="仿宋"/>
                <w:b/>
                <w:bCs/>
                <w:sz w:val="24"/>
                <w:szCs w:val="24"/>
                <w:u w:val="none"/>
              </w:rPr>
              <w:t>四川省人民医院供应商考核</w:t>
            </w:r>
            <w:r>
              <w:rPr>
                <w:rFonts w:hint="eastAsia" w:ascii="仿宋" w:hAnsi="仿宋" w:eastAsia="仿宋" w:cs="仿宋"/>
                <w:sz w:val="24"/>
                <w:szCs w:val="24"/>
                <w:u w:val="none"/>
              </w:rPr>
              <w:t>指标对供应</w:t>
            </w:r>
            <w:r>
              <w:rPr>
                <w:rFonts w:hint="eastAsia" w:ascii="仿宋" w:hAnsi="仿宋" w:eastAsia="仿宋" w:cs="仿宋"/>
                <w:color w:val="auto"/>
                <w:sz w:val="24"/>
                <w:szCs w:val="24"/>
                <w:u w:val="none"/>
              </w:rPr>
              <w:t>商行为进行评价考核，考核结果关联最终付款金额和履约保证金</w:t>
            </w:r>
            <w:r>
              <w:rPr>
                <w:rFonts w:hint="eastAsia" w:ascii="仿宋" w:hAnsi="仿宋" w:eastAsia="仿宋" w:cs="仿宋"/>
                <w:color w:val="auto"/>
                <w:sz w:val="24"/>
                <w:szCs w:val="24"/>
                <w:u w:val="none"/>
                <w:shd w:val="clear"/>
              </w:rPr>
              <w:t>（如有履约保证金）</w:t>
            </w:r>
            <w:r>
              <w:rPr>
                <w:rFonts w:hint="eastAsia" w:ascii="仿宋" w:hAnsi="仿宋" w:eastAsia="仿宋" w:cs="仿宋"/>
                <w:color w:val="auto"/>
                <w:sz w:val="24"/>
                <w:szCs w:val="24"/>
                <w:u w:val="none"/>
              </w:rPr>
              <w:t>。</w:t>
            </w:r>
          </w:p>
          <w:p w14:paraId="58929353">
            <w:pPr>
              <w:pStyle w:val="14"/>
              <w:keepNext w:val="0"/>
              <w:keepLines w:val="0"/>
              <w:pageBreakBefore w:val="0"/>
              <w:widowControl/>
              <w:suppressLineNumbers w:val="0"/>
              <w:shd w:val="clear"/>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color w:val="auto"/>
                <w:sz w:val="24"/>
                <w:szCs w:val="24"/>
                <w:u w:val="none"/>
              </w:rPr>
              <w:t>2）</w:t>
            </w:r>
            <w:r>
              <w:rPr>
                <w:rFonts w:hint="eastAsia" w:ascii="仿宋" w:hAnsi="仿宋" w:eastAsia="仿宋" w:cs="仿宋"/>
                <w:color w:val="auto"/>
                <w:sz w:val="24"/>
                <w:szCs w:val="24"/>
                <w:u w:val="none"/>
                <w:lang w:eastAsia="zh-CN"/>
              </w:rPr>
              <w:t>成交</w:t>
            </w:r>
            <w:r>
              <w:rPr>
                <w:rFonts w:hint="eastAsia" w:ascii="仿宋" w:hAnsi="仿宋" w:eastAsia="仿宋" w:cs="仿宋"/>
                <w:color w:val="auto"/>
                <w:sz w:val="24"/>
                <w:szCs w:val="24"/>
                <w:u w:val="none"/>
              </w:rPr>
              <w:t>供应商应当与本项目相关的</w:t>
            </w:r>
            <w:r>
              <w:rPr>
                <w:rFonts w:hint="eastAsia" w:ascii="仿宋" w:hAnsi="仿宋" w:eastAsia="仿宋" w:cs="仿宋"/>
                <w:color w:val="auto"/>
                <w:sz w:val="24"/>
                <w:szCs w:val="24"/>
              </w:rPr>
              <w:t>第三方保持有痕的沟通，明确项目的具体要求和功能等方面的细节。采</w:t>
            </w:r>
            <w:r>
              <w:rPr>
                <w:rFonts w:hint="eastAsia" w:ascii="仿宋" w:hAnsi="仿宋" w:eastAsia="仿宋" w:cs="仿宋"/>
                <w:sz w:val="24"/>
                <w:szCs w:val="24"/>
              </w:rPr>
              <w:t>购人负责组织、监督和验收，以确保项目的顺利完成。</w:t>
            </w:r>
          </w:p>
          <w:p w14:paraId="4EF069CD">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sz w:val="24"/>
                <w:szCs w:val="24"/>
              </w:rPr>
            </w:pPr>
            <w:r>
              <w:rPr>
                <w:rFonts w:hint="eastAsia" w:ascii="仿宋" w:hAnsi="仿宋" w:eastAsia="仿宋" w:cs="仿宋"/>
                <w:sz w:val="24"/>
                <w:szCs w:val="24"/>
              </w:rPr>
              <w:t>3）如涉及因本项目开发的系统原因造成采购人的经济损失，由</w:t>
            </w:r>
            <w:r>
              <w:rPr>
                <w:rFonts w:hint="eastAsia" w:ascii="仿宋" w:hAnsi="仿宋" w:eastAsia="仿宋" w:cs="仿宋"/>
                <w:sz w:val="24"/>
                <w:szCs w:val="24"/>
                <w:lang w:eastAsia="zh-CN"/>
              </w:rPr>
              <w:t>成交</w:t>
            </w:r>
            <w:r>
              <w:rPr>
                <w:rFonts w:hint="eastAsia" w:ascii="仿宋" w:hAnsi="仿宋" w:eastAsia="仿宋" w:cs="仿宋"/>
                <w:sz w:val="24"/>
                <w:szCs w:val="24"/>
              </w:rPr>
              <w:t>供应商负责向采购人进行赔偿。</w:t>
            </w:r>
          </w:p>
        </w:tc>
        <w:tc>
          <w:tcPr>
            <w:tcW w:w="1437" w:type="dxa"/>
            <w:shd w:val="clear" w:color="auto" w:fill="auto"/>
            <w:tcMar>
              <w:top w:w="0" w:type="dxa"/>
              <w:left w:w="105" w:type="dxa"/>
              <w:bottom w:w="0" w:type="dxa"/>
              <w:right w:w="105" w:type="dxa"/>
            </w:tcMar>
            <w:vAlign w:val="center"/>
          </w:tcPr>
          <w:p w14:paraId="3103E6D8">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供应商完成本项目包含的所有软硬件功能的上线运行且验收合格之日起，提供不低于3年。</w:t>
            </w:r>
          </w:p>
        </w:tc>
      </w:tr>
      <w:tr w14:paraId="24DF5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69" w:type="dxa"/>
            <w:shd w:val="clear" w:color="auto" w:fill="auto"/>
            <w:tcMar>
              <w:top w:w="0" w:type="dxa"/>
              <w:left w:w="105" w:type="dxa"/>
              <w:bottom w:w="0" w:type="dxa"/>
              <w:right w:w="105" w:type="dxa"/>
            </w:tcMar>
            <w:vAlign w:val="center"/>
          </w:tcPr>
          <w:p w14:paraId="22131014">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color w:val="auto"/>
                <w:sz w:val="24"/>
                <w:szCs w:val="24"/>
              </w:rPr>
            </w:pPr>
            <w:r>
              <w:rPr>
                <w:rStyle w:val="21"/>
                <w:rFonts w:hint="eastAsia" w:ascii="仿宋" w:hAnsi="仿宋" w:eastAsia="仿宋" w:cs="仿宋"/>
                <w:b/>
                <w:bCs/>
                <w:color w:val="auto"/>
                <w:sz w:val="24"/>
                <w:szCs w:val="24"/>
              </w:rPr>
              <w:t>2</w:t>
            </w:r>
          </w:p>
        </w:tc>
        <w:tc>
          <w:tcPr>
            <w:tcW w:w="1532" w:type="dxa"/>
            <w:shd w:val="clear" w:color="auto" w:fill="auto"/>
            <w:tcMar>
              <w:top w:w="0" w:type="dxa"/>
              <w:left w:w="105" w:type="dxa"/>
              <w:bottom w:w="0" w:type="dxa"/>
              <w:right w:w="105" w:type="dxa"/>
            </w:tcMar>
            <w:vAlign w:val="center"/>
          </w:tcPr>
          <w:p w14:paraId="4BD8BBF7">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center"/>
              <w:textAlignment w:val="auto"/>
              <w:rPr>
                <w:rFonts w:hint="eastAsia" w:ascii="仿宋" w:hAnsi="仿宋" w:eastAsia="仿宋" w:cs="仿宋"/>
                <w:color w:val="auto"/>
                <w:sz w:val="24"/>
                <w:szCs w:val="24"/>
              </w:rPr>
            </w:pPr>
            <w:r>
              <w:rPr>
                <w:rStyle w:val="21"/>
                <w:rFonts w:hint="eastAsia" w:ascii="仿宋" w:hAnsi="仿宋" w:eastAsia="仿宋" w:cs="仿宋"/>
                <w:b/>
                <w:bCs/>
                <w:color w:val="auto"/>
                <w:sz w:val="24"/>
                <w:szCs w:val="24"/>
              </w:rPr>
              <w:t>质保服务</w:t>
            </w:r>
          </w:p>
        </w:tc>
        <w:tc>
          <w:tcPr>
            <w:tcW w:w="6110" w:type="dxa"/>
            <w:shd w:val="clear" w:color="auto" w:fill="auto"/>
            <w:tcMar>
              <w:top w:w="0" w:type="dxa"/>
              <w:left w:w="105" w:type="dxa"/>
              <w:bottom w:w="0" w:type="dxa"/>
              <w:right w:w="105" w:type="dxa"/>
            </w:tcMar>
            <w:vAlign w:val="center"/>
          </w:tcPr>
          <w:p w14:paraId="2A650CA8">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保证软硬件功能正常运行，提供7*24小时原厂质保服务。</w:t>
            </w:r>
          </w:p>
        </w:tc>
        <w:tc>
          <w:tcPr>
            <w:tcW w:w="1437" w:type="dxa"/>
            <w:shd w:val="clear" w:color="auto" w:fill="auto"/>
            <w:tcMar>
              <w:top w:w="0" w:type="dxa"/>
              <w:left w:w="105" w:type="dxa"/>
              <w:bottom w:w="0" w:type="dxa"/>
              <w:right w:w="105" w:type="dxa"/>
            </w:tcMar>
            <w:vAlign w:val="top"/>
          </w:tcPr>
          <w:p w14:paraId="6CB6583A">
            <w:pPr>
              <w:pStyle w:val="14"/>
              <w:keepNext w:val="0"/>
              <w:keepLines w:val="0"/>
              <w:pageBreakBefore w:val="0"/>
              <w:widowControl/>
              <w:suppressLineNumbers w:val="0"/>
              <w:kinsoku/>
              <w:wordWrap/>
              <w:overflowPunct/>
              <w:topLinePunct w:val="0"/>
              <w:autoSpaceDE w:val="0"/>
              <w:autoSpaceDN/>
              <w:bidi w:val="0"/>
              <w:adjustRightInd w:val="0"/>
              <w:snapToGrid w:val="0"/>
              <w:spacing w:before="0" w:beforeAutospacing="0" w:afterAutospacing="0" w:line="240" w:lineRule="auto"/>
              <w:ind w:left="0" w:firstLine="0"/>
              <w:textAlignment w:val="auto"/>
              <w:rPr>
                <w:rFonts w:hint="eastAsia" w:ascii="仿宋" w:hAnsi="仿宋" w:eastAsia="仿宋" w:cs="仿宋"/>
                <w:color w:val="auto"/>
                <w:sz w:val="24"/>
                <w:szCs w:val="24"/>
              </w:rPr>
            </w:pPr>
            <w:r>
              <w:rPr>
                <w:rFonts w:hint="default" w:ascii="仿宋" w:hAnsi="仿宋" w:eastAsia="仿宋" w:cs="仿宋"/>
                <w:sz w:val="24"/>
                <w:szCs w:val="24"/>
                <w:lang w:val="en-US" w:eastAsia="zh-CN"/>
              </w:rPr>
              <w:t>供应商完成本项目包含的所有软硬件功能的上线运行</w:t>
            </w:r>
            <w:r>
              <w:rPr>
                <w:rFonts w:hint="eastAsia" w:ascii="仿宋" w:hAnsi="仿宋" w:eastAsia="仿宋" w:cs="仿宋"/>
                <w:sz w:val="24"/>
                <w:szCs w:val="24"/>
                <w:lang w:val="en-US" w:eastAsia="zh-CN"/>
              </w:rPr>
              <w:t>且验收合格之日起，提供不低于3年。</w:t>
            </w:r>
          </w:p>
        </w:tc>
      </w:tr>
    </w:tbl>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rFonts w:hint="eastAsia" w:ascii="仿宋" w:hAnsi="仿宋" w:eastAsia="仿宋" w:cs="仿宋"/>
          <w:b/>
          <w:bCs/>
          <w:sz w:val="24"/>
          <w:szCs w:val="24"/>
        </w:rPr>
      </w:pPr>
      <w:r>
        <w:rPr>
          <w:rFonts w:hint="eastAsia" w:ascii="仿宋" w:hAnsi="仿宋" w:eastAsia="仿宋" w:cs="仿宋"/>
          <w:kern w:val="2"/>
          <w:sz w:val="24"/>
          <w:szCs w:val="24"/>
        </w:rPr>
        <w:t>★</w:t>
      </w:r>
      <w:r>
        <w:rPr>
          <w:rFonts w:hint="eastAsia" w:ascii="仿宋" w:hAnsi="仿宋" w:eastAsia="仿宋" w:cs="仿宋"/>
          <w:b/>
          <w:bCs/>
          <w:kern w:val="2"/>
          <w:sz w:val="24"/>
          <w:szCs w:val="24"/>
          <w:lang w:val="en-US" w:eastAsia="zh-CN" w:bidi="ar-SA"/>
        </w:rPr>
        <w:t>四、</w:t>
      </w:r>
      <w:r>
        <w:rPr>
          <w:rFonts w:hint="eastAsia" w:ascii="仿宋" w:hAnsi="仿宋" w:eastAsia="仿宋" w:cs="仿宋"/>
          <w:b/>
          <w:bCs/>
          <w:sz w:val="24"/>
          <w:szCs w:val="24"/>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1.实施时间：本项目合同签订生效后，供应商应在5个工作日内开始实施。</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实施周期：本项目开始实施之日起30日内，完成本项目包含的所有软硬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1C6C61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lang w:val="en-US" w:eastAsia="zh-CN"/>
        </w:rPr>
        <w:t>3</w:t>
      </w:r>
      <w:r>
        <w:rPr>
          <w:rFonts w:hint="eastAsia" w:ascii="仿宋" w:hAnsi="仿宋" w:eastAsia="仿宋" w:cs="仿宋"/>
          <w:sz w:val="24"/>
          <w:szCs w:val="24"/>
          <w:highlight w:val="none"/>
          <w:lang w:val="en-US" w:eastAsia="zh-CN"/>
        </w:rPr>
        <w:t>.交付</w:t>
      </w:r>
      <w:r>
        <w:rPr>
          <w:rFonts w:hint="eastAsia" w:ascii="仿宋" w:hAnsi="仿宋" w:eastAsia="仿宋" w:cs="仿宋"/>
          <w:sz w:val="24"/>
          <w:szCs w:val="24"/>
          <w:highlight w:val="none"/>
        </w:rPr>
        <w:t>地点：</w:t>
      </w:r>
      <w:r>
        <w:rPr>
          <w:rFonts w:hint="eastAsia" w:ascii="仿宋" w:hAnsi="仿宋" w:eastAsia="仿宋" w:cs="仿宋"/>
          <w:sz w:val="24"/>
          <w:szCs w:val="24"/>
          <w:highlight w:val="none"/>
          <w:lang w:val="en-US" w:eastAsia="zh-CN"/>
        </w:rPr>
        <w:t>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rPr>
        <w:t>付款</w:t>
      </w:r>
      <w:r>
        <w:rPr>
          <w:rFonts w:hint="eastAsia" w:ascii="仿宋" w:hAnsi="仿宋" w:eastAsia="仿宋" w:cs="仿宋"/>
          <w:sz w:val="24"/>
          <w:szCs w:val="24"/>
          <w:lang w:val="en-US" w:eastAsia="zh-CN"/>
        </w:rPr>
        <w:t>条件</w:t>
      </w:r>
    </w:p>
    <w:p w14:paraId="54A2462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bookmarkStart w:id="15" w:name="_Toc18622"/>
      <w:bookmarkEnd w:id="15"/>
      <w:bookmarkStart w:id="16" w:name="_Toc153964904"/>
      <w:bookmarkEnd w:id="16"/>
      <w:r>
        <w:rPr>
          <w:rFonts w:hint="eastAsia" w:ascii="仿宋" w:hAnsi="仿宋" w:eastAsia="仿宋" w:cs="仿宋"/>
          <w:sz w:val="24"/>
          <w:szCs w:val="24"/>
          <w:lang w:val="en-US" w:eastAsia="zh-CN"/>
        </w:rPr>
        <w:t>第一次付款：合同签订生效供应商完成本项目包含的所有软硬件功能的上线运行且验收合格，供应商于5日内向采购人提供合法有效票据及其他相关请款资料，采购人于接到上述票据及资料后的90日内，向供应商支付合同总价中“自助机”部分合同款。第二次付款：第一年服务结束且考核合格后，供应商于5日内向采购人提供合法有效票据及其他相关请款资料，采购人于接到上述票据及资料后的90日内，向供应商支付合同总价中“配套服务”部分60%的金额（如有因考核等原因产生的扣款，应在支付前予以扣除）。第三次付款：第二年服务结束且考核合格后，供应商于5日内向采购人提供合法有效票据及其他相关请款资料，采购人于接到上述票据及资料后的90日内，向供应商支付合同总价中“配套服务”部分20%的金额（如有因考核等原因产生的扣款，应在支付前予以扣除）。第四次付款：服务期满且项目验收通过后，供应商于5日内向采购人提供合法有效票据及其他相关请款资料，采购人于接到上述票据及资料后的90日内，向供应商支付合同总价中“配套服务”部分20%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（3）验收程序：分期/分段验收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（5）履约验收内容：按照基于本项目采购需求编制的采购文件要求及供应商响应文件情况，由供应商向采购人交付的每阶段全部内容。</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（6）履约验收时间：供应商完成本项目包含的所有软硬件功能的上线运行以及服务期每满一年后，5日内通知采购人验收，采购人接供应商通知后10日内组织验收。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3）产品生产厂家出具的产品说明书、技术白皮书等官方技术资料（如涉及）。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5）按照《财政部关于进一步加强政府采购需求和履约验收管理的指导意见》（财库〔2016〕205号）的要求进行验收。（如本项目不涉及政府采购，将参照此条款）</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6）其它标准：如本项目验收方式为考核验收，则考核结果须为合格。</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057F0D4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6.其它要求</w:t>
      </w:r>
    </w:p>
    <w:p w14:paraId="6C7F35F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由采购人、供应商双方共同开发的项目：采购人、供应商双方共同研发的该系统软件产品，知识产权归采购人、供应商双方共同拥有，软件所有数据归采购人所有。</w:t>
      </w:r>
    </w:p>
    <w:p w14:paraId="5B5A77DE">
      <w:pPr>
        <w:keepNext w:val="0"/>
        <w:keepLines w:val="0"/>
        <w:pageBreakBefore w:val="0"/>
        <w:widowControl w:val="0"/>
        <w:kinsoku/>
        <w:wordWrap/>
        <w:overflowPunct/>
        <w:topLinePunct w:val="0"/>
        <w:autoSpaceDE/>
        <w:autoSpaceDN/>
        <w:bidi w:val="0"/>
        <w:adjustRightInd w:val="0"/>
        <w:snapToGrid w:val="0"/>
        <w:spacing w:line="288" w:lineRule="auto"/>
        <w:ind w:left="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五、履约要求</w:t>
      </w:r>
    </w:p>
    <w:p w14:paraId="677D67D7">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服务方案</w:t>
      </w:r>
    </w:p>
    <w:p w14:paraId="31FC2A7F">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（1）供应商提供针对本项目的实施方案：</w:t>
      </w:r>
    </w:p>
    <w:p w14:paraId="6C37DBA1">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至少包括①实施进度计划及安排（至少包括：硬件及软件交付进度）、②系统开发和对接方案、③风险控制方案（至少包含质量保障，风险控制措施，系统安全）。</w:t>
      </w:r>
    </w:p>
    <w:p w14:paraId="5F30C6D8">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rPr>
      </w:pPr>
      <w:r>
        <w:rPr>
          <w:rFonts w:hint="eastAsia" w:ascii="仿宋" w:hAnsi="仿宋" w:eastAsia="仿宋" w:cs="仿宋"/>
          <w:sz w:val="24"/>
          <w:szCs w:val="24"/>
          <w:lang w:val="en-US" w:eastAsia="zh-CN"/>
        </w:rPr>
        <w:t>（2）</w:t>
      </w:r>
      <w:r>
        <w:rPr>
          <w:rFonts w:hint="eastAsia" w:ascii="仿宋" w:hAnsi="仿宋" w:eastAsia="仿宋" w:cs="仿宋"/>
          <w:sz w:val="24"/>
          <w:szCs w:val="24"/>
          <w:lang w:val="en-US"/>
        </w:rPr>
        <w:t>供应商提供针对本项目的售后方案</w:t>
      </w:r>
    </w:p>
    <w:p w14:paraId="4021A32C">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至少包括①售后服务驻场人员配置、②故障响应措施（至少包括：远程或现场的维修方案、巡检方案）、③维护维修服务保障（软件、硬件、备件）和培训方案。</w:t>
      </w:r>
    </w:p>
    <w:p w14:paraId="3CF88E21">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2.</w:t>
      </w:r>
      <w:r>
        <w:rPr>
          <w:rFonts w:hint="eastAsia" w:ascii="仿宋" w:hAnsi="仿宋" w:eastAsia="仿宋" w:cs="仿宋"/>
          <w:sz w:val="24"/>
          <w:szCs w:val="24"/>
          <w:lang w:val="en-US" w:eastAsia="zh-CN"/>
        </w:rPr>
        <w:t>公司实力</w:t>
      </w:r>
    </w:p>
    <w:p w14:paraId="24B24929">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（1）供应商响应的自助机生产厂家具有能力成熟度模型集成CMMI等级证书三级或以上。</w:t>
      </w:r>
    </w:p>
    <w:p w14:paraId="56DCE997">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证明材料：提供有效期内的认证证书复印件和在https://www.cmmizw.com/网站查询有效的截图（显示网站信息且截图状态的为有效）并加盖供应商公章。</w:t>
      </w:r>
    </w:p>
    <w:p w14:paraId="093E4257">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（2）供应商响应的自助机产品生产厂家具有信息系统建设和服务能力等级证书二级或以上。</w:t>
      </w:r>
    </w:p>
    <w:p w14:paraId="5E2337D7">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证明材料：提供有效期内的认证证书复印件和在www.cs-cas.cn 网站查询有效的截图（显示网站信息且截图状态的为有效）并加盖供应商公章。</w:t>
      </w:r>
    </w:p>
    <w:p w14:paraId="7DFA77BC">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3.项目保障</w:t>
      </w:r>
    </w:p>
    <w:p w14:paraId="2E68CF9B">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提供在全国范国内与医院现有系统完成对接的(东软集团的HIS、LIS系统、试金石软件的心超系统、欧利德电子的鉴到系统、纳龙健康的心电系统）测试结果为通过的融合性测试证明文件（须相关系统公司盖章有效）。</w:t>
      </w:r>
    </w:p>
    <w:p w14:paraId="5354494D">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注：提供融合性证明文件复印件并加盖供应商公章。</w:t>
      </w:r>
    </w:p>
    <w:p w14:paraId="7FCEB630">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4.业绩</w:t>
      </w:r>
    </w:p>
    <w:p w14:paraId="3982807A">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提供供应商或自助设备厂家从2023年1月1日（以合同签订时间为准）至今独立完成医疗行业自助机相关项目。供应商需提供项目合同关键页（含合同首页、自助机相关项目内容、盖章页、签订日期、项目金额页等）和业主盖章的验收证明扫描件。</w:t>
      </w:r>
    </w:p>
    <w:p w14:paraId="58CB4A2D">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说明:医疗行业自助机相关项目指医疗行业中，使用自助设备完成医疗相关业务活动。</w:t>
      </w:r>
    </w:p>
    <w:p w14:paraId="348EB84C">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r>
        <w:rPr>
          <w:rFonts w:hint="default" w:ascii="仿宋" w:hAnsi="仿宋" w:eastAsia="仿宋" w:cs="仿宋"/>
          <w:sz w:val="24"/>
          <w:szCs w:val="24"/>
          <w:lang w:val="en-US" w:eastAsia="zh-CN"/>
        </w:rPr>
        <w:t>.</w:t>
      </w:r>
      <w:r>
        <w:rPr>
          <w:rFonts w:hint="eastAsia" w:ascii="仿宋" w:hAnsi="仿宋" w:eastAsia="仿宋" w:cs="仿宋"/>
          <w:sz w:val="24"/>
          <w:szCs w:val="24"/>
          <w:lang w:val="en-US" w:eastAsia="zh-CN"/>
        </w:rPr>
        <w:t>演示要求</w:t>
      </w:r>
    </w:p>
    <w:p w14:paraId="1471C4D1">
      <w:pPr>
        <w:keepNext w:val="0"/>
        <w:keepLines w:val="0"/>
        <w:pageBreakBefore w:val="0"/>
        <w:widowControl w:val="0"/>
        <w:kinsoku/>
        <w:wordWrap/>
        <w:overflowPunct/>
        <w:topLinePunct w:val="0"/>
        <w:autoSpaceDE/>
        <w:autoSpaceDN/>
        <w:bidi w:val="0"/>
        <w:spacing w:line="288" w:lineRule="auto"/>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供应商需针对参数中带“●”的参数进行产品功能的现场程序逐一演示(不接受PPT、DEMO、录制的视频演示，演示环境由供应商自行搭建，需自备自助机提供在真实医院环境下的程序演示：演示时间不超过20分钟)，以证明供应商有实现此项功能的开发能力</w:t>
      </w:r>
      <w:r>
        <w:rPr>
          <w:rFonts w:hint="eastAsia" w:ascii="仿宋" w:hAnsi="仿宋" w:eastAsia="仿宋" w:cs="仿宋"/>
          <w:sz w:val="24"/>
          <w:szCs w:val="24"/>
          <w:lang w:val="en-US" w:eastAsia="zh-CN"/>
        </w:rPr>
        <w:t>。</w:t>
      </w:r>
    </w:p>
    <w:p w14:paraId="70AA7F73">
      <w:pPr>
        <w:pStyle w:val="7"/>
        <w:widowControl w:val="0"/>
        <w:numPr>
          <w:ilvl w:val="0"/>
          <w:numId w:val="0"/>
        </w:numPr>
        <w:spacing w:after="120"/>
        <w:jc w:val="both"/>
        <w:rPr>
          <w:rFonts w:hint="default"/>
          <w:lang w:val="en-US" w:eastAsia="zh-CN"/>
        </w:rPr>
      </w:pPr>
    </w:p>
    <w:p w14:paraId="3FDACE5C">
      <w:pPr>
        <w:keepNext w:val="0"/>
        <w:keepLines w:val="0"/>
        <w:pageBreakBefore w:val="0"/>
        <w:widowControl w:val="0"/>
        <w:kinsoku/>
        <w:wordWrap/>
        <w:overflowPunct/>
        <w:topLinePunct w:val="0"/>
        <w:autoSpaceDE/>
        <w:autoSpaceDN/>
        <w:bidi w:val="0"/>
        <w:spacing w:line="288" w:lineRule="auto"/>
        <w:textAlignment w:val="auto"/>
        <w:rPr>
          <w:rFonts w:hint="eastAsia" w:ascii="仿宋" w:hAnsi="仿宋" w:eastAsia="仿宋" w:cs="仿宋"/>
          <w:sz w:val="24"/>
          <w:szCs w:val="24"/>
        </w:rPr>
      </w:pPr>
      <w:r>
        <w:rPr>
          <w:rFonts w:hint="eastAsia" w:ascii="仿宋" w:hAnsi="仿宋" w:eastAsia="仿宋" w:cs="仿宋"/>
          <w:sz w:val="24"/>
          <w:szCs w:val="24"/>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rPr>
      </w:pPr>
      <w:r>
        <w:rPr>
          <w:rFonts w:hint="eastAsia" w:ascii="仿宋" w:hAnsi="仿宋" w:eastAsia="仿宋" w:cs="仿宋"/>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3"/>
        <w:gridCol w:w="1558"/>
        <w:gridCol w:w="1731"/>
        <w:gridCol w:w="1367"/>
        <w:gridCol w:w="3150"/>
        <w:gridCol w:w="779"/>
      </w:tblGrid>
      <w:tr w14:paraId="6898B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56BE336B">
            <w:pPr>
              <w:pStyle w:val="14"/>
              <w:keepNext w:val="0"/>
              <w:keepLines w:val="0"/>
              <w:widowControl/>
              <w:suppressLineNumbers w:val="0"/>
              <w:jc w:val="center"/>
              <w:rPr>
                <w:rFonts w:hint="eastAsia" w:ascii="仿宋" w:hAnsi="仿宋" w:eastAsia="仿宋" w:cs="仿宋"/>
                <w:sz w:val="24"/>
                <w:szCs w:val="24"/>
              </w:rPr>
            </w:pPr>
            <w:r>
              <w:rPr>
                <w:rStyle w:val="21"/>
                <w:rFonts w:hint="eastAsia" w:ascii="仿宋" w:hAnsi="仿宋" w:eastAsia="仿宋" w:cs="仿宋"/>
                <w:sz w:val="32"/>
                <w:szCs w:val="32"/>
              </w:rPr>
              <w:t>四川省人民医院供应商考核</w:t>
            </w:r>
          </w:p>
        </w:tc>
      </w:tr>
      <w:tr w14:paraId="244D9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4F1C791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供应商</w:t>
            </w:r>
          </w:p>
        </w:tc>
        <w:tc>
          <w:tcPr>
            <w:tcW w:w="2850" w:type="dxa"/>
            <w:gridSpan w:val="2"/>
            <w:shd w:val="clear" w:color="auto" w:fill="auto"/>
            <w:tcMar>
              <w:top w:w="0" w:type="dxa"/>
              <w:left w:w="105" w:type="dxa"/>
              <w:bottom w:w="0" w:type="dxa"/>
              <w:right w:w="105" w:type="dxa"/>
            </w:tcMar>
            <w:vAlign w:val="center"/>
          </w:tcPr>
          <w:p w14:paraId="67F1884B">
            <w:pPr>
              <w:keepNext w:val="0"/>
              <w:keepLines w:val="0"/>
              <w:widowControl/>
              <w:suppressLineNumbers w:val="0"/>
              <w:jc w:val="left"/>
              <w:rPr>
                <w:rFonts w:hint="eastAsia" w:ascii="仿宋" w:hAnsi="仿宋" w:eastAsia="仿宋" w:cs="仿宋"/>
                <w:sz w:val="24"/>
                <w:szCs w:val="24"/>
              </w:rPr>
            </w:pPr>
          </w:p>
        </w:tc>
        <w:tc>
          <w:tcPr>
            <w:tcW w:w="1185" w:type="dxa"/>
            <w:shd w:val="clear" w:color="auto" w:fill="auto"/>
            <w:tcMar>
              <w:top w:w="0" w:type="dxa"/>
              <w:left w:w="105" w:type="dxa"/>
              <w:bottom w:w="0" w:type="dxa"/>
              <w:right w:w="105" w:type="dxa"/>
            </w:tcMar>
            <w:vAlign w:val="center"/>
          </w:tcPr>
          <w:p w14:paraId="1144F7DB">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合同名</w:t>
            </w:r>
          </w:p>
        </w:tc>
        <w:tc>
          <w:tcPr>
            <w:tcW w:w="3390" w:type="dxa"/>
            <w:gridSpan w:val="2"/>
            <w:shd w:val="clear" w:color="auto" w:fill="auto"/>
            <w:tcMar>
              <w:top w:w="0" w:type="dxa"/>
              <w:left w:w="105" w:type="dxa"/>
              <w:bottom w:w="0" w:type="dxa"/>
              <w:right w:w="105" w:type="dxa"/>
            </w:tcMar>
            <w:vAlign w:val="top"/>
          </w:tcPr>
          <w:p w14:paraId="7544DA6F">
            <w:pPr>
              <w:keepNext w:val="0"/>
              <w:keepLines w:val="0"/>
              <w:widowControl/>
              <w:suppressLineNumbers w:val="0"/>
              <w:jc w:val="left"/>
              <w:rPr>
                <w:rFonts w:hint="eastAsia" w:ascii="仿宋" w:hAnsi="仿宋" w:eastAsia="仿宋" w:cs="仿宋"/>
                <w:sz w:val="24"/>
                <w:szCs w:val="24"/>
              </w:rPr>
            </w:pPr>
          </w:p>
        </w:tc>
      </w:tr>
      <w:tr w14:paraId="24533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5377AF24">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指标类别</w:t>
            </w:r>
          </w:p>
        </w:tc>
        <w:tc>
          <w:tcPr>
            <w:tcW w:w="1350" w:type="dxa"/>
            <w:shd w:val="clear" w:color="auto" w:fill="auto"/>
            <w:tcMar>
              <w:top w:w="0" w:type="dxa"/>
              <w:left w:w="105" w:type="dxa"/>
              <w:bottom w:w="0" w:type="dxa"/>
              <w:right w:w="105" w:type="dxa"/>
            </w:tcMar>
            <w:vAlign w:val="center"/>
          </w:tcPr>
          <w:p w14:paraId="21225226">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指标</w:t>
            </w:r>
          </w:p>
        </w:tc>
        <w:tc>
          <w:tcPr>
            <w:tcW w:w="5415" w:type="dxa"/>
            <w:gridSpan w:val="3"/>
            <w:shd w:val="clear" w:color="auto" w:fill="auto"/>
            <w:tcMar>
              <w:top w:w="0" w:type="dxa"/>
              <w:left w:w="105" w:type="dxa"/>
              <w:bottom w:w="0" w:type="dxa"/>
              <w:right w:w="105" w:type="dxa"/>
            </w:tcMar>
            <w:vAlign w:val="center"/>
          </w:tcPr>
          <w:p w14:paraId="6D3ECEC0">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考核内容</w:t>
            </w:r>
          </w:p>
        </w:tc>
        <w:tc>
          <w:tcPr>
            <w:tcW w:w="675" w:type="dxa"/>
            <w:shd w:val="clear" w:color="auto" w:fill="auto"/>
            <w:tcMar>
              <w:top w:w="0" w:type="dxa"/>
              <w:left w:w="105" w:type="dxa"/>
              <w:bottom w:w="0" w:type="dxa"/>
              <w:right w:w="105" w:type="dxa"/>
            </w:tcMar>
            <w:vAlign w:val="center"/>
          </w:tcPr>
          <w:p w14:paraId="7E9AAD48">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sz w:val="24"/>
                <w:szCs w:val="24"/>
              </w:rPr>
              <w:t>扣分</w:t>
            </w:r>
          </w:p>
        </w:tc>
      </w:tr>
      <w:tr w14:paraId="6E698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06A11199">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性能质</w:t>
            </w:r>
          </w:p>
          <w:p w14:paraId="5200C0F6">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量评价</w:t>
            </w:r>
          </w:p>
          <w:p w14:paraId="520F800F">
            <w:pPr>
              <w:pStyle w:val="14"/>
              <w:keepNext w:val="0"/>
              <w:keepLines w:val="0"/>
              <w:widowControl/>
              <w:suppressLineNumbers w:val="0"/>
              <w:spacing w:after="195" w:afterAutospacing="0" w:line="360" w:lineRule="auto"/>
              <w:jc w:val="center"/>
              <w:rPr>
                <w:rFonts w:hint="eastAsia" w:ascii="仿宋" w:hAnsi="仿宋" w:eastAsia="仿宋" w:cs="仿宋"/>
                <w:sz w:val="24"/>
                <w:szCs w:val="24"/>
                <w:lang w:eastAsia="zh-CN"/>
              </w:rPr>
            </w:pPr>
          </w:p>
        </w:tc>
        <w:tc>
          <w:tcPr>
            <w:tcW w:w="1350" w:type="dxa"/>
            <w:shd w:val="clear" w:color="auto" w:fill="auto"/>
            <w:tcMar>
              <w:top w:w="0" w:type="dxa"/>
              <w:left w:w="105" w:type="dxa"/>
              <w:bottom w:w="0" w:type="dxa"/>
              <w:right w:w="105" w:type="dxa"/>
            </w:tcMar>
            <w:vAlign w:val="center"/>
          </w:tcPr>
          <w:p w14:paraId="06F0524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稳定性</w:t>
            </w:r>
          </w:p>
        </w:tc>
        <w:tc>
          <w:tcPr>
            <w:tcW w:w="5415" w:type="dxa"/>
            <w:gridSpan w:val="3"/>
            <w:shd w:val="clear" w:color="auto" w:fill="auto"/>
            <w:tcMar>
              <w:top w:w="0" w:type="dxa"/>
              <w:left w:w="105" w:type="dxa"/>
              <w:bottom w:w="0" w:type="dxa"/>
              <w:right w:w="105" w:type="dxa"/>
            </w:tcMar>
            <w:vAlign w:val="center"/>
          </w:tcPr>
          <w:p w14:paraId="1FCED5FC">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227DF439">
            <w:pPr>
              <w:keepNext w:val="0"/>
              <w:keepLines w:val="0"/>
              <w:widowControl/>
              <w:suppressLineNumbers w:val="0"/>
              <w:jc w:val="left"/>
              <w:rPr>
                <w:rFonts w:hint="eastAsia" w:ascii="仿宋" w:hAnsi="仿宋" w:eastAsia="仿宋" w:cs="仿宋"/>
                <w:sz w:val="24"/>
                <w:szCs w:val="24"/>
              </w:rPr>
            </w:pPr>
          </w:p>
        </w:tc>
      </w:tr>
      <w:tr w14:paraId="56A47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AA8860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DA3312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安全性</w:t>
            </w:r>
          </w:p>
        </w:tc>
        <w:tc>
          <w:tcPr>
            <w:tcW w:w="5415" w:type="dxa"/>
            <w:gridSpan w:val="3"/>
            <w:shd w:val="clear" w:color="auto" w:fill="auto"/>
            <w:tcMar>
              <w:top w:w="0" w:type="dxa"/>
              <w:left w:w="105" w:type="dxa"/>
              <w:bottom w:w="0" w:type="dxa"/>
              <w:right w:w="105" w:type="dxa"/>
            </w:tcMar>
            <w:vAlign w:val="center"/>
          </w:tcPr>
          <w:p w14:paraId="59A6F00B">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08D7038D">
            <w:pPr>
              <w:keepNext w:val="0"/>
              <w:keepLines w:val="0"/>
              <w:widowControl/>
              <w:suppressLineNumbers w:val="0"/>
              <w:jc w:val="left"/>
              <w:rPr>
                <w:rFonts w:hint="eastAsia" w:ascii="仿宋" w:hAnsi="仿宋" w:eastAsia="仿宋" w:cs="仿宋"/>
                <w:sz w:val="24"/>
                <w:szCs w:val="24"/>
              </w:rPr>
            </w:pPr>
          </w:p>
        </w:tc>
      </w:tr>
      <w:tr w14:paraId="79F38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1EF7944">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40BFF49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用户满意度</w:t>
            </w:r>
          </w:p>
        </w:tc>
        <w:tc>
          <w:tcPr>
            <w:tcW w:w="5415" w:type="dxa"/>
            <w:gridSpan w:val="3"/>
            <w:shd w:val="clear" w:color="auto" w:fill="auto"/>
            <w:tcMar>
              <w:top w:w="0" w:type="dxa"/>
              <w:left w:w="105" w:type="dxa"/>
              <w:bottom w:w="0" w:type="dxa"/>
              <w:right w:w="105" w:type="dxa"/>
            </w:tcMar>
            <w:vAlign w:val="center"/>
          </w:tcPr>
          <w:p w14:paraId="2D8FFCBC">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16F67B58">
            <w:pPr>
              <w:keepNext w:val="0"/>
              <w:keepLines w:val="0"/>
              <w:widowControl/>
              <w:suppressLineNumbers w:val="0"/>
              <w:jc w:val="left"/>
              <w:rPr>
                <w:rFonts w:hint="eastAsia" w:ascii="仿宋" w:hAnsi="仿宋" w:eastAsia="仿宋" w:cs="仿宋"/>
                <w:sz w:val="24"/>
                <w:szCs w:val="24"/>
              </w:rPr>
            </w:pPr>
          </w:p>
        </w:tc>
      </w:tr>
      <w:tr w14:paraId="6B02A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14FA487C">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使用支</w:t>
            </w:r>
          </w:p>
          <w:p w14:paraId="5B7725AD">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持评价</w:t>
            </w:r>
          </w:p>
        </w:tc>
        <w:tc>
          <w:tcPr>
            <w:tcW w:w="1350" w:type="dxa"/>
            <w:shd w:val="clear" w:color="auto" w:fill="auto"/>
            <w:tcMar>
              <w:top w:w="0" w:type="dxa"/>
              <w:left w:w="105" w:type="dxa"/>
              <w:bottom w:w="0" w:type="dxa"/>
              <w:right w:w="105" w:type="dxa"/>
            </w:tcMar>
            <w:vAlign w:val="center"/>
          </w:tcPr>
          <w:p w14:paraId="34F453E4">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考勤</w:t>
            </w:r>
          </w:p>
        </w:tc>
        <w:tc>
          <w:tcPr>
            <w:tcW w:w="5415" w:type="dxa"/>
            <w:gridSpan w:val="3"/>
            <w:shd w:val="clear" w:color="auto" w:fill="auto"/>
            <w:tcMar>
              <w:top w:w="0" w:type="dxa"/>
              <w:left w:w="105" w:type="dxa"/>
              <w:bottom w:w="0" w:type="dxa"/>
              <w:right w:w="105" w:type="dxa"/>
            </w:tcMar>
            <w:vAlign w:val="center"/>
          </w:tcPr>
          <w:p w14:paraId="391AEDB4">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46A61A32">
            <w:pPr>
              <w:keepNext w:val="0"/>
              <w:keepLines w:val="0"/>
              <w:widowControl/>
              <w:suppressLineNumbers w:val="0"/>
              <w:jc w:val="left"/>
              <w:rPr>
                <w:rFonts w:hint="eastAsia" w:ascii="仿宋" w:hAnsi="仿宋" w:eastAsia="仿宋" w:cs="仿宋"/>
                <w:sz w:val="24"/>
                <w:szCs w:val="24"/>
              </w:rPr>
            </w:pPr>
          </w:p>
        </w:tc>
      </w:tr>
      <w:tr w14:paraId="55EE9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D6BD115">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1CC11D8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响应速度</w:t>
            </w:r>
          </w:p>
        </w:tc>
        <w:tc>
          <w:tcPr>
            <w:tcW w:w="5415" w:type="dxa"/>
            <w:gridSpan w:val="3"/>
            <w:shd w:val="clear" w:color="auto" w:fill="auto"/>
            <w:tcMar>
              <w:top w:w="0" w:type="dxa"/>
              <w:left w:w="105" w:type="dxa"/>
              <w:bottom w:w="0" w:type="dxa"/>
              <w:right w:w="105" w:type="dxa"/>
            </w:tcMar>
            <w:vAlign w:val="center"/>
          </w:tcPr>
          <w:p w14:paraId="6C6667EA">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1278B7C4">
            <w:pPr>
              <w:keepNext w:val="0"/>
              <w:keepLines w:val="0"/>
              <w:widowControl/>
              <w:suppressLineNumbers w:val="0"/>
              <w:jc w:val="left"/>
              <w:rPr>
                <w:rFonts w:hint="eastAsia" w:ascii="仿宋" w:hAnsi="仿宋" w:eastAsia="仿宋" w:cs="仿宋"/>
                <w:sz w:val="24"/>
                <w:szCs w:val="24"/>
              </w:rPr>
            </w:pPr>
          </w:p>
        </w:tc>
      </w:tr>
      <w:tr w14:paraId="236A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42BC48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00A49D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备件供应</w:t>
            </w:r>
          </w:p>
          <w:p w14:paraId="732A696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(本项仅涉</w:t>
            </w:r>
          </w:p>
          <w:p w14:paraId="376D3010">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及提供硬件</w:t>
            </w:r>
          </w:p>
          <w:p w14:paraId="11AE10D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Fonts w:hint="eastAsia" w:ascii="仿宋" w:hAnsi="仿宋" w:eastAsia="仿宋" w:cs="仿宋"/>
                <w:color w:val="000000"/>
                <w:sz w:val="24"/>
                <w:szCs w:val="24"/>
              </w:rPr>
              <w:t>的供应商)</w:t>
            </w:r>
          </w:p>
        </w:tc>
        <w:tc>
          <w:tcPr>
            <w:tcW w:w="5415" w:type="dxa"/>
            <w:gridSpan w:val="3"/>
            <w:shd w:val="clear" w:color="auto" w:fill="auto"/>
            <w:tcMar>
              <w:top w:w="0" w:type="dxa"/>
              <w:left w:w="105" w:type="dxa"/>
              <w:bottom w:w="0" w:type="dxa"/>
              <w:right w:w="105" w:type="dxa"/>
            </w:tcMar>
            <w:vAlign w:val="center"/>
          </w:tcPr>
          <w:p w14:paraId="2BD56C42">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41CBE3E9">
            <w:pPr>
              <w:keepNext w:val="0"/>
              <w:keepLines w:val="0"/>
              <w:widowControl/>
              <w:suppressLineNumbers w:val="0"/>
              <w:jc w:val="left"/>
              <w:rPr>
                <w:rFonts w:hint="eastAsia" w:ascii="仿宋" w:hAnsi="仿宋" w:eastAsia="仿宋" w:cs="仿宋"/>
                <w:sz w:val="24"/>
                <w:szCs w:val="24"/>
              </w:rPr>
            </w:pPr>
          </w:p>
        </w:tc>
      </w:tr>
      <w:tr w14:paraId="0E81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244BB61">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23AAC5F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定期巡检</w:t>
            </w:r>
          </w:p>
        </w:tc>
        <w:tc>
          <w:tcPr>
            <w:tcW w:w="5415" w:type="dxa"/>
            <w:gridSpan w:val="3"/>
            <w:shd w:val="clear" w:color="auto" w:fill="auto"/>
            <w:tcMar>
              <w:top w:w="0" w:type="dxa"/>
              <w:left w:w="105" w:type="dxa"/>
              <w:bottom w:w="0" w:type="dxa"/>
              <w:right w:w="105" w:type="dxa"/>
            </w:tcMar>
            <w:vAlign w:val="center"/>
          </w:tcPr>
          <w:p w14:paraId="17861F5A">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41A0FEFB">
            <w:pPr>
              <w:keepNext w:val="0"/>
              <w:keepLines w:val="0"/>
              <w:widowControl/>
              <w:suppressLineNumbers w:val="0"/>
              <w:jc w:val="left"/>
              <w:rPr>
                <w:rFonts w:hint="eastAsia" w:ascii="仿宋" w:hAnsi="仿宋" w:eastAsia="仿宋" w:cs="仿宋"/>
                <w:sz w:val="24"/>
                <w:szCs w:val="24"/>
              </w:rPr>
            </w:pPr>
          </w:p>
        </w:tc>
      </w:tr>
      <w:tr w14:paraId="537F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0F4ED0D">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536D319D">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培训服务</w:t>
            </w:r>
          </w:p>
        </w:tc>
        <w:tc>
          <w:tcPr>
            <w:tcW w:w="5415" w:type="dxa"/>
            <w:gridSpan w:val="3"/>
            <w:shd w:val="clear" w:color="auto" w:fill="auto"/>
            <w:tcMar>
              <w:top w:w="0" w:type="dxa"/>
              <w:left w:w="105" w:type="dxa"/>
              <w:bottom w:w="0" w:type="dxa"/>
              <w:right w:w="105" w:type="dxa"/>
            </w:tcMar>
            <w:vAlign w:val="center"/>
          </w:tcPr>
          <w:p w14:paraId="67A0B1BA">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4D65A58E">
            <w:pPr>
              <w:keepNext w:val="0"/>
              <w:keepLines w:val="0"/>
              <w:widowControl/>
              <w:suppressLineNumbers w:val="0"/>
              <w:jc w:val="left"/>
              <w:rPr>
                <w:rFonts w:hint="eastAsia" w:ascii="仿宋" w:hAnsi="仿宋" w:eastAsia="仿宋" w:cs="仿宋"/>
                <w:sz w:val="24"/>
                <w:szCs w:val="24"/>
              </w:rPr>
            </w:pPr>
          </w:p>
        </w:tc>
      </w:tr>
      <w:tr w14:paraId="099EC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DB5ADB9">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024BD5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技术文档</w:t>
            </w:r>
          </w:p>
        </w:tc>
        <w:tc>
          <w:tcPr>
            <w:tcW w:w="5415" w:type="dxa"/>
            <w:gridSpan w:val="3"/>
            <w:shd w:val="clear" w:color="auto" w:fill="auto"/>
            <w:tcMar>
              <w:top w:w="0" w:type="dxa"/>
              <w:left w:w="105" w:type="dxa"/>
              <w:bottom w:w="0" w:type="dxa"/>
              <w:right w:w="105" w:type="dxa"/>
            </w:tcMar>
            <w:vAlign w:val="center"/>
          </w:tcPr>
          <w:p w14:paraId="01CD6D72">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0EBB5A81">
            <w:pPr>
              <w:keepNext w:val="0"/>
              <w:keepLines w:val="0"/>
              <w:widowControl/>
              <w:suppressLineNumbers w:val="0"/>
              <w:jc w:val="left"/>
              <w:rPr>
                <w:rFonts w:hint="eastAsia" w:ascii="仿宋" w:hAnsi="仿宋" w:eastAsia="仿宋" w:cs="仿宋"/>
                <w:sz w:val="24"/>
                <w:szCs w:val="24"/>
              </w:rPr>
            </w:pPr>
          </w:p>
        </w:tc>
      </w:tr>
      <w:tr w14:paraId="5D1F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60DEF1D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违规违</w:t>
            </w:r>
          </w:p>
          <w:p w14:paraId="15B21443">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rPr>
            </w:pPr>
            <w:r>
              <w:rPr>
                <w:rStyle w:val="21"/>
                <w:rFonts w:hint="eastAsia" w:ascii="仿宋" w:hAnsi="仿宋" w:eastAsia="仿宋" w:cs="仿宋"/>
                <w:b/>
                <w:bCs/>
                <w:sz w:val="24"/>
                <w:szCs w:val="24"/>
              </w:rPr>
              <w:t>纪评价</w:t>
            </w:r>
          </w:p>
        </w:tc>
        <w:tc>
          <w:tcPr>
            <w:tcW w:w="1350" w:type="dxa"/>
            <w:shd w:val="clear" w:color="auto" w:fill="auto"/>
            <w:tcMar>
              <w:top w:w="0" w:type="dxa"/>
              <w:left w:w="105" w:type="dxa"/>
              <w:bottom w:w="0" w:type="dxa"/>
              <w:right w:w="105" w:type="dxa"/>
            </w:tcMar>
            <w:vAlign w:val="center"/>
          </w:tcPr>
          <w:p w14:paraId="4B0A1456">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廉洁从业</w:t>
            </w:r>
          </w:p>
        </w:tc>
        <w:tc>
          <w:tcPr>
            <w:tcW w:w="5415" w:type="dxa"/>
            <w:gridSpan w:val="3"/>
            <w:shd w:val="clear" w:color="auto" w:fill="auto"/>
            <w:tcMar>
              <w:top w:w="0" w:type="dxa"/>
              <w:left w:w="105" w:type="dxa"/>
              <w:bottom w:w="0" w:type="dxa"/>
              <w:right w:w="105" w:type="dxa"/>
            </w:tcMar>
            <w:vAlign w:val="center"/>
          </w:tcPr>
          <w:p w14:paraId="138171E5">
            <w:pPr>
              <w:pStyle w:val="14"/>
              <w:keepNext w:val="0"/>
              <w:keepLines w:val="0"/>
              <w:widowControl/>
              <w:suppressLineNumbers w:val="0"/>
              <w:autoSpaceDE w:val="0"/>
              <w:autoSpaceDN/>
              <w:rPr>
                <w:rFonts w:hint="eastAsia" w:ascii="仿宋" w:hAnsi="仿宋" w:eastAsia="仿宋" w:cs="仿宋"/>
                <w:sz w:val="24"/>
                <w:szCs w:val="24"/>
              </w:rPr>
            </w:pPr>
            <w:r>
              <w:rPr>
                <w:rStyle w:val="21"/>
                <w:rFonts w:hint="eastAsia" w:ascii="仿宋" w:hAnsi="仿宋" w:eastAsia="仿宋" w:cs="仿宋"/>
                <w:b/>
                <w:bCs/>
                <w:sz w:val="24"/>
                <w:szCs w:val="24"/>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3EEC7F8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一票否决</w:t>
            </w:r>
          </w:p>
        </w:tc>
      </w:tr>
      <w:tr w14:paraId="250F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BA2E8EF">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73701CE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安全规范</w:t>
            </w:r>
          </w:p>
        </w:tc>
        <w:tc>
          <w:tcPr>
            <w:tcW w:w="5415" w:type="dxa"/>
            <w:gridSpan w:val="3"/>
            <w:shd w:val="clear" w:color="auto" w:fill="auto"/>
            <w:tcMar>
              <w:top w:w="0" w:type="dxa"/>
              <w:left w:w="105" w:type="dxa"/>
              <w:bottom w:w="0" w:type="dxa"/>
              <w:right w:w="105" w:type="dxa"/>
            </w:tcMar>
            <w:vAlign w:val="center"/>
          </w:tcPr>
          <w:p w14:paraId="3CA31BFD">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不遵守安全生产规范，每次扣2分；</w:t>
            </w:r>
          </w:p>
        </w:tc>
        <w:tc>
          <w:tcPr>
            <w:tcW w:w="675" w:type="dxa"/>
            <w:shd w:val="clear" w:color="auto" w:fill="auto"/>
            <w:tcMar>
              <w:top w:w="0" w:type="dxa"/>
              <w:left w:w="105" w:type="dxa"/>
              <w:bottom w:w="0" w:type="dxa"/>
              <w:right w:w="105" w:type="dxa"/>
            </w:tcMar>
            <w:vAlign w:val="center"/>
          </w:tcPr>
          <w:p w14:paraId="08215048">
            <w:pPr>
              <w:keepNext w:val="0"/>
              <w:keepLines w:val="0"/>
              <w:widowControl/>
              <w:suppressLineNumbers w:val="0"/>
              <w:jc w:val="left"/>
              <w:rPr>
                <w:rFonts w:hint="eastAsia" w:ascii="仿宋" w:hAnsi="仿宋" w:eastAsia="仿宋" w:cs="仿宋"/>
                <w:sz w:val="24"/>
                <w:szCs w:val="24"/>
              </w:rPr>
            </w:pPr>
          </w:p>
        </w:tc>
      </w:tr>
      <w:tr w14:paraId="6D418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74F4E82">
            <w:pPr>
              <w:rPr>
                <w:rFonts w:hint="eastAsia" w:ascii="仿宋" w:hAnsi="仿宋" w:eastAsia="仿宋" w:cs="仿宋"/>
                <w:sz w:val="24"/>
                <w:szCs w:val="24"/>
              </w:rPr>
            </w:pPr>
          </w:p>
        </w:tc>
        <w:tc>
          <w:tcPr>
            <w:tcW w:w="1350" w:type="dxa"/>
            <w:shd w:val="clear" w:color="auto" w:fill="auto"/>
            <w:tcMar>
              <w:top w:w="0" w:type="dxa"/>
              <w:left w:w="105" w:type="dxa"/>
              <w:bottom w:w="0" w:type="dxa"/>
              <w:right w:w="105" w:type="dxa"/>
            </w:tcMar>
            <w:vAlign w:val="center"/>
          </w:tcPr>
          <w:p w14:paraId="02EADA0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rPr>
            </w:pPr>
            <w:r>
              <w:rPr>
                <w:rStyle w:val="21"/>
                <w:rFonts w:hint="eastAsia" w:ascii="仿宋" w:hAnsi="仿宋" w:eastAsia="仿宋" w:cs="仿宋"/>
                <w:b/>
                <w:bCs/>
                <w:color w:val="000000"/>
                <w:sz w:val="24"/>
                <w:szCs w:val="24"/>
              </w:rPr>
              <w:t>其他违纪违规</w:t>
            </w:r>
          </w:p>
        </w:tc>
        <w:tc>
          <w:tcPr>
            <w:tcW w:w="5415" w:type="dxa"/>
            <w:gridSpan w:val="3"/>
            <w:shd w:val="clear" w:color="auto" w:fill="auto"/>
            <w:tcMar>
              <w:top w:w="0" w:type="dxa"/>
              <w:left w:w="105" w:type="dxa"/>
              <w:bottom w:w="0" w:type="dxa"/>
              <w:right w:w="105" w:type="dxa"/>
            </w:tcMar>
            <w:vAlign w:val="center"/>
          </w:tcPr>
          <w:p w14:paraId="6EBCB4C3">
            <w:pPr>
              <w:pStyle w:val="14"/>
              <w:keepNext w:val="0"/>
              <w:keepLines w:val="0"/>
              <w:widowControl/>
              <w:suppressLineNumbers w:val="0"/>
              <w:autoSpaceDE w:val="0"/>
              <w:autoSpaceDN/>
              <w:rPr>
                <w:rFonts w:hint="eastAsia" w:ascii="仿宋" w:hAnsi="仿宋" w:eastAsia="仿宋" w:cs="仿宋"/>
                <w:sz w:val="24"/>
                <w:szCs w:val="24"/>
              </w:rPr>
            </w:pPr>
            <w:r>
              <w:rPr>
                <w:rFonts w:hint="eastAsia" w:ascii="仿宋" w:hAnsi="仿宋" w:eastAsia="仿宋" w:cs="仿宋"/>
                <w:sz w:val="24"/>
                <w:szCs w:val="24"/>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0F42E4AA">
            <w:pPr>
              <w:keepNext w:val="0"/>
              <w:keepLines w:val="0"/>
              <w:widowControl/>
              <w:suppressLineNumbers w:val="0"/>
              <w:jc w:val="left"/>
              <w:rPr>
                <w:rFonts w:hint="eastAsia" w:ascii="仿宋" w:hAnsi="仿宋" w:eastAsia="仿宋" w:cs="仿宋"/>
                <w:sz w:val="24"/>
                <w:szCs w:val="24"/>
              </w:rPr>
            </w:pPr>
          </w:p>
        </w:tc>
      </w:tr>
      <w:tr w14:paraId="3C8E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775BF274">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扣分合计</w:t>
            </w:r>
          </w:p>
        </w:tc>
        <w:tc>
          <w:tcPr>
            <w:tcW w:w="7425" w:type="dxa"/>
            <w:gridSpan w:val="5"/>
            <w:shd w:val="clear" w:color="auto" w:fill="auto"/>
            <w:tcMar>
              <w:top w:w="0" w:type="dxa"/>
              <w:left w:w="105" w:type="dxa"/>
              <w:bottom w:w="0" w:type="dxa"/>
              <w:right w:w="105" w:type="dxa"/>
            </w:tcMar>
            <w:vAlign w:val="center"/>
          </w:tcPr>
          <w:p w14:paraId="07E37768">
            <w:pPr>
              <w:keepNext w:val="0"/>
              <w:keepLines w:val="0"/>
              <w:widowControl/>
              <w:suppressLineNumbers w:val="0"/>
              <w:jc w:val="left"/>
              <w:rPr>
                <w:rFonts w:hint="eastAsia" w:ascii="仿宋" w:hAnsi="仿宋" w:eastAsia="仿宋" w:cs="仿宋"/>
                <w:sz w:val="24"/>
                <w:szCs w:val="24"/>
              </w:rPr>
            </w:pPr>
          </w:p>
        </w:tc>
      </w:tr>
      <w:tr w14:paraId="613E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587AE9F2">
            <w:pPr>
              <w:pStyle w:val="14"/>
              <w:keepNext w:val="0"/>
              <w:keepLines w:val="0"/>
              <w:widowControl/>
              <w:suppressLineNumbers w:val="0"/>
              <w:spacing w:line="360" w:lineRule="auto"/>
              <w:jc w:val="center"/>
              <w:rPr>
                <w:rFonts w:hint="eastAsia" w:ascii="仿宋" w:hAnsi="仿宋" w:eastAsia="仿宋" w:cs="仿宋"/>
                <w:sz w:val="24"/>
                <w:szCs w:val="24"/>
              </w:rPr>
            </w:pPr>
            <w:r>
              <w:rPr>
                <w:rStyle w:val="21"/>
                <w:rFonts w:hint="eastAsia" w:ascii="仿宋" w:hAnsi="仿宋" w:eastAsia="仿宋" w:cs="仿宋"/>
                <w:b/>
                <w:bCs/>
                <w:sz w:val="24"/>
                <w:szCs w:val="24"/>
              </w:rPr>
              <w:t>考核人</w:t>
            </w:r>
          </w:p>
        </w:tc>
        <w:tc>
          <w:tcPr>
            <w:tcW w:w="7425" w:type="dxa"/>
            <w:gridSpan w:val="5"/>
            <w:shd w:val="clear" w:color="auto" w:fill="auto"/>
            <w:tcMar>
              <w:top w:w="0" w:type="dxa"/>
              <w:left w:w="105" w:type="dxa"/>
              <w:bottom w:w="0" w:type="dxa"/>
              <w:right w:w="105" w:type="dxa"/>
            </w:tcMar>
            <w:vAlign w:val="center"/>
          </w:tcPr>
          <w:p w14:paraId="01A871EF">
            <w:pPr>
              <w:pStyle w:val="14"/>
              <w:keepNext w:val="0"/>
              <w:keepLines w:val="0"/>
              <w:widowControl/>
              <w:suppressLineNumbers w:val="0"/>
              <w:spacing w:line="360" w:lineRule="auto"/>
              <w:rPr>
                <w:rFonts w:hint="eastAsia" w:ascii="仿宋" w:hAnsi="仿宋" w:eastAsia="仿宋" w:cs="仿宋"/>
                <w:sz w:val="24"/>
                <w:szCs w:val="24"/>
                <w:lang w:eastAsia="zh-CN"/>
              </w:rPr>
            </w:pPr>
          </w:p>
          <w:p w14:paraId="15AC8D90">
            <w:pPr>
              <w:pStyle w:val="14"/>
              <w:keepNext w:val="0"/>
              <w:keepLines w:val="0"/>
              <w:widowControl/>
              <w:suppressLineNumbers w:val="0"/>
              <w:spacing w:line="360" w:lineRule="auto"/>
              <w:rPr>
                <w:rFonts w:hint="eastAsia" w:ascii="仿宋" w:hAnsi="仿宋" w:eastAsia="仿宋" w:cs="仿宋"/>
                <w:sz w:val="24"/>
                <w:szCs w:val="24"/>
              </w:rPr>
            </w:pPr>
            <w:r>
              <w:rPr>
                <w:rFonts w:hint="eastAsia" w:ascii="仿宋" w:hAnsi="仿宋" w:eastAsia="仿宋" w:cs="仿宋"/>
                <w:color w:val="000000"/>
                <w:sz w:val="24"/>
                <w:szCs w:val="24"/>
              </w:rPr>
              <w:t>年 月 日</w:t>
            </w:r>
          </w:p>
        </w:tc>
      </w:tr>
    </w:tbl>
    <w:p w14:paraId="5A515293">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备注：</w:t>
      </w:r>
    </w:p>
    <w:p w14:paraId="1C221D6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1.服务期内，采购人可按照本项目采购需求内容对应的考核指标对供应商进行考核，具体指标以采购人要求为准；</w:t>
      </w:r>
    </w:p>
    <w:p w14:paraId="0D0AA1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2.考核关联最终付款金额，具体计算规则如下：</w:t>
      </w:r>
    </w:p>
    <w:p w14:paraId="3771487F">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平均扣分=服务期汇总考核扣分之和÷服务期内考核次数</w:t>
      </w:r>
      <w:r>
        <w:rPr>
          <w:rFonts w:hint="eastAsia" w:ascii="仿宋" w:hAnsi="仿宋" w:eastAsia="仿宋" w:cs="仿宋"/>
          <w:sz w:val="24"/>
          <w:szCs w:val="24"/>
          <w:lang w:val="en-US" w:eastAsia="zh-CN"/>
        </w:rPr>
        <w:t>;</w:t>
      </w:r>
    </w:p>
    <w:p w14:paraId="4425BFB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 xml:space="preserve">2）0分&lt;平均扣分≤3分，将对供应商进行诫勉谈话； </w:t>
      </w:r>
    </w:p>
    <w:p w14:paraId="4A8DD5D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3）3分&lt;平均扣分≤5分，对供应商提出警告，从合同待支付金额中或履约保证金中扣除合同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金额5%费用，扣完为止；</w:t>
      </w:r>
    </w:p>
    <w:p w14:paraId="791EFA97">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4）5分&lt;平均扣分≤10分，对供应商提出严重警告，从合同待支付金额中或履约保证金中扣除合同</w:t>
      </w:r>
      <w:r>
        <w:rPr>
          <w:rFonts w:hint="eastAsia" w:ascii="仿宋" w:hAnsi="仿宋" w:eastAsia="仿宋" w:cs="仿宋"/>
          <w:sz w:val="24"/>
          <w:szCs w:val="24"/>
          <w:lang w:val="en-US" w:eastAsia="zh-CN"/>
        </w:rPr>
        <w:t>总</w:t>
      </w:r>
      <w:r>
        <w:rPr>
          <w:rFonts w:hint="eastAsia" w:ascii="仿宋" w:hAnsi="仿宋" w:eastAsia="仿宋" w:cs="仿宋"/>
          <w:sz w:val="24"/>
          <w:szCs w:val="24"/>
        </w:rPr>
        <w:t>金额10%费用，扣完为止；</w:t>
      </w:r>
    </w:p>
    <w:p w14:paraId="7649957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）10分&lt;平均扣分，视为不合格，终止合同，合同待支付金额</w:t>
      </w:r>
      <w:r>
        <w:rPr>
          <w:rFonts w:hint="eastAsia" w:ascii="仿宋" w:hAnsi="仿宋" w:eastAsia="仿宋" w:cs="仿宋"/>
          <w:sz w:val="24"/>
          <w:szCs w:val="24"/>
          <w:lang w:val="en-US" w:eastAsia="zh-CN"/>
        </w:rPr>
        <w:t>不予支付，</w:t>
      </w:r>
      <w:r>
        <w:rPr>
          <w:rFonts w:hint="eastAsia" w:ascii="仿宋" w:hAnsi="仿宋" w:eastAsia="仿宋" w:cs="仿宋"/>
          <w:sz w:val="24"/>
          <w:szCs w:val="24"/>
        </w:rPr>
        <w:t>履约保证金（如有履约保证金）不予退还；</w:t>
      </w:r>
    </w:p>
    <w:p w14:paraId="1748D196">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rPr>
        <w:t>3.供应商出现一票否决时，将对其违法违纪的相关情况汇报院纪委，同时按供应商违约情况取消本次合作，扣除所有剩余款项，履</w:t>
      </w:r>
      <w:r>
        <w:rPr>
          <w:rFonts w:hint="eastAsia" w:ascii="仿宋" w:hAnsi="仿宋" w:eastAsia="仿宋" w:cs="仿宋"/>
          <w:sz w:val="24"/>
          <w:szCs w:val="24"/>
          <w:highlight w:val="none"/>
        </w:rPr>
        <w:t>约保证金不予退还（如本项目要求缴纳履约保证金），并保留后续追究供应商责任的权利。</w:t>
      </w:r>
    </w:p>
    <w:p w14:paraId="4047F1D9">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4.如合同待支付金额或履约保证金中无款可扣且考核后出现扣款情况，</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承诺在得到</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考核结果后的10日内向</w:t>
      </w:r>
      <w:r>
        <w:rPr>
          <w:rFonts w:hint="eastAsia" w:ascii="仿宋" w:hAnsi="仿宋" w:eastAsia="仿宋" w:cs="仿宋"/>
          <w:sz w:val="24"/>
          <w:szCs w:val="24"/>
          <w:highlight w:val="none"/>
          <w:lang w:val="en-US" w:eastAsia="zh-CN"/>
        </w:rPr>
        <w:t>采购人</w:t>
      </w:r>
      <w:r>
        <w:rPr>
          <w:rFonts w:hint="eastAsia" w:ascii="仿宋" w:hAnsi="仿宋" w:eastAsia="仿宋" w:cs="仿宋"/>
          <w:sz w:val="24"/>
          <w:szCs w:val="24"/>
          <w:highlight w:val="none"/>
        </w:rPr>
        <w:t>缴纳对应的扣款金额</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提供承诺函</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highlight w:val="none"/>
        </w:rPr>
        <w:t>。</w:t>
      </w:r>
    </w:p>
    <w:p w14:paraId="603106CD">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rPr>
        <w:t>5.本考核指标最终解释权归四川省医学</w:t>
      </w:r>
      <w:r>
        <w:rPr>
          <w:rFonts w:hint="eastAsia" w:ascii="仿宋" w:hAnsi="仿宋" w:eastAsia="仿宋" w:cs="仿宋"/>
          <w:sz w:val="24"/>
          <w:szCs w:val="24"/>
        </w:rPr>
        <w:t>科学院·四川省人民医院。</w:t>
      </w:r>
    </w:p>
    <w:p w14:paraId="3A4517FA">
      <w:pPr>
        <w:pStyle w:val="16"/>
        <w:keepNext w:val="0"/>
        <w:keepLines w:val="0"/>
        <w:pageBreakBefore w:val="0"/>
        <w:kinsoku/>
        <w:wordWrap/>
        <w:overflowPunct/>
        <w:topLinePunct w:val="0"/>
        <w:autoSpaceDE/>
        <w:autoSpaceDN/>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7551E80D">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p>
    <w:p w14:paraId="51258D76">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p>
    <w:p w14:paraId="44FFBB3F">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leftChars="0"/>
        <w:textAlignment w:val="auto"/>
        <w:rPr>
          <w:rFonts w:hint="eastAsia" w:ascii="仿宋" w:hAnsi="仿宋" w:eastAsia="仿宋" w:cs="仿宋"/>
          <w:sz w:val="24"/>
          <w:szCs w:val="24"/>
        </w:rPr>
      </w:pPr>
      <w:r>
        <w:rPr>
          <w:rFonts w:hint="eastAsia" w:ascii="仿宋" w:hAnsi="仿宋" w:eastAsia="仿宋" w:cs="仿宋"/>
          <w:sz w:val="24"/>
          <w:szCs w:val="24"/>
        </w:rPr>
        <w:t>注：本章中带“</w:t>
      </w:r>
      <w:r>
        <w:rPr>
          <w:rFonts w:hint="eastAsia" w:ascii="仿宋" w:hAnsi="仿宋" w:eastAsia="仿宋" w:cs="仿宋"/>
          <w:b/>
          <w:bCs/>
          <w:sz w:val="24"/>
          <w:szCs w:val="24"/>
        </w:rPr>
        <w:t>★</w:t>
      </w:r>
      <w:r>
        <w:rPr>
          <w:rFonts w:hint="eastAsia" w:ascii="仿宋" w:hAnsi="仿宋" w:eastAsia="仿宋" w:cs="仿宋"/>
          <w:sz w:val="24"/>
          <w:szCs w:val="24"/>
        </w:rPr>
        <w:t>”的条款为实质性要求，不满足将被作为无效响应处理</w:t>
      </w:r>
      <w:r>
        <w:rPr>
          <w:rFonts w:hint="eastAsia" w:ascii="仿宋" w:hAnsi="仿宋" w:eastAsia="仿宋" w:cs="仿宋"/>
          <w:sz w:val="24"/>
          <w:szCs w:val="24"/>
          <w:lang w:eastAsia="zh-CN"/>
        </w:rPr>
        <w:t>，标注“●”的条款为本项目</w:t>
      </w:r>
      <w:r>
        <w:rPr>
          <w:rFonts w:hint="eastAsia" w:ascii="仿宋" w:hAnsi="仿宋" w:eastAsia="仿宋" w:cs="仿宋"/>
          <w:sz w:val="24"/>
          <w:szCs w:val="24"/>
          <w:lang w:val="en-US" w:eastAsia="zh-CN"/>
        </w:rPr>
        <w:t>演示内容</w:t>
      </w:r>
      <w:r>
        <w:rPr>
          <w:rFonts w:hint="eastAsia" w:ascii="仿宋" w:hAnsi="仿宋" w:eastAsia="仿宋" w:cs="仿宋"/>
          <w:sz w:val="24"/>
          <w:szCs w:val="24"/>
        </w:rPr>
        <w:t>。</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rPr>
      </w:pPr>
    </w:p>
    <w:p w14:paraId="39CDDE8F">
      <w:pPr>
        <w:rPr>
          <w:rFonts w:ascii="Times New Roman" w:hAnsi="Times New Roman" w:cs="Times New Roman"/>
        </w:rPr>
      </w:pPr>
      <w:r>
        <w:rPr>
          <w:rFonts w:ascii="Times New Roman" w:hAnsi="Times New Roman" w:cs="Times New Roman"/>
        </w:rPr>
        <w:br w:type="page"/>
      </w:r>
    </w:p>
    <w:p w14:paraId="29DFF5BB">
      <w:pPr>
        <w:pStyle w:val="2"/>
        <w:numPr>
          <w:ilvl w:val="0"/>
          <w:numId w:val="0"/>
        </w:numPr>
        <w:ind w:left="0" w:leftChars="0" w:firstLine="0" w:firstLineChars="0"/>
        <w:rPr>
          <w:rFonts w:ascii="Times New Roman" w:hAnsi="Times New Roman" w:cs="Times New Roman"/>
        </w:rPr>
      </w:pPr>
      <w:bookmarkStart w:id="17" w:name="_Toc13768"/>
      <w:bookmarkStart w:id="18" w:name="_Toc22588"/>
      <w:bookmarkStart w:id="19" w:name="_Toc28789"/>
      <w:r>
        <w:rPr>
          <w:rFonts w:hint="eastAsia" w:ascii="Times New Roman" w:hAnsi="Times New Roman" w:eastAsia="黑体" w:cs="Times New Roman"/>
          <w:b/>
          <w:kern w:val="44"/>
          <w:sz w:val="36"/>
          <w:lang w:val="zh-CN" w:eastAsia="zh-CN" w:bidi="ar-SA"/>
        </w:rPr>
        <w:t xml:space="preserve">第五章 </w:t>
      </w:r>
      <w:r>
        <w:rPr>
          <w:rFonts w:ascii="Times New Roman" w:hAnsi="Times New Roman" w:cs="Times New Roman"/>
        </w:rPr>
        <w:t>评分标准</w:t>
      </w:r>
      <w:bookmarkEnd w:id="17"/>
      <w:bookmarkEnd w:id="18"/>
      <w:bookmarkEnd w:id="19"/>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4"/>
        <w:gridCol w:w="736"/>
        <w:gridCol w:w="504"/>
        <w:gridCol w:w="7475"/>
        <w:gridCol w:w="645"/>
      </w:tblGrid>
      <w:tr w14:paraId="1A150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4CB590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0" w:type="auto"/>
            <w:tcBorders>
              <w:top w:val="single" w:color="auto" w:sz="4" w:space="0"/>
              <w:left w:val="single" w:color="auto" w:sz="4" w:space="0"/>
              <w:bottom w:val="single" w:color="auto" w:sz="4" w:space="0"/>
              <w:right w:val="single" w:color="auto" w:sz="4" w:space="0"/>
            </w:tcBorders>
            <w:vAlign w:val="center"/>
          </w:tcPr>
          <w:p w14:paraId="2B1E353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评审因素</w:t>
            </w:r>
          </w:p>
        </w:tc>
        <w:tc>
          <w:tcPr>
            <w:tcW w:w="0" w:type="auto"/>
            <w:tcBorders>
              <w:top w:val="single" w:color="auto" w:sz="4" w:space="0"/>
              <w:left w:val="single" w:color="auto" w:sz="4" w:space="0"/>
              <w:bottom w:val="single" w:color="auto" w:sz="4" w:space="0"/>
              <w:right w:val="single" w:color="auto" w:sz="4" w:space="0"/>
            </w:tcBorders>
            <w:vAlign w:val="center"/>
          </w:tcPr>
          <w:p w14:paraId="118738C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分值</w:t>
            </w:r>
          </w:p>
        </w:tc>
        <w:tc>
          <w:tcPr>
            <w:tcW w:w="0" w:type="auto"/>
            <w:tcBorders>
              <w:top w:val="single" w:color="auto" w:sz="4" w:space="0"/>
              <w:left w:val="single" w:color="auto" w:sz="4" w:space="0"/>
              <w:bottom w:val="single" w:color="auto" w:sz="4" w:space="0"/>
              <w:right w:val="single" w:color="auto" w:sz="4" w:space="0"/>
            </w:tcBorders>
            <w:vAlign w:val="center"/>
          </w:tcPr>
          <w:p w14:paraId="02F3067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评分标准</w:t>
            </w:r>
          </w:p>
        </w:tc>
        <w:tc>
          <w:tcPr>
            <w:tcW w:w="0" w:type="auto"/>
            <w:tcBorders>
              <w:top w:val="single" w:color="auto" w:sz="4" w:space="0"/>
              <w:left w:val="single" w:color="auto" w:sz="4" w:space="0"/>
              <w:bottom w:val="single" w:color="auto" w:sz="4" w:space="0"/>
              <w:right w:val="single" w:color="auto" w:sz="4" w:space="0"/>
            </w:tcBorders>
            <w:vAlign w:val="center"/>
          </w:tcPr>
          <w:p w14:paraId="358E40E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说明</w:t>
            </w:r>
          </w:p>
        </w:tc>
      </w:tr>
      <w:tr w14:paraId="608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7085694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0" w:type="auto"/>
            <w:tcBorders>
              <w:top w:val="single" w:color="auto" w:sz="4" w:space="0"/>
              <w:left w:val="single" w:color="auto" w:sz="4" w:space="0"/>
              <w:bottom w:val="single" w:color="auto" w:sz="4" w:space="0"/>
              <w:right w:val="single" w:color="auto" w:sz="4" w:space="0"/>
            </w:tcBorders>
            <w:vAlign w:val="center"/>
          </w:tcPr>
          <w:p w14:paraId="5C8BAA7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报价30%</w:t>
            </w:r>
          </w:p>
        </w:tc>
        <w:tc>
          <w:tcPr>
            <w:tcW w:w="0" w:type="auto"/>
            <w:tcBorders>
              <w:top w:val="single" w:color="auto" w:sz="4" w:space="0"/>
              <w:left w:val="single" w:color="auto" w:sz="4" w:space="0"/>
              <w:bottom w:val="single" w:color="auto" w:sz="4" w:space="0"/>
              <w:right w:val="single" w:color="auto" w:sz="4" w:space="0"/>
            </w:tcBorders>
            <w:vAlign w:val="center"/>
          </w:tcPr>
          <w:p w14:paraId="3897279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30分</w:t>
            </w:r>
          </w:p>
        </w:tc>
        <w:tc>
          <w:tcPr>
            <w:tcW w:w="0" w:type="auto"/>
            <w:tcBorders>
              <w:top w:val="single" w:color="auto" w:sz="4" w:space="0"/>
              <w:left w:val="single" w:color="auto" w:sz="4" w:space="0"/>
              <w:bottom w:val="single" w:color="auto" w:sz="4" w:space="0"/>
              <w:right w:val="single" w:color="auto" w:sz="4" w:space="0"/>
            </w:tcBorders>
            <w:vAlign w:val="center"/>
          </w:tcPr>
          <w:p w14:paraId="3E29634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以本次最低有效</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报价为基准价，其价格分为满分，</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报价得分=(基准价／</w:t>
            </w:r>
            <w:r>
              <w:rPr>
                <w:rFonts w:hint="eastAsia" w:ascii="仿宋" w:hAnsi="仿宋" w:eastAsia="仿宋" w:cs="仿宋"/>
                <w:color w:val="000000" w:themeColor="text1"/>
                <w:sz w:val="24"/>
                <w:szCs w:val="24"/>
                <w:highlight w:val="none"/>
                <w:lang w:eastAsia="zh-CN"/>
                <w14:textFill>
                  <w14:solidFill>
                    <w14:schemeClr w14:val="tx1"/>
                  </w14:solidFill>
                </w14:textFill>
              </w:rPr>
              <w:t>谈判</w:t>
            </w:r>
            <w:r>
              <w:rPr>
                <w:rFonts w:hint="eastAsia" w:ascii="仿宋" w:hAnsi="仿宋" w:eastAsia="仿宋" w:cs="仿宋"/>
                <w:color w:val="000000" w:themeColor="text1"/>
                <w:sz w:val="24"/>
                <w:szCs w:val="24"/>
                <w:highlight w:val="none"/>
                <w14:textFill>
                  <w14:solidFill>
                    <w14:schemeClr w14:val="tx1"/>
                  </w14:solidFill>
                </w14:textFill>
              </w:rPr>
              <w:t>报价) *30</w:t>
            </w:r>
          </w:p>
        </w:tc>
        <w:tc>
          <w:tcPr>
            <w:tcW w:w="0" w:type="auto"/>
            <w:tcBorders>
              <w:top w:val="single" w:color="auto" w:sz="4" w:space="0"/>
              <w:left w:val="single" w:color="auto" w:sz="4" w:space="0"/>
              <w:bottom w:val="single" w:color="auto" w:sz="4" w:space="0"/>
              <w:right w:val="single" w:color="auto" w:sz="4" w:space="0"/>
            </w:tcBorders>
            <w:vAlign w:val="center"/>
          </w:tcPr>
          <w:p w14:paraId="152C21F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39F1D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right w:val="single" w:color="auto" w:sz="4" w:space="0"/>
            </w:tcBorders>
            <w:vAlign w:val="center"/>
          </w:tcPr>
          <w:p w14:paraId="3BEE9DCF">
            <w:pPr>
              <w:pageBreakBefore w:val="0"/>
              <w:widowControl w:val="0"/>
              <w:kinsoku/>
              <w:wordWrap/>
              <w:overflowPunct/>
              <w:topLinePunct w:val="0"/>
              <w:autoSpaceDE/>
              <w:autoSpaceDN/>
              <w:bidi w:val="0"/>
              <w:adjustRightInd w:val="0"/>
              <w:spacing w:line="240" w:lineRule="auto"/>
              <w:ind w:left="0" w:leftChars="0"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lang w:bidi="ar"/>
              </w:rPr>
              <w:t>2</w:t>
            </w:r>
          </w:p>
        </w:tc>
        <w:tc>
          <w:tcPr>
            <w:tcW w:w="0" w:type="auto"/>
            <w:tcBorders>
              <w:top w:val="single" w:color="auto" w:sz="4" w:space="0"/>
              <w:left w:val="single" w:color="auto" w:sz="4" w:space="0"/>
              <w:right w:val="single" w:color="auto" w:sz="4" w:space="0"/>
            </w:tcBorders>
            <w:vAlign w:val="center"/>
          </w:tcPr>
          <w:p w14:paraId="5FA06A6A">
            <w:pPr>
              <w:pageBreakBefore w:val="0"/>
              <w:widowControl w:val="0"/>
              <w:kinsoku/>
              <w:wordWrap/>
              <w:overflowPunct/>
              <w:topLinePunct w:val="0"/>
              <w:autoSpaceDE/>
              <w:autoSpaceDN/>
              <w:bidi w:val="0"/>
              <w:adjustRightInd w:val="0"/>
              <w:spacing w:line="240" w:lineRule="auto"/>
              <w:ind w:left="0"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lang w:bidi="ar"/>
              </w:rPr>
              <w:t>演示要求2</w:t>
            </w:r>
            <w:r>
              <w:rPr>
                <w:rFonts w:hint="eastAsia" w:ascii="仿宋" w:hAnsi="仿宋" w:eastAsia="仿宋" w:cs="仿宋"/>
                <w:sz w:val="24"/>
                <w:szCs w:val="24"/>
                <w:lang w:val="en-US" w:eastAsia="zh-CN" w:bidi="ar"/>
              </w:rPr>
              <w:t>4</w:t>
            </w:r>
            <w:r>
              <w:rPr>
                <w:rFonts w:hint="eastAsia" w:ascii="仿宋" w:hAnsi="仿宋" w:eastAsia="仿宋" w:cs="仿宋"/>
                <w:sz w:val="24"/>
                <w:szCs w:val="24"/>
                <w:lang w:bidi="ar"/>
              </w:rPr>
              <w:t>%</w:t>
            </w:r>
          </w:p>
        </w:tc>
        <w:tc>
          <w:tcPr>
            <w:tcW w:w="0" w:type="auto"/>
            <w:tcBorders>
              <w:top w:val="single" w:color="auto" w:sz="4" w:space="0"/>
              <w:left w:val="single" w:color="auto" w:sz="4" w:space="0"/>
              <w:bottom w:val="single" w:color="auto" w:sz="4" w:space="0"/>
              <w:right w:val="single" w:color="auto" w:sz="4" w:space="0"/>
            </w:tcBorders>
            <w:vAlign w:val="center"/>
          </w:tcPr>
          <w:p w14:paraId="1EDEBBF5">
            <w:pPr>
              <w:pageBreakBefore w:val="0"/>
              <w:widowControl w:val="0"/>
              <w:kinsoku/>
              <w:wordWrap/>
              <w:overflowPunct/>
              <w:topLinePunct w:val="0"/>
              <w:autoSpaceDE/>
              <w:autoSpaceDN/>
              <w:bidi w:val="0"/>
              <w:adjustRightInd w:val="0"/>
              <w:spacing w:line="240" w:lineRule="auto"/>
              <w:ind w:left="0" w:firstLine="0" w:firstLineChars="0"/>
              <w:jc w:val="center"/>
              <w:textAlignment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lang w:bidi="ar"/>
              </w:rPr>
              <w:t>2</w:t>
            </w:r>
            <w:r>
              <w:rPr>
                <w:rFonts w:hint="eastAsia" w:ascii="仿宋" w:hAnsi="仿宋" w:eastAsia="仿宋" w:cs="仿宋"/>
                <w:sz w:val="24"/>
                <w:szCs w:val="24"/>
                <w:lang w:val="en-US" w:eastAsia="zh-CN" w:bidi="ar"/>
              </w:rPr>
              <w:t>4</w:t>
            </w:r>
            <w:r>
              <w:rPr>
                <w:rFonts w:hint="eastAsia" w:ascii="仿宋" w:hAnsi="仿宋" w:eastAsia="仿宋" w:cs="仿宋"/>
                <w:sz w:val="24"/>
                <w:szCs w:val="24"/>
                <w:lang w:bidi="ar"/>
              </w:rPr>
              <w:t>分</w:t>
            </w:r>
          </w:p>
        </w:tc>
        <w:tc>
          <w:tcPr>
            <w:tcW w:w="0" w:type="auto"/>
            <w:tcBorders>
              <w:top w:val="single" w:color="auto" w:sz="4" w:space="0"/>
              <w:left w:val="single" w:color="auto" w:sz="4" w:space="0"/>
              <w:bottom w:val="single" w:color="auto" w:sz="4" w:space="0"/>
              <w:right w:val="single" w:color="auto" w:sz="4" w:space="0"/>
            </w:tcBorders>
            <w:vAlign w:val="center"/>
          </w:tcPr>
          <w:p w14:paraId="0F417F59">
            <w:pPr>
              <w:pageBreakBefore w:val="0"/>
              <w:widowControl w:val="0"/>
              <w:kinsoku/>
              <w:wordWrap/>
              <w:overflowPunct/>
              <w:topLinePunct w:val="0"/>
              <w:autoSpaceDE/>
              <w:autoSpaceDN/>
              <w:bidi w:val="0"/>
              <w:adjustRightInd w:val="0"/>
              <w:spacing w:line="240" w:lineRule="auto"/>
              <w:ind w:left="0" w:firstLine="0" w:firstLineChars="0"/>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供应商需针对参数中带“●”的参数进行产品功能的现场程序逐一演示(不接受PPT、DEMO、录制的视频演示，演示环境由供应商自行搭建，需自备自助机提供在真实医院环境下的程序演示：演示时间不超过20分钟)，以证明供应商有实现此项功能的开发能力：</w:t>
            </w:r>
          </w:p>
          <w:p w14:paraId="61F7C3A4">
            <w:pPr>
              <w:pageBreakBefore w:val="0"/>
              <w:widowControl w:val="0"/>
              <w:kinsoku/>
              <w:wordWrap/>
              <w:overflowPunct/>
              <w:topLinePunct w:val="0"/>
              <w:autoSpaceDE/>
              <w:autoSpaceDN/>
              <w:bidi w:val="0"/>
              <w:adjustRightInd w:val="0"/>
              <w:spacing w:line="240" w:lineRule="auto"/>
              <w:ind w:left="0" w:firstLine="0" w:firstLineChars="0"/>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（1）CA签名：在自助机上实现：对外伤患者进行CA 加密签名审核保存，通过银行卡、微信、支付宝缴费。缴费成功后，须文件签名日期和文件生成日期一致。对生成保存的PDF 进行再次编辑时会提示有数字签名。</w:t>
            </w:r>
          </w:p>
          <w:p w14:paraId="638A5765">
            <w:pPr>
              <w:pageBreakBefore w:val="0"/>
              <w:widowControl w:val="0"/>
              <w:kinsoku/>
              <w:wordWrap/>
              <w:overflowPunct/>
              <w:topLinePunct w:val="0"/>
              <w:autoSpaceDE/>
              <w:autoSpaceDN/>
              <w:bidi w:val="0"/>
              <w:adjustRightInd w:val="0"/>
              <w:spacing w:line="240" w:lineRule="auto"/>
              <w:ind w:left="0" w:firstLine="0" w:firstLineChars="0"/>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2）医保刷脸一码付：在自助机上实现：患者缴费时仅需一次医保刷脸，即可同时完成“医保结算”和“个人自费支付”：支付成功后，须在支付宝平台上展示缴费时间、金额，必须与自助机打印的缴费小票时间、金额一致。</w:t>
            </w:r>
          </w:p>
          <w:p w14:paraId="0B057050">
            <w:pPr>
              <w:pageBreakBefore w:val="0"/>
              <w:widowControl w:val="0"/>
              <w:kinsoku/>
              <w:wordWrap/>
              <w:overflowPunct/>
              <w:topLinePunct w:val="0"/>
              <w:autoSpaceDE/>
              <w:autoSpaceDN/>
              <w:bidi w:val="0"/>
              <w:adjustRightInd w:val="0"/>
              <w:spacing w:line="240" w:lineRule="auto"/>
              <w:ind w:left="0" w:firstLine="0" w:firstLineChars="0"/>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（3）医保共济：在自助机上实现，使用医保共济方式支付门诊处方费用。须支付成功后，在支付宝医保平台或国家医保平台上能查询到本次缴费医保信息，医保支付信息，和缴费小票内容一致。</w:t>
            </w:r>
          </w:p>
          <w:p w14:paraId="1B414975">
            <w:pPr>
              <w:pageBreakBefore w:val="0"/>
              <w:widowControl w:val="0"/>
              <w:kinsoku/>
              <w:wordWrap/>
              <w:overflowPunct/>
              <w:topLinePunct w:val="0"/>
              <w:autoSpaceDE/>
              <w:autoSpaceDN/>
              <w:bidi w:val="0"/>
              <w:adjustRightInd w:val="0"/>
              <w:spacing w:line="240" w:lineRule="auto"/>
              <w:ind w:left="0" w:firstLine="0" w:firstLineChars="0"/>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（4）故障实时监控:对所有自助机设备（精确到每一台)故障进行实时推送到企业微信，内容包括:故障原因，机器型号，终端号，报修时间，院区位置，故障的总数等信息。</w:t>
            </w:r>
          </w:p>
          <w:p w14:paraId="7F358DB7">
            <w:pPr>
              <w:pageBreakBefore w:val="0"/>
              <w:widowControl w:val="0"/>
              <w:kinsoku/>
              <w:wordWrap/>
              <w:overflowPunct/>
              <w:topLinePunct w:val="0"/>
              <w:autoSpaceDE/>
              <w:autoSpaceDN/>
              <w:bidi w:val="0"/>
              <w:adjustRightInd w:val="0"/>
              <w:spacing w:line="240" w:lineRule="auto"/>
              <w:ind w:left="0" w:firstLine="0" w:firstLine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lang w:bidi="ar"/>
              </w:rPr>
              <w:t>以上内容每演示成功1项的得</w:t>
            </w:r>
            <w:r>
              <w:rPr>
                <w:rFonts w:hint="eastAsia" w:ascii="仿宋" w:hAnsi="仿宋" w:eastAsia="仿宋" w:cs="仿宋"/>
                <w:sz w:val="24"/>
                <w:szCs w:val="24"/>
                <w:lang w:val="en-US" w:eastAsia="zh-CN" w:bidi="ar"/>
              </w:rPr>
              <w:t>6</w:t>
            </w:r>
            <w:r>
              <w:rPr>
                <w:rFonts w:hint="eastAsia" w:ascii="仿宋" w:hAnsi="仿宋" w:eastAsia="仿宋" w:cs="仿宋"/>
                <w:sz w:val="24"/>
                <w:szCs w:val="24"/>
                <w:lang w:bidi="ar"/>
              </w:rPr>
              <w:t>分，本项最多得2</w:t>
            </w:r>
            <w:r>
              <w:rPr>
                <w:rFonts w:hint="eastAsia" w:ascii="仿宋" w:hAnsi="仿宋" w:eastAsia="仿宋" w:cs="仿宋"/>
                <w:sz w:val="24"/>
                <w:szCs w:val="24"/>
                <w:lang w:val="en-US" w:eastAsia="zh-CN" w:bidi="ar"/>
              </w:rPr>
              <w:t>4</w:t>
            </w:r>
            <w:r>
              <w:rPr>
                <w:rFonts w:hint="eastAsia" w:ascii="仿宋" w:hAnsi="仿宋" w:eastAsia="仿宋" w:cs="仿宋"/>
                <w:sz w:val="24"/>
                <w:szCs w:val="24"/>
                <w:lang w:bidi="ar"/>
              </w:rPr>
              <w:t>分。</w:t>
            </w:r>
          </w:p>
        </w:tc>
        <w:tc>
          <w:tcPr>
            <w:tcW w:w="0" w:type="auto"/>
            <w:tcBorders>
              <w:top w:val="single" w:color="auto" w:sz="4" w:space="0"/>
              <w:left w:val="single" w:color="auto" w:sz="4" w:space="0"/>
              <w:bottom w:val="single" w:color="auto" w:sz="4" w:space="0"/>
              <w:right w:val="single" w:color="auto" w:sz="4" w:space="0"/>
            </w:tcBorders>
            <w:vAlign w:val="center"/>
          </w:tcPr>
          <w:p w14:paraId="7A53F85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腾讯会议演示</w:t>
            </w:r>
          </w:p>
        </w:tc>
      </w:tr>
      <w:tr w14:paraId="0A88C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left w:val="single" w:color="auto" w:sz="4" w:space="0"/>
              <w:bottom w:val="single" w:color="auto" w:sz="4" w:space="0"/>
              <w:right w:val="single" w:color="auto" w:sz="4" w:space="0"/>
            </w:tcBorders>
            <w:vAlign w:val="center"/>
          </w:tcPr>
          <w:p w14:paraId="58A7F2F2">
            <w:pPr>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lang w:bidi="ar"/>
              </w:rPr>
              <w:t>3</w:t>
            </w:r>
          </w:p>
        </w:tc>
        <w:tc>
          <w:tcPr>
            <w:tcW w:w="0" w:type="auto"/>
            <w:tcBorders>
              <w:left w:val="single" w:color="auto" w:sz="4" w:space="0"/>
              <w:bottom w:val="single" w:color="auto" w:sz="4" w:space="0"/>
              <w:right w:val="single" w:color="auto" w:sz="4" w:space="0"/>
            </w:tcBorders>
            <w:vAlign w:val="center"/>
          </w:tcPr>
          <w:p w14:paraId="59CDD5B4">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服务方案</w:t>
            </w:r>
          </w:p>
          <w:p w14:paraId="46B43ECD">
            <w:pPr>
              <w:pStyle w:val="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bidi="ar"/>
              </w:rPr>
              <w:t>15%</w:t>
            </w:r>
          </w:p>
        </w:tc>
        <w:tc>
          <w:tcPr>
            <w:tcW w:w="0" w:type="auto"/>
            <w:tcBorders>
              <w:top w:val="single" w:color="auto" w:sz="4" w:space="0"/>
              <w:left w:val="single" w:color="auto" w:sz="4" w:space="0"/>
              <w:bottom w:val="single" w:color="auto" w:sz="4" w:space="0"/>
              <w:right w:val="single" w:color="auto" w:sz="4" w:space="0"/>
            </w:tcBorders>
            <w:vAlign w:val="center"/>
          </w:tcPr>
          <w:p w14:paraId="49C88B8D">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lang w:val="en-US" w:eastAsia="zh-CN"/>
              </w:rPr>
              <w:t>1</w:t>
            </w:r>
            <w:r>
              <w:rPr>
                <w:rFonts w:hint="eastAsia" w:ascii="仿宋" w:hAnsi="仿宋" w:eastAsia="仿宋" w:cs="仿宋"/>
                <w:sz w:val="24"/>
                <w:szCs w:val="24"/>
              </w:rPr>
              <w:t>5分</w:t>
            </w:r>
          </w:p>
        </w:tc>
        <w:tc>
          <w:tcPr>
            <w:tcW w:w="0" w:type="auto"/>
            <w:tcBorders>
              <w:top w:val="single" w:color="auto" w:sz="4" w:space="0"/>
              <w:left w:val="single" w:color="auto" w:sz="4" w:space="0"/>
              <w:bottom w:val="single" w:color="auto" w:sz="4" w:space="0"/>
              <w:right w:val="single" w:color="auto" w:sz="4" w:space="0"/>
            </w:tcBorders>
            <w:vAlign w:val="center"/>
          </w:tcPr>
          <w:p w14:paraId="47FFF389">
            <w:pPr>
              <w:pStyle w:val="2"/>
              <w:pageBreakBefore w:val="0"/>
              <w:widowControl w:val="0"/>
              <w:numPr>
                <w:ilvl w:val="0"/>
                <w:numId w:val="0"/>
              </w:numPr>
              <w:kinsoku/>
              <w:wordWrap/>
              <w:overflowPunct/>
              <w:topLinePunct w:val="0"/>
              <w:autoSpaceDE/>
              <w:autoSpaceDN/>
              <w:bidi w:val="0"/>
              <w:adjustRightInd w:val="0"/>
              <w:spacing w:line="240" w:lineRule="auto"/>
              <w:ind w:left="0" w:firstLine="0" w:firstLineChars="0"/>
              <w:jc w:val="left"/>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1</w:t>
            </w:r>
            <w:r>
              <w:rPr>
                <w:rFonts w:hint="eastAsia" w:ascii="仿宋" w:hAnsi="仿宋" w:eastAsia="仿宋" w:cs="仿宋"/>
                <w:b w:val="0"/>
                <w:bCs/>
                <w:sz w:val="24"/>
                <w:szCs w:val="24"/>
                <w:lang w:val="en-US" w:eastAsia="zh-CN"/>
              </w:rPr>
              <w:t>.</w:t>
            </w:r>
            <w:r>
              <w:rPr>
                <w:rFonts w:hint="eastAsia" w:ascii="仿宋" w:hAnsi="仿宋" w:eastAsia="仿宋" w:cs="仿宋"/>
                <w:b w:val="0"/>
                <w:bCs/>
                <w:sz w:val="24"/>
                <w:szCs w:val="24"/>
                <w:lang w:val="en-US"/>
              </w:rPr>
              <w:t>供应商提供针对本项目的实施方案（9分）：</w:t>
            </w:r>
          </w:p>
          <w:p w14:paraId="2F3C48B0">
            <w:pPr>
              <w:pStyle w:val="2"/>
              <w:pageBreakBefore w:val="0"/>
              <w:widowControl w:val="0"/>
              <w:numPr>
                <w:ilvl w:val="0"/>
                <w:numId w:val="0"/>
              </w:numPr>
              <w:kinsoku/>
              <w:wordWrap/>
              <w:overflowPunct/>
              <w:topLinePunct w:val="0"/>
              <w:autoSpaceDE/>
              <w:autoSpaceDN/>
              <w:bidi w:val="0"/>
              <w:adjustRightInd w:val="0"/>
              <w:spacing w:line="240" w:lineRule="auto"/>
              <w:ind w:left="0" w:firstLine="0" w:firstLineChars="0"/>
              <w:jc w:val="left"/>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至少包括</w:t>
            </w:r>
            <w:r>
              <w:rPr>
                <w:rFonts w:hint="eastAsia" w:ascii="仿宋" w:hAnsi="仿宋" w:eastAsia="仿宋" w:cs="仿宋"/>
                <w:b w:val="0"/>
                <w:bCs/>
                <w:sz w:val="24"/>
                <w:szCs w:val="24"/>
                <w:lang w:val="en-US" w:eastAsia="zh-CN"/>
              </w:rPr>
              <w:t>①</w:t>
            </w:r>
            <w:r>
              <w:rPr>
                <w:rFonts w:hint="eastAsia" w:ascii="仿宋" w:hAnsi="仿宋" w:eastAsia="仿宋" w:cs="仿宋"/>
                <w:b w:val="0"/>
                <w:bCs/>
                <w:sz w:val="24"/>
                <w:szCs w:val="24"/>
                <w:lang w:val="en-US"/>
              </w:rPr>
              <w:t>实施进度计划及安排（至少包括：硬件及软件交付进度）</w:t>
            </w:r>
            <w:r>
              <w:rPr>
                <w:rFonts w:hint="eastAsia" w:ascii="仿宋" w:hAnsi="仿宋" w:eastAsia="仿宋" w:cs="仿宋"/>
                <w:b w:val="0"/>
                <w:bCs/>
                <w:sz w:val="24"/>
                <w:szCs w:val="24"/>
                <w:lang w:val="en-US" w:eastAsia="zh-CN"/>
              </w:rPr>
              <w:t>、②</w:t>
            </w:r>
            <w:r>
              <w:rPr>
                <w:rFonts w:hint="eastAsia" w:ascii="仿宋" w:hAnsi="仿宋" w:eastAsia="仿宋" w:cs="仿宋"/>
                <w:b w:val="0"/>
                <w:bCs/>
                <w:sz w:val="24"/>
                <w:szCs w:val="24"/>
                <w:lang w:val="en-US"/>
              </w:rPr>
              <w:t>系统开发</w:t>
            </w:r>
            <w:r>
              <w:rPr>
                <w:rFonts w:hint="eastAsia" w:ascii="仿宋" w:hAnsi="仿宋" w:eastAsia="仿宋" w:cs="仿宋"/>
                <w:b w:val="0"/>
                <w:bCs/>
                <w:sz w:val="24"/>
                <w:szCs w:val="24"/>
                <w:lang w:val="en-US" w:eastAsia="zh-CN"/>
              </w:rPr>
              <w:t>和对接</w:t>
            </w:r>
            <w:r>
              <w:rPr>
                <w:rFonts w:hint="eastAsia" w:ascii="仿宋" w:hAnsi="仿宋" w:eastAsia="仿宋" w:cs="仿宋"/>
                <w:b w:val="0"/>
                <w:bCs/>
                <w:sz w:val="24"/>
                <w:szCs w:val="24"/>
                <w:lang w:val="en-US"/>
              </w:rPr>
              <w:t>方案</w:t>
            </w:r>
            <w:r>
              <w:rPr>
                <w:rFonts w:hint="eastAsia" w:ascii="仿宋" w:hAnsi="仿宋" w:eastAsia="仿宋" w:cs="仿宋"/>
                <w:b w:val="0"/>
                <w:bCs/>
                <w:sz w:val="24"/>
                <w:szCs w:val="24"/>
                <w:lang w:val="en-US" w:eastAsia="zh-CN"/>
              </w:rPr>
              <w:t>、③风险控制</w:t>
            </w:r>
            <w:r>
              <w:rPr>
                <w:rFonts w:hint="eastAsia" w:ascii="仿宋" w:hAnsi="仿宋" w:eastAsia="仿宋" w:cs="仿宋"/>
                <w:b w:val="0"/>
                <w:bCs/>
                <w:sz w:val="24"/>
                <w:szCs w:val="24"/>
                <w:lang w:val="en-US"/>
              </w:rPr>
              <w:t>方案</w:t>
            </w:r>
            <w:r>
              <w:rPr>
                <w:rFonts w:hint="eastAsia" w:ascii="仿宋" w:hAnsi="仿宋" w:eastAsia="仿宋" w:cs="仿宋"/>
                <w:b w:val="0"/>
                <w:bCs/>
                <w:sz w:val="24"/>
                <w:szCs w:val="24"/>
                <w:lang w:val="en-US" w:eastAsia="zh-CN"/>
              </w:rPr>
              <w:t>（至少包含</w:t>
            </w:r>
            <w:r>
              <w:rPr>
                <w:rFonts w:hint="eastAsia" w:ascii="仿宋" w:hAnsi="仿宋" w:eastAsia="仿宋" w:cs="仿宋"/>
                <w:b w:val="0"/>
                <w:bCs/>
                <w:sz w:val="24"/>
                <w:szCs w:val="24"/>
                <w:lang w:val="en-US"/>
              </w:rPr>
              <w:t>质量保障</w:t>
            </w:r>
            <w:r>
              <w:rPr>
                <w:rFonts w:hint="eastAsia" w:ascii="仿宋" w:hAnsi="仿宋" w:eastAsia="仿宋" w:cs="仿宋"/>
                <w:b w:val="0"/>
                <w:bCs/>
                <w:sz w:val="24"/>
                <w:szCs w:val="24"/>
                <w:lang w:val="en-US" w:eastAsia="zh-CN"/>
              </w:rPr>
              <w:t>，</w:t>
            </w:r>
            <w:r>
              <w:rPr>
                <w:rFonts w:hint="eastAsia" w:ascii="仿宋" w:hAnsi="仿宋" w:eastAsia="仿宋" w:cs="仿宋"/>
                <w:b w:val="0"/>
                <w:bCs/>
                <w:sz w:val="24"/>
                <w:szCs w:val="24"/>
                <w:lang w:val="en-US"/>
              </w:rPr>
              <w:t>风险控制措</w:t>
            </w:r>
            <w:r>
              <w:rPr>
                <w:rFonts w:hint="eastAsia" w:ascii="仿宋" w:hAnsi="仿宋" w:eastAsia="仿宋" w:cs="仿宋"/>
                <w:b w:val="0"/>
                <w:bCs/>
                <w:sz w:val="24"/>
                <w:szCs w:val="24"/>
                <w:lang w:val="en-US" w:eastAsia="zh-CN"/>
              </w:rPr>
              <w:t>施，</w:t>
            </w:r>
            <w:r>
              <w:rPr>
                <w:rFonts w:hint="eastAsia" w:ascii="仿宋" w:hAnsi="仿宋" w:eastAsia="仿宋" w:cs="仿宋"/>
                <w:b w:val="0"/>
                <w:bCs/>
                <w:sz w:val="24"/>
                <w:szCs w:val="24"/>
                <w:lang w:val="en-US"/>
              </w:rPr>
              <w:t>系统安全</w:t>
            </w:r>
            <w:r>
              <w:rPr>
                <w:rFonts w:hint="eastAsia" w:ascii="仿宋" w:hAnsi="仿宋" w:eastAsia="仿宋" w:cs="仿宋"/>
                <w:b w:val="0"/>
                <w:bCs/>
                <w:sz w:val="24"/>
                <w:szCs w:val="24"/>
                <w:lang w:val="en-US" w:eastAsia="zh-CN"/>
              </w:rPr>
              <w:t>）。</w:t>
            </w:r>
          </w:p>
          <w:p w14:paraId="19D06867">
            <w:pPr>
              <w:pStyle w:val="2"/>
              <w:pageBreakBefore w:val="0"/>
              <w:widowControl w:val="0"/>
              <w:numPr>
                <w:ilvl w:val="0"/>
                <w:numId w:val="0"/>
              </w:numPr>
              <w:kinsoku/>
              <w:wordWrap/>
              <w:overflowPunct/>
              <w:topLinePunct w:val="0"/>
              <w:autoSpaceDE/>
              <w:autoSpaceDN/>
              <w:bidi w:val="0"/>
              <w:adjustRightInd w:val="0"/>
              <w:spacing w:line="240" w:lineRule="auto"/>
              <w:ind w:left="0" w:firstLine="0" w:firstLineChars="0"/>
              <w:jc w:val="left"/>
              <w:rPr>
                <w:rFonts w:hint="eastAsia" w:ascii="仿宋" w:hAnsi="仿宋" w:eastAsia="仿宋" w:cs="仿宋"/>
                <w:b w:val="0"/>
                <w:bCs/>
                <w:sz w:val="24"/>
                <w:szCs w:val="24"/>
                <w:lang w:val="en-US"/>
              </w:rPr>
            </w:pPr>
            <w:r>
              <w:rPr>
                <w:rFonts w:hint="eastAsia" w:ascii="仿宋" w:hAnsi="仿宋" w:eastAsia="仿宋" w:cs="仿宋"/>
                <w:b w:val="0"/>
                <w:bCs/>
                <w:sz w:val="24"/>
                <w:szCs w:val="24"/>
                <w:lang w:val="en-US"/>
              </w:rPr>
              <w:t>完全满足以上内容的得9分。每有一处缺项扣3分，其中每有一项存在任意缺陷或不足的扣</w:t>
            </w:r>
            <w:r>
              <w:rPr>
                <w:rFonts w:hint="eastAsia" w:ascii="仿宋" w:hAnsi="仿宋" w:eastAsia="仿宋" w:cs="仿宋"/>
                <w:b w:val="0"/>
                <w:bCs/>
                <w:sz w:val="24"/>
                <w:szCs w:val="24"/>
                <w:lang w:val="en-US" w:eastAsia="zh-CN"/>
              </w:rPr>
              <w:t>1.5</w:t>
            </w:r>
            <w:r>
              <w:rPr>
                <w:rFonts w:hint="eastAsia" w:ascii="仿宋" w:hAnsi="仿宋" w:eastAsia="仿宋" w:cs="仿宋"/>
                <w:b w:val="0"/>
                <w:bCs/>
                <w:sz w:val="24"/>
                <w:szCs w:val="24"/>
                <w:lang w:val="en-US"/>
              </w:rPr>
              <w:t>分。</w:t>
            </w:r>
          </w:p>
          <w:p w14:paraId="777E71FD">
            <w:pPr>
              <w:pageBreakBefore w:val="0"/>
              <w:widowControl w:val="0"/>
              <w:numPr>
                <w:ilvl w:val="0"/>
                <w:numId w:val="0"/>
              </w:numPr>
              <w:kinsoku/>
              <w:wordWrap/>
              <w:overflowPunct/>
              <w:topLinePunct w:val="0"/>
              <w:autoSpaceDE/>
              <w:autoSpaceDN/>
              <w:bidi w:val="0"/>
              <w:adjustRightInd w:val="0"/>
              <w:spacing w:line="240" w:lineRule="auto"/>
              <w:ind w:left="0" w:leftChars="0" w:firstLine="0" w:firstLineChars="0"/>
              <w:jc w:val="left"/>
              <w:textAlignment w:val="center"/>
              <w:rPr>
                <w:rFonts w:hint="eastAsia" w:ascii="仿宋" w:hAnsi="仿宋" w:eastAsia="仿宋" w:cs="仿宋"/>
                <w:b w:val="0"/>
                <w:bCs/>
                <w:sz w:val="24"/>
                <w:szCs w:val="24"/>
                <w:lang w:val="en-US"/>
              </w:rPr>
            </w:pPr>
            <w:r>
              <w:rPr>
                <w:rFonts w:hint="eastAsia" w:ascii="仿宋" w:hAnsi="仿宋" w:eastAsia="仿宋" w:cs="仿宋"/>
                <w:b w:val="0"/>
                <w:bCs/>
                <w:kern w:val="2"/>
                <w:sz w:val="24"/>
                <w:szCs w:val="24"/>
                <w:lang w:val="en-US" w:eastAsia="zh-CN" w:bidi="ar-SA"/>
              </w:rPr>
              <w:t>2.</w:t>
            </w:r>
            <w:r>
              <w:rPr>
                <w:rFonts w:hint="eastAsia" w:ascii="仿宋" w:hAnsi="仿宋" w:eastAsia="仿宋" w:cs="仿宋"/>
                <w:b w:val="0"/>
                <w:bCs/>
                <w:sz w:val="24"/>
                <w:szCs w:val="24"/>
                <w:lang w:val="en-US"/>
              </w:rPr>
              <w:t>供应商提供针对本项目的售后方案（</w:t>
            </w:r>
            <w:r>
              <w:rPr>
                <w:rFonts w:hint="eastAsia" w:ascii="仿宋" w:hAnsi="仿宋" w:eastAsia="仿宋" w:cs="仿宋"/>
                <w:b w:val="0"/>
                <w:bCs/>
                <w:sz w:val="24"/>
                <w:szCs w:val="24"/>
                <w:lang w:val="en-US" w:eastAsia="zh-CN"/>
              </w:rPr>
              <w:t>6</w:t>
            </w:r>
            <w:r>
              <w:rPr>
                <w:rFonts w:hint="eastAsia" w:ascii="仿宋" w:hAnsi="仿宋" w:eastAsia="仿宋" w:cs="仿宋"/>
                <w:b w:val="0"/>
                <w:bCs/>
                <w:sz w:val="24"/>
                <w:szCs w:val="24"/>
                <w:lang w:val="en-US"/>
              </w:rPr>
              <w:t>分）</w:t>
            </w:r>
          </w:p>
          <w:p w14:paraId="114955DC">
            <w:pPr>
              <w:pStyle w:val="2"/>
              <w:pageBreakBefore w:val="0"/>
              <w:widowControl w:val="0"/>
              <w:numPr>
                <w:ilvl w:val="0"/>
                <w:numId w:val="0"/>
              </w:numPr>
              <w:kinsoku/>
              <w:wordWrap/>
              <w:overflowPunct/>
              <w:topLinePunct w:val="0"/>
              <w:autoSpaceDE/>
              <w:autoSpaceDN/>
              <w:bidi w:val="0"/>
              <w:adjustRightInd w:val="0"/>
              <w:spacing w:line="240" w:lineRule="auto"/>
              <w:ind w:left="0" w:firstLine="0" w:firstLineChars="0"/>
              <w:jc w:val="left"/>
              <w:rPr>
                <w:rFonts w:hint="eastAsia" w:ascii="仿宋" w:hAnsi="仿宋" w:eastAsia="仿宋" w:cs="仿宋"/>
                <w:sz w:val="24"/>
                <w:szCs w:val="24"/>
                <w:lang w:val="en-US"/>
              </w:rPr>
            </w:pPr>
            <w:r>
              <w:rPr>
                <w:rFonts w:hint="eastAsia" w:ascii="仿宋" w:hAnsi="仿宋" w:eastAsia="仿宋" w:cs="仿宋"/>
                <w:b w:val="0"/>
                <w:bCs/>
                <w:sz w:val="24"/>
                <w:szCs w:val="24"/>
                <w:lang w:val="en-US"/>
              </w:rPr>
              <w:t>至少包括</w:t>
            </w:r>
            <w:r>
              <w:rPr>
                <w:rFonts w:hint="eastAsia" w:ascii="仿宋" w:hAnsi="仿宋" w:eastAsia="仿宋" w:cs="仿宋"/>
                <w:b w:val="0"/>
                <w:bCs/>
                <w:sz w:val="24"/>
                <w:szCs w:val="24"/>
                <w:lang w:val="en-US" w:eastAsia="zh-CN"/>
              </w:rPr>
              <w:t>①售后服务驻场人员配置、②故障响应措施（至少包括：远程或现场的维修方案、巡检方案）、③维护维修服务保障（软件、硬件、备件）和培训方案。</w:t>
            </w:r>
          </w:p>
          <w:p w14:paraId="35DCD63B">
            <w:pPr>
              <w:pageBreakBefore w:val="0"/>
              <w:widowControl w:val="0"/>
              <w:kinsoku/>
              <w:wordWrap/>
              <w:overflowPunct/>
              <w:topLinePunct w:val="0"/>
              <w:autoSpaceDE/>
              <w:autoSpaceDN/>
              <w:bidi w:val="0"/>
              <w:spacing w:line="240" w:lineRule="auto"/>
              <w:ind w:firstLine="0" w:firstLineChars="0"/>
              <w:rPr>
                <w:rFonts w:hint="eastAsia" w:ascii="仿宋" w:hAnsi="仿宋" w:eastAsia="仿宋" w:cs="仿宋"/>
                <w:sz w:val="24"/>
                <w:szCs w:val="24"/>
                <w:lang w:val="en-US"/>
              </w:rPr>
            </w:pPr>
            <w:r>
              <w:rPr>
                <w:rFonts w:hint="eastAsia" w:ascii="仿宋" w:hAnsi="仿宋" w:eastAsia="仿宋" w:cs="仿宋"/>
                <w:sz w:val="24"/>
                <w:szCs w:val="24"/>
                <w:lang w:val="en-US"/>
              </w:rPr>
              <w:t>完全满足以上内容的得</w:t>
            </w:r>
            <w:r>
              <w:rPr>
                <w:rFonts w:hint="eastAsia" w:ascii="仿宋" w:hAnsi="仿宋" w:eastAsia="仿宋" w:cs="仿宋"/>
                <w:sz w:val="24"/>
                <w:szCs w:val="24"/>
                <w:lang w:val="en-US" w:eastAsia="zh-CN"/>
              </w:rPr>
              <w:t>6</w:t>
            </w:r>
            <w:r>
              <w:rPr>
                <w:rFonts w:hint="eastAsia" w:ascii="仿宋" w:hAnsi="仿宋" w:eastAsia="仿宋" w:cs="仿宋"/>
                <w:sz w:val="24"/>
                <w:szCs w:val="24"/>
                <w:lang w:val="en-US"/>
              </w:rPr>
              <w:t>分。每有一处缺项扣</w:t>
            </w:r>
            <w:r>
              <w:rPr>
                <w:rFonts w:hint="eastAsia" w:ascii="仿宋" w:hAnsi="仿宋" w:eastAsia="仿宋" w:cs="仿宋"/>
                <w:sz w:val="24"/>
                <w:szCs w:val="24"/>
                <w:lang w:val="en-US" w:eastAsia="zh-CN"/>
              </w:rPr>
              <w:t>2</w:t>
            </w:r>
            <w:r>
              <w:rPr>
                <w:rFonts w:hint="eastAsia" w:ascii="仿宋" w:hAnsi="仿宋" w:eastAsia="仿宋" w:cs="仿宋"/>
                <w:sz w:val="24"/>
                <w:szCs w:val="24"/>
                <w:lang w:val="en-US"/>
              </w:rPr>
              <w:t>分，其中每有一项存在任意缺陷或不足的扣</w:t>
            </w:r>
            <w:r>
              <w:rPr>
                <w:rFonts w:hint="eastAsia" w:ascii="仿宋" w:hAnsi="仿宋" w:eastAsia="仿宋" w:cs="仿宋"/>
                <w:sz w:val="24"/>
                <w:szCs w:val="24"/>
                <w:lang w:val="en-US" w:eastAsia="zh-CN"/>
              </w:rPr>
              <w:t>1</w:t>
            </w:r>
            <w:r>
              <w:rPr>
                <w:rFonts w:hint="eastAsia" w:ascii="仿宋" w:hAnsi="仿宋" w:eastAsia="仿宋" w:cs="仿宋"/>
                <w:sz w:val="24"/>
                <w:szCs w:val="24"/>
                <w:lang w:val="en-US"/>
              </w:rPr>
              <w:t>分。</w:t>
            </w:r>
          </w:p>
          <w:p w14:paraId="53B336F5">
            <w:pPr>
              <w:pStyle w:val="2"/>
              <w:pageBreakBefore w:val="0"/>
              <w:widowControl w:val="0"/>
              <w:numPr>
                <w:ilvl w:val="0"/>
                <w:numId w:val="0"/>
              </w:numPr>
              <w:kinsoku/>
              <w:wordWrap/>
              <w:overflowPunct/>
              <w:topLinePunct w:val="0"/>
              <w:autoSpaceDE/>
              <w:autoSpaceDN/>
              <w:bidi w:val="0"/>
              <w:adjustRightInd w:val="0"/>
              <w:spacing w:line="240" w:lineRule="auto"/>
              <w:ind w:left="0" w:firstLine="0" w:firstLineChars="0"/>
              <w:jc w:val="left"/>
              <w:rPr>
                <w:rFonts w:hint="eastAsia" w:ascii="仿宋" w:hAnsi="仿宋" w:eastAsia="仿宋" w:cs="仿宋"/>
                <w:sz w:val="24"/>
                <w:szCs w:val="24"/>
              </w:rPr>
            </w:pPr>
            <w:r>
              <w:rPr>
                <w:rFonts w:hint="eastAsia" w:ascii="仿宋" w:hAnsi="仿宋" w:eastAsia="仿宋" w:cs="仿宋"/>
                <w:b w:val="0"/>
                <w:bCs/>
                <w:sz w:val="24"/>
                <w:szCs w:val="24"/>
                <w:lang w:val="en-US" w:eastAsia="zh-CN"/>
              </w:rPr>
              <w:t>注：</w:t>
            </w:r>
            <w:r>
              <w:rPr>
                <w:rFonts w:hint="eastAsia" w:ascii="仿宋" w:hAnsi="仿宋" w:eastAsia="仿宋" w:cs="仿宋"/>
                <w:b w:val="0"/>
                <w:bCs/>
                <w:sz w:val="24"/>
                <w:szCs w:val="24"/>
                <w:lang w:val="en-US"/>
              </w:rPr>
              <w:t>缺陷或不足是指：与实际情况不符、不符合项目特点、内容表述错误、内容与项目不匹配、项目信息错误、内容偏离了该项目的实际需求或存在与本项目无关的内容、内容非专门针对本项目或不适用项目特性的情形、涉及的规范及标准错误等任意一种情形。</w:t>
            </w:r>
          </w:p>
        </w:tc>
        <w:tc>
          <w:tcPr>
            <w:tcW w:w="0" w:type="auto"/>
            <w:tcBorders>
              <w:top w:val="single" w:color="auto" w:sz="4" w:space="0"/>
              <w:left w:val="single" w:color="auto" w:sz="4" w:space="0"/>
              <w:bottom w:val="single" w:color="auto" w:sz="4" w:space="0"/>
              <w:right w:val="single" w:color="auto" w:sz="4" w:space="0"/>
            </w:tcBorders>
            <w:vAlign w:val="center"/>
          </w:tcPr>
          <w:p w14:paraId="243C982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0BBCF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left w:val="single" w:color="auto" w:sz="4" w:space="0"/>
              <w:bottom w:val="single" w:color="auto" w:sz="4" w:space="0"/>
              <w:right w:val="single" w:color="auto" w:sz="4" w:space="0"/>
            </w:tcBorders>
            <w:vAlign w:val="center"/>
          </w:tcPr>
          <w:p w14:paraId="2445FE33">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lang w:bidi="ar"/>
              </w:rPr>
              <w:t>4</w:t>
            </w:r>
          </w:p>
        </w:tc>
        <w:tc>
          <w:tcPr>
            <w:tcW w:w="0" w:type="auto"/>
            <w:tcBorders>
              <w:left w:val="single" w:color="auto" w:sz="4" w:space="0"/>
              <w:bottom w:val="single" w:color="auto" w:sz="4" w:space="0"/>
              <w:right w:val="single" w:color="auto" w:sz="4" w:space="0"/>
            </w:tcBorders>
            <w:vAlign w:val="center"/>
          </w:tcPr>
          <w:p w14:paraId="521360DF">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公司实力</w:t>
            </w:r>
          </w:p>
          <w:p w14:paraId="79495A5F">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sz w:val="24"/>
                <w:szCs w:val="24"/>
                <w:lang w:val="en-US" w:eastAsia="zh-CN" w:bidi="ar"/>
              </w:rPr>
              <w:t>8%</w:t>
            </w:r>
          </w:p>
        </w:tc>
        <w:tc>
          <w:tcPr>
            <w:tcW w:w="0" w:type="auto"/>
            <w:tcBorders>
              <w:top w:val="single" w:color="auto" w:sz="4" w:space="0"/>
              <w:left w:val="single" w:color="auto" w:sz="4" w:space="0"/>
              <w:bottom w:val="single" w:color="auto" w:sz="4" w:space="0"/>
              <w:right w:val="single" w:color="auto" w:sz="4" w:space="0"/>
            </w:tcBorders>
            <w:vAlign w:val="center"/>
          </w:tcPr>
          <w:p w14:paraId="35228BFA">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sz w:val="24"/>
                <w:szCs w:val="24"/>
                <w:lang w:val="en-US" w:eastAsia="zh-CN" w:bidi="ar"/>
              </w:rPr>
              <w:t>8分</w:t>
            </w:r>
          </w:p>
        </w:tc>
        <w:tc>
          <w:tcPr>
            <w:tcW w:w="0" w:type="auto"/>
            <w:tcBorders>
              <w:top w:val="single" w:color="auto" w:sz="4" w:space="0"/>
              <w:left w:val="single" w:color="auto" w:sz="4" w:space="0"/>
              <w:bottom w:val="single" w:color="auto" w:sz="4" w:space="0"/>
              <w:right w:val="single" w:color="auto" w:sz="4" w:space="0"/>
            </w:tcBorders>
            <w:vAlign w:val="center"/>
          </w:tcPr>
          <w:p w14:paraId="00081B03">
            <w:pPr>
              <w:pStyle w:val="2"/>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left"/>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1.供应商</w:t>
            </w:r>
            <w:r>
              <w:rPr>
                <w:rFonts w:hint="eastAsia" w:ascii="仿宋" w:hAnsi="仿宋" w:eastAsia="仿宋" w:cs="仿宋"/>
                <w:b w:val="0"/>
                <w:bCs w:val="0"/>
                <w:sz w:val="24"/>
                <w:szCs w:val="24"/>
                <w:lang w:val="en-US" w:eastAsia="zh-CN"/>
              </w:rPr>
              <w:t>响应的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自助机生产厂家具有能力成熟度模型集成CMMI等级证书三级或以上的得4分。</w:t>
            </w:r>
          </w:p>
          <w:p w14:paraId="45BBAB49">
            <w:pPr>
              <w:pStyle w:val="2"/>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left"/>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证明材料：提供有效期内的认证证书复印件和在https://www.cmmizw.com/网站查询有效的截图（显示网站信息且截图状态的为有效）并加盖供应商公章；未按要求提供或提供不清晰导致无法判断的，不得分。</w:t>
            </w:r>
          </w:p>
          <w:p w14:paraId="04749B39">
            <w:pPr>
              <w:pStyle w:val="2"/>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left"/>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2.供应商响应的自助机产品生产厂家具有信息系统建设和服务能力等级证书二级或以上的得4分。</w:t>
            </w:r>
          </w:p>
          <w:p w14:paraId="14824323">
            <w:pPr>
              <w:pStyle w:val="2"/>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left"/>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证明材料：提供有效期内的认证证书复印件和在www.cs-cas.cn 网站查询有效的截图（显示网站信息且截图状态的为有效）并加盖供应商公章；未按要求提供或提供不清晰导致无法判断的，不得分。</w:t>
            </w:r>
          </w:p>
        </w:tc>
        <w:tc>
          <w:tcPr>
            <w:tcW w:w="0" w:type="auto"/>
            <w:tcBorders>
              <w:top w:val="single" w:color="auto" w:sz="4" w:space="0"/>
              <w:left w:val="single" w:color="auto" w:sz="4" w:space="0"/>
              <w:bottom w:val="single" w:color="auto" w:sz="4" w:space="0"/>
              <w:right w:val="single" w:color="auto" w:sz="4" w:space="0"/>
            </w:tcBorders>
            <w:vAlign w:val="center"/>
          </w:tcPr>
          <w:p w14:paraId="4530A00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7975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227AF37E">
            <w:pPr>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sz w:val="24"/>
                <w:szCs w:val="24"/>
                <w:lang w:bidi="ar"/>
              </w:rPr>
              <w:t>5</w:t>
            </w:r>
          </w:p>
        </w:tc>
        <w:tc>
          <w:tcPr>
            <w:tcW w:w="0" w:type="auto"/>
            <w:tcBorders>
              <w:top w:val="single" w:color="auto" w:sz="4" w:space="0"/>
              <w:left w:val="single" w:color="auto" w:sz="4" w:space="0"/>
              <w:bottom w:val="single" w:color="auto" w:sz="4" w:space="0"/>
              <w:right w:val="single" w:color="auto" w:sz="4" w:space="0"/>
            </w:tcBorders>
            <w:vAlign w:val="center"/>
          </w:tcPr>
          <w:p w14:paraId="2C2A59E6">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b w:val="0"/>
                <w:bCs w:val="0"/>
                <w:sz w:val="24"/>
                <w:szCs w:val="24"/>
                <w:lang w:val="en-US" w:eastAsia="zh-CN" w:bidi="ar"/>
              </w:rPr>
            </w:pPr>
            <w:r>
              <w:rPr>
                <w:rFonts w:hint="eastAsia" w:ascii="仿宋" w:hAnsi="仿宋" w:eastAsia="仿宋" w:cs="仿宋"/>
                <w:b w:val="0"/>
                <w:bCs w:val="0"/>
                <w:sz w:val="24"/>
                <w:szCs w:val="24"/>
                <w:lang w:val="en-US" w:eastAsia="zh-CN" w:bidi="ar"/>
              </w:rPr>
              <w:t>项目保障</w:t>
            </w:r>
          </w:p>
          <w:p w14:paraId="52930322">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b w:val="0"/>
                <w:bCs w:val="0"/>
                <w:color w:val="000000" w:themeColor="text1"/>
                <w:sz w:val="24"/>
                <w:szCs w:val="24"/>
                <w:highlight w:val="none"/>
                <w:lang w:val="en-US"/>
                <w14:textFill>
                  <w14:solidFill>
                    <w14:schemeClr w14:val="tx1"/>
                  </w14:solidFill>
                </w14:textFill>
              </w:rPr>
            </w:pPr>
            <w:r>
              <w:rPr>
                <w:rFonts w:hint="eastAsia" w:ascii="仿宋" w:hAnsi="仿宋" w:eastAsia="仿宋" w:cs="仿宋"/>
                <w:b w:val="0"/>
                <w:bCs w:val="0"/>
                <w:sz w:val="24"/>
                <w:szCs w:val="24"/>
                <w:lang w:val="en-US" w:eastAsia="zh-CN" w:bidi="ar"/>
              </w:rPr>
              <w:t>15%</w:t>
            </w:r>
          </w:p>
        </w:tc>
        <w:tc>
          <w:tcPr>
            <w:tcW w:w="0" w:type="auto"/>
            <w:tcBorders>
              <w:top w:val="single" w:color="auto" w:sz="4" w:space="0"/>
              <w:left w:val="single" w:color="auto" w:sz="4" w:space="0"/>
              <w:bottom w:val="single" w:color="auto" w:sz="4" w:space="0"/>
              <w:right w:val="single" w:color="auto" w:sz="4" w:space="0"/>
            </w:tcBorders>
            <w:vAlign w:val="center"/>
          </w:tcPr>
          <w:p w14:paraId="6E95E8F8">
            <w:pPr>
              <w:pageBreakBefore w:val="0"/>
              <w:widowControl w:val="0"/>
              <w:kinsoku/>
              <w:wordWrap/>
              <w:overflowPunct/>
              <w:topLinePunct w:val="0"/>
              <w:autoSpaceDE/>
              <w:autoSpaceDN/>
              <w:bidi w:val="0"/>
              <w:adjustRightInd w:val="0"/>
              <w:spacing w:line="240" w:lineRule="auto"/>
              <w:ind w:left="0" w:firstLine="0" w:firstLineChars="0"/>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15分</w:t>
            </w:r>
          </w:p>
        </w:tc>
        <w:tc>
          <w:tcPr>
            <w:tcW w:w="0" w:type="auto"/>
            <w:tcBorders>
              <w:top w:val="single" w:color="auto" w:sz="4" w:space="0"/>
              <w:left w:val="single" w:color="auto" w:sz="4" w:space="0"/>
              <w:bottom w:val="single" w:color="auto" w:sz="4" w:space="0"/>
              <w:right w:val="single" w:color="auto" w:sz="4" w:space="0"/>
            </w:tcBorders>
            <w:vAlign w:val="center"/>
          </w:tcPr>
          <w:p w14:paraId="341E1B46">
            <w:pPr>
              <w:pStyle w:val="2"/>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both"/>
              <w:rPr>
                <w:rFonts w:hint="eastAsia" w:ascii="仿宋" w:hAnsi="仿宋" w:eastAsia="仿宋" w:cs="仿宋"/>
                <w:b w:val="0"/>
                <w:bCs w:val="0"/>
                <w:color w:val="000000" w:themeColor="text1"/>
                <w:sz w:val="24"/>
                <w:szCs w:val="24"/>
                <w:highlight w:val="none"/>
                <w:lang w:val="en-US"/>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14:textFill>
                  <w14:solidFill>
                    <w14:schemeClr w14:val="tx1"/>
                  </w14:solidFill>
                </w14:textFill>
              </w:rPr>
              <w:t>供应商提供在全国范国内与医院现有系统完成对接的(东软集团的HIS、LIS系统</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试金石软件的心超系统</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欧利德电子的鉴到系统</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纳龙健康的心电系统</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w:t>
            </w:r>
            <w:r>
              <w:rPr>
                <w:rFonts w:hint="default" w:ascii="仿宋" w:hAnsi="仿宋" w:eastAsia="仿宋" w:cs="仿宋"/>
                <w:sz w:val="24"/>
                <w:szCs w:val="24"/>
                <w:lang w:val="en-US" w:eastAsia="zh-CN"/>
              </w:rPr>
              <w:t>测试结果为通过</w:t>
            </w:r>
            <w:r>
              <w:rPr>
                <w:rFonts w:hint="eastAsia" w:ascii="仿宋" w:hAnsi="仿宋" w:eastAsia="仿宋" w:cs="仿宋"/>
                <w:sz w:val="24"/>
                <w:szCs w:val="24"/>
                <w:lang w:val="en-US" w:eastAsia="zh-CN"/>
              </w:rPr>
              <w:t>的</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融合性测试证明文件</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（须相关系统公司盖章有效）；</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每有一个得</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分，本项最高得1</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分。</w:t>
            </w:r>
          </w:p>
          <w:p w14:paraId="00876476">
            <w:pPr>
              <w:pStyle w:val="2"/>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both"/>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14:textFill>
                  <w14:solidFill>
                    <w14:schemeClr w14:val="tx1"/>
                  </w14:solidFill>
                </w14:textFill>
              </w:rPr>
              <w:t>注：同一系统不重复计分，提供</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融合性</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证明文件</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复印件</w:t>
            </w:r>
            <w:r>
              <w:rPr>
                <w:rFonts w:hint="eastAsia" w:ascii="仿宋" w:hAnsi="仿宋" w:eastAsia="仿宋" w:cs="仿宋"/>
                <w:b w:val="0"/>
                <w:bCs w:val="0"/>
                <w:color w:val="000000" w:themeColor="text1"/>
                <w:sz w:val="24"/>
                <w:szCs w:val="24"/>
                <w:highlight w:val="none"/>
                <w:lang w:val="en-US"/>
                <w14:textFill>
                  <w14:solidFill>
                    <w14:schemeClr w14:val="tx1"/>
                  </w14:solidFill>
                </w14:textFill>
              </w:rPr>
              <w:t>并加盖供应商公章。</w:t>
            </w:r>
          </w:p>
        </w:tc>
        <w:tc>
          <w:tcPr>
            <w:tcW w:w="0" w:type="auto"/>
            <w:tcBorders>
              <w:top w:val="single" w:color="auto" w:sz="4" w:space="0"/>
              <w:left w:val="single" w:color="auto" w:sz="4" w:space="0"/>
              <w:bottom w:val="single" w:color="auto" w:sz="4" w:space="0"/>
              <w:right w:val="single" w:color="auto" w:sz="4" w:space="0"/>
            </w:tcBorders>
            <w:vAlign w:val="center"/>
          </w:tcPr>
          <w:p w14:paraId="10891AF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r w14:paraId="131ED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14:paraId="1B60042C">
            <w:pPr>
              <w:pageBreakBefore w:val="0"/>
              <w:widowControl w:val="0"/>
              <w:numPr>
                <w:ilvl w:val="255"/>
                <w:numId w:val="0"/>
              </w:numPr>
              <w:kinsoku/>
              <w:wordWrap/>
              <w:overflowPunct/>
              <w:topLinePunct w:val="0"/>
              <w:autoSpaceDE/>
              <w:autoSpaceDN/>
              <w:bidi w:val="0"/>
              <w:adjustRightInd w:val="0"/>
              <w:spacing w:line="240" w:lineRule="auto"/>
              <w:ind w:left="0" w:leftChars="0" w:firstLine="0" w:firstLineChars="0"/>
              <w:jc w:val="center"/>
              <w:rPr>
                <w:rFonts w:hint="eastAsia" w:ascii="仿宋" w:hAnsi="仿宋" w:eastAsia="仿宋" w:cs="仿宋"/>
                <w:sz w:val="24"/>
                <w:szCs w:val="24"/>
                <w:lang w:val="en-US" w:eastAsia="zh-CN" w:bidi="ar"/>
              </w:rPr>
            </w:pPr>
            <w:r>
              <w:rPr>
                <w:rFonts w:hint="eastAsia" w:ascii="仿宋" w:hAnsi="仿宋" w:eastAsia="仿宋" w:cs="仿宋"/>
                <w:sz w:val="24"/>
                <w:szCs w:val="24"/>
                <w:lang w:val="en-US" w:eastAsia="zh-CN" w:bidi="ar"/>
              </w:rPr>
              <w:t>6</w:t>
            </w:r>
          </w:p>
        </w:tc>
        <w:tc>
          <w:tcPr>
            <w:tcW w:w="0" w:type="auto"/>
            <w:tcBorders>
              <w:top w:val="single" w:color="auto" w:sz="4" w:space="0"/>
              <w:left w:val="single" w:color="auto" w:sz="4" w:space="0"/>
              <w:bottom w:val="single" w:color="auto" w:sz="4" w:space="0"/>
              <w:right w:val="single" w:color="auto" w:sz="4" w:space="0"/>
            </w:tcBorders>
            <w:vAlign w:val="center"/>
          </w:tcPr>
          <w:p w14:paraId="2E1AE6C0">
            <w:pPr>
              <w:pageBreakBefore w:val="0"/>
              <w:widowControl w:val="0"/>
              <w:kinsoku/>
              <w:wordWrap/>
              <w:overflowPunct/>
              <w:topLinePunct w:val="0"/>
              <w:autoSpaceDE/>
              <w:autoSpaceDN/>
              <w:bidi w:val="0"/>
              <w:spacing w:line="240" w:lineRule="auto"/>
              <w:ind w:firstLine="0" w:firstLineChars="0"/>
              <w:jc w:val="center"/>
              <w:rPr>
                <w:rFonts w:hint="eastAsia" w:ascii="仿宋" w:hAnsi="仿宋" w:eastAsia="仿宋" w:cs="仿宋"/>
                <w:sz w:val="24"/>
                <w:szCs w:val="24"/>
                <w:lang w:bidi="ar"/>
              </w:rPr>
            </w:pPr>
            <w:r>
              <w:rPr>
                <w:rFonts w:hint="eastAsia" w:ascii="仿宋" w:hAnsi="仿宋" w:eastAsia="仿宋" w:cs="仿宋"/>
                <w:sz w:val="24"/>
                <w:szCs w:val="24"/>
                <w:lang w:bidi="ar"/>
              </w:rPr>
              <w:t>业绩</w:t>
            </w:r>
          </w:p>
          <w:p w14:paraId="61493389">
            <w:pPr>
              <w:pageBreakBefore w:val="0"/>
              <w:widowControl w:val="0"/>
              <w:kinsoku/>
              <w:wordWrap/>
              <w:overflowPunct/>
              <w:topLinePunct w:val="0"/>
              <w:autoSpaceDE/>
              <w:autoSpaceDN/>
              <w:bidi w:val="0"/>
              <w:spacing w:line="240" w:lineRule="auto"/>
              <w:ind w:firstLine="0" w:firstLineChars="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sz w:val="24"/>
                <w:szCs w:val="24"/>
                <w:lang w:val="en-US" w:eastAsia="zh-CN" w:bidi="ar"/>
              </w:rPr>
              <w:t>8</w:t>
            </w:r>
            <w:r>
              <w:rPr>
                <w:rFonts w:hint="eastAsia" w:ascii="仿宋" w:hAnsi="仿宋" w:eastAsia="仿宋" w:cs="仿宋"/>
                <w:sz w:val="24"/>
                <w:szCs w:val="24"/>
                <w:lang w:bidi="ar"/>
              </w:rPr>
              <w:t>%</w:t>
            </w:r>
          </w:p>
        </w:tc>
        <w:tc>
          <w:tcPr>
            <w:tcW w:w="0" w:type="auto"/>
            <w:tcBorders>
              <w:top w:val="single" w:color="auto" w:sz="4" w:space="0"/>
              <w:left w:val="single" w:color="auto" w:sz="4" w:space="0"/>
              <w:bottom w:val="single" w:color="auto" w:sz="4" w:space="0"/>
              <w:right w:val="single" w:color="auto" w:sz="4" w:space="0"/>
            </w:tcBorders>
            <w:vAlign w:val="center"/>
          </w:tcPr>
          <w:p w14:paraId="2C65C758">
            <w:pPr>
              <w:pageBreakBefore w:val="0"/>
              <w:widowControl w:val="0"/>
              <w:kinsoku/>
              <w:wordWrap/>
              <w:overflowPunct/>
              <w:topLinePunct w:val="0"/>
              <w:autoSpaceDE/>
              <w:autoSpaceDN/>
              <w:bidi w:val="0"/>
              <w:spacing w:line="240" w:lineRule="auto"/>
              <w:ind w:firstLine="0" w:firstLineChars="0"/>
              <w:jc w:val="center"/>
              <w:rPr>
                <w:rFonts w:hint="eastAsia" w:ascii="仿宋" w:hAnsi="仿宋" w:eastAsia="仿宋" w:cs="仿宋"/>
                <w:bCs/>
                <w:color w:val="000000" w:themeColor="text1"/>
                <w:sz w:val="24"/>
                <w:szCs w:val="24"/>
                <w:highlight w:val="none"/>
                <w:lang w:val="en-US"/>
                <w14:textFill>
                  <w14:solidFill>
                    <w14:schemeClr w14:val="tx1"/>
                  </w14:solidFill>
                </w14:textFill>
              </w:rPr>
            </w:pPr>
            <w:r>
              <w:rPr>
                <w:rFonts w:hint="eastAsia" w:ascii="仿宋" w:hAnsi="仿宋" w:eastAsia="仿宋" w:cs="仿宋"/>
                <w:sz w:val="24"/>
                <w:szCs w:val="24"/>
                <w:lang w:val="en-US" w:eastAsia="zh-CN"/>
              </w:rPr>
              <w:t>8</w:t>
            </w:r>
            <w:r>
              <w:rPr>
                <w:rFonts w:hint="eastAsia" w:ascii="仿宋" w:hAnsi="仿宋" w:eastAsia="仿宋" w:cs="仿宋"/>
                <w:sz w:val="24"/>
                <w:szCs w:val="24"/>
              </w:rPr>
              <w:t>分</w:t>
            </w:r>
          </w:p>
        </w:tc>
        <w:tc>
          <w:tcPr>
            <w:tcW w:w="0" w:type="auto"/>
            <w:tcBorders>
              <w:top w:val="single" w:color="auto" w:sz="4" w:space="0"/>
              <w:left w:val="single" w:color="auto" w:sz="4" w:space="0"/>
              <w:bottom w:val="single" w:color="auto" w:sz="4" w:space="0"/>
              <w:right w:val="single" w:color="auto" w:sz="4" w:space="0"/>
            </w:tcBorders>
            <w:vAlign w:val="center"/>
          </w:tcPr>
          <w:p w14:paraId="67375CF0">
            <w:pPr>
              <w:pageBreakBefore w:val="0"/>
              <w:widowControl w:val="0"/>
              <w:kinsoku/>
              <w:wordWrap/>
              <w:overflowPunct/>
              <w:topLinePunct w:val="0"/>
              <w:autoSpaceDE/>
              <w:autoSpaceDN/>
              <w:bidi w:val="0"/>
              <w:spacing w:line="240" w:lineRule="auto"/>
              <w:ind w:firstLine="0" w:firstLineChars="0"/>
              <w:textAlignment w:val="center"/>
              <w:rPr>
                <w:rFonts w:hint="eastAsia" w:ascii="仿宋" w:hAnsi="仿宋" w:eastAsia="仿宋" w:cs="仿宋"/>
                <w:sz w:val="24"/>
                <w:szCs w:val="24"/>
              </w:rPr>
            </w:pPr>
            <w:r>
              <w:rPr>
                <w:rFonts w:hint="eastAsia" w:ascii="仿宋" w:hAnsi="仿宋" w:eastAsia="仿宋" w:cs="仿宋"/>
                <w:sz w:val="24"/>
                <w:szCs w:val="24"/>
                <w:lang w:bidi="ar"/>
              </w:rPr>
              <w:t>提供供应商或</w:t>
            </w:r>
            <w:r>
              <w:rPr>
                <w:rFonts w:hint="eastAsia" w:ascii="仿宋" w:hAnsi="仿宋" w:eastAsia="仿宋" w:cs="仿宋"/>
                <w:sz w:val="24"/>
                <w:szCs w:val="24"/>
              </w:rPr>
              <w:t>自助设备厂家</w:t>
            </w:r>
            <w:r>
              <w:rPr>
                <w:rFonts w:hint="eastAsia" w:ascii="仿宋" w:hAnsi="仿宋" w:eastAsia="仿宋" w:cs="仿宋"/>
                <w:sz w:val="24"/>
                <w:szCs w:val="24"/>
                <w:lang w:bidi="ar"/>
              </w:rPr>
              <w:t>从2023年1月1日</w:t>
            </w:r>
            <w:r>
              <w:rPr>
                <w:rFonts w:hint="eastAsia" w:ascii="仿宋" w:hAnsi="仿宋" w:eastAsia="仿宋" w:cs="仿宋"/>
                <w:sz w:val="24"/>
                <w:szCs w:val="24"/>
              </w:rPr>
              <w:t>（以合同签订时间为准）</w:t>
            </w:r>
            <w:r>
              <w:rPr>
                <w:rFonts w:hint="eastAsia" w:ascii="仿宋" w:hAnsi="仿宋" w:eastAsia="仿宋" w:cs="仿宋"/>
                <w:sz w:val="24"/>
                <w:szCs w:val="24"/>
                <w:lang w:bidi="ar"/>
              </w:rPr>
              <w:t>至今独立完成医疗行业自助机相关项目，每提供一个业绩得</w:t>
            </w:r>
            <w:r>
              <w:rPr>
                <w:rFonts w:hint="eastAsia" w:ascii="仿宋" w:hAnsi="仿宋" w:eastAsia="仿宋" w:cs="仿宋"/>
                <w:sz w:val="24"/>
                <w:szCs w:val="24"/>
                <w:lang w:val="en-US" w:eastAsia="zh-CN" w:bidi="ar"/>
              </w:rPr>
              <w:t>2</w:t>
            </w:r>
            <w:r>
              <w:rPr>
                <w:rFonts w:hint="eastAsia" w:ascii="仿宋" w:hAnsi="仿宋" w:eastAsia="仿宋" w:cs="仿宋"/>
                <w:sz w:val="24"/>
                <w:szCs w:val="24"/>
                <w:lang w:bidi="ar"/>
              </w:rPr>
              <w:t>分，本项最多得</w:t>
            </w:r>
            <w:r>
              <w:rPr>
                <w:rFonts w:hint="eastAsia" w:ascii="仿宋" w:hAnsi="仿宋" w:eastAsia="仿宋" w:cs="仿宋"/>
                <w:sz w:val="24"/>
                <w:szCs w:val="24"/>
                <w:lang w:val="en-US" w:eastAsia="zh-CN" w:bidi="ar"/>
              </w:rPr>
              <w:t>8</w:t>
            </w:r>
            <w:r>
              <w:rPr>
                <w:rFonts w:hint="eastAsia" w:ascii="仿宋" w:hAnsi="仿宋" w:eastAsia="仿宋" w:cs="仿宋"/>
                <w:sz w:val="24"/>
                <w:szCs w:val="24"/>
                <w:lang w:bidi="ar"/>
              </w:rPr>
              <w:t>分。</w:t>
            </w:r>
            <w:r>
              <w:rPr>
                <w:rFonts w:hint="eastAsia" w:ascii="仿宋" w:hAnsi="仿宋" w:eastAsia="仿宋" w:cs="仿宋"/>
                <w:sz w:val="24"/>
                <w:szCs w:val="24"/>
                <w:lang w:eastAsia="zh-CN"/>
              </w:rPr>
              <w:t>供应商</w:t>
            </w:r>
            <w:r>
              <w:rPr>
                <w:rFonts w:hint="eastAsia" w:ascii="仿宋" w:hAnsi="仿宋" w:eastAsia="仿宋" w:cs="仿宋"/>
                <w:sz w:val="24"/>
                <w:szCs w:val="24"/>
              </w:rPr>
              <w:t>须提供项目合同关键页（含合同首页、自助机相关项目内容、盖章页、签订日期、项目金额页等）和</w:t>
            </w:r>
            <w:r>
              <w:rPr>
                <w:rFonts w:hint="eastAsia" w:ascii="仿宋" w:hAnsi="仿宋" w:eastAsia="仿宋" w:cs="仿宋"/>
                <w:sz w:val="24"/>
                <w:szCs w:val="24"/>
                <w:lang w:val="en-US" w:eastAsia="zh-CN"/>
              </w:rPr>
              <w:t>业主</w:t>
            </w:r>
            <w:r>
              <w:rPr>
                <w:rFonts w:hint="eastAsia" w:ascii="仿宋" w:hAnsi="仿宋" w:eastAsia="仿宋" w:cs="仿宋"/>
                <w:sz w:val="24"/>
                <w:szCs w:val="24"/>
              </w:rPr>
              <w:t>盖章的验收证明扫描件，否则不得分。</w:t>
            </w:r>
          </w:p>
          <w:p w14:paraId="2D374BEF">
            <w:pPr>
              <w:pStyle w:val="2"/>
              <w:pageBreakBefore w:val="0"/>
              <w:widowControl w:val="0"/>
              <w:numPr>
                <w:ilvl w:val="255"/>
                <w:numId w:val="0"/>
              </w:numPr>
              <w:kinsoku/>
              <w:wordWrap/>
              <w:overflowPunct/>
              <w:topLinePunct w:val="0"/>
              <w:autoSpaceDE/>
              <w:autoSpaceDN/>
              <w:bidi w:val="0"/>
              <w:spacing w:line="240" w:lineRule="auto"/>
              <w:ind w:left="0" w:leftChars="0" w:firstLine="0" w:firstLineChars="0"/>
              <w:jc w:val="both"/>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val="0"/>
                <w:bCs/>
                <w:sz w:val="24"/>
                <w:szCs w:val="24"/>
                <w:lang w:val="en-US" w:bidi="ar"/>
              </w:rPr>
              <w:t>说明:</w:t>
            </w:r>
            <w:r>
              <w:rPr>
                <w:rFonts w:hint="eastAsia" w:ascii="仿宋" w:hAnsi="仿宋" w:eastAsia="仿宋" w:cs="仿宋"/>
                <w:b w:val="0"/>
                <w:bCs/>
                <w:sz w:val="24"/>
                <w:szCs w:val="24"/>
                <w:lang w:bidi="ar"/>
              </w:rPr>
              <w:t>医疗行业自助机相关项目</w:t>
            </w:r>
            <w:r>
              <w:rPr>
                <w:rFonts w:hint="eastAsia" w:ascii="仿宋" w:hAnsi="仿宋" w:eastAsia="仿宋" w:cs="仿宋"/>
                <w:b w:val="0"/>
                <w:bCs/>
                <w:sz w:val="24"/>
                <w:szCs w:val="24"/>
                <w:lang w:val="en-US" w:bidi="ar"/>
              </w:rPr>
              <w:t>指</w:t>
            </w:r>
            <w:r>
              <w:rPr>
                <w:rFonts w:hint="eastAsia" w:ascii="仿宋" w:hAnsi="仿宋" w:eastAsia="仿宋" w:cs="仿宋"/>
                <w:b w:val="0"/>
                <w:bCs/>
                <w:sz w:val="24"/>
                <w:szCs w:val="24"/>
                <w:lang w:bidi="ar"/>
              </w:rPr>
              <w:t>医疗行业中，使用自助设备完成医疗相关业务活动。</w:t>
            </w:r>
          </w:p>
        </w:tc>
        <w:tc>
          <w:tcPr>
            <w:tcW w:w="0" w:type="auto"/>
            <w:tcBorders>
              <w:top w:val="single" w:color="auto" w:sz="4" w:space="0"/>
              <w:left w:val="single" w:color="auto" w:sz="4" w:space="0"/>
              <w:bottom w:val="single" w:color="auto" w:sz="4" w:space="0"/>
              <w:right w:val="single" w:color="auto" w:sz="4" w:space="0"/>
            </w:tcBorders>
            <w:vAlign w:val="center"/>
          </w:tcPr>
          <w:p w14:paraId="230B258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p>
        </w:tc>
      </w:tr>
    </w:tbl>
    <w:p w14:paraId="157F22E2">
      <w:pPr>
        <w:rPr>
          <w:lang w:val="zh-CN"/>
        </w:rPr>
      </w:pPr>
    </w:p>
    <w:p w14:paraId="1E53B04C">
      <w:pPr>
        <w:rPr>
          <w:rFonts w:ascii="Times New Roman" w:hAnsi="Times New Roman" w:cs="Times New Roman"/>
        </w:rPr>
      </w:pPr>
      <w:r>
        <w:rPr>
          <w:rFonts w:ascii="Times New Roman" w:hAnsi="Times New Roman" w:cs="Times New Roman"/>
        </w:rPr>
        <w:br w:type="page"/>
      </w:r>
    </w:p>
    <w:p w14:paraId="0B9F1C4B">
      <w:pPr>
        <w:pStyle w:val="2"/>
        <w:numPr>
          <w:ilvl w:val="0"/>
          <w:numId w:val="0"/>
        </w:numPr>
        <w:ind w:left="0" w:leftChars="0" w:firstLine="0" w:firstLineChars="0"/>
        <w:rPr>
          <w:rFonts w:ascii="Times New Roman" w:hAnsi="Times New Roman" w:cs="Times New Roman"/>
        </w:rPr>
      </w:pPr>
      <w:bookmarkStart w:id="20" w:name="_Toc28171"/>
      <w:bookmarkStart w:id="21" w:name="_Toc3094"/>
      <w:bookmarkStart w:id="22" w:name="_Toc22827"/>
      <w:r>
        <w:rPr>
          <w:rFonts w:hint="eastAsia" w:ascii="Times New Roman" w:hAnsi="Times New Roman" w:eastAsia="黑体" w:cs="Times New Roman"/>
          <w:b/>
          <w:kern w:val="44"/>
          <w:sz w:val="36"/>
          <w:lang w:val="zh-CN" w:eastAsia="zh-CN" w:bidi="ar-SA"/>
        </w:rPr>
        <w:t xml:space="preserve">第六章 </w:t>
      </w:r>
      <w:r>
        <w:rPr>
          <w:rFonts w:ascii="Times New Roman" w:hAnsi="Times New Roman" w:cs="Times New Roman"/>
        </w:rPr>
        <w:t>响应文件格式</w:t>
      </w:r>
      <w:bookmarkEnd w:id="20"/>
      <w:bookmarkEnd w:id="21"/>
      <w:bookmarkEnd w:id="22"/>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3" w:name="_Toc4960"/>
      <w:bookmarkStart w:id="24" w:name="_Toc5913"/>
      <w:bookmarkStart w:id="25" w:name="_Toc29819"/>
      <w:r>
        <w:rPr>
          <w:rFonts w:ascii="Times New Roman" w:hAnsi="Times New Roman" w:eastAsia="仿宋" w:cs="Times New Roman"/>
          <w:sz w:val="28"/>
          <w:szCs w:val="24"/>
        </w:rPr>
        <w:t>（响应文件封面）</w:t>
      </w:r>
      <w:bookmarkEnd w:id="23"/>
      <w:bookmarkEnd w:id="24"/>
      <w:bookmarkEnd w:id="25"/>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6" w:name="_Toc19851"/>
      <w:bookmarkStart w:id="27" w:name="_Toc30609"/>
      <w:bookmarkStart w:id="28" w:name="_Toc9428"/>
      <w:r>
        <w:rPr>
          <w:rFonts w:ascii="Times New Roman" w:hAnsi="Times New Roman" w:eastAsia="仿宋" w:cs="Times New Roman"/>
          <w:sz w:val="24"/>
          <w:szCs w:val="24"/>
        </w:rPr>
        <w:t>项目名称：</w:t>
      </w:r>
      <w:bookmarkEnd w:id="26"/>
      <w:bookmarkEnd w:id="27"/>
      <w:bookmarkEnd w:id="28"/>
    </w:p>
    <w:p w14:paraId="58CC82C4">
      <w:pPr>
        <w:jc w:val="left"/>
        <w:rPr>
          <w:rFonts w:ascii="Times New Roman" w:hAnsi="Times New Roman" w:eastAsia="仿宋" w:cs="Times New Roman"/>
          <w:sz w:val="24"/>
          <w:szCs w:val="24"/>
        </w:rPr>
      </w:pPr>
      <w:bookmarkStart w:id="29" w:name="_Toc9041"/>
      <w:bookmarkStart w:id="30" w:name="_Toc32352"/>
      <w:bookmarkStart w:id="31" w:name="_Toc1544"/>
      <w:r>
        <w:rPr>
          <w:rFonts w:ascii="Times New Roman" w:hAnsi="Times New Roman" w:eastAsia="仿宋" w:cs="Times New Roman"/>
          <w:sz w:val="24"/>
          <w:szCs w:val="24"/>
        </w:rPr>
        <w:t>项目编号：</w:t>
      </w:r>
      <w:bookmarkEnd w:id="29"/>
      <w:bookmarkEnd w:id="30"/>
      <w:bookmarkEnd w:id="31"/>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4" w:name="_Toc1690"/>
      <w:bookmarkStart w:id="35" w:name="_Toc24859"/>
      <w:bookmarkStart w:id="36" w:name="_Toc17163"/>
      <w:bookmarkStart w:id="37" w:name="_Toc32749"/>
      <w:r>
        <w:rPr>
          <w:rFonts w:ascii="Times New Roman" w:hAnsi="Times New Roman" w:eastAsia="仿宋" w:cs="Times New Roman"/>
          <w:sz w:val="28"/>
          <w:szCs w:val="24"/>
        </w:rPr>
        <w:t>供应商名称（公章）：</w:t>
      </w:r>
      <w:bookmarkEnd w:id="34"/>
      <w:bookmarkEnd w:id="35"/>
      <w:bookmarkEnd w:id="36"/>
      <w:bookmarkEnd w:id="37"/>
    </w:p>
    <w:p w14:paraId="2B941835">
      <w:pPr>
        <w:jc w:val="left"/>
        <w:rPr>
          <w:rFonts w:ascii="Times New Roman" w:hAnsi="Times New Roman" w:eastAsia="仿宋" w:cs="Times New Roman"/>
          <w:sz w:val="28"/>
          <w:szCs w:val="24"/>
        </w:rPr>
      </w:pPr>
      <w:bookmarkStart w:id="38" w:name="_Toc17905"/>
      <w:bookmarkStart w:id="39" w:name="_Toc6803"/>
      <w:bookmarkStart w:id="40" w:name="_Toc24123"/>
      <w:bookmarkStart w:id="41" w:name="_Toc3558"/>
      <w:r>
        <w:rPr>
          <w:rFonts w:ascii="Times New Roman" w:hAnsi="Times New Roman" w:eastAsia="仿宋" w:cs="Times New Roman"/>
          <w:sz w:val="28"/>
          <w:szCs w:val="24"/>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rPr>
      </w:pPr>
      <w:bookmarkStart w:id="42" w:name="_Toc2989"/>
      <w:bookmarkStart w:id="43" w:name="_Toc27135"/>
      <w:bookmarkStart w:id="44" w:name="_Toc27526"/>
      <w:bookmarkStart w:id="45" w:name="_Toc5996"/>
      <w:r>
        <w:rPr>
          <w:rFonts w:ascii="Times New Roman" w:hAnsi="Times New Roman" w:eastAsia="仿宋" w:cs="Times New Roman"/>
          <w:sz w:val="28"/>
          <w:szCs w:val="24"/>
        </w:rPr>
        <w:t>联系方式（移动电话）：</w:t>
      </w:r>
      <w:bookmarkEnd w:id="42"/>
      <w:bookmarkEnd w:id="43"/>
      <w:bookmarkEnd w:id="44"/>
      <w:bookmarkEnd w:id="45"/>
    </w:p>
    <w:p w14:paraId="77EDD8DE">
      <w:pPr>
        <w:jc w:val="left"/>
        <w:rPr>
          <w:rFonts w:ascii="Times New Roman" w:hAnsi="Times New Roman" w:eastAsia="仿宋" w:cs="Times New Roman"/>
          <w:sz w:val="28"/>
          <w:szCs w:val="24"/>
        </w:rPr>
      </w:pPr>
      <w:bookmarkStart w:id="46" w:name="_Toc7233"/>
      <w:bookmarkStart w:id="47" w:name="_Toc5056"/>
      <w:bookmarkStart w:id="48" w:name="_Toc2031"/>
      <w:bookmarkStart w:id="49" w:name="_Toc19987"/>
      <w:r>
        <w:rPr>
          <w:rFonts w:ascii="Times New Roman" w:hAnsi="Times New Roman" w:eastAsia="仿宋" w:cs="Times New Roman"/>
          <w:sz w:val="28"/>
          <w:szCs w:val="24"/>
        </w:rPr>
        <w:t>日期：     年    月     日</w:t>
      </w:r>
      <w:bookmarkEnd w:id="46"/>
      <w:bookmarkEnd w:id="47"/>
      <w:bookmarkEnd w:id="48"/>
      <w:bookmarkEnd w:id="49"/>
    </w:p>
    <w:p w14:paraId="7AA5BFB2">
      <w:pPr>
        <w:jc w:val="center"/>
        <w:rPr>
          <w:rFonts w:ascii="Times New Roman" w:hAnsi="Times New Roman" w:eastAsia="仿宋" w:cs="Times New Roman"/>
          <w:sz w:val="32"/>
          <w:szCs w:val="40"/>
        </w:rPr>
      </w:pPr>
      <w:bookmarkStart w:id="50" w:name="_Toc11352"/>
      <w:bookmarkStart w:id="51" w:name="_Toc21519"/>
      <w:bookmarkStart w:id="52" w:name="_Toc3023"/>
      <w:bookmarkStart w:id="53" w:name="_Toc16029"/>
      <w:bookmarkStart w:id="54" w:name="_Toc14829"/>
      <w:bookmarkStart w:id="55" w:name="_Toc6482"/>
    </w:p>
    <w:p w14:paraId="43B80407">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14:paraId="057F5DD5">
      <w:pPr>
        <w:pStyle w:val="3"/>
        <w:ind w:firstLine="0"/>
      </w:pPr>
      <w:r>
        <w:t>承诺函</w:t>
      </w:r>
      <w:bookmarkEnd w:id="50"/>
      <w:bookmarkEnd w:id="51"/>
      <w:bookmarkEnd w:id="52"/>
      <w:bookmarkEnd w:id="53"/>
      <w:bookmarkEnd w:id="54"/>
      <w:bookmarkEnd w:id="55"/>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6" w:name="_Toc4305"/>
      <w:bookmarkStart w:id="57" w:name="_Toc30971"/>
      <w:bookmarkStart w:id="58" w:name="_Toc22676"/>
      <w:bookmarkStart w:id="59" w:name="_Toc17857"/>
      <w:bookmarkStart w:id="60" w:name="_Toc31838"/>
      <w:r>
        <w:rPr>
          <w:rFonts w:ascii="Times New Roman" w:hAnsi="Times New Roman" w:cs="Times New Roman"/>
        </w:rPr>
        <w:br w:type="page"/>
      </w:r>
    </w:p>
    <w:p w14:paraId="72845348">
      <w:pPr>
        <w:pStyle w:val="3"/>
        <w:ind w:firstLine="0"/>
      </w:pPr>
      <w: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2"/>
          <w:szCs w:val="28"/>
        </w:rPr>
      </w:pPr>
      <w:r>
        <w:rPr>
          <w:bCs/>
        </w:rPr>
        <w:br w:type="page"/>
      </w:r>
      <w:bookmarkStart w:id="61" w:name="_Toc15613"/>
      <w:bookmarkStart w:id="62" w:name="_Toc27186"/>
      <w:bookmarkStart w:id="63"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1"/>
      <w:bookmarkEnd w:id="62"/>
      <w:bookmarkStart w:id="64" w:name="_Toc25357"/>
      <w:bookmarkStart w:id="65" w:name="_Toc13904"/>
      <w:bookmarkStart w:id="66" w:name="_Toc13706"/>
    </w:p>
    <w:p w14:paraId="76B8A196">
      <w:pPr>
        <w:pStyle w:val="3"/>
        <w:ind w:firstLine="0"/>
        <w:rPr>
          <w:szCs w:val="32"/>
        </w:rPr>
      </w:pPr>
      <w:bookmarkStart w:id="67" w:name="_Toc23146"/>
      <w:bookmarkStart w:id="68" w:name="_Toc15508"/>
      <w: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14:paraId="6044F60C">
      <w:pPr>
        <w:pStyle w:val="31"/>
        <w:ind w:left="420" w:leftChars="200"/>
        <w:jc w:val="both"/>
        <w:rPr>
          <w:rFonts w:ascii="Times New Roman" w:hAnsi="Times New Roman" w:eastAsia="仿宋" w:cs="Times New Roman"/>
          <w:color w:val="auto"/>
        </w:rPr>
      </w:pPr>
    </w:p>
    <w:p w14:paraId="50A012A9">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9" w:name="_Toc15526"/>
      <w:bookmarkStart w:id="70" w:name="_Toc27661"/>
      <w:bookmarkStart w:id="71" w:name="_Toc25638"/>
      <w:bookmarkStart w:id="72" w:name="_Toc20589"/>
      <w:bookmarkStart w:id="73" w:name="_Toc11351"/>
      <w:bookmarkStart w:id="74" w:name="_Toc12015"/>
      <w:r>
        <w:rPr>
          <w:rStyle w:val="40"/>
          <w:b/>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rPr>
      </w:pPr>
    </w:p>
    <w:p w14:paraId="43269FBB">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1"/>
        <w:jc w:val="center"/>
        <w:rPr>
          <w:rFonts w:ascii="Times New Roman" w:hAnsi="Times New Roman" w:eastAsia="仿宋" w:cs="Times New Roman"/>
          <w:color w:val="auto"/>
        </w:rPr>
      </w:pPr>
    </w:p>
    <w:p w14:paraId="6757BD29">
      <w:pPr>
        <w:pStyle w:val="31"/>
        <w:jc w:val="center"/>
        <w:rPr>
          <w:rFonts w:ascii="Times New Roman" w:hAnsi="Times New Roman" w:eastAsia="仿宋" w:cs="Times New Roman"/>
          <w:color w:val="auto"/>
        </w:rPr>
      </w:pPr>
    </w:p>
    <w:p w14:paraId="2C00BF0A">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14:paraId="33ADA0C0">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1"/>
        <w:jc w:val="both"/>
        <w:rPr>
          <w:rFonts w:ascii="Times New Roman" w:hAnsi="Times New Roman" w:eastAsia="仿宋" w:cs="Times New Roman"/>
          <w:color w:val="auto"/>
        </w:rPr>
      </w:pPr>
    </w:p>
    <w:p w14:paraId="46E4D155">
      <w:pPr>
        <w:pStyle w:val="31"/>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1"/>
        <w:jc w:val="center"/>
        <w:rPr>
          <w:rFonts w:ascii="Times New Roman" w:hAnsi="Times New Roman" w:eastAsia="仿宋" w:cs="Times New Roman"/>
          <w:color w:val="auto"/>
        </w:rPr>
      </w:pPr>
    </w:p>
    <w:p w14:paraId="53CC06E9">
      <w:pPr>
        <w:pStyle w:val="31"/>
        <w:jc w:val="center"/>
        <w:rPr>
          <w:rFonts w:ascii="Times New Roman" w:hAnsi="Times New Roman" w:eastAsia="仿宋" w:cs="Times New Roman"/>
          <w:color w:val="auto"/>
        </w:rPr>
      </w:pPr>
    </w:p>
    <w:p w14:paraId="55320CDB">
      <w:pPr>
        <w:pStyle w:val="31"/>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rPr>
      </w:pPr>
    </w:p>
    <w:p w14:paraId="31D6EAC3">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14:paraId="1CF8FCEE">
      <w:pPr>
        <w:pStyle w:val="31"/>
        <w:jc w:val="center"/>
        <w:rPr>
          <w:rFonts w:ascii="Times New Roman" w:hAnsi="Times New Roman" w:eastAsia="仿宋" w:cs="Times New Roman"/>
          <w:b/>
          <w:bCs/>
          <w:color w:val="auto"/>
        </w:rPr>
      </w:pPr>
    </w:p>
    <w:p w14:paraId="170BF1E2">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1"/>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5" w:name="_Toc2041"/>
      <w:bookmarkStart w:id="76" w:name="_Toc1074"/>
      <w:bookmarkStart w:id="77" w:name="_Toc26969"/>
      <w:bookmarkStart w:id="78" w:name="_Toc12967"/>
      <w:bookmarkStart w:id="79" w:name="_Toc23967"/>
      <w:bookmarkStart w:id="80" w:name="_Toc16435"/>
      <w:r>
        <w:rPr>
          <w:rStyle w:val="40"/>
          <w:b/>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1"/>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81" w:name="_Toc31686"/>
      <w:bookmarkStart w:id="82" w:name="_Toc21082"/>
      <w:bookmarkStart w:id="83" w:name="_Toc28634"/>
      <w:bookmarkStart w:id="84" w:name="_Toc24806"/>
      <w:bookmarkStart w:id="85" w:name="_Toc26839"/>
      <w:bookmarkStart w:id="86" w:name="_Toc1369"/>
      <w:r>
        <w:rPr>
          <w:rStyle w:val="40"/>
          <w:b/>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14:paraId="400ED811">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7" w:name="_Toc32605"/>
      <w:bookmarkStart w:id="88" w:name="_Toc3871"/>
      <w:bookmarkStart w:id="89" w:name="_Toc24494"/>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63"/>
        <w:gridCol w:w="978"/>
        <w:gridCol w:w="2075"/>
        <w:gridCol w:w="976"/>
        <w:gridCol w:w="851"/>
        <w:gridCol w:w="1144"/>
        <w:gridCol w:w="1485"/>
        <w:gridCol w:w="731"/>
        <w:gridCol w:w="739"/>
      </w:tblGrid>
      <w:tr w14:paraId="09049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44" w:type="pct"/>
            <w:vAlign w:val="center"/>
          </w:tcPr>
          <w:p w14:paraId="17A2EF30">
            <w:pPr>
              <w:spacing w:line="240" w:lineRule="auto"/>
              <w:jc w:val="center"/>
              <w:rPr>
                <w:rFonts w:hint="eastAsia" w:ascii="仿宋" w:hAnsi="仿宋" w:eastAsia="仿宋" w:cs="仿宋"/>
                <w:b/>
                <w:bCs/>
                <w:kern w:val="0"/>
                <w:sz w:val="24"/>
                <w:szCs w:val="24"/>
                <w:lang w:val="zh-TW" w:eastAsia="zh-TW"/>
              </w:rPr>
            </w:pPr>
            <w:r>
              <w:rPr>
                <w:rFonts w:hint="eastAsia" w:ascii="仿宋" w:hAnsi="仿宋" w:eastAsia="仿宋" w:cs="仿宋"/>
                <w:b/>
                <w:bCs/>
                <w:kern w:val="0"/>
                <w:sz w:val="24"/>
                <w:szCs w:val="24"/>
                <w:lang w:val="zh-TW" w:eastAsia="zh-TW"/>
              </w:rPr>
              <w:t>序号</w:t>
            </w:r>
          </w:p>
        </w:tc>
        <w:tc>
          <w:tcPr>
            <w:tcW w:w="50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lang w:val="zh-TW" w:eastAsia="zh-TW"/>
              </w:rPr>
            </w:pPr>
            <w:r>
              <w:rPr>
                <w:rStyle w:val="21"/>
                <w:rFonts w:hint="eastAsia" w:ascii="仿宋" w:hAnsi="仿宋" w:eastAsia="仿宋" w:cs="仿宋"/>
                <w:b/>
                <w:bCs/>
                <w:sz w:val="24"/>
                <w:szCs w:val="24"/>
              </w:rPr>
              <w:t>品名</w:t>
            </w:r>
          </w:p>
        </w:tc>
        <w:tc>
          <w:tcPr>
            <w:tcW w:w="1076" w:type="pct"/>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lang w:val="zh-TW" w:eastAsia="zh-TW"/>
              </w:rPr>
            </w:pPr>
            <w:r>
              <w:rPr>
                <w:rStyle w:val="21"/>
                <w:rFonts w:hint="eastAsia" w:ascii="仿宋" w:hAnsi="仿宋" w:eastAsia="仿宋" w:cs="仿宋"/>
                <w:b/>
                <w:bCs/>
                <w:sz w:val="24"/>
                <w:szCs w:val="24"/>
              </w:rPr>
              <w:t>详细描述</w:t>
            </w:r>
          </w:p>
        </w:tc>
        <w:tc>
          <w:tcPr>
            <w:tcW w:w="506"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lang w:val="en-US" w:eastAsia="zh-CN"/>
              </w:rPr>
            </w:pPr>
            <w:r>
              <w:rPr>
                <w:rStyle w:val="21"/>
                <w:rFonts w:hint="eastAsia" w:ascii="仿宋" w:hAnsi="仿宋" w:eastAsia="仿宋" w:cs="仿宋"/>
                <w:b/>
                <w:bCs/>
                <w:sz w:val="24"/>
                <w:szCs w:val="24"/>
              </w:rPr>
              <w:t>数量</w:t>
            </w:r>
          </w:p>
        </w:tc>
        <w:tc>
          <w:tcPr>
            <w:tcW w:w="441"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lang w:val="en-US" w:eastAsia="zh-CN"/>
              </w:rPr>
            </w:pPr>
            <w:r>
              <w:rPr>
                <w:rStyle w:val="21"/>
                <w:rFonts w:hint="eastAsia" w:ascii="仿宋" w:hAnsi="仿宋" w:eastAsia="仿宋" w:cs="仿宋"/>
                <w:b/>
                <w:bCs/>
                <w:sz w:val="24"/>
                <w:szCs w:val="24"/>
              </w:rPr>
              <w:t>单位</w:t>
            </w:r>
          </w:p>
        </w:tc>
        <w:tc>
          <w:tcPr>
            <w:tcW w:w="593"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bCs/>
                <w:kern w:val="0"/>
                <w:sz w:val="24"/>
                <w:szCs w:val="24"/>
                <w:lang w:val="en-US" w:eastAsia="zh-CN"/>
              </w:rPr>
            </w:pPr>
            <w:r>
              <w:rPr>
                <w:rStyle w:val="21"/>
                <w:rFonts w:hint="eastAsia" w:ascii="仿宋" w:hAnsi="仿宋" w:eastAsia="仿宋" w:cs="仿宋"/>
                <w:b/>
                <w:bCs/>
                <w:sz w:val="24"/>
                <w:szCs w:val="24"/>
                <w:lang w:val="en-US" w:eastAsia="zh-CN"/>
              </w:rPr>
              <w:t>单价</w:t>
            </w:r>
            <w:r>
              <w:rPr>
                <w:rStyle w:val="21"/>
                <w:rFonts w:hint="eastAsia" w:ascii="仿宋" w:hAnsi="仿宋" w:eastAsia="仿宋" w:cs="仿宋"/>
                <w:b/>
                <w:bCs/>
                <w:sz w:val="24"/>
                <w:szCs w:val="24"/>
              </w:rPr>
              <w:t>（元）</w:t>
            </w:r>
          </w:p>
        </w:tc>
        <w:tc>
          <w:tcPr>
            <w:tcW w:w="770" w:type="pct"/>
            <w:vAlign w:val="center"/>
          </w:tcPr>
          <w:p w14:paraId="4580EE9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分项总价（元）</w:t>
            </w:r>
          </w:p>
        </w:tc>
        <w:tc>
          <w:tcPr>
            <w:tcW w:w="379"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服务期</w:t>
            </w:r>
          </w:p>
        </w:tc>
        <w:tc>
          <w:tcPr>
            <w:tcW w:w="381" w:type="pct"/>
            <w:vAlign w:val="center"/>
          </w:tcPr>
          <w:p w14:paraId="0ACD885C">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default" w:ascii="仿宋" w:hAnsi="仿宋" w:eastAsia="仿宋" w:cs="仿宋"/>
                <w:b/>
                <w:bCs/>
                <w:sz w:val="24"/>
                <w:szCs w:val="24"/>
                <w:lang w:val="en-US" w:eastAsia="zh-CN"/>
              </w:rPr>
            </w:pPr>
            <w:r>
              <w:rPr>
                <w:rStyle w:val="21"/>
                <w:rFonts w:hint="eastAsia" w:ascii="仿宋" w:hAnsi="仿宋" w:eastAsia="仿宋" w:cs="仿宋"/>
                <w:b/>
                <w:bCs/>
                <w:sz w:val="24"/>
                <w:szCs w:val="24"/>
                <w:lang w:val="en-US" w:eastAsia="zh-CN"/>
              </w:rPr>
              <w:t>备注</w:t>
            </w:r>
          </w:p>
        </w:tc>
      </w:tr>
      <w:tr w14:paraId="04716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44" w:type="pct"/>
            <w:vAlign w:val="center"/>
          </w:tcPr>
          <w:p w14:paraId="55C72AD6">
            <w:pPr>
              <w:pStyle w:val="7"/>
              <w:spacing w:line="240" w:lineRule="auto"/>
              <w:jc w:val="center"/>
              <w:rPr>
                <w:rFonts w:hint="eastAsia" w:ascii="仿宋" w:hAnsi="仿宋" w:eastAsia="仿宋" w:cs="仿宋"/>
                <w:b/>
                <w:bCs/>
                <w:kern w:val="0"/>
                <w:sz w:val="24"/>
                <w:szCs w:val="24"/>
                <w:lang w:val="zh-TW" w:eastAsia="zh-TW"/>
              </w:rPr>
            </w:pPr>
            <w:r>
              <w:rPr>
                <w:rFonts w:hint="eastAsia" w:ascii="仿宋" w:hAnsi="仿宋" w:eastAsia="仿宋" w:cs="仿宋"/>
                <w:sz w:val="24"/>
                <w:szCs w:val="24"/>
              </w:rPr>
              <w:t>1</w:t>
            </w:r>
          </w:p>
        </w:tc>
        <w:tc>
          <w:tcPr>
            <w:tcW w:w="507" w:type="pct"/>
            <w:vAlign w:val="center"/>
          </w:tcPr>
          <w:p w14:paraId="44EB2570">
            <w:pPr>
              <w:pStyle w:val="43"/>
              <w:keepNext w:val="0"/>
              <w:keepLines w:val="0"/>
              <w:widowControl/>
              <w:suppressLineNumbers w:val="0"/>
              <w:autoSpaceDE w:val="0"/>
              <w:autoSpaceDN/>
              <w:spacing w:line="240" w:lineRule="auto"/>
              <w:ind w:left="0" w:leftChars="0" w:right="0" w:rightChars="0"/>
              <w:jc w:val="center"/>
              <w:rPr>
                <w:rStyle w:val="21"/>
                <w:rFonts w:hint="eastAsia" w:ascii="仿宋" w:hAnsi="仿宋" w:eastAsia="仿宋" w:cs="仿宋"/>
                <w:b/>
                <w:bCs/>
                <w:sz w:val="24"/>
                <w:szCs w:val="24"/>
              </w:rPr>
            </w:pPr>
            <w:r>
              <w:rPr>
                <w:rFonts w:hint="eastAsia" w:ascii="仿宋" w:hAnsi="仿宋" w:eastAsia="仿宋" w:cs="仿宋"/>
                <w:kern w:val="0"/>
                <w:sz w:val="24"/>
                <w:szCs w:val="24"/>
              </w:rPr>
              <w:t>自助机</w:t>
            </w:r>
          </w:p>
        </w:tc>
        <w:tc>
          <w:tcPr>
            <w:tcW w:w="1076" w:type="pct"/>
            <w:vAlign w:val="center"/>
          </w:tcPr>
          <w:p w14:paraId="3F958AAC">
            <w:pPr>
              <w:pStyle w:val="43"/>
              <w:keepNext w:val="0"/>
              <w:keepLines w:val="0"/>
              <w:widowControl/>
              <w:suppressLineNumbers w:val="0"/>
              <w:autoSpaceDE w:val="0"/>
              <w:autoSpaceDN/>
              <w:spacing w:line="240" w:lineRule="auto"/>
              <w:ind w:left="0" w:leftChars="0" w:right="0" w:rightChars="0"/>
              <w:jc w:val="center"/>
              <w:rPr>
                <w:rStyle w:val="21"/>
                <w:rFonts w:hint="eastAsia" w:ascii="仿宋" w:hAnsi="仿宋" w:eastAsia="仿宋" w:cs="仿宋"/>
                <w:b/>
                <w:bCs/>
                <w:sz w:val="24"/>
                <w:szCs w:val="24"/>
              </w:rPr>
            </w:pPr>
            <w:r>
              <w:rPr>
                <w:rFonts w:hint="eastAsia" w:ascii="仿宋" w:hAnsi="仿宋" w:eastAsia="仿宋" w:cs="仿宋"/>
                <w:kern w:val="0"/>
                <w:sz w:val="24"/>
                <w:szCs w:val="24"/>
              </w:rPr>
              <w:t>医保刷脸型</w:t>
            </w:r>
          </w:p>
        </w:tc>
        <w:tc>
          <w:tcPr>
            <w:tcW w:w="506" w:type="pct"/>
            <w:vAlign w:val="center"/>
          </w:tcPr>
          <w:p w14:paraId="50F60DDE">
            <w:pPr>
              <w:pStyle w:val="43"/>
              <w:keepNext w:val="0"/>
              <w:keepLines w:val="0"/>
              <w:widowControl/>
              <w:suppressLineNumbers w:val="0"/>
              <w:autoSpaceDE w:val="0"/>
              <w:autoSpaceDN/>
              <w:spacing w:line="240" w:lineRule="auto"/>
              <w:ind w:left="0" w:leftChars="0" w:right="0" w:rightChars="0"/>
              <w:jc w:val="center"/>
              <w:rPr>
                <w:rStyle w:val="21"/>
                <w:rFonts w:hint="eastAsia" w:ascii="仿宋" w:hAnsi="仿宋" w:eastAsia="仿宋" w:cs="仿宋"/>
                <w:b/>
                <w:bCs/>
                <w:sz w:val="24"/>
                <w:szCs w:val="24"/>
              </w:rPr>
            </w:pPr>
            <w:r>
              <w:rPr>
                <w:rFonts w:hint="eastAsia" w:ascii="仿宋" w:hAnsi="仿宋" w:eastAsia="仿宋" w:cs="仿宋"/>
                <w:kern w:val="0"/>
                <w:sz w:val="24"/>
                <w:szCs w:val="24"/>
              </w:rPr>
              <w:t>31</w:t>
            </w:r>
          </w:p>
        </w:tc>
        <w:tc>
          <w:tcPr>
            <w:tcW w:w="441" w:type="pct"/>
            <w:vAlign w:val="center"/>
          </w:tcPr>
          <w:p w14:paraId="111DA876">
            <w:pPr>
              <w:pStyle w:val="43"/>
              <w:keepNext w:val="0"/>
              <w:keepLines w:val="0"/>
              <w:widowControl/>
              <w:suppressLineNumbers w:val="0"/>
              <w:autoSpaceDE w:val="0"/>
              <w:autoSpaceDN/>
              <w:spacing w:line="240" w:lineRule="auto"/>
              <w:ind w:left="0" w:leftChars="0" w:right="0" w:rightChars="0"/>
              <w:jc w:val="center"/>
              <w:rPr>
                <w:rStyle w:val="21"/>
                <w:rFonts w:hint="eastAsia" w:ascii="仿宋" w:hAnsi="仿宋" w:eastAsia="仿宋" w:cs="仿宋"/>
                <w:b/>
                <w:bCs/>
                <w:sz w:val="24"/>
                <w:szCs w:val="24"/>
              </w:rPr>
            </w:pPr>
            <w:r>
              <w:rPr>
                <w:rFonts w:hint="eastAsia" w:ascii="仿宋" w:hAnsi="仿宋" w:eastAsia="仿宋" w:cs="仿宋"/>
                <w:kern w:val="0"/>
                <w:sz w:val="24"/>
                <w:szCs w:val="24"/>
              </w:rPr>
              <w:t>台</w:t>
            </w:r>
          </w:p>
        </w:tc>
        <w:tc>
          <w:tcPr>
            <w:tcW w:w="593" w:type="pct"/>
            <w:vAlign w:val="center"/>
          </w:tcPr>
          <w:p w14:paraId="7832307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lang w:val="en-US" w:eastAsia="zh-CN"/>
              </w:rPr>
            </w:pPr>
          </w:p>
        </w:tc>
        <w:tc>
          <w:tcPr>
            <w:tcW w:w="770" w:type="pct"/>
            <w:vAlign w:val="center"/>
          </w:tcPr>
          <w:p w14:paraId="18DD35E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lang w:val="en-US" w:eastAsia="zh-CN"/>
              </w:rPr>
            </w:pPr>
          </w:p>
        </w:tc>
        <w:tc>
          <w:tcPr>
            <w:tcW w:w="379" w:type="pct"/>
            <w:vMerge w:val="restart"/>
            <w:vAlign w:val="center"/>
          </w:tcPr>
          <w:p w14:paraId="6CF9DBF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lang w:val="en-US" w:eastAsia="zh-CN"/>
              </w:rPr>
            </w:pPr>
          </w:p>
        </w:tc>
        <w:tc>
          <w:tcPr>
            <w:tcW w:w="381" w:type="pct"/>
            <w:vAlign w:val="center"/>
          </w:tcPr>
          <w:p w14:paraId="59416C2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bCs/>
                <w:sz w:val="24"/>
                <w:szCs w:val="24"/>
                <w:lang w:val="en-US" w:eastAsia="zh-CN"/>
              </w:rPr>
            </w:pPr>
          </w:p>
        </w:tc>
      </w:tr>
      <w:tr w14:paraId="6ABD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344" w:type="pct"/>
            <w:vAlign w:val="center"/>
          </w:tcPr>
          <w:p w14:paraId="45E5E8F7">
            <w:pPr>
              <w:pStyle w:val="7"/>
              <w:spacing w:line="24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2</w:t>
            </w:r>
          </w:p>
        </w:tc>
        <w:tc>
          <w:tcPr>
            <w:tcW w:w="507" w:type="pct"/>
            <w:vAlign w:val="center"/>
          </w:tcPr>
          <w:p w14:paraId="60505A55">
            <w:pPr>
              <w:pStyle w:val="43"/>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kern w:val="0"/>
                <w:sz w:val="24"/>
                <w:szCs w:val="24"/>
              </w:rPr>
              <w:t>配套服务</w:t>
            </w:r>
          </w:p>
        </w:tc>
        <w:tc>
          <w:tcPr>
            <w:tcW w:w="1076" w:type="pct"/>
            <w:vAlign w:val="center"/>
          </w:tcPr>
          <w:p w14:paraId="0ACA9CE3">
            <w:pPr>
              <w:pStyle w:val="43"/>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kern w:val="0"/>
                <w:sz w:val="24"/>
                <w:szCs w:val="24"/>
              </w:rPr>
              <w:t>31台自助机运营服务</w:t>
            </w:r>
          </w:p>
        </w:tc>
        <w:tc>
          <w:tcPr>
            <w:tcW w:w="506" w:type="pct"/>
            <w:vAlign w:val="center"/>
          </w:tcPr>
          <w:p w14:paraId="7F83E5F2">
            <w:pPr>
              <w:pStyle w:val="43"/>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kern w:val="0"/>
                <w:sz w:val="24"/>
                <w:szCs w:val="24"/>
              </w:rPr>
              <w:t>1</w:t>
            </w:r>
          </w:p>
        </w:tc>
        <w:tc>
          <w:tcPr>
            <w:tcW w:w="441" w:type="pct"/>
            <w:vAlign w:val="center"/>
          </w:tcPr>
          <w:p w14:paraId="65B2C2A0">
            <w:pPr>
              <w:pStyle w:val="43"/>
              <w:keepNext w:val="0"/>
              <w:keepLines w:val="0"/>
              <w:widowControl/>
              <w:suppressLineNumbers w:val="0"/>
              <w:autoSpaceDE w:val="0"/>
              <w:autoSpaceDN/>
              <w:spacing w:line="240" w:lineRule="auto"/>
              <w:ind w:left="0" w:leftChars="0" w:right="0" w:rightChars="0"/>
              <w:jc w:val="center"/>
              <w:rPr>
                <w:rFonts w:hint="eastAsia" w:ascii="仿宋" w:hAnsi="仿宋" w:eastAsia="仿宋" w:cs="仿宋"/>
                <w:sz w:val="24"/>
                <w:szCs w:val="24"/>
              </w:rPr>
            </w:pPr>
            <w:r>
              <w:rPr>
                <w:rFonts w:hint="eastAsia" w:ascii="仿宋" w:hAnsi="仿宋" w:eastAsia="仿宋" w:cs="仿宋"/>
                <w:kern w:val="0"/>
                <w:sz w:val="24"/>
                <w:szCs w:val="24"/>
              </w:rPr>
              <w:t>套</w:t>
            </w:r>
          </w:p>
        </w:tc>
        <w:tc>
          <w:tcPr>
            <w:tcW w:w="593"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p>
        </w:tc>
        <w:tc>
          <w:tcPr>
            <w:tcW w:w="770" w:type="pct"/>
            <w:vAlign w:val="center"/>
          </w:tcPr>
          <w:p w14:paraId="0141890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p>
        </w:tc>
        <w:tc>
          <w:tcPr>
            <w:tcW w:w="379" w:type="pct"/>
            <w:vMerge w:val="continue"/>
            <w:vAlign w:val="center"/>
          </w:tcPr>
          <w:p w14:paraId="1F7857A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p>
        </w:tc>
        <w:tc>
          <w:tcPr>
            <w:tcW w:w="381" w:type="pct"/>
            <w:vAlign w:val="center"/>
          </w:tcPr>
          <w:p w14:paraId="2F63C1A4">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sz w:val="24"/>
                <w:szCs w:val="24"/>
              </w:rPr>
            </w:pPr>
          </w:p>
        </w:tc>
      </w:tr>
      <w:tr w14:paraId="1BAF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851" w:type="pct"/>
            <w:gridSpan w:val="2"/>
            <w:vAlign w:val="center"/>
          </w:tcPr>
          <w:p w14:paraId="1EEC05BA">
            <w:pPr>
              <w:spacing w:line="240" w:lineRule="auto"/>
              <w:jc w:val="center"/>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报价合计</w:t>
            </w:r>
          </w:p>
        </w:tc>
        <w:tc>
          <w:tcPr>
            <w:tcW w:w="4148" w:type="pct"/>
            <w:gridSpan w:val="7"/>
            <w:vAlign w:val="center"/>
          </w:tcPr>
          <w:p w14:paraId="5ABB40A7">
            <w:pPr>
              <w:spacing w:line="240" w:lineRule="auto"/>
              <w:ind w:firstLine="120" w:firstLineChars="50"/>
              <w:jc w:val="left"/>
              <w:rPr>
                <w:rFonts w:hint="eastAsia" w:ascii="仿宋" w:hAnsi="仿宋" w:eastAsia="仿宋" w:cs="仿宋"/>
                <w:kern w:val="0"/>
                <w:sz w:val="24"/>
                <w:szCs w:val="24"/>
                <w:lang w:val="zh-TW" w:eastAsia="zh-TW"/>
              </w:rPr>
            </w:pPr>
            <w:r>
              <w:rPr>
                <w:rFonts w:hint="eastAsia" w:ascii="仿宋" w:hAnsi="仿宋" w:eastAsia="仿宋" w:cs="仿宋"/>
                <w:kern w:val="0"/>
                <w:sz w:val="24"/>
                <w:szCs w:val="24"/>
                <w:lang w:val="zh-TW" w:eastAsia="zh-TW"/>
              </w:rPr>
              <w:t xml:space="preserve">大写：       </w:t>
            </w:r>
            <w:r>
              <w:rPr>
                <w:rFonts w:hint="eastAsia" w:ascii="仿宋" w:hAnsi="仿宋" w:eastAsia="仿宋" w:cs="仿宋"/>
                <w:kern w:val="0"/>
                <w:sz w:val="24"/>
                <w:szCs w:val="24"/>
                <w:lang w:val="zh-TW"/>
              </w:rPr>
              <w:t xml:space="preserve">    </w:t>
            </w:r>
            <w:r>
              <w:rPr>
                <w:rFonts w:hint="eastAsia" w:ascii="仿宋" w:hAnsi="仿宋" w:eastAsia="仿宋" w:cs="仿宋"/>
                <w:kern w:val="0"/>
                <w:sz w:val="24"/>
                <w:szCs w:val="24"/>
                <w:lang w:val="zh-TW" w:eastAsia="zh-TW"/>
              </w:rPr>
              <w:t>小写：</w:t>
            </w:r>
          </w:p>
        </w:tc>
      </w:tr>
    </w:tbl>
    <w:p w14:paraId="34BF33C0">
      <w:pPr>
        <w:pStyle w:val="7"/>
        <w:rPr>
          <w:rFonts w:ascii="Times New Roman" w:hAnsi="Times New Roman" w:eastAsia="仿宋" w:cs="Times New Roman"/>
          <w:szCs w:val="21"/>
        </w:rPr>
      </w:pPr>
    </w:p>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91" w:name="_Toc29032"/>
      <w:bookmarkStart w:id="92" w:name="_Toc14685"/>
      <w:bookmarkStart w:id="93" w:name="_Toc30002"/>
      <w:r>
        <w:rPr>
          <w:rFonts w:hint="eastAsia" w:ascii="Times New Roman" w:hAnsi="Times New Roman" w:eastAsia="仿宋" w:cs="Times New Roman"/>
          <w:sz w:val="24"/>
          <w:szCs w:val="24"/>
          <w:u w:val="none"/>
          <w:lang w:val="en-US" w:eastAsia="zh-CN"/>
        </w:rPr>
        <w:t>日</w:t>
      </w:r>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4" w:name="_Toc20691"/>
      <w:bookmarkStart w:id="95" w:name="_Toc5447"/>
      <w:r>
        <w:rPr>
          <w:rFonts w:ascii="Times New Roman" w:hAnsi="Times New Roman" w:eastAsia="黑体" w:cs="Times New Roman"/>
          <w:b/>
          <w:sz w:val="36"/>
          <w:szCs w:val="32"/>
        </w:rPr>
        <w:br w:type="page"/>
      </w:r>
    </w:p>
    <w:p w14:paraId="2C1171E3">
      <w:pPr>
        <w:pStyle w:val="2"/>
        <w:numPr>
          <w:ilvl w:val="0"/>
          <w:numId w:val="0"/>
        </w:numPr>
        <w:ind w:left="0" w:leftChars="0" w:firstLine="0" w:firstLineChars="0"/>
        <w:rPr>
          <w:rFonts w:ascii="Times New Roman" w:hAnsi="Times New Roman" w:cs="Times New Roman"/>
        </w:rPr>
      </w:pPr>
      <w:bookmarkStart w:id="96" w:name="_Toc10625"/>
      <w:r>
        <w:rPr>
          <w:rFonts w:hint="eastAsia" w:ascii="Times New Roman" w:hAnsi="Times New Roman" w:eastAsia="黑体" w:cs="Times New Roman"/>
          <w:b/>
          <w:kern w:val="44"/>
          <w:sz w:val="36"/>
          <w:lang w:val="zh-CN" w:eastAsia="zh-CN" w:bidi="ar-SA"/>
        </w:rPr>
        <w:t xml:space="preserve">第七章 </w:t>
      </w:r>
      <w:r>
        <w:rPr>
          <w:rFonts w:ascii="Times New Roman" w:hAnsi="Times New Roman" w:cs="Times New Roman"/>
        </w:rPr>
        <w:t>合同条款（仅成交后使用）</w:t>
      </w:r>
      <w:bookmarkEnd w:id="94"/>
      <w:bookmarkEnd w:id="95"/>
      <w:bookmarkEnd w:id="96"/>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4D67F61A">
      <w:pPr>
        <w:pStyle w:val="41"/>
        <w:spacing w:line="360" w:lineRule="auto"/>
        <w:rPr>
          <w:rFonts w:ascii="方正小标宋_GBK" w:hAnsi="方正小标宋_GBK" w:eastAsia="方正小标宋_GBK" w:cs="方正小标宋_GBK"/>
          <w:b w:val="0"/>
          <w:bCs/>
          <w:kern w:val="0"/>
          <w:sz w:val="44"/>
          <w:szCs w:val="44"/>
          <w:lang w:bidi="ar"/>
        </w:rPr>
      </w:pPr>
      <w:permStart w:id="0" w:edGrp="everyone"/>
      <w:permEnd w:id="0"/>
      <w:r>
        <w:rPr>
          <w:rFonts w:hint="eastAsia" w:ascii="方正小标宋_GBK" w:hAnsi="方正小标宋_GBK" w:eastAsia="方正小标宋_GBK" w:cs="方正小标宋_GBK"/>
          <w:b w:val="0"/>
          <w:bCs/>
          <w:kern w:val="0"/>
          <w:sz w:val="44"/>
          <w:szCs w:val="44"/>
          <w:lang w:bidi="ar"/>
        </w:rPr>
        <w:t>合同</w:t>
      </w:r>
    </w:p>
    <w:p w14:paraId="28592408">
      <w:pPr>
        <w:spacing w:line="360" w:lineRule="auto"/>
        <w:rPr>
          <w:sz w:val="24"/>
          <w:szCs w:val="24"/>
        </w:rPr>
        <w:sectPr>
          <w:footerReference r:id="rId9" w:type="first"/>
          <w:footerReference r:id="rId7" w:type="default"/>
          <w:footerReference r:id="rId8" w:type="even"/>
          <w:pgSz w:w="11906" w:h="16838"/>
          <w:pgMar w:top="1134" w:right="1134" w:bottom="1134" w:left="1134" w:header="0" w:footer="567" w:gutter="0"/>
          <w:pgNumType w:fmt="decimal" w:start="1"/>
          <w:cols w:space="425" w:num="1"/>
          <w:titlePg/>
          <w:docGrid w:linePitch="312" w:charSpace="0"/>
        </w:sectPr>
      </w:pPr>
    </w:p>
    <w:p w14:paraId="7EC7FF8C">
      <w:pPr>
        <w:spacing w:line="480" w:lineRule="exact"/>
        <w:rPr>
          <w:rFonts w:ascii="宋体" w:hAnsi="宋体" w:cs="宋体"/>
          <w:color w:val="000000"/>
          <w:kern w:val="0"/>
          <w:sz w:val="24"/>
          <w:szCs w:val="24"/>
        </w:rPr>
      </w:pPr>
    </w:p>
    <w:p w14:paraId="59A3AA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采购人（以下简称甲方）：四川省人民医院</w:t>
      </w:r>
    </w:p>
    <w:p w14:paraId="76CB085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地址：四川省成都市一环路西二段 32 号</w:t>
      </w:r>
    </w:p>
    <w:p w14:paraId="660C2D60">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7C359D34">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联系人：                     电话： </w:t>
      </w:r>
    </w:p>
    <w:p w14:paraId="2FDCD23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医学信息中心联系人：         电话：</w:t>
      </w:r>
    </w:p>
    <w:p w14:paraId="457991C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 xml:space="preserve"> </w:t>
      </w:r>
    </w:p>
    <w:p w14:paraId="63DA343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乙方：中国农业银行股份有限公司成都光华支行</w:t>
      </w:r>
    </w:p>
    <w:p w14:paraId="45111EC8">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地址：四川省成都市小南街3号</w:t>
      </w:r>
    </w:p>
    <w:p w14:paraId="3CD6B679">
      <w:pPr>
        <w:spacing w:line="480" w:lineRule="exact"/>
        <w:rPr>
          <w:rFonts w:ascii="宋体" w:hAnsi="宋体" w:cs="宋体"/>
          <w:color w:val="000000"/>
          <w:kern w:val="0"/>
          <w:sz w:val="24"/>
          <w:szCs w:val="24"/>
        </w:rPr>
      </w:pPr>
      <w:r>
        <w:rPr>
          <w:rFonts w:hint="eastAsia" w:ascii="宋体" w:hAnsi="宋体" w:cs="宋体"/>
          <w:color w:val="000000"/>
          <w:kern w:val="0"/>
          <w:sz w:val="24"/>
          <w:szCs w:val="24"/>
        </w:rPr>
        <w:t>法定代表人：</w:t>
      </w:r>
    </w:p>
    <w:p w14:paraId="1423154E">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电话：028-63930892</w:t>
      </w:r>
    </w:p>
    <w:p w14:paraId="20F5008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联系人：黄觅</w:t>
      </w:r>
    </w:p>
    <w:p w14:paraId="7222989A">
      <w:pPr>
        <w:spacing w:line="480" w:lineRule="exact"/>
        <w:rPr>
          <w:rFonts w:ascii="宋体" w:hAnsi="宋体" w:cs="宋体"/>
          <w:color w:val="000000"/>
          <w:kern w:val="0"/>
          <w:sz w:val="24"/>
          <w:szCs w:val="24"/>
        </w:rPr>
      </w:pPr>
    </w:p>
    <w:p w14:paraId="3445506B">
      <w:pPr>
        <w:spacing w:line="480" w:lineRule="exact"/>
        <w:rPr>
          <w:rFonts w:ascii="宋体" w:hAnsi="宋体" w:cs="宋体"/>
          <w:color w:val="000000"/>
          <w:kern w:val="0"/>
          <w:sz w:val="24"/>
          <w:szCs w:val="24"/>
        </w:rPr>
      </w:pPr>
      <w:r>
        <w:rPr>
          <w:rFonts w:hint="eastAsia" w:ascii="宋体" w:hAnsi="宋体" w:cs="宋体"/>
          <w:color w:val="000000"/>
          <w:kern w:val="0"/>
          <w:sz w:val="24"/>
          <w:szCs w:val="24"/>
        </w:rPr>
        <w:t>丙方：</w:t>
      </w:r>
    </w:p>
    <w:p w14:paraId="622AF81A">
      <w:pPr>
        <w:spacing w:line="480" w:lineRule="exact"/>
        <w:rPr>
          <w:rFonts w:ascii="宋体" w:hAnsi="宋体" w:cs="宋体"/>
          <w:color w:val="000000"/>
          <w:kern w:val="0"/>
          <w:sz w:val="24"/>
          <w:szCs w:val="24"/>
        </w:rPr>
      </w:pPr>
      <w:r>
        <w:rPr>
          <w:rFonts w:hint="eastAsia" w:ascii="宋体" w:hAnsi="宋体" w:cs="宋体"/>
          <w:color w:val="000000"/>
          <w:kern w:val="0"/>
          <w:sz w:val="24"/>
          <w:szCs w:val="24"/>
        </w:rPr>
        <w:t>地址：</w:t>
      </w:r>
    </w:p>
    <w:p w14:paraId="257CF87B">
      <w:pPr>
        <w:spacing w:line="480" w:lineRule="exact"/>
        <w:rPr>
          <w:szCs w:val="21"/>
        </w:rPr>
      </w:pPr>
      <w:r>
        <w:rPr>
          <w:rFonts w:hint="eastAsia" w:ascii="宋体" w:hAnsi="宋体" w:cs="宋体"/>
          <w:color w:val="000000"/>
          <w:kern w:val="0"/>
          <w:sz w:val="24"/>
          <w:szCs w:val="24"/>
        </w:rPr>
        <w:t>法定代表人：</w:t>
      </w:r>
    </w:p>
    <w:p w14:paraId="465543E6">
      <w:pPr>
        <w:spacing w:line="480" w:lineRule="exact"/>
        <w:rPr>
          <w:rFonts w:ascii="宋体" w:hAnsi="宋体" w:cs="宋体"/>
          <w:color w:val="000000"/>
          <w:kern w:val="0"/>
          <w:sz w:val="24"/>
          <w:szCs w:val="24"/>
        </w:rPr>
      </w:pPr>
      <w:r>
        <w:rPr>
          <w:rFonts w:hint="eastAsia" w:ascii="宋体" w:hAnsi="宋体" w:cs="宋体"/>
          <w:color w:val="000000"/>
          <w:kern w:val="0"/>
          <w:sz w:val="24"/>
          <w:szCs w:val="24"/>
        </w:rPr>
        <w:t>移动电话：</w:t>
      </w:r>
    </w:p>
    <w:p w14:paraId="501AB7C1">
      <w:pPr>
        <w:spacing w:line="480" w:lineRule="exact"/>
        <w:rPr>
          <w:rFonts w:ascii="宋体" w:hAnsi="宋体" w:cs="宋体"/>
          <w:color w:val="000000"/>
          <w:kern w:val="0"/>
          <w:sz w:val="24"/>
          <w:szCs w:val="24"/>
        </w:rPr>
      </w:pPr>
      <w:r>
        <w:rPr>
          <w:rFonts w:hint="eastAsia" w:ascii="宋体" w:hAnsi="宋体" w:cs="宋体"/>
          <w:color w:val="000000"/>
          <w:kern w:val="0"/>
          <w:sz w:val="24"/>
          <w:szCs w:val="24"/>
        </w:rPr>
        <w:t>联系人：</w:t>
      </w:r>
    </w:p>
    <w:p w14:paraId="2C0841DA">
      <w:pPr>
        <w:spacing w:line="360" w:lineRule="auto"/>
        <w:rPr>
          <w:sz w:val="24"/>
          <w:szCs w:val="24"/>
        </w:rPr>
      </w:pPr>
    </w:p>
    <w:p w14:paraId="53D320C2">
      <w:pPr>
        <w:widowControl/>
        <w:ind w:firstLine="480" w:firstLineChars="200"/>
        <w:jc w:val="left"/>
        <w:rPr>
          <w:sz w:val="24"/>
          <w:szCs w:val="24"/>
        </w:rPr>
      </w:pPr>
      <w:r>
        <w:rPr>
          <w:rFonts w:hint="eastAsia" w:ascii="宋体" w:hAnsi="宋体" w:cs="宋体"/>
          <w:color w:val="000000"/>
          <w:kern w:val="0"/>
          <w:sz w:val="24"/>
          <w:szCs w:val="24"/>
        </w:rPr>
        <w:t>甲乙丙三方确认就“”采购项目（项目编号：）甲方向丙方购买本合同中写明的货物</w:t>
      </w:r>
      <w:r>
        <w:rPr>
          <w:rFonts w:ascii="宋体" w:hAnsi="宋体" w:cs="宋体"/>
          <w:color w:val="000000"/>
          <w:kern w:val="0"/>
          <w:sz w:val="24"/>
          <w:szCs w:val="24"/>
        </w:rPr>
        <w:t xml:space="preserve">/ </w:t>
      </w:r>
      <w:r>
        <w:rPr>
          <w:rFonts w:hint="eastAsia" w:ascii="宋体" w:hAnsi="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丙三方同意签订本合同。详细技术说明及其他有关合同项目的特定信息由合同附件予以说明，合同附件及本项目的相关采购文件均为本合同不可分割的部分。三方同意共同遵守</w:t>
      </w:r>
      <w:r>
        <w:rPr>
          <w:rFonts w:ascii="宋体" w:hAnsi="宋体" w:cs="宋体"/>
          <w:color w:val="000000"/>
          <w:kern w:val="0"/>
          <w:sz w:val="24"/>
          <w:szCs w:val="24"/>
        </w:rPr>
        <w:t>以下</w:t>
      </w:r>
      <w:r>
        <w:rPr>
          <w:rFonts w:hint="eastAsia" w:ascii="宋体" w:hAnsi="宋体" w:cs="宋体"/>
          <w:color w:val="000000"/>
          <w:kern w:val="0"/>
          <w:sz w:val="24"/>
          <w:szCs w:val="24"/>
        </w:rPr>
        <w:t>条款。</w:t>
      </w:r>
    </w:p>
    <w:p w14:paraId="659CA723">
      <w:pPr>
        <w:spacing w:line="360" w:lineRule="auto"/>
        <w:rPr>
          <w:b/>
          <w:bCs/>
          <w:sz w:val="24"/>
          <w:szCs w:val="24"/>
        </w:rPr>
      </w:pPr>
      <w:r>
        <w:rPr>
          <w:rFonts w:hint="eastAsia"/>
          <w:b/>
          <w:sz w:val="24"/>
          <w:szCs w:val="24"/>
        </w:rPr>
        <w:t>一、项目内容</w:t>
      </w:r>
    </w:p>
    <w:tbl>
      <w:tblPr>
        <w:tblStyle w:val="18"/>
        <w:tblW w:w="1145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195"/>
        <w:gridCol w:w="222"/>
        <w:gridCol w:w="770"/>
        <w:gridCol w:w="1559"/>
        <w:gridCol w:w="851"/>
        <w:gridCol w:w="1417"/>
        <w:gridCol w:w="1417"/>
        <w:gridCol w:w="1276"/>
        <w:gridCol w:w="1048"/>
      </w:tblGrid>
      <w:tr w14:paraId="2BF033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45C4E2CD">
            <w:pPr>
              <w:adjustRightInd w:val="0"/>
              <w:snapToGrid w:val="0"/>
              <w:spacing w:line="360" w:lineRule="auto"/>
              <w:jc w:val="center"/>
              <w:rPr>
                <w:rFonts w:ascii="宋体" w:hAnsi="宋体" w:cs="宋体"/>
                <w:sz w:val="24"/>
                <w:szCs w:val="24"/>
              </w:rPr>
            </w:pPr>
            <w:permStart w:id="1" w:edGrp="everyone" w:colFirst="0" w:colLast="0"/>
            <w:permStart w:id="2" w:edGrp="everyone" w:colFirst="1" w:colLast="1"/>
            <w:permStart w:id="3" w:edGrp="everyone" w:colFirst="2" w:colLast="2"/>
            <w:permStart w:id="4" w:edGrp="everyone" w:colFirst="3" w:colLast="3"/>
            <w:permStart w:id="5" w:edGrp="everyone" w:colFirst="4" w:colLast="4"/>
            <w:permStart w:id="6" w:edGrp="everyone" w:colFirst="8" w:colLast="8"/>
            <w:r>
              <w:rPr>
                <w:rFonts w:hint="eastAsia" w:ascii="宋体" w:hAnsi="宋体" w:cs="宋体"/>
                <w:sz w:val="24"/>
                <w:szCs w:val="24"/>
              </w:rPr>
              <w:t>名称</w:t>
            </w:r>
          </w:p>
        </w:tc>
        <w:tc>
          <w:tcPr>
            <w:tcW w:w="1195" w:type="dxa"/>
            <w:tcBorders>
              <w:top w:val="single" w:color="auto" w:sz="4" w:space="0"/>
              <w:left w:val="single" w:color="auto" w:sz="4" w:space="0"/>
              <w:bottom w:val="single" w:color="auto" w:sz="4" w:space="0"/>
              <w:right w:val="single" w:color="auto" w:sz="4" w:space="0"/>
            </w:tcBorders>
            <w:vAlign w:val="center"/>
          </w:tcPr>
          <w:p w14:paraId="2D3D9A55">
            <w:pPr>
              <w:adjustRightInd w:val="0"/>
              <w:snapToGrid w:val="0"/>
              <w:spacing w:line="360" w:lineRule="auto"/>
              <w:jc w:val="center"/>
              <w:rPr>
                <w:rFonts w:ascii="宋体" w:hAnsi="宋体" w:cs="宋体"/>
                <w:sz w:val="24"/>
                <w:szCs w:val="24"/>
              </w:rPr>
            </w:pPr>
            <w:r>
              <w:rPr>
                <w:rFonts w:hint="eastAsia" w:ascii="宋体" w:hAnsi="宋体" w:cs="宋体"/>
                <w:sz w:val="24"/>
                <w:szCs w:val="24"/>
              </w:rPr>
              <w:t>品牌</w:t>
            </w: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2F5669C6">
            <w:pPr>
              <w:adjustRightInd w:val="0"/>
              <w:snapToGrid w:val="0"/>
              <w:spacing w:line="360" w:lineRule="auto"/>
              <w:jc w:val="center"/>
              <w:rPr>
                <w:rFonts w:ascii="宋体" w:hAnsi="宋体" w:cs="宋体"/>
                <w:sz w:val="24"/>
                <w:szCs w:val="24"/>
              </w:rPr>
            </w:pPr>
            <w:r>
              <w:rPr>
                <w:rFonts w:hint="eastAsia" w:ascii="宋体" w:hAnsi="宋体" w:cs="宋体"/>
                <w:sz w:val="24"/>
                <w:szCs w:val="24"/>
              </w:rPr>
              <w:t>产地</w:t>
            </w:r>
          </w:p>
        </w:tc>
        <w:tc>
          <w:tcPr>
            <w:tcW w:w="1559" w:type="dxa"/>
            <w:tcBorders>
              <w:top w:val="single" w:color="auto" w:sz="4" w:space="0"/>
              <w:left w:val="single" w:color="auto" w:sz="4" w:space="0"/>
              <w:bottom w:val="single" w:color="auto" w:sz="4" w:space="0"/>
              <w:right w:val="single" w:color="auto" w:sz="4" w:space="0"/>
            </w:tcBorders>
            <w:vAlign w:val="center"/>
          </w:tcPr>
          <w:p w14:paraId="2124A1EE">
            <w:pPr>
              <w:adjustRightInd w:val="0"/>
              <w:snapToGrid w:val="0"/>
              <w:spacing w:line="360" w:lineRule="auto"/>
              <w:jc w:val="center"/>
              <w:rPr>
                <w:rFonts w:ascii="宋体" w:hAnsi="宋体" w:cs="宋体"/>
                <w:sz w:val="24"/>
                <w:szCs w:val="24"/>
              </w:rPr>
            </w:pPr>
            <w:r>
              <w:rPr>
                <w:rFonts w:hint="eastAsia" w:ascii="宋体" w:hAnsi="宋体" w:cs="宋体"/>
                <w:sz w:val="24"/>
                <w:szCs w:val="24"/>
              </w:rPr>
              <w:t>规格型号</w:t>
            </w:r>
          </w:p>
        </w:tc>
        <w:tc>
          <w:tcPr>
            <w:tcW w:w="851" w:type="dxa"/>
            <w:tcBorders>
              <w:top w:val="single" w:color="auto" w:sz="4" w:space="0"/>
              <w:left w:val="single" w:color="auto" w:sz="4" w:space="0"/>
              <w:bottom w:val="single" w:color="auto" w:sz="4" w:space="0"/>
              <w:right w:val="single" w:color="auto" w:sz="4" w:space="0"/>
            </w:tcBorders>
            <w:vAlign w:val="center"/>
          </w:tcPr>
          <w:p w14:paraId="1564E880">
            <w:pPr>
              <w:adjustRightInd w:val="0"/>
              <w:snapToGrid w:val="0"/>
              <w:spacing w:line="360" w:lineRule="auto"/>
              <w:jc w:val="center"/>
              <w:rPr>
                <w:rFonts w:ascii="宋体" w:hAnsi="宋体" w:cs="宋体"/>
                <w:sz w:val="24"/>
                <w:szCs w:val="24"/>
              </w:rPr>
            </w:pPr>
            <w:r>
              <w:rPr>
                <w:rFonts w:hint="eastAsia" w:ascii="宋体" w:hAnsi="宋体" w:cs="宋体"/>
                <w:sz w:val="24"/>
                <w:szCs w:val="24"/>
              </w:rPr>
              <w:t>数量</w:t>
            </w:r>
          </w:p>
        </w:tc>
        <w:tc>
          <w:tcPr>
            <w:tcW w:w="1417" w:type="dxa"/>
            <w:tcBorders>
              <w:top w:val="single" w:color="auto" w:sz="4" w:space="0"/>
              <w:left w:val="single" w:color="auto" w:sz="4" w:space="0"/>
              <w:bottom w:val="single" w:color="auto" w:sz="4" w:space="0"/>
              <w:right w:val="single" w:color="auto" w:sz="4" w:space="0"/>
            </w:tcBorders>
          </w:tcPr>
          <w:p w14:paraId="5B384373">
            <w:pPr>
              <w:adjustRightInd w:val="0"/>
              <w:snapToGrid w:val="0"/>
              <w:spacing w:line="360" w:lineRule="auto"/>
              <w:jc w:val="center"/>
              <w:rPr>
                <w:rFonts w:ascii="宋体" w:hAnsi="宋体" w:cs="宋体"/>
                <w:sz w:val="24"/>
                <w:szCs w:val="24"/>
              </w:rPr>
            </w:pPr>
            <w:r>
              <w:rPr>
                <w:rFonts w:hint="eastAsia" w:ascii="宋体" w:hAnsi="宋体" w:cs="宋体"/>
                <w:sz w:val="24"/>
                <w:szCs w:val="24"/>
              </w:rPr>
              <w:t>单位</w:t>
            </w:r>
          </w:p>
        </w:tc>
        <w:tc>
          <w:tcPr>
            <w:tcW w:w="1417" w:type="dxa"/>
            <w:tcBorders>
              <w:top w:val="single" w:color="auto" w:sz="4" w:space="0"/>
              <w:left w:val="single" w:color="auto" w:sz="4" w:space="0"/>
              <w:bottom w:val="single" w:color="auto" w:sz="4" w:space="0"/>
              <w:right w:val="single" w:color="auto" w:sz="4" w:space="0"/>
            </w:tcBorders>
            <w:vAlign w:val="center"/>
          </w:tcPr>
          <w:p w14:paraId="18808186">
            <w:pPr>
              <w:adjustRightInd w:val="0"/>
              <w:snapToGrid w:val="0"/>
              <w:spacing w:line="360" w:lineRule="auto"/>
              <w:jc w:val="center"/>
              <w:rPr>
                <w:rFonts w:ascii="宋体" w:hAnsi="宋体" w:cs="宋体"/>
                <w:sz w:val="24"/>
                <w:szCs w:val="24"/>
              </w:rPr>
            </w:pPr>
            <w:r>
              <w:rPr>
                <w:rFonts w:hint="eastAsia" w:ascii="宋体" w:hAnsi="宋体" w:cs="宋体"/>
                <w:sz w:val="24"/>
                <w:szCs w:val="24"/>
              </w:rPr>
              <w:t>单价</w:t>
            </w:r>
          </w:p>
        </w:tc>
        <w:tc>
          <w:tcPr>
            <w:tcW w:w="1276" w:type="dxa"/>
            <w:tcBorders>
              <w:top w:val="single" w:color="auto" w:sz="4" w:space="0"/>
              <w:left w:val="single" w:color="auto" w:sz="4" w:space="0"/>
              <w:bottom w:val="single" w:color="auto" w:sz="4" w:space="0"/>
              <w:right w:val="single" w:color="auto" w:sz="4" w:space="0"/>
            </w:tcBorders>
            <w:vAlign w:val="center"/>
          </w:tcPr>
          <w:p w14:paraId="14F5B6FE">
            <w:pPr>
              <w:adjustRightInd w:val="0"/>
              <w:snapToGrid w:val="0"/>
              <w:spacing w:line="360" w:lineRule="auto"/>
              <w:jc w:val="center"/>
              <w:rPr>
                <w:rFonts w:ascii="宋体" w:hAnsi="宋体" w:cs="宋体"/>
                <w:sz w:val="24"/>
                <w:szCs w:val="24"/>
              </w:rPr>
            </w:pPr>
            <w:r>
              <w:rPr>
                <w:rFonts w:hint="eastAsia" w:ascii="宋体" w:hAnsi="宋体" w:cs="宋体"/>
                <w:sz w:val="24"/>
                <w:szCs w:val="24"/>
              </w:rPr>
              <w:t>总价</w:t>
            </w:r>
          </w:p>
        </w:tc>
        <w:tc>
          <w:tcPr>
            <w:tcW w:w="1048" w:type="dxa"/>
            <w:tcBorders>
              <w:top w:val="single" w:color="auto" w:sz="4" w:space="0"/>
              <w:left w:val="single" w:color="auto" w:sz="4" w:space="0"/>
              <w:bottom w:val="single" w:color="auto" w:sz="4" w:space="0"/>
              <w:right w:val="single" w:color="auto" w:sz="4" w:space="0"/>
            </w:tcBorders>
            <w:vAlign w:val="center"/>
          </w:tcPr>
          <w:p w14:paraId="3179E26D">
            <w:pPr>
              <w:adjustRightInd w:val="0"/>
              <w:snapToGrid w:val="0"/>
              <w:spacing w:line="360" w:lineRule="auto"/>
              <w:jc w:val="center"/>
              <w:rPr>
                <w:rFonts w:ascii="宋体" w:hAnsi="宋体" w:cs="宋体"/>
                <w:sz w:val="24"/>
                <w:szCs w:val="24"/>
              </w:rPr>
            </w:pPr>
            <w:r>
              <w:rPr>
                <w:rFonts w:hint="eastAsia" w:ascii="宋体" w:hAnsi="宋体" w:cs="宋体"/>
                <w:sz w:val="24"/>
                <w:szCs w:val="24"/>
              </w:rPr>
              <w:t>备注</w:t>
            </w:r>
          </w:p>
        </w:tc>
      </w:tr>
      <w:permEnd w:id="1"/>
      <w:permEnd w:id="2"/>
      <w:permEnd w:id="3"/>
      <w:permEnd w:id="4"/>
      <w:permEnd w:id="5"/>
      <w:permEnd w:id="6"/>
      <w:tr w14:paraId="4F0AAF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38EB45A4">
            <w:pPr>
              <w:adjustRightInd w:val="0"/>
              <w:snapToGrid w:val="0"/>
              <w:spacing w:line="360" w:lineRule="auto"/>
              <w:jc w:val="center"/>
              <w:rPr>
                <w:rFonts w:ascii="宋体" w:hAnsi="宋体" w:cs="宋体"/>
                <w:sz w:val="24"/>
                <w:szCs w:val="24"/>
              </w:rPr>
            </w:pPr>
          </w:p>
        </w:tc>
        <w:tc>
          <w:tcPr>
            <w:tcW w:w="1195" w:type="dxa"/>
            <w:tcBorders>
              <w:top w:val="single" w:color="auto" w:sz="4" w:space="0"/>
              <w:left w:val="single" w:color="auto" w:sz="4" w:space="0"/>
              <w:bottom w:val="single" w:color="auto" w:sz="4" w:space="0"/>
              <w:right w:val="single" w:color="auto" w:sz="4" w:space="0"/>
            </w:tcBorders>
            <w:vAlign w:val="center"/>
          </w:tcPr>
          <w:p w14:paraId="34DB762D">
            <w:pPr>
              <w:adjustRightInd w:val="0"/>
              <w:snapToGrid w:val="0"/>
              <w:spacing w:line="360" w:lineRule="auto"/>
              <w:jc w:val="center"/>
              <w:rPr>
                <w:rFonts w:ascii="宋体" w:hAnsi="宋体" w:cs="宋体"/>
                <w:sz w:val="24"/>
                <w:szCs w:val="24"/>
              </w:rPr>
            </w:pPr>
          </w:p>
        </w:tc>
        <w:tc>
          <w:tcPr>
            <w:tcW w:w="992" w:type="dxa"/>
            <w:gridSpan w:val="2"/>
            <w:tcBorders>
              <w:top w:val="single" w:color="auto" w:sz="4" w:space="0"/>
              <w:left w:val="single" w:color="auto" w:sz="4" w:space="0"/>
              <w:bottom w:val="single" w:color="auto" w:sz="4" w:space="0"/>
              <w:right w:val="single" w:color="auto" w:sz="4" w:space="0"/>
            </w:tcBorders>
            <w:vAlign w:val="center"/>
          </w:tcPr>
          <w:p w14:paraId="62516EC4">
            <w:pPr>
              <w:adjustRightInd w:val="0"/>
              <w:snapToGrid w:val="0"/>
              <w:spacing w:line="360" w:lineRule="auto"/>
              <w:jc w:val="center"/>
              <w:rPr>
                <w:rFonts w:ascii="宋体" w:hAnsi="宋体" w:cs="宋体"/>
                <w:sz w:val="24"/>
                <w:szCs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134DE9">
            <w:pPr>
              <w:adjustRightInd w:val="0"/>
              <w:snapToGrid w:val="0"/>
              <w:spacing w:line="360" w:lineRule="auto"/>
              <w:jc w:val="center"/>
              <w:rPr>
                <w:rFonts w:ascii="宋体" w:hAnsi="宋体" w:cs="宋体"/>
                <w:sz w:val="24"/>
                <w:szCs w:val="24"/>
              </w:rPr>
            </w:pPr>
          </w:p>
        </w:tc>
        <w:tc>
          <w:tcPr>
            <w:tcW w:w="851" w:type="dxa"/>
            <w:tcBorders>
              <w:top w:val="single" w:color="auto" w:sz="4" w:space="0"/>
              <w:left w:val="single" w:color="auto" w:sz="4" w:space="0"/>
              <w:bottom w:val="single" w:color="auto" w:sz="4" w:space="0"/>
              <w:right w:val="single" w:color="auto" w:sz="4" w:space="0"/>
            </w:tcBorders>
            <w:vAlign w:val="center"/>
          </w:tcPr>
          <w:p w14:paraId="24A0D563">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tcPr>
          <w:p w14:paraId="49270677">
            <w:pPr>
              <w:adjustRightInd w:val="0"/>
              <w:snapToGrid w:val="0"/>
              <w:spacing w:line="360" w:lineRule="auto"/>
              <w:jc w:val="center"/>
              <w:rPr>
                <w:rFonts w:ascii="宋体" w:hAnsi="宋体" w:cs="宋体"/>
                <w:sz w:val="24"/>
                <w:szCs w:val="24"/>
              </w:rPr>
            </w:pPr>
          </w:p>
        </w:tc>
        <w:tc>
          <w:tcPr>
            <w:tcW w:w="1417" w:type="dxa"/>
            <w:tcBorders>
              <w:top w:val="single" w:color="auto" w:sz="4" w:space="0"/>
              <w:left w:val="single" w:color="auto" w:sz="4" w:space="0"/>
              <w:bottom w:val="single" w:color="auto" w:sz="4" w:space="0"/>
              <w:right w:val="single" w:color="auto" w:sz="4" w:space="0"/>
            </w:tcBorders>
            <w:vAlign w:val="center"/>
          </w:tcPr>
          <w:p w14:paraId="792FD25A">
            <w:pPr>
              <w:adjustRightInd w:val="0"/>
              <w:snapToGrid w:val="0"/>
              <w:spacing w:line="360" w:lineRule="auto"/>
              <w:jc w:val="center"/>
              <w:rPr>
                <w:rFonts w:ascii="宋体" w:hAnsi="宋体" w:cs="宋体"/>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3AA5BFB5">
            <w:pPr>
              <w:adjustRightInd w:val="0"/>
              <w:snapToGrid w:val="0"/>
              <w:spacing w:line="360" w:lineRule="auto"/>
              <w:jc w:val="center"/>
              <w:rPr>
                <w:rFonts w:ascii="宋体" w:hAnsi="宋体" w:cs="宋体"/>
                <w:sz w:val="24"/>
                <w:szCs w:val="24"/>
              </w:rPr>
            </w:pPr>
          </w:p>
        </w:tc>
        <w:tc>
          <w:tcPr>
            <w:tcW w:w="1048" w:type="dxa"/>
            <w:tcBorders>
              <w:top w:val="single" w:color="auto" w:sz="4" w:space="0"/>
              <w:left w:val="single" w:color="auto" w:sz="4" w:space="0"/>
              <w:bottom w:val="single" w:color="auto" w:sz="4" w:space="0"/>
              <w:right w:val="single" w:color="auto" w:sz="4" w:space="0"/>
            </w:tcBorders>
            <w:vAlign w:val="center"/>
          </w:tcPr>
          <w:p w14:paraId="03B843B9">
            <w:pPr>
              <w:adjustRightInd w:val="0"/>
              <w:snapToGrid w:val="0"/>
              <w:spacing w:line="360" w:lineRule="auto"/>
              <w:jc w:val="center"/>
              <w:rPr>
                <w:rFonts w:ascii="宋体" w:hAnsi="宋体" w:cs="宋体"/>
                <w:sz w:val="24"/>
                <w:szCs w:val="24"/>
              </w:rPr>
            </w:pPr>
          </w:p>
        </w:tc>
      </w:tr>
      <w:tr w14:paraId="55BA88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8082484">
            <w:pPr>
              <w:adjustRightInd w:val="0"/>
              <w:snapToGrid w:val="0"/>
              <w:spacing w:line="360" w:lineRule="auto"/>
              <w:jc w:val="center"/>
              <w:rPr>
                <w:rFonts w:ascii="宋体" w:hAnsi="宋体" w:cs="宋体"/>
                <w:sz w:val="24"/>
                <w:szCs w:val="24"/>
              </w:rPr>
            </w:pPr>
            <w:r>
              <w:rPr>
                <w:rFonts w:hint="eastAsia" w:ascii="宋体" w:hAnsi="宋体" w:cs="宋体"/>
                <w:sz w:val="24"/>
                <w:szCs w:val="24"/>
              </w:rPr>
              <w:t>技术参数</w:t>
            </w:r>
          </w:p>
          <w:p w14:paraId="1B6DC741">
            <w:pPr>
              <w:adjustRightInd w:val="0"/>
              <w:snapToGrid w:val="0"/>
              <w:spacing w:line="360" w:lineRule="auto"/>
              <w:jc w:val="center"/>
              <w:rPr>
                <w:rFonts w:ascii="宋体" w:hAnsi="宋体" w:cs="宋体"/>
                <w:sz w:val="24"/>
                <w:szCs w:val="24"/>
              </w:rPr>
            </w:pPr>
            <w:r>
              <w:rPr>
                <w:rFonts w:hint="eastAsia" w:ascii="宋体" w:hAnsi="宋体" w:cs="宋体"/>
                <w:sz w:val="24"/>
                <w:szCs w:val="24"/>
              </w:rPr>
              <w:t>（可另附附件）</w:t>
            </w:r>
          </w:p>
        </w:tc>
        <w:tc>
          <w:tcPr>
            <w:tcW w:w="9755" w:type="dxa"/>
            <w:gridSpan w:val="9"/>
            <w:tcBorders>
              <w:top w:val="single" w:color="auto" w:sz="4" w:space="0"/>
              <w:left w:val="single" w:color="auto" w:sz="4" w:space="0"/>
              <w:bottom w:val="single" w:color="auto" w:sz="4" w:space="0"/>
              <w:right w:val="single" w:color="auto" w:sz="4" w:space="0"/>
            </w:tcBorders>
            <w:shd w:val="clear" w:color="A4A4A4" w:fill="auto"/>
          </w:tcPr>
          <w:p w14:paraId="5D81C049">
            <w:pPr>
              <w:adjustRightInd w:val="0"/>
              <w:snapToGrid w:val="0"/>
              <w:spacing w:line="360" w:lineRule="auto"/>
              <w:jc w:val="left"/>
              <w:rPr>
                <w:rFonts w:ascii="宋体" w:hAnsi="宋体" w:cs="宋体"/>
                <w:sz w:val="24"/>
                <w:szCs w:val="24"/>
              </w:rPr>
            </w:pPr>
          </w:p>
        </w:tc>
      </w:tr>
      <w:tr w14:paraId="39989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25" w:hRule="atLeast"/>
          <w:jc w:val="center"/>
        </w:trPr>
        <w:tc>
          <w:tcPr>
            <w:tcW w:w="1698" w:type="dxa"/>
            <w:tcBorders>
              <w:top w:val="single" w:color="auto" w:sz="4" w:space="0"/>
              <w:left w:val="single" w:color="auto" w:sz="4" w:space="0"/>
              <w:right w:val="single" w:color="auto" w:sz="4" w:space="0"/>
            </w:tcBorders>
            <w:shd w:val="clear" w:color="A4A4A4" w:fill="auto"/>
            <w:vAlign w:val="center"/>
          </w:tcPr>
          <w:p w14:paraId="701E5FCF">
            <w:pPr>
              <w:adjustRightInd w:val="0"/>
              <w:snapToGrid w:val="0"/>
              <w:spacing w:line="360" w:lineRule="auto"/>
              <w:jc w:val="center"/>
              <w:rPr>
                <w:rFonts w:ascii="宋体" w:hAnsi="宋体" w:cs="宋体"/>
                <w:sz w:val="24"/>
                <w:szCs w:val="24"/>
              </w:rPr>
            </w:pPr>
            <w:r>
              <w:rPr>
                <w:rFonts w:hint="eastAsia" w:ascii="宋体" w:hAnsi="宋体" w:cs="宋体"/>
                <w:sz w:val="24"/>
                <w:szCs w:val="24"/>
              </w:rPr>
              <w:t>服务期</w:t>
            </w:r>
          </w:p>
        </w:tc>
        <w:tc>
          <w:tcPr>
            <w:tcW w:w="1417" w:type="dxa"/>
            <w:gridSpan w:val="2"/>
            <w:tcBorders>
              <w:top w:val="single" w:color="auto" w:sz="4" w:space="0"/>
              <w:left w:val="single" w:color="auto" w:sz="4" w:space="0"/>
              <w:right w:val="single" w:color="auto" w:sz="4" w:space="0"/>
            </w:tcBorders>
            <w:shd w:val="clear" w:color="A4A4A4" w:fill="auto"/>
          </w:tcPr>
          <w:p w14:paraId="584E6B67">
            <w:pPr>
              <w:adjustRightInd w:val="0"/>
              <w:snapToGrid w:val="0"/>
              <w:spacing w:line="360" w:lineRule="auto"/>
              <w:jc w:val="left"/>
              <w:rPr>
                <w:rFonts w:ascii="宋体" w:hAnsi="宋体" w:cs="宋体"/>
                <w:sz w:val="24"/>
                <w:szCs w:val="24"/>
              </w:rPr>
            </w:pPr>
          </w:p>
        </w:tc>
        <w:tc>
          <w:tcPr>
            <w:tcW w:w="8338" w:type="dxa"/>
            <w:gridSpan w:val="7"/>
            <w:tcBorders>
              <w:top w:val="single" w:color="auto" w:sz="4" w:space="0"/>
              <w:left w:val="single" w:color="auto" w:sz="4" w:space="0"/>
              <w:right w:val="single" w:color="auto" w:sz="4" w:space="0"/>
            </w:tcBorders>
            <w:shd w:val="clear" w:color="A4A4A4" w:fill="auto"/>
            <w:vAlign w:val="center"/>
          </w:tcPr>
          <w:p w14:paraId="537B3B23">
            <w:pPr>
              <w:adjustRightInd w:val="0"/>
              <w:snapToGrid w:val="0"/>
              <w:spacing w:line="360" w:lineRule="auto"/>
              <w:jc w:val="left"/>
              <w:rPr>
                <w:rFonts w:ascii="宋体" w:hAnsi="宋体" w:cs="宋体"/>
                <w:sz w:val="24"/>
                <w:szCs w:val="24"/>
              </w:rPr>
            </w:pPr>
          </w:p>
        </w:tc>
      </w:tr>
    </w:tbl>
    <w:p w14:paraId="2ECE1F25">
      <w:pPr>
        <w:spacing w:line="360" w:lineRule="auto"/>
        <w:rPr>
          <w:b/>
          <w:sz w:val="24"/>
          <w:szCs w:val="24"/>
        </w:rPr>
      </w:pPr>
      <w:r>
        <w:rPr>
          <w:b/>
          <w:sz w:val="24"/>
          <w:szCs w:val="24"/>
        </w:rPr>
        <w:t>甲乙双方对上述设备的品牌、生产商、规格型号、数量、单价、总价的选择即确认，向丙方购买设备。</w:t>
      </w:r>
    </w:p>
    <w:p w14:paraId="348D87FD">
      <w:pPr>
        <w:spacing w:line="360" w:lineRule="auto"/>
        <w:rPr>
          <w:b/>
          <w:sz w:val="24"/>
          <w:szCs w:val="24"/>
        </w:rPr>
      </w:pPr>
      <w:r>
        <w:rPr>
          <w:rFonts w:hint="eastAsia"/>
          <w:b/>
          <w:sz w:val="24"/>
          <w:szCs w:val="24"/>
        </w:rPr>
        <w:t>二、合同总价</w:t>
      </w:r>
    </w:p>
    <w:p w14:paraId="34A6BB92">
      <w:pPr>
        <w:spacing w:line="360" w:lineRule="auto"/>
        <w:ind w:firstLine="480" w:firstLineChars="200"/>
        <w:rPr>
          <w:b/>
          <w:sz w:val="24"/>
          <w:szCs w:val="24"/>
        </w:rPr>
      </w:pPr>
      <w:r>
        <w:rPr>
          <w:rFonts w:hint="eastAsia" w:ascii="宋体" w:hAnsi="宋体" w:cs="宋体"/>
          <w:color w:val="000000"/>
          <w:kern w:val="0"/>
          <w:sz w:val="24"/>
          <w:szCs w:val="24"/>
        </w:rPr>
        <w:t>合同总价（含税）为人民币：   元，大写人民币:   ；该合同总价已包含硬件和软件开发、人工、包装、运输、安装、调试及验收后维保等相关服务的全部含税费用，甲乙双方无需向丙方支付任何额外费用。</w:t>
      </w:r>
    </w:p>
    <w:p w14:paraId="7B768E87">
      <w:pPr>
        <w:spacing w:line="360" w:lineRule="auto"/>
        <w:rPr>
          <w:b/>
          <w:sz w:val="24"/>
          <w:szCs w:val="24"/>
        </w:rPr>
      </w:pPr>
      <w:r>
        <w:rPr>
          <w:rFonts w:hint="eastAsia"/>
          <w:b/>
          <w:sz w:val="24"/>
          <w:szCs w:val="24"/>
        </w:rPr>
        <w:t>三、付款方式</w:t>
      </w:r>
    </w:p>
    <w:p w14:paraId="0E46BD9E">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1.本合同以人民币转账形式付款。</w:t>
      </w:r>
      <w:permStart w:id="7" w:edGrp="everyone"/>
      <w:r>
        <w:rPr>
          <w:rFonts w:hint="eastAsia" w:ascii="宋体" w:hAnsi="宋体" w:cs="宋体"/>
          <w:color w:val="000000"/>
          <w:kern w:val="0"/>
          <w:sz w:val="24"/>
          <w:szCs w:val="24"/>
        </w:rPr>
        <w:t>人民币   元，大写人民币   。</w:t>
      </w:r>
      <w:permEnd w:id="7"/>
    </w:p>
    <w:p w14:paraId="4AE51184">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2.</w:t>
      </w:r>
      <w:r>
        <w:rPr>
          <w:rFonts w:hint="eastAsia"/>
          <w:sz w:val="24"/>
          <w:szCs w:val="24"/>
        </w:rPr>
        <w:t>合同签订生效并</w:t>
      </w:r>
      <w:r>
        <w:rPr>
          <w:rFonts w:hint="eastAsia" w:ascii="宋体" w:hAnsi="宋体" w:cs="宋体"/>
          <w:color w:val="000000"/>
          <w:kern w:val="0"/>
          <w:sz w:val="24"/>
          <w:szCs w:val="24"/>
        </w:rPr>
        <w:t>最终验收合格后   日内，乙方接到甲方付款确认书以及丙方提交的相关有效票据（以乙方要求为准）后，乙方通过银行转账的方式向丙方支付合同金额的****%，人民币****元，大写人民币*****。</w:t>
      </w:r>
    </w:p>
    <w:p w14:paraId="50DDDADB">
      <w:pPr>
        <w:autoSpaceDE w:val="0"/>
        <w:autoSpaceDN w:val="0"/>
        <w:adjustRightInd w:val="0"/>
        <w:spacing w:line="480" w:lineRule="exact"/>
        <w:jc w:val="left"/>
        <w:rPr>
          <w:rFonts w:ascii="宋体" w:hAnsi="宋体" w:cs="宋体"/>
          <w:color w:val="000000"/>
          <w:kern w:val="0"/>
          <w:sz w:val="24"/>
          <w:szCs w:val="24"/>
        </w:rPr>
      </w:pPr>
      <w:r>
        <w:rPr>
          <w:rFonts w:hint="eastAsia" w:ascii="宋体" w:hAnsi="宋体" w:cs="宋体"/>
          <w:color w:val="000000"/>
          <w:kern w:val="0"/>
          <w:sz w:val="24"/>
          <w:szCs w:val="24"/>
        </w:rPr>
        <w:t>3.丙方指定的收款账户信息如下，如有变更，丙方应当在变更后3日内通知甲方和乙方，否则由此造成的损失，甲方乙方不承担：</w:t>
      </w:r>
    </w:p>
    <w:p w14:paraId="6A21DE98">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户名 </w:t>
      </w:r>
    </w:p>
    <w:p w14:paraId="306561A9">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开户行： </w:t>
      </w:r>
    </w:p>
    <w:p w14:paraId="3C604E36">
      <w:pPr>
        <w:autoSpaceDE w:val="0"/>
        <w:autoSpaceDN w:val="0"/>
        <w:adjustRightInd w:val="0"/>
        <w:spacing w:line="480" w:lineRule="exact"/>
        <w:ind w:left="426" w:leftChars="203" w:firstLine="480" w:firstLineChars="200"/>
        <w:jc w:val="left"/>
        <w:rPr>
          <w:rFonts w:ascii="宋体" w:hAnsi="宋体" w:cs="宋体"/>
          <w:color w:val="000000"/>
          <w:kern w:val="0"/>
          <w:sz w:val="24"/>
          <w:szCs w:val="24"/>
        </w:rPr>
      </w:pPr>
      <w:r>
        <w:rPr>
          <w:rFonts w:hint="eastAsia" w:ascii="宋体" w:hAnsi="宋体" w:cs="宋体"/>
          <w:color w:val="000000"/>
          <w:kern w:val="0"/>
          <w:sz w:val="24"/>
          <w:szCs w:val="24"/>
        </w:rPr>
        <w:t xml:space="preserve">账号： </w:t>
      </w:r>
    </w:p>
    <w:p w14:paraId="55A541D6">
      <w:pPr>
        <w:pStyle w:val="42"/>
        <w:spacing w:line="360" w:lineRule="auto"/>
        <w:ind w:firstLine="0" w:firstLineChars="0"/>
        <w:rPr>
          <w:rFonts w:ascii="宋体" w:hAnsi="宋体"/>
          <w:sz w:val="24"/>
          <w:szCs w:val="24"/>
        </w:rPr>
      </w:pPr>
      <w:r>
        <w:rPr>
          <w:rFonts w:hint="eastAsia" w:ascii="宋体" w:hAnsi="宋体"/>
          <w:sz w:val="24"/>
          <w:szCs w:val="24"/>
        </w:rPr>
        <w:t>4.甲丙两方在确认验收合格后*个工作日内，丙方应按国家有关规定开具合规的发票，否则，乙方有权拒绝付款，并不因此而承担违约责任。</w:t>
      </w:r>
    </w:p>
    <w:p w14:paraId="3FDB8EE0">
      <w:pPr>
        <w:pStyle w:val="42"/>
        <w:spacing w:line="360" w:lineRule="auto"/>
        <w:ind w:firstLine="0" w:firstLineChars="0"/>
        <w:rPr>
          <w:b/>
          <w:sz w:val="24"/>
          <w:szCs w:val="24"/>
        </w:rPr>
      </w:pPr>
      <w:r>
        <w:rPr>
          <w:rFonts w:hint="eastAsia"/>
          <w:b/>
          <w:sz w:val="24"/>
          <w:szCs w:val="24"/>
        </w:rPr>
        <w:t>四、交付地点、方式</w:t>
      </w:r>
    </w:p>
    <w:p w14:paraId="650502EF">
      <w:pPr>
        <w:pStyle w:val="42"/>
        <w:spacing w:line="360" w:lineRule="auto"/>
        <w:ind w:firstLine="0" w:firstLineChars="0"/>
        <w:rPr>
          <w:rFonts w:ascii="宋体" w:hAnsi="宋体"/>
          <w:sz w:val="24"/>
          <w:szCs w:val="24"/>
        </w:rPr>
      </w:pPr>
      <w:r>
        <w:rPr>
          <w:rFonts w:hint="eastAsia" w:ascii="宋体" w:hAnsi="宋体"/>
          <w:sz w:val="24"/>
          <w:szCs w:val="24"/>
        </w:rPr>
        <w:t>1.交货地点：</w:t>
      </w:r>
      <w:permStart w:id="8" w:edGrp="everyone"/>
      <w:r>
        <w:rPr>
          <w:rFonts w:hint="eastAsia"/>
          <w:sz w:val="24"/>
          <w:szCs w:val="24"/>
        </w:rPr>
        <w:t>甲方指定地点</w:t>
      </w:r>
    </w:p>
    <w:permEnd w:id="8"/>
    <w:p w14:paraId="0C4E89AE">
      <w:pPr>
        <w:pStyle w:val="42"/>
        <w:spacing w:line="360" w:lineRule="auto"/>
        <w:ind w:firstLine="0" w:firstLineChars="0"/>
        <w:rPr>
          <w:rFonts w:ascii="宋体" w:hAnsi="宋体"/>
          <w:sz w:val="24"/>
          <w:szCs w:val="24"/>
        </w:rPr>
      </w:pPr>
      <w:r>
        <w:rPr>
          <w:rFonts w:hint="eastAsia"/>
          <w:sz w:val="24"/>
          <w:szCs w:val="24"/>
        </w:rPr>
        <w:t>2.</w:t>
      </w:r>
      <w:r>
        <w:rPr>
          <w:sz w:val="24"/>
          <w:szCs w:val="24"/>
        </w:rPr>
        <w:t>交货方式</w:t>
      </w:r>
      <w:r>
        <w:rPr>
          <w:rFonts w:hint="eastAsia" w:ascii="宋体" w:hAnsi="宋体"/>
          <w:sz w:val="24"/>
          <w:szCs w:val="24"/>
        </w:rPr>
        <w:t>：</w:t>
      </w:r>
      <w:permStart w:id="9" w:edGrp="everyone"/>
      <w:r>
        <w:rPr>
          <w:rFonts w:hint="eastAsia" w:ascii="宋体" w:hAnsi="宋体"/>
          <w:sz w:val="24"/>
          <w:szCs w:val="24"/>
        </w:rPr>
        <w:t>丙方上门安装</w:t>
      </w:r>
    </w:p>
    <w:permEnd w:id="9"/>
    <w:p w14:paraId="3C049F8B">
      <w:pPr>
        <w:spacing w:line="360" w:lineRule="auto"/>
        <w:rPr>
          <w:b/>
          <w:sz w:val="24"/>
          <w:szCs w:val="24"/>
        </w:rPr>
      </w:pPr>
      <w:r>
        <w:rPr>
          <w:sz w:val="24"/>
          <w:szCs w:val="24"/>
        </w:rPr>
        <w:t>丙方按照甲方要求，保证在甲方通知送货后</w:t>
      </w:r>
      <w:r>
        <w:rPr>
          <w:rFonts w:hint="eastAsia"/>
          <w:sz w:val="24"/>
          <w:szCs w:val="24"/>
        </w:rPr>
        <w:t>*</w:t>
      </w:r>
      <w:r>
        <w:rPr>
          <w:sz w:val="24"/>
          <w:szCs w:val="24"/>
        </w:rPr>
        <w:t>*日内将货物送至甲方指定地点并安装调试完成，包装费、运输费用、保险费用及验收合格前的风险均由</w:t>
      </w:r>
      <w:r>
        <w:rPr>
          <w:rFonts w:hint="eastAsia"/>
          <w:sz w:val="24"/>
          <w:szCs w:val="24"/>
        </w:rPr>
        <w:t>丙</w:t>
      </w:r>
      <w:r>
        <w:rPr>
          <w:sz w:val="24"/>
          <w:szCs w:val="24"/>
        </w:rPr>
        <w:t>方负责。</w:t>
      </w:r>
    </w:p>
    <w:p w14:paraId="18696E57">
      <w:pPr>
        <w:spacing w:line="360" w:lineRule="auto"/>
        <w:rPr>
          <w:b/>
          <w:sz w:val="24"/>
          <w:szCs w:val="24"/>
        </w:rPr>
      </w:pPr>
      <w:r>
        <w:rPr>
          <w:rFonts w:hint="eastAsia"/>
          <w:b/>
          <w:sz w:val="24"/>
          <w:szCs w:val="24"/>
        </w:rPr>
        <w:t>五、安装调试及培训</w:t>
      </w:r>
    </w:p>
    <w:p w14:paraId="1FBAC717">
      <w:pPr>
        <w:spacing w:line="360" w:lineRule="auto"/>
        <w:rPr>
          <w:sz w:val="24"/>
          <w:szCs w:val="24"/>
        </w:rPr>
      </w:pPr>
      <w:r>
        <w:rPr>
          <w:rFonts w:hint="eastAsia"/>
          <w:sz w:val="24"/>
          <w:szCs w:val="24"/>
        </w:rPr>
        <w:t>1、交货时间：自本合同签订之日起30日内由丙方送货至甲方指定地点，丙方负责安装调试达到正常使用。如安装工作涉及隐蔽部件安装的，应在隐蔽性安装前通知甲方到场清点。货物验收合格前，毁损灭失的风险由丙方承担。</w:t>
      </w:r>
    </w:p>
    <w:p w14:paraId="5B747BC5">
      <w:pPr>
        <w:spacing w:line="360" w:lineRule="auto"/>
        <w:rPr>
          <w:sz w:val="24"/>
          <w:szCs w:val="24"/>
        </w:rPr>
      </w:pPr>
      <w:r>
        <w:rPr>
          <w:rFonts w:hint="eastAsia"/>
          <w:sz w:val="24"/>
          <w:szCs w:val="24"/>
        </w:rPr>
        <w:t>2、在货物抵达甲方指定地点</w:t>
      </w:r>
      <w:r>
        <w:rPr>
          <w:sz w:val="24"/>
          <w:szCs w:val="24"/>
        </w:rPr>
        <w:t>*</w:t>
      </w:r>
      <w:r>
        <w:rPr>
          <w:rFonts w:hint="eastAsia"/>
          <w:sz w:val="24"/>
          <w:szCs w:val="24"/>
        </w:rPr>
        <w:t>日内，丙方人员及工程技术人员应抵达甲方指定地点通知甲方进行开箱验收。双方依据丙方提供的装箱单、检验合格证书、使用说明等有关资料，如有短缺、规格不符、资料不全等，由丙方在7日内无偿给予更换、补齐，并承担由此产生的全部费用。开箱后*日内，丙方开始安装调试，丙方应保证在*日内安装调试完毕。验收前，丙方应完成对甲方的操作人员、技术人员进行免费培训，保证受训人员能熟练操作，具备开展日常技术工作的能力，并能够对该货物能进行日常维护。</w:t>
      </w:r>
    </w:p>
    <w:p w14:paraId="1EBD1A2C">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57A1C926">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74AE955C">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丙双方签署备忘录，此现场记录或备忘录可用作补充、缺失和更换损坏部件的有效证据，由此产生的时间延误与有关费用由丙方承担，验收期限相应顺延。</w:t>
      </w:r>
    </w:p>
    <w:p w14:paraId="68A4F377">
      <w:pPr>
        <w:spacing w:line="360" w:lineRule="auto"/>
        <w:rPr>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丙方按照合同第八条第2款承担违约责任。</w:t>
      </w:r>
    </w:p>
    <w:p w14:paraId="1B1CFE9D">
      <w:pPr>
        <w:spacing w:line="360" w:lineRule="auto"/>
        <w:rPr>
          <w:b/>
          <w:sz w:val="24"/>
          <w:szCs w:val="24"/>
        </w:rPr>
      </w:pPr>
      <w:r>
        <w:rPr>
          <w:rFonts w:hint="eastAsia" w:ascii="宋体" w:hAnsi="宋体"/>
          <w:sz w:val="24"/>
          <w:szCs w:val="24"/>
        </w:rPr>
        <w:t>7、期间涉及的交通费、膳食费、住宿费及其他一切费用均由丙方负责。</w:t>
      </w:r>
    </w:p>
    <w:p w14:paraId="42609378">
      <w:pPr>
        <w:spacing w:line="360" w:lineRule="auto"/>
        <w:rPr>
          <w:b/>
          <w:sz w:val="24"/>
          <w:szCs w:val="24"/>
        </w:rPr>
      </w:pPr>
      <w:r>
        <w:rPr>
          <w:rFonts w:hint="eastAsia"/>
          <w:b/>
          <w:sz w:val="24"/>
          <w:szCs w:val="24"/>
        </w:rPr>
        <w:t>六、软件验收</w:t>
      </w:r>
    </w:p>
    <w:p w14:paraId="0E06328C">
      <w:pPr>
        <w:spacing w:line="360" w:lineRule="auto"/>
        <w:rPr>
          <w:sz w:val="24"/>
          <w:szCs w:val="24"/>
        </w:rPr>
      </w:pPr>
      <w:r>
        <w:rPr>
          <w:sz w:val="24"/>
          <w:szCs w:val="24"/>
        </w:rPr>
        <w:t>1、验收时间：</w:t>
      </w:r>
      <w:r>
        <w:rPr>
          <w:rFonts w:hint="eastAsia"/>
          <w:sz w:val="24"/>
          <w:szCs w:val="24"/>
        </w:rPr>
        <w:t>丙</w:t>
      </w:r>
      <w:r>
        <w:rPr>
          <w:sz w:val="24"/>
          <w:szCs w:val="24"/>
        </w:rPr>
        <w:t>方完成安装及调试后</w:t>
      </w:r>
      <w:permStart w:id="10" w:edGrp="everyone"/>
      <w:r>
        <w:rPr>
          <w:rFonts w:hint="eastAsia"/>
          <w:sz w:val="24"/>
          <w:szCs w:val="24"/>
          <w:u w:val="single"/>
        </w:rPr>
        <w:t xml:space="preserve">   </w:t>
      </w:r>
      <w:permEnd w:id="10"/>
      <w:r>
        <w:rPr>
          <w:sz w:val="24"/>
          <w:szCs w:val="24"/>
        </w:rPr>
        <w:t>个工作日内，由甲方指定人员完成验收。</w:t>
      </w:r>
    </w:p>
    <w:p w14:paraId="1ECDD112">
      <w:pPr>
        <w:spacing w:line="360" w:lineRule="auto"/>
        <w:rPr>
          <w:sz w:val="24"/>
          <w:szCs w:val="24"/>
        </w:rPr>
      </w:pPr>
      <w:r>
        <w:rPr>
          <w:sz w:val="24"/>
          <w:szCs w:val="24"/>
        </w:rPr>
        <w:t>2、验收</w:t>
      </w:r>
      <w:r>
        <w:rPr>
          <w:rFonts w:hint="eastAsia"/>
          <w:sz w:val="24"/>
          <w:szCs w:val="24"/>
        </w:rPr>
        <w:t>方式</w:t>
      </w:r>
      <w:r>
        <w:rPr>
          <w:sz w:val="24"/>
          <w:szCs w:val="24"/>
        </w:rPr>
        <w:t>：</w:t>
      </w:r>
      <w:r>
        <w:rPr>
          <w:rFonts w:hint="eastAsia"/>
          <w:sz w:val="24"/>
          <w:szCs w:val="24"/>
        </w:rPr>
        <w:t>按国家（行业）最高标准，以及本项目采购文件的质量要求和技术指标与出厂标准的最高标准。甲方指定人员对软件质量进行验收。</w:t>
      </w:r>
    </w:p>
    <w:p w14:paraId="58DA5975">
      <w:pPr>
        <w:spacing w:line="360" w:lineRule="auto"/>
        <w:rPr>
          <w:sz w:val="24"/>
          <w:szCs w:val="24"/>
        </w:rPr>
      </w:pPr>
      <w:r>
        <w:rPr>
          <w:sz w:val="24"/>
          <w:szCs w:val="24"/>
        </w:rPr>
        <w:t>3、甲方在验收中如发现软件的型号、规格、包装和质量等不符合本合同约定的，自软件验收完成后</w:t>
      </w:r>
      <w:permStart w:id="11" w:edGrp="everyone"/>
      <w:r>
        <w:rPr>
          <w:rFonts w:hint="eastAsia"/>
          <w:sz w:val="24"/>
          <w:szCs w:val="24"/>
          <w:u w:val="single"/>
        </w:rPr>
        <w:t xml:space="preserve">   </w:t>
      </w:r>
      <w:permEnd w:id="11"/>
      <w:r>
        <w:rPr>
          <w:sz w:val="24"/>
          <w:szCs w:val="24"/>
        </w:rPr>
        <w:t>个工作日内向</w:t>
      </w:r>
      <w:r>
        <w:rPr>
          <w:rFonts w:hint="eastAsia"/>
          <w:sz w:val="24"/>
          <w:szCs w:val="24"/>
        </w:rPr>
        <w:t>丙</w:t>
      </w:r>
      <w:r>
        <w:rPr>
          <w:sz w:val="24"/>
          <w:szCs w:val="24"/>
        </w:rPr>
        <w:t>方提出书面异议。</w:t>
      </w:r>
      <w:r>
        <w:rPr>
          <w:rFonts w:hint="eastAsia"/>
          <w:sz w:val="24"/>
          <w:szCs w:val="24"/>
        </w:rPr>
        <w:t>丙</w:t>
      </w:r>
      <w:r>
        <w:rPr>
          <w:sz w:val="24"/>
          <w:szCs w:val="24"/>
        </w:rPr>
        <w:t>方在接到甲方书面异议后，应在</w:t>
      </w:r>
      <w:permStart w:id="12" w:edGrp="everyone"/>
      <w:r>
        <w:rPr>
          <w:rFonts w:hint="eastAsia"/>
          <w:sz w:val="24"/>
          <w:szCs w:val="24"/>
          <w:u w:val="single"/>
        </w:rPr>
        <w:t xml:space="preserve">  </w:t>
      </w:r>
      <w:permEnd w:id="12"/>
      <w:r>
        <w:rPr>
          <w:sz w:val="24"/>
          <w:szCs w:val="24"/>
        </w:rPr>
        <w:t>个工作日内负责处理并通知甲方处理情况，否则，即视为</w:t>
      </w:r>
      <w:r>
        <w:rPr>
          <w:rFonts w:hint="eastAsia"/>
          <w:sz w:val="24"/>
          <w:szCs w:val="24"/>
        </w:rPr>
        <w:t>丙</w:t>
      </w:r>
      <w:r>
        <w:rPr>
          <w:sz w:val="24"/>
          <w:szCs w:val="24"/>
        </w:rPr>
        <w:t>方已接受甲方提出的异议和处理意见。</w:t>
      </w:r>
    </w:p>
    <w:p w14:paraId="4BA6C701">
      <w:pPr>
        <w:spacing w:line="360" w:lineRule="auto"/>
        <w:rPr>
          <w:sz w:val="24"/>
          <w:szCs w:val="24"/>
        </w:rPr>
      </w:pPr>
      <w:r>
        <w:rPr>
          <w:rFonts w:hint="eastAsia"/>
          <w:sz w:val="24"/>
          <w:szCs w:val="24"/>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582D419C">
      <w:pPr>
        <w:spacing w:line="360" w:lineRule="auto"/>
        <w:rPr>
          <w:b/>
          <w:sz w:val="24"/>
          <w:szCs w:val="24"/>
        </w:rPr>
      </w:pPr>
      <w:r>
        <w:rPr>
          <w:rFonts w:hint="eastAsia"/>
          <w:sz w:val="24"/>
          <w:szCs w:val="24"/>
        </w:rPr>
        <w:t>5、如软件经丙方</w:t>
      </w:r>
      <w:r>
        <w:rPr>
          <w:sz w:val="24"/>
          <w:szCs w:val="24"/>
          <w:u w:val="single"/>
        </w:rPr>
        <w:t>*</w:t>
      </w:r>
      <w:r>
        <w:rPr>
          <w:rFonts w:hint="eastAsia"/>
          <w:sz w:val="24"/>
          <w:szCs w:val="24"/>
        </w:rPr>
        <w:t>次维护仍不能达到合同约定的质量标准，甲方有权退货，并视作丙方不能交付软件而须支付违约赔偿金给甲方，甲方还可依法追究丙方的违约责任。</w:t>
      </w:r>
    </w:p>
    <w:p w14:paraId="5B3AEC1D">
      <w:pPr>
        <w:numPr>
          <w:ilvl w:val="0"/>
          <w:numId w:val="11"/>
        </w:numPr>
        <w:spacing w:line="360" w:lineRule="auto"/>
        <w:rPr>
          <w:b/>
          <w:sz w:val="24"/>
          <w:szCs w:val="24"/>
        </w:rPr>
      </w:pPr>
      <w:r>
        <w:rPr>
          <w:rFonts w:hint="eastAsia"/>
          <w:b/>
          <w:sz w:val="24"/>
          <w:szCs w:val="24"/>
        </w:rPr>
        <w:t>硬件验收</w:t>
      </w:r>
    </w:p>
    <w:p w14:paraId="7E810AB2">
      <w:pPr>
        <w:spacing w:line="360" w:lineRule="auto"/>
        <w:rPr>
          <w:sz w:val="24"/>
          <w:szCs w:val="24"/>
        </w:rPr>
      </w:pPr>
      <w:r>
        <w:rPr>
          <w:rFonts w:hint="eastAsia"/>
          <w:sz w:val="24"/>
          <w:szCs w:val="24"/>
        </w:rPr>
        <w:t>1、交货时间：自本合同签订之日起  日内由丙方送货至甲方指定地点，丙方负责安装调试达到正常使用。如安装工作涉及隐蔽部件安装的，应在隐蔽性安装前通知甲方到场清点。货物验收合格前，毁损灭失的风险由丙方承担。</w:t>
      </w:r>
    </w:p>
    <w:p w14:paraId="378439AA">
      <w:pPr>
        <w:spacing w:line="360" w:lineRule="auto"/>
        <w:rPr>
          <w:sz w:val="24"/>
          <w:szCs w:val="24"/>
        </w:rPr>
      </w:pPr>
      <w:r>
        <w:rPr>
          <w:rFonts w:hint="eastAsia"/>
          <w:sz w:val="24"/>
          <w:szCs w:val="24"/>
        </w:rPr>
        <w:t>2、验收前，丙方应完成对甲方的操作人员、技术人员进行免费培训，提供成套培训资料，保证受训人员能熟练操作，具备开展日常技术工作的能力，并能够对该货物能进行日常维护。</w:t>
      </w:r>
    </w:p>
    <w:p w14:paraId="66A4F0EB">
      <w:pPr>
        <w:spacing w:line="360" w:lineRule="auto"/>
        <w:rPr>
          <w:sz w:val="24"/>
          <w:szCs w:val="24"/>
        </w:rPr>
      </w:pPr>
      <w:r>
        <w:rPr>
          <w:rFonts w:hint="eastAsia"/>
          <w:sz w:val="24"/>
          <w:szCs w:val="24"/>
        </w:rPr>
        <w:t>3、验收标准：按国家有关规定以及甲方采购文件的质量要求和技术指标、丙方的响应文件及承诺与本合同约定标准进行验收；</w:t>
      </w:r>
    </w:p>
    <w:p w14:paraId="60BB501F">
      <w:pPr>
        <w:spacing w:line="360" w:lineRule="auto"/>
        <w:rPr>
          <w:sz w:val="24"/>
          <w:szCs w:val="24"/>
        </w:rPr>
      </w:pPr>
      <w:r>
        <w:rPr>
          <w:rFonts w:hint="eastAsia"/>
          <w:sz w:val="24"/>
          <w:szCs w:val="24"/>
        </w:rPr>
        <w:t>4、交货验收时丙方须提供产品质检部门从同类产品中抽样检查合格的检测报告，每台货物上均应有产品质量检验合格标志。丙方还应当在甲方验收时将所提供货物的装箱清单、配件、随机工具、用户使用手册、原厂保修卡等资料交付给甲方；丙方不能完整交付货物及本款规定的单证和工具的，必须负责补齐，否则视为未按合同约定交货。进口设备需提供商检证明及按照现行法律规定需要提供的其他证明。</w:t>
      </w:r>
    </w:p>
    <w:p w14:paraId="0CFD8C8E">
      <w:pPr>
        <w:spacing w:line="360" w:lineRule="auto"/>
        <w:rPr>
          <w:sz w:val="24"/>
          <w:szCs w:val="24"/>
        </w:rPr>
      </w:pPr>
      <w:r>
        <w:rPr>
          <w:rFonts w:hint="eastAsia"/>
          <w:sz w:val="24"/>
          <w:szCs w:val="24"/>
        </w:rPr>
        <w:t>5、验收时如发现所交付的货物有短装、次品、损坏或其它不符合标准及本合同规定之情形，甲方应做出详尽的现场记录，或由甲乙双方签署备忘录，此现场记录或备忘录可用作补充、缺失和更换损坏部件的有效证据，由此产生的时间延误与有关费用由丙方承担，验收期限相应顺延。</w:t>
      </w:r>
    </w:p>
    <w:p w14:paraId="7605EE83">
      <w:pPr>
        <w:spacing w:line="360" w:lineRule="auto"/>
        <w:rPr>
          <w:b/>
          <w:sz w:val="24"/>
          <w:szCs w:val="24"/>
        </w:rPr>
      </w:pPr>
      <w:r>
        <w:rPr>
          <w:rFonts w:hint="eastAsia"/>
          <w:sz w:val="24"/>
          <w:szCs w:val="24"/>
        </w:rPr>
        <w:t>6、如质量验收合格，双方签署质量验收报告，合同货物质保期自甲方签署验收文件之日起计算。如丙方所供货物不符合本条要求，甲方有权拒签验收合格证明，有权要求丙方无条件更换、补齐，丙方应在交货时间内提供符合上述要求的货物。如果未能补齐的，视为逾期交货或经1次调换仍不能达到合同约定的质量要求，承担违约责任。</w:t>
      </w:r>
    </w:p>
    <w:p w14:paraId="5C9C0A01">
      <w:pPr>
        <w:spacing w:line="360" w:lineRule="auto"/>
        <w:rPr>
          <w:b/>
          <w:sz w:val="24"/>
          <w:szCs w:val="24"/>
        </w:rPr>
      </w:pPr>
      <w:r>
        <w:rPr>
          <w:rFonts w:hint="eastAsia"/>
          <w:b/>
          <w:sz w:val="24"/>
          <w:szCs w:val="24"/>
        </w:rPr>
        <w:t>八、软件退换</w:t>
      </w:r>
    </w:p>
    <w:p w14:paraId="6938B049">
      <w:pPr>
        <w:spacing w:line="360" w:lineRule="auto"/>
        <w:rPr>
          <w:sz w:val="24"/>
          <w:szCs w:val="24"/>
        </w:rPr>
      </w:pPr>
      <w:r>
        <w:rPr>
          <w:sz w:val="24"/>
          <w:szCs w:val="24"/>
        </w:rPr>
        <w:t>1、甲方根据本合同第</w:t>
      </w:r>
      <w:r>
        <w:rPr>
          <w:rFonts w:hint="eastAsia"/>
          <w:sz w:val="24"/>
          <w:szCs w:val="24"/>
        </w:rPr>
        <w:t>六</w:t>
      </w:r>
      <w:r>
        <w:rPr>
          <w:sz w:val="24"/>
          <w:szCs w:val="24"/>
        </w:rPr>
        <w:t>条提出书面异议的，如果</w:t>
      </w:r>
      <w:r>
        <w:rPr>
          <w:rFonts w:hint="eastAsia"/>
          <w:sz w:val="24"/>
          <w:szCs w:val="24"/>
        </w:rPr>
        <w:t>丙</w:t>
      </w:r>
      <w:r>
        <w:rPr>
          <w:sz w:val="24"/>
          <w:szCs w:val="24"/>
        </w:rPr>
        <w:t>方在上述约定时间内未能按照甲方要求进行处理的，则甲方有权要求退货或换货，</w:t>
      </w:r>
      <w:r>
        <w:rPr>
          <w:rFonts w:hint="eastAsia"/>
          <w:sz w:val="24"/>
          <w:szCs w:val="24"/>
        </w:rPr>
        <w:t>丙</w:t>
      </w:r>
      <w:r>
        <w:rPr>
          <w:sz w:val="24"/>
          <w:szCs w:val="24"/>
        </w:rPr>
        <w:t>方在收到甲方的书面退换货通知后</w:t>
      </w:r>
      <w:permStart w:id="13" w:edGrp="everyone"/>
      <w:r>
        <w:rPr>
          <w:rFonts w:hint="eastAsia"/>
          <w:sz w:val="24"/>
          <w:szCs w:val="24"/>
          <w:u w:val="single"/>
        </w:rPr>
        <w:t xml:space="preserve">    </w:t>
      </w:r>
      <w:permEnd w:id="13"/>
      <w:r>
        <w:rPr>
          <w:rFonts w:hint="eastAsia"/>
          <w:sz w:val="24"/>
          <w:szCs w:val="24"/>
          <w:u w:val="single"/>
        </w:rPr>
        <w:t xml:space="preserve"> </w:t>
      </w:r>
      <w:r>
        <w:rPr>
          <w:sz w:val="24"/>
          <w:szCs w:val="24"/>
        </w:rPr>
        <w:t>个工作日内完成退货或换货。</w:t>
      </w:r>
    </w:p>
    <w:p w14:paraId="3ECFDE40">
      <w:pPr>
        <w:spacing w:line="360" w:lineRule="auto"/>
        <w:rPr>
          <w:sz w:val="24"/>
          <w:szCs w:val="24"/>
        </w:rPr>
      </w:pPr>
      <w:r>
        <w:rPr>
          <w:sz w:val="24"/>
          <w:szCs w:val="24"/>
        </w:rPr>
        <w:t>2、软件交付甲方使用后，若甲方在生产作业过程中发现软件确实存在以下问题的，甲方有权退还软件并且解除本合同，同时</w:t>
      </w:r>
      <w:r>
        <w:rPr>
          <w:rFonts w:hint="eastAsia"/>
          <w:sz w:val="24"/>
          <w:szCs w:val="24"/>
        </w:rPr>
        <w:t>丙</w:t>
      </w:r>
      <w:r>
        <w:rPr>
          <w:sz w:val="24"/>
          <w:szCs w:val="24"/>
        </w:rPr>
        <w:t>方须退还</w:t>
      </w:r>
      <w:r>
        <w:rPr>
          <w:rFonts w:hint="eastAsia"/>
          <w:sz w:val="24"/>
          <w:szCs w:val="24"/>
        </w:rPr>
        <w:t>乙方</w:t>
      </w:r>
      <w:r>
        <w:rPr>
          <w:sz w:val="24"/>
          <w:szCs w:val="24"/>
        </w:rPr>
        <w:t>的所付款项。存在的情况为：</w:t>
      </w:r>
    </w:p>
    <w:p w14:paraId="478E0F26">
      <w:pPr>
        <w:spacing w:line="360" w:lineRule="auto"/>
        <w:rPr>
          <w:sz w:val="24"/>
          <w:szCs w:val="24"/>
        </w:rPr>
      </w:pPr>
      <w:r>
        <w:rPr>
          <w:sz w:val="24"/>
          <w:szCs w:val="24"/>
        </w:rPr>
        <w:t>（1）软件不能正常安装的；</w:t>
      </w:r>
    </w:p>
    <w:p w14:paraId="2FE7ECBD">
      <w:pPr>
        <w:spacing w:line="360" w:lineRule="auto"/>
        <w:rPr>
          <w:sz w:val="24"/>
          <w:szCs w:val="24"/>
        </w:rPr>
      </w:pPr>
      <w:r>
        <w:rPr>
          <w:sz w:val="24"/>
          <w:szCs w:val="24"/>
        </w:rPr>
        <w:t>（2）软件的使用会影响甲方操作系统的稳定或其他软件的正常使用的；</w:t>
      </w:r>
    </w:p>
    <w:p w14:paraId="6F71D085">
      <w:pPr>
        <w:spacing w:line="360" w:lineRule="auto"/>
        <w:rPr>
          <w:sz w:val="24"/>
          <w:szCs w:val="24"/>
        </w:rPr>
      </w:pPr>
      <w:r>
        <w:rPr>
          <w:sz w:val="24"/>
          <w:szCs w:val="24"/>
        </w:rPr>
        <w:t>（3）软件的实际使用功能不能达到</w:t>
      </w:r>
      <w:r>
        <w:rPr>
          <w:rFonts w:hint="eastAsia"/>
          <w:sz w:val="24"/>
          <w:szCs w:val="24"/>
        </w:rPr>
        <w:t>丙</w:t>
      </w:r>
      <w:r>
        <w:rPr>
          <w:sz w:val="24"/>
          <w:szCs w:val="24"/>
        </w:rPr>
        <w:t>方软件承诺的功能，而</w:t>
      </w:r>
      <w:r>
        <w:rPr>
          <w:rFonts w:hint="eastAsia"/>
          <w:sz w:val="24"/>
          <w:szCs w:val="24"/>
        </w:rPr>
        <w:t>丙</w:t>
      </w:r>
      <w:r>
        <w:rPr>
          <w:sz w:val="24"/>
          <w:szCs w:val="24"/>
        </w:rPr>
        <w:t>方不能在</w:t>
      </w:r>
      <w:r>
        <w:rPr>
          <w:rFonts w:hint="eastAsia"/>
          <w:sz w:val="24"/>
          <w:szCs w:val="24"/>
          <w:u w:val="single"/>
        </w:rPr>
        <w:t xml:space="preserve">  </w:t>
      </w:r>
      <w:r>
        <w:rPr>
          <w:sz w:val="24"/>
          <w:szCs w:val="24"/>
        </w:rPr>
        <w:t>个工作日内解决的。</w:t>
      </w:r>
    </w:p>
    <w:p w14:paraId="7C59718E">
      <w:pPr>
        <w:spacing w:line="360" w:lineRule="auto"/>
        <w:rPr>
          <w:b/>
          <w:sz w:val="24"/>
          <w:szCs w:val="24"/>
        </w:rPr>
      </w:pPr>
      <w:r>
        <w:rPr>
          <w:rFonts w:hint="eastAsia"/>
          <w:sz w:val="24"/>
          <w:szCs w:val="24"/>
        </w:rPr>
        <w:t>3、</w:t>
      </w:r>
      <w:r>
        <w:rPr>
          <w:sz w:val="24"/>
          <w:szCs w:val="24"/>
        </w:rPr>
        <w:t>甲方根据本合同条款提出退货或解除合同的，</w:t>
      </w:r>
      <w:r>
        <w:rPr>
          <w:rFonts w:hint="eastAsia"/>
          <w:sz w:val="24"/>
          <w:szCs w:val="24"/>
        </w:rPr>
        <w:t>丙</w:t>
      </w:r>
      <w:r>
        <w:rPr>
          <w:sz w:val="24"/>
          <w:szCs w:val="24"/>
        </w:rPr>
        <w:t>方应在收到甲方通知后</w:t>
      </w:r>
      <w:r>
        <w:rPr>
          <w:rFonts w:hint="eastAsia"/>
          <w:sz w:val="24"/>
          <w:szCs w:val="24"/>
          <w:u w:val="single"/>
        </w:rPr>
        <w:t xml:space="preserve">  </w:t>
      </w:r>
      <w:r>
        <w:rPr>
          <w:rFonts w:hint="eastAsia"/>
          <w:sz w:val="24"/>
          <w:szCs w:val="24"/>
        </w:rPr>
        <w:t>个工作</w:t>
      </w:r>
      <w:r>
        <w:rPr>
          <w:sz w:val="24"/>
          <w:szCs w:val="24"/>
        </w:rPr>
        <w:t>日内退还</w:t>
      </w:r>
      <w:r>
        <w:rPr>
          <w:rFonts w:hint="eastAsia"/>
          <w:sz w:val="24"/>
          <w:szCs w:val="24"/>
        </w:rPr>
        <w:t>乙</w:t>
      </w:r>
      <w:r>
        <w:rPr>
          <w:sz w:val="24"/>
          <w:szCs w:val="24"/>
        </w:rPr>
        <w:t>方全部已付款项。</w:t>
      </w:r>
    </w:p>
    <w:p w14:paraId="0E663C84">
      <w:pPr>
        <w:spacing w:line="360" w:lineRule="auto"/>
        <w:rPr>
          <w:b/>
          <w:sz w:val="24"/>
          <w:szCs w:val="24"/>
        </w:rPr>
      </w:pPr>
      <w:r>
        <w:rPr>
          <w:rFonts w:hint="eastAsia"/>
          <w:b/>
          <w:sz w:val="24"/>
          <w:szCs w:val="24"/>
        </w:rPr>
        <w:t>九、维护升级、售后服务</w:t>
      </w:r>
    </w:p>
    <w:p w14:paraId="032C4509">
      <w:pPr>
        <w:pStyle w:val="42"/>
        <w:numPr>
          <w:ilvl w:val="0"/>
          <w:numId w:val="12"/>
        </w:numPr>
        <w:spacing w:line="360" w:lineRule="auto"/>
        <w:ind w:firstLineChars="0"/>
        <w:rPr>
          <w:rFonts w:ascii="宋体" w:hAnsi="宋体"/>
          <w:sz w:val="24"/>
          <w:szCs w:val="24"/>
        </w:rPr>
      </w:pPr>
      <w:r>
        <w:rPr>
          <w:rFonts w:hint="eastAsia" w:ascii="宋体" w:hAnsi="宋体"/>
          <w:sz w:val="24"/>
          <w:szCs w:val="24"/>
        </w:rPr>
        <w:t>质保期（自验收合格之日）：</w:t>
      </w:r>
      <w:permStart w:id="14" w:edGrp="everyone"/>
      <w:r>
        <w:rPr>
          <w:rFonts w:hint="eastAsia" w:ascii="宋体" w:hAnsi="宋体"/>
          <w:sz w:val="24"/>
          <w:szCs w:val="24"/>
        </w:rPr>
        <w:t>***</w:t>
      </w:r>
      <w:permEnd w:id="14"/>
      <w:r>
        <w:rPr>
          <w:rFonts w:hint="eastAsia" w:ascii="宋体" w:hAnsi="宋体"/>
          <w:sz w:val="24"/>
          <w:szCs w:val="24"/>
        </w:rPr>
        <w:t>年；产品零配件（包括主计算机系统及工作站）保证供应时间≥</w:t>
      </w:r>
      <w:r>
        <w:rPr>
          <w:rFonts w:ascii="宋体" w:hAnsi="宋体"/>
          <w:sz w:val="24"/>
          <w:szCs w:val="24"/>
        </w:rPr>
        <w:t>*年；验收合格后的保修期内，丙方承诺开机率或使用率＞</w:t>
      </w:r>
      <w:r>
        <w:rPr>
          <w:rFonts w:hint="eastAsia" w:ascii="宋体" w:hAnsi="宋体"/>
          <w:sz w:val="24"/>
          <w:szCs w:val="24"/>
        </w:rPr>
        <w:t>*</w:t>
      </w:r>
      <w:r>
        <w:rPr>
          <w:rFonts w:ascii="宋体" w:hAnsi="宋体"/>
          <w:sz w:val="24"/>
          <w:szCs w:val="24"/>
        </w:rPr>
        <w:t>*%（按</w:t>
      </w:r>
      <w:r>
        <w:rPr>
          <w:rFonts w:hint="eastAsia" w:ascii="宋体" w:hAnsi="宋体"/>
          <w:sz w:val="24"/>
          <w:szCs w:val="24"/>
        </w:rPr>
        <w:t>3</w:t>
      </w:r>
      <w:r>
        <w:rPr>
          <w:rFonts w:ascii="宋体" w:hAnsi="宋体"/>
          <w:sz w:val="24"/>
          <w:szCs w:val="24"/>
        </w:rPr>
        <w:t>65日</w:t>
      </w:r>
      <w:r>
        <w:rPr>
          <w:rFonts w:hint="eastAsia" w:ascii="宋体" w:hAnsi="宋体"/>
          <w:sz w:val="24"/>
          <w:szCs w:val="24"/>
        </w:rPr>
        <w:t>/年计算</w:t>
      </w:r>
      <w:r>
        <w:rPr>
          <w:rFonts w:ascii="宋体" w:hAnsi="宋体"/>
          <w:sz w:val="24"/>
          <w:szCs w:val="24"/>
        </w:rPr>
        <w:t>）</w:t>
      </w:r>
    </w:p>
    <w:p w14:paraId="54611CC5">
      <w:pPr>
        <w:pStyle w:val="42"/>
        <w:numPr>
          <w:ilvl w:val="0"/>
          <w:numId w:val="12"/>
        </w:numPr>
        <w:spacing w:line="360" w:lineRule="auto"/>
        <w:ind w:firstLineChars="0"/>
        <w:rPr>
          <w:rFonts w:ascii="宋体" w:hAnsi="宋体"/>
          <w:sz w:val="24"/>
          <w:szCs w:val="24"/>
        </w:rPr>
      </w:pPr>
      <w:r>
        <w:rPr>
          <w:rFonts w:hint="eastAsia" w:ascii="宋体" w:hAnsi="宋体"/>
          <w:sz w:val="24"/>
          <w:szCs w:val="24"/>
        </w:rPr>
        <w:t>服务内容：（1）电话支持 （2）</w:t>
      </w:r>
      <w:r>
        <w:rPr>
          <w:rFonts w:hint="eastAsia" w:ascii="宋体" w:hAnsi="宋体"/>
          <w:color w:val="000000"/>
          <w:sz w:val="24"/>
          <w:szCs w:val="24"/>
        </w:rPr>
        <w:t>远程技术支持 （3）现场服务</w:t>
      </w:r>
    </w:p>
    <w:p w14:paraId="2C999BBE">
      <w:pPr>
        <w:pStyle w:val="42"/>
        <w:numPr>
          <w:ilvl w:val="0"/>
          <w:numId w:val="12"/>
        </w:numPr>
        <w:spacing w:line="360" w:lineRule="auto"/>
        <w:ind w:firstLineChars="0"/>
        <w:rPr>
          <w:rFonts w:ascii="宋体" w:hAnsi="宋体"/>
          <w:sz w:val="24"/>
          <w:szCs w:val="24"/>
        </w:rPr>
      </w:pPr>
      <w:r>
        <w:rPr>
          <w:rFonts w:hint="eastAsia" w:ascii="宋体" w:hAnsi="宋体"/>
          <w:color w:val="000000"/>
          <w:sz w:val="24"/>
          <w:szCs w:val="24"/>
        </w:rPr>
        <w:t>报修响应方案：质保期内提供7*24小时服务热线，在接到报修信息后20分钟内响应，提供远程技术服务支撑，在1小时内完成维修。如果远程服务不能完成维修服务的，提供上门维修服务，在2小时内到达现场，并在4小时内完成维修。</w:t>
      </w:r>
    </w:p>
    <w:p w14:paraId="1BF8A144">
      <w:pPr>
        <w:pStyle w:val="42"/>
        <w:numPr>
          <w:ilvl w:val="0"/>
          <w:numId w:val="12"/>
        </w:numPr>
        <w:spacing w:line="360" w:lineRule="auto"/>
        <w:ind w:firstLineChars="0"/>
        <w:rPr>
          <w:rFonts w:ascii="宋体" w:hAnsi="宋体"/>
          <w:sz w:val="24"/>
          <w:szCs w:val="24"/>
        </w:rPr>
      </w:pPr>
      <w:r>
        <w:rPr>
          <w:rFonts w:hint="eastAsia"/>
          <w:sz w:val="24"/>
          <w:szCs w:val="24"/>
        </w:rPr>
        <w:t>维护升级标准：只要甲方需要丙方有义务更新软件至最新版。</w:t>
      </w:r>
    </w:p>
    <w:p w14:paraId="2C4F6DFE">
      <w:pPr>
        <w:pStyle w:val="42"/>
        <w:numPr>
          <w:ilvl w:val="0"/>
          <w:numId w:val="12"/>
        </w:numPr>
        <w:spacing w:line="360" w:lineRule="auto"/>
        <w:ind w:firstLineChars="0"/>
        <w:rPr>
          <w:rFonts w:ascii="宋体" w:hAnsi="宋体"/>
          <w:sz w:val="24"/>
          <w:szCs w:val="24"/>
        </w:rPr>
      </w:pPr>
      <w:r>
        <w:rPr>
          <w:sz w:val="24"/>
          <w:szCs w:val="24"/>
        </w:rPr>
        <w:t>质保期满后，丙方终生提供优惠的维修服务；零配件费用按当时市场价的</w:t>
      </w:r>
      <w:r>
        <w:rPr>
          <w:rFonts w:hint="eastAsia"/>
          <w:sz w:val="24"/>
          <w:szCs w:val="24"/>
        </w:rPr>
        <w:t>*折的优惠价格收取；</w:t>
      </w:r>
    </w:p>
    <w:p w14:paraId="7E3B7D44">
      <w:pPr>
        <w:pStyle w:val="42"/>
        <w:numPr>
          <w:ilvl w:val="0"/>
          <w:numId w:val="12"/>
        </w:numPr>
        <w:spacing w:line="360" w:lineRule="auto"/>
        <w:ind w:firstLineChars="0"/>
        <w:rPr>
          <w:rFonts w:ascii="宋体" w:hAnsi="宋体"/>
          <w:sz w:val="24"/>
          <w:szCs w:val="24"/>
        </w:rPr>
      </w:pPr>
      <w:r>
        <w:rPr>
          <w:rFonts w:hint="eastAsia" w:ascii="宋体" w:hAnsi="宋体"/>
          <w:sz w:val="24"/>
          <w:szCs w:val="24"/>
        </w:rPr>
        <w:t>在质保期内丙方应事先声明产品使用的耗材和易损件，未事先声明的专用耗材和易损件将被纳入保修范围。属于原厂专用耗材和易损件，丙方应将耗材和易损件的品名、规格、使用寿命和供应价格作为合同附件告知甲方。</w:t>
      </w:r>
    </w:p>
    <w:p w14:paraId="4B418B4B">
      <w:pPr>
        <w:pStyle w:val="42"/>
        <w:numPr>
          <w:ilvl w:val="0"/>
          <w:numId w:val="12"/>
        </w:numPr>
        <w:spacing w:line="360" w:lineRule="auto"/>
        <w:ind w:firstLineChars="0"/>
        <w:rPr>
          <w:rFonts w:ascii="宋体" w:hAnsi="宋体"/>
          <w:sz w:val="24"/>
          <w:szCs w:val="24"/>
        </w:rPr>
      </w:pPr>
      <w:r>
        <w:rPr>
          <w:rFonts w:hint="eastAsia" w:ascii="宋体" w:hAnsi="宋体"/>
          <w:sz w:val="24"/>
          <w:szCs w:val="24"/>
        </w:rPr>
        <w:t>因丙方原因不能够达到上述设备保修及售后服务的约定，按甲方实际停机天数自动延长其保修期,甲方有权延后质保金和维保费用的支付时间，并追究丙方因此引发的相应的法律责任。</w:t>
      </w:r>
    </w:p>
    <w:p w14:paraId="2C89A42C">
      <w:pPr>
        <w:spacing w:line="360" w:lineRule="auto"/>
        <w:rPr>
          <w:b/>
          <w:sz w:val="24"/>
          <w:szCs w:val="24"/>
        </w:rPr>
      </w:pPr>
      <w:r>
        <w:rPr>
          <w:rFonts w:hint="eastAsia"/>
          <w:b/>
          <w:sz w:val="24"/>
          <w:szCs w:val="24"/>
        </w:rPr>
        <w:t>十、责任和义务</w:t>
      </w:r>
    </w:p>
    <w:p w14:paraId="376C035A">
      <w:pPr>
        <w:pStyle w:val="42"/>
        <w:numPr>
          <w:ilvl w:val="0"/>
          <w:numId w:val="13"/>
        </w:numPr>
        <w:spacing w:line="360" w:lineRule="auto"/>
        <w:ind w:firstLineChars="0"/>
        <w:rPr>
          <w:rFonts w:ascii="宋体" w:hAnsi="宋体"/>
          <w:color w:val="000000"/>
          <w:sz w:val="24"/>
          <w:szCs w:val="24"/>
        </w:rPr>
      </w:pPr>
      <w:r>
        <w:rPr>
          <w:rFonts w:hint="eastAsia" w:ascii="宋体" w:hAnsi="宋体"/>
          <w:color w:val="000000"/>
          <w:sz w:val="24"/>
          <w:szCs w:val="24"/>
        </w:rPr>
        <w:t>甲方责任：</w:t>
      </w:r>
      <w:r>
        <w:rPr>
          <w:rFonts w:ascii="宋体" w:hAnsi="宋体"/>
          <w:color w:val="000000"/>
          <w:sz w:val="24"/>
          <w:szCs w:val="24"/>
        </w:rPr>
        <w:t>甲方需准备好安装</w:t>
      </w:r>
      <w:r>
        <w:rPr>
          <w:rFonts w:hint="eastAsia" w:ascii="宋体" w:hAnsi="宋体"/>
          <w:color w:val="000000"/>
          <w:sz w:val="24"/>
          <w:szCs w:val="24"/>
        </w:rPr>
        <w:t>硬件和软件</w:t>
      </w:r>
      <w:r>
        <w:rPr>
          <w:rFonts w:ascii="宋体" w:hAnsi="宋体"/>
          <w:color w:val="000000"/>
          <w:sz w:val="24"/>
          <w:szCs w:val="24"/>
        </w:rPr>
        <w:t>的环境，</w:t>
      </w:r>
      <w:r>
        <w:rPr>
          <w:rFonts w:hint="eastAsia"/>
          <w:sz w:val="24"/>
          <w:szCs w:val="24"/>
        </w:rPr>
        <w:t>丙</w:t>
      </w:r>
      <w:r>
        <w:rPr>
          <w:rFonts w:ascii="宋体" w:hAnsi="宋体"/>
          <w:color w:val="000000"/>
          <w:sz w:val="24"/>
          <w:szCs w:val="24"/>
        </w:rPr>
        <w:t>方需对甲方准备工作进行协助、指导。</w:t>
      </w:r>
    </w:p>
    <w:p w14:paraId="45C96598">
      <w:pPr>
        <w:pStyle w:val="42"/>
        <w:numPr>
          <w:ilvl w:val="0"/>
          <w:numId w:val="13"/>
        </w:numPr>
        <w:spacing w:line="360" w:lineRule="auto"/>
        <w:ind w:firstLineChars="0"/>
        <w:rPr>
          <w:rFonts w:ascii="宋体" w:hAnsi="宋体"/>
          <w:color w:val="000000"/>
          <w:sz w:val="24"/>
          <w:szCs w:val="24"/>
        </w:rPr>
      </w:pPr>
      <w:r>
        <w:rPr>
          <w:rFonts w:hint="eastAsia" w:ascii="宋体" w:hAnsi="宋体"/>
          <w:color w:val="000000"/>
          <w:sz w:val="24"/>
          <w:szCs w:val="24"/>
        </w:rPr>
        <w:t>乙方责任：根据合同约定、甲方付款确认书</w:t>
      </w:r>
      <w:r>
        <w:rPr>
          <w:rFonts w:hint="eastAsia"/>
          <w:sz w:val="24"/>
          <w:szCs w:val="24"/>
        </w:rPr>
        <w:t>以及丙方提供的符合财务结算的相关票据，向丙方进行支付。</w:t>
      </w:r>
    </w:p>
    <w:p w14:paraId="5A4B4026">
      <w:pPr>
        <w:pStyle w:val="42"/>
        <w:numPr>
          <w:ilvl w:val="0"/>
          <w:numId w:val="13"/>
        </w:numPr>
        <w:spacing w:line="360" w:lineRule="auto"/>
        <w:ind w:firstLineChars="0"/>
        <w:rPr>
          <w:rFonts w:ascii="宋体" w:hAnsi="宋体"/>
          <w:color w:val="000000"/>
          <w:sz w:val="24"/>
          <w:szCs w:val="24"/>
        </w:rPr>
      </w:pPr>
      <w:r>
        <w:rPr>
          <w:rFonts w:hint="eastAsia"/>
          <w:sz w:val="24"/>
          <w:szCs w:val="24"/>
        </w:rPr>
        <w:t>丙</w:t>
      </w:r>
      <w:r>
        <w:rPr>
          <w:rFonts w:hint="eastAsia" w:ascii="宋体" w:hAnsi="宋体"/>
          <w:color w:val="000000"/>
          <w:sz w:val="24"/>
          <w:szCs w:val="24"/>
        </w:rPr>
        <w:t>方责任：</w:t>
      </w:r>
    </w:p>
    <w:p w14:paraId="13E8DA08">
      <w:pPr>
        <w:spacing w:line="360" w:lineRule="auto"/>
        <w:rPr>
          <w:rFonts w:ascii="宋体" w:hAnsi="宋体"/>
          <w:color w:val="000000"/>
          <w:sz w:val="24"/>
          <w:szCs w:val="24"/>
        </w:rPr>
      </w:pPr>
      <w:r>
        <w:rPr>
          <w:rFonts w:hint="eastAsia" w:ascii="宋体" w:hAnsi="宋体"/>
          <w:color w:val="000000"/>
          <w:sz w:val="24"/>
          <w:szCs w:val="24"/>
        </w:rPr>
        <w:t>（1）</w:t>
      </w:r>
      <w:r>
        <w:rPr>
          <w:rFonts w:hint="eastAsia"/>
          <w:sz w:val="24"/>
          <w:szCs w:val="24"/>
        </w:rPr>
        <w:t>丙</w:t>
      </w:r>
      <w:r>
        <w:rPr>
          <w:sz w:val="24"/>
          <w:szCs w:val="24"/>
        </w:rPr>
        <w:t>方保证其提供给甲方的</w:t>
      </w:r>
      <w:r>
        <w:rPr>
          <w:rFonts w:hint="eastAsia" w:ascii="宋体" w:hAnsi="宋体"/>
          <w:color w:val="000000"/>
          <w:sz w:val="24"/>
          <w:szCs w:val="24"/>
        </w:rPr>
        <w:t>硬件和软件</w:t>
      </w:r>
      <w:r>
        <w:rPr>
          <w:sz w:val="24"/>
          <w:szCs w:val="24"/>
        </w:rPr>
        <w:t>产品享受厂方升级政策范围内的升级</w:t>
      </w:r>
      <w:r>
        <w:rPr>
          <w:rFonts w:hint="eastAsia"/>
          <w:sz w:val="24"/>
          <w:szCs w:val="24"/>
        </w:rPr>
        <w:t>和一切改良</w:t>
      </w:r>
      <w:r>
        <w:rPr>
          <w:sz w:val="24"/>
          <w:szCs w:val="24"/>
        </w:rPr>
        <w:t>。</w:t>
      </w:r>
      <w:r>
        <w:rPr>
          <w:rFonts w:hint="eastAsia" w:ascii="宋体" w:hAnsi="宋体"/>
          <w:color w:val="000000"/>
          <w:sz w:val="24"/>
          <w:szCs w:val="24"/>
        </w:rPr>
        <w:t xml:space="preserve"> </w:t>
      </w:r>
    </w:p>
    <w:p w14:paraId="670131C8">
      <w:pPr>
        <w:spacing w:line="360" w:lineRule="auto"/>
        <w:rPr>
          <w:rFonts w:ascii="宋体" w:hAnsi="宋体"/>
          <w:color w:val="000000"/>
          <w:sz w:val="24"/>
          <w:szCs w:val="24"/>
        </w:rPr>
      </w:pPr>
      <w:r>
        <w:rPr>
          <w:rFonts w:hint="eastAsia" w:ascii="宋体" w:hAnsi="宋体"/>
          <w:color w:val="000000"/>
          <w:sz w:val="24"/>
          <w:szCs w:val="24"/>
        </w:rPr>
        <w:t>（2）</w:t>
      </w:r>
      <w:r>
        <w:rPr>
          <w:rFonts w:hint="eastAsia"/>
          <w:sz w:val="24"/>
          <w:szCs w:val="24"/>
        </w:rPr>
        <w:t>丙</w:t>
      </w:r>
      <w:r>
        <w:rPr>
          <w:sz w:val="24"/>
          <w:szCs w:val="24"/>
        </w:rPr>
        <w:t>方必须保证本合同所述</w:t>
      </w:r>
      <w:r>
        <w:rPr>
          <w:rFonts w:hint="eastAsia" w:ascii="宋体" w:hAnsi="宋体"/>
          <w:color w:val="000000"/>
          <w:sz w:val="24"/>
          <w:szCs w:val="24"/>
        </w:rPr>
        <w:t>硬件和软件</w:t>
      </w:r>
      <w:r>
        <w:rPr>
          <w:sz w:val="24"/>
          <w:szCs w:val="24"/>
        </w:rPr>
        <w:t>是</w:t>
      </w:r>
      <w:r>
        <w:rPr>
          <w:rFonts w:hint="eastAsia"/>
          <w:sz w:val="24"/>
          <w:szCs w:val="24"/>
        </w:rPr>
        <w:t>丙</w:t>
      </w:r>
      <w:r>
        <w:rPr>
          <w:sz w:val="24"/>
          <w:szCs w:val="24"/>
        </w:rPr>
        <w:t>方目前的最新版本</w:t>
      </w:r>
      <w:r>
        <w:rPr>
          <w:rFonts w:hint="eastAsia"/>
          <w:sz w:val="24"/>
          <w:szCs w:val="24"/>
        </w:rPr>
        <w:t>。</w:t>
      </w:r>
    </w:p>
    <w:p w14:paraId="33DFAD6F">
      <w:pPr>
        <w:spacing w:line="360" w:lineRule="auto"/>
        <w:rPr>
          <w:sz w:val="24"/>
          <w:szCs w:val="24"/>
        </w:rPr>
      </w:pPr>
      <w:r>
        <w:rPr>
          <w:rFonts w:hint="eastAsia" w:ascii="宋体" w:hAnsi="宋体"/>
          <w:color w:val="000000"/>
          <w:sz w:val="24"/>
          <w:szCs w:val="24"/>
        </w:rPr>
        <w:t>（3）</w:t>
      </w:r>
      <w:r>
        <w:rPr>
          <w:rFonts w:hint="eastAsia"/>
          <w:sz w:val="24"/>
          <w:szCs w:val="24"/>
        </w:rPr>
        <w:t>丙</w:t>
      </w:r>
      <w:r>
        <w:rPr>
          <w:sz w:val="24"/>
          <w:szCs w:val="24"/>
        </w:rPr>
        <w:t>方负责以</w:t>
      </w:r>
      <w:r>
        <w:rPr>
          <w:rFonts w:hint="eastAsia" w:ascii="宋体" w:hAnsi="宋体"/>
          <w:color w:val="000000"/>
          <w:sz w:val="24"/>
          <w:szCs w:val="24"/>
        </w:rPr>
        <w:t>硬件和软件</w:t>
      </w:r>
      <w:r>
        <w:rPr>
          <w:rFonts w:hint="eastAsia"/>
          <w:sz w:val="24"/>
          <w:szCs w:val="24"/>
        </w:rPr>
        <w:t>功能的升级、维护和文档更新。</w:t>
      </w:r>
    </w:p>
    <w:p w14:paraId="270D44C1">
      <w:pPr>
        <w:spacing w:line="360" w:lineRule="auto"/>
        <w:rPr>
          <w:sz w:val="24"/>
          <w:szCs w:val="24"/>
        </w:rPr>
      </w:pPr>
      <w:r>
        <w:rPr>
          <w:rFonts w:hint="eastAsia"/>
          <w:sz w:val="24"/>
          <w:szCs w:val="24"/>
        </w:rPr>
        <w:t>（4）</w:t>
      </w:r>
      <w:r>
        <w:rPr>
          <w:sz w:val="24"/>
          <w:szCs w:val="24"/>
        </w:rPr>
        <w:t>如甲方以后有需要对</w:t>
      </w:r>
      <w:r>
        <w:rPr>
          <w:rFonts w:hint="eastAsia" w:ascii="宋体" w:hAnsi="宋体"/>
          <w:color w:val="000000"/>
          <w:sz w:val="24"/>
          <w:szCs w:val="24"/>
        </w:rPr>
        <w:t>硬件和软件</w:t>
      </w:r>
      <w:r>
        <w:rPr>
          <w:sz w:val="24"/>
          <w:szCs w:val="24"/>
        </w:rPr>
        <w:t>进行改动的，</w:t>
      </w:r>
      <w:r>
        <w:rPr>
          <w:rFonts w:hint="eastAsia"/>
          <w:sz w:val="24"/>
          <w:szCs w:val="24"/>
        </w:rPr>
        <w:t>丙</w:t>
      </w:r>
      <w:r>
        <w:rPr>
          <w:sz w:val="24"/>
          <w:szCs w:val="24"/>
        </w:rPr>
        <w:t>方</w:t>
      </w:r>
      <w:r>
        <w:rPr>
          <w:rFonts w:hint="eastAsia"/>
          <w:sz w:val="24"/>
          <w:szCs w:val="24"/>
        </w:rPr>
        <w:t>免费进行改良。</w:t>
      </w:r>
    </w:p>
    <w:p w14:paraId="43137A41">
      <w:pPr>
        <w:spacing w:line="360" w:lineRule="auto"/>
        <w:rPr>
          <w:sz w:val="24"/>
          <w:szCs w:val="24"/>
        </w:rPr>
      </w:pPr>
      <w:r>
        <w:rPr>
          <w:rFonts w:hint="eastAsia"/>
          <w:sz w:val="24"/>
          <w:szCs w:val="24"/>
        </w:rPr>
        <w:t>（5）丙</w:t>
      </w:r>
      <w:r>
        <w:rPr>
          <w:sz w:val="24"/>
          <w:szCs w:val="24"/>
        </w:rPr>
        <w:t>方保证其</w:t>
      </w:r>
      <w:r>
        <w:rPr>
          <w:rFonts w:hint="eastAsia" w:ascii="宋体" w:hAnsi="宋体"/>
          <w:color w:val="000000"/>
          <w:sz w:val="24"/>
          <w:szCs w:val="24"/>
        </w:rPr>
        <w:t>硬件和软件</w:t>
      </w:r>
      <w:r>
        <w:rPr>
          <w:sz w:val="24"/>
          <w:szCs w:val="24"/>
        </w:rPr>
        <w:t>系统不带有定期的密码输入</w:t>
      </w:r>
      <w:r>
        <w:rPr>
          <w:rFonts w:hint="eastAsia"/>
          <w:sz w:val="24"/>
          <w:szCs w:val="24"/>
        </w:rPr>
        <w:t>。</w:t>
      </w:r>
    </w:p>
    <w:p w14:paraId="5D45D6CB">
      <w:pPr>
        <w:spacing w:line="360" w:lineRule="auto"/>
        <w:rPr>
          <w:sz w:val="24"/>
          <w:szCs w:val="24"/>
        </w:rPr>
      </w:pPr>
      <w:r>
        <w:rPr>
          <w:rFonts w:hint="eastAsia"/>
          <w:sz w:val="24"/>
          <w:szCs w:val="24"/>
        </w:rPr>
        <w:t>（6）丙</w:t>
      </w:r>
      <w:r>
        <w:rPr>
          <w:sz w:val="24"/>
          <w:szCs w:val="24"/>
        </w:rPr>
        <w:t>方的</w:t>
      </w:r>
      <w:r>
        <w:rPr>
          <w:rFonts w:hint="eastAsia" w:ascii="宋体" w:hAnsi="宋体"/>
          <w:color w:val="000000"/>
          <w:sz w:val="24"/>
          <w:szCs w:val="24"/>
        </w:rPr>
        <w:t>硬件和软件</w:t>
      </w:r>
      <w:r>
        <w:rPr>
          <w:sz w:val="24"/>
          <w:szCs w:val="24"/>
        </w:rPr>
        <w:t>不可隐含任何恶意功能，包括但不限于病毒、蠕虫和特洛伊木马等程序，也不可以于未经甲方及其相关联</w:t>
      </w:r>
      <w:r>
        <w:fldChar w:fldCharType="begin"/>
      </w:r>
      <w:r>
        <w:instrText xml:space="preserve"> HYPERLINK "https://v.66law.cn/shuofa/gsf/gsfgd/" \t "_blank" \o "公司" </w:instrText>
      </w:r>
      <w:r>
        <w:fldChar w:fldCharType="separate"/>
      </w:r>
      <w:r>
        <w:rPr>
          <w:sz w:val="24"/>
          <w:szCs w:val="24"/>
        </w:rPr>
        <w:t>公司</w:t>
      </w:r>
      <w:r>
        <w:rPr>
          <w:sz w:val="24"/>
          <w:szCs w:val="24"/>
        </w:rPr>
        <w:fldChar w:fldCharType="end"/>
      </w:r>
      <w:r>
        <w:rPr>
          <w:sz w:val="24"/>
          <w:szCs w:val="24"/>
        </w:rPr>
        <w:t>授权下透过软件收集和扩散任何甲方及其相关联公司之数据各信息</w:t>
      </w:r>
      <w:r>
        <w:rPr>
          <w:rFonts w:hint="eastAsia"/>
          <w:sz w:val="24"/>
          <w:szCs w:val="24"/>
        </w:rPr>
        <w:t>。</w:t>
      </w:r>
    </w:p>
    <w:p w14:paraId="5B4E1903">
      <w:pPr>
        <w:spacing w:line="360" w:lineRule="auto"/>
        <w:rPr>
          <w:sz w:val="24"/>
          <w:szCs w:val="24"/>
        </w:rPr>
      </w:pPr>
      <w:r>
        <w:rPr>
          <w:rFonts w:hint="eastAsia"/>
          <w:sz w:val="24"/>
          <w:szCs w:val="24"/>
        </w:rPr>
        <w:t>（7）丙方提供的</w:t>
      </w:r>
      <w:r>
        <w:rPr>
          <w:rFonts w:hint="eastAsia" w:ascii="宋体" w:hAnsi="宋体"/>
          <w:color w:val="000000"/>
          <w:sz w:val="24"/>
          <w:szCs w:val="24"/>
        </w:rPr>
        <w:t>硬件和软件</w:t>
      </w:r>
      <w:r>
        <w:rPr>
          <w:rFonts w:hint="eastAsia"/>
          <w:sz w:val="24"/>
          <w:szCs w:val="24"/>
        </w:rPr>
        <w:t>服务需要严格遵守相关网络信息安全规定</w:t>
      </w:r>
      <w:permStart w:id="15" w:edGrp="everyone"/>
      <w:r>
        <w:rPr>
          <w:rFonts w:hint="eastAsia"/>
          <w:sz w:val="24"/>
          <w:szCs w:val="24"/>
        </w:rPr>
        <w:t>。</w:t>
      </w:r>
      <w:permEnd w:id="15"/>
    </w:p>
    <w:p w14:paraId="5E227E2D">
      <w:pPr>
        <w:spacing w:line="360" w:lineRule="auto"/>
        <w:rPr>
          <w:rFonts w:ascii="宋体" w:hAnsi="宋体"/>
          <w:sz w:val="24"/>
          <w:szCs w:val="24"/>
        </w:rPr>
      </w:pPr>
      <w:r>
        <w:rPr>
          <w:rFonts w:hint="eastAsia"/>
          <w:sz w:val="24"/>
          <w:szCs w:val="24"/>
        </w:rPr>
        <w:t>（8）丙方工作人员若因操作失误导致系统故障、数据遗失的，丙方应负责调试系统至正常使用状态并恢复数据，由此造成甲方损失的，丙方应承担赔偿责任。</w:t>
      </w:r>
    </w:p>
    <w:p w14:paraId="6C4F6860">
      <w:pPr>
        <w:spacing w:line="360" w:lineRule="auto"/>
        <w:rPr>
          <w:b/>
          <w:sz w:val="24"/>
          <w:szCs w:val="24"/>
        </w:rPr>
      </w:pPr>
      <w:r>
        <w:rPr>
          <w:rFonts w:hint="eastAsia"/>
          <w:b/>
          <w:sz w:val="24"/>
          <w:szCs w:val="24"/>
        </w:rPr>
        <w:t>十一、</w:t>
      </w:r>
      <w:r>
        <w:rPr>
          <w:b/>
          <w:sz w:val="24"/>
          <w:szCs w:val="24"/>
        </w:rPr>
        <w:t>保证条款</w:t>
      </w:r>
    </w:p>
    <w:p w14:paraId="3D641786">
      <w:pPr>
        <w:spacing w:line="360" w:lineRule="auto"/>
        <w:rPr>
          <w:sz w:val="24"/>
          <w:szCs w:val="24"/>
        </w:rPr>
      </w:pPr>
      <w:r>
        <w:rPr>
          <w:sz w:val="24"/>
          <w:szCs w:val="24"/>
        </w:rPr>
        <w:t>1、</w:t>
      </w:r>
      <w:r>
        <w:rPr>
          <w:rFonts w:hint="eastAsia"/>
          <w:sz w:val="24"/>
          <w:szCs w:val="24"/>
        </w:rPr>
        <w:t>丙</w:t>
      </w:r>
      <w:r>
        <w:rPr>
          <w:sz w:val="24"/>
          <w:szCs w:val="24"/>
        </w:rPr>
        <w:t>方保证交付甲方的</w:t>
      </w:r>
      <w:r>
        <w:rPr>
          <w:rFonts w:hint="eastAsia" w:ascii="宋体" w:hAnsi="宋体"/>
          <w:color w:val="000000"/>
          <w:sz w:val="24"/>
          <w:szCs w:val="24"/>
        </w:rPr>
        <w:t>硬件和软件</w:t>
      </w:r>
      <w:r>
        <w:rPr>
          <w:sz w:val="24"/>
          <w:szCs w:val="24"/>
        </w:rPr>
        <w:t>来源合法</w:t>
      </w:r>
      <w:r>
        <w:rPr>
          <w:rFonts w:hint="eastAsia"/>
          <w:sz w:val="24"/>
          <w:szCs w:val="24"/>
        </w:rPr>
        <w:t>。</w:t>
      </w:r>
    </w:p>
    <w:p w14:paraId="43E731D7">
      <w:pPr>
        <w:spacing w:line="360" w:lineRule="auto"/>
        <w:rPr>
          <w:sz w:val="24"/>
          <w:szCs w:val="24"/>
        </w:rPr>
      </w:pPr>
      <w:r>
        <w:rPr>
          <w:sz w:val="24"/>
          <w:szCs w:val="24"/>
        </w:rPr>
        <w:t>2、</w:t>
      </w:r>
      <w:r>
        <w:rPr>
          <w:rFonts w:hint="eastAsia"/>
          <w:sz w:val="24"/>
          <w:szCs w:val="24"/>
        </w:rPr>
        <w:t>丙</w:t>
      </w:r>
      <w:r>
        <w:rPr>
          <w:sz w:val="24"/>
          <w:szCs w:val="24"/>
        </w:rPr>
        <w:t>方保证提供给甲方的软件不侵犯任何第三方的合法权益，包括但不限于</w:t>
      </w:r>
      <w:r>
        <w:fldChar w:fldCharType="begin"/>
      </w:r>
      <w:r>
        <w:instrText xml:space="preserve"> HYPERLINK "https://www.66law.cn/special/shangbiaochaxun/" \t "_blank" \o "商标权" </w:instrText>
      </w:r>
      <w:r>
        <w:fldChar w:fldCharType="separate"/>
      </w:r>
      <w:r>
        <w:rPr>
          <w:sz w:val="24"/>
          <w:szCs w:val="24"/>
        </w:rPr>
        <w:t>商标权</w:t>
      </w:r>
      <w:r>
        <w:rPr>
          <w:sz w:val="24"/>
          <w:szCs w:val="24"/>
        </w:rPr>
        <w:fldChar w:fldCharType="end"/>
      </w:r>
      <w:r>
        <w:rPr>
          <w:sz w:val="24"/>
          <w:szCs w:val="24"/>
        </w:rPr>
        <w:t>、专利权或</w:t>
      </w:r>
      <w:r>
        <w:fldChar w:fldCharType="begin"/>
      </w:r>
      <w:r>
        <w:instrText xml:space="preserve"> HYPERLINK "https://www.66law.cn/special/symm/" \t "_blank" \o "商业秘密" </w:instrText>
      </w:r>
      <w:r>
        <w:fldChar w:fldCharType="separate"/>
      </w:r>
      <w:r>
        <w:rPr>
          <w:sz w:val="24"/>
          <w:szCs w:val="24"/>
        </w:rPr>
        <w:t>商业秘密</w:t>
      </w:r>
      <w:r>
        <w:rPr>
          <w:sz w:val="24"/>
          <w:szCs w:val="24"/>
        </w:rPr>
        <w:fldChar w:fldCharType="end"/>
      </w:r>
      <w:r>
        <w:rPr>
          <w:sz w:val="24"/>
          <w:szCs w:val="24"/>
        </w:rPr>
        <w:t>等。如出现第三方对甲方使用或销售本合同软件提出所有权异议、索赔等情况的，甲方有权拒绝并立即通知</w:t>
      </w:r>
      <w:r>
        <w:rPr>
          <w:rFonts w:hint="eastAsia"/>
          <w:sz w:val="24"/>
          <w:szCs w:val="24"/>
        </w:rPr>
        <w:t>丙</w:t>
      </w:r>
      <w:r>
        <w:rPr>
          <w:sz w:val="24"/>
          <w:szCs w:val="24"/>
        </w:rPr>
        <w:t>方，由</w:t>
      </w:r>
      <w:r>
        <w:rPr>
          <w:rFonts w:hint="eastAsia"/>
          <w:sz w:val="24"/>
          <w:szCs w:val="24"/>
        </w:rPr>
        <w:t>丙</w:t>
      </w:r>
      <w:r>
        <w:rPr>
          <w:sz w:val="24"/>
          <w:szCs w:val="24"/>
        </w:rPr>
        <w:t>方自行处理由此导致的问题，并且</w:t>
      </w:r>
      <w:r>
        <w:rPr>
          <w:rFonts w:hint="eastAsia"/>
          <w:sz w:val="24"/>
          <w:szCs w:val="24"/>
        </w:rPr>
        <w:t>丙</w:t>
      </w:r>
      <w:r>
        <w:rPr>
          <w:sz w:val="24"/>
          <w:szCs w:val="24"/>
        </w:rPr>
        <w:t>方应在自行承担相关费用的情况下按照甲方之要求采取必要的补救措施确保甲方的损失降至最低。</w:t>
      </w:r>
    </w:p>
    <w:p w14:paraId="176FEDDC">
      <w:pPr>
        <w:spacing w:line="360" w:lineRule="auto"/>
        <w:rPr>
          <w:b/>
          <w:sz w:val="24"/>
          <w:szCs w:val="24"/>
        </w:rPr>
      </w:pPr>
      <w:r>
        <w:rPr>
          <w:sz w:val="24"/>
          <w:szCs w:val="24"/>
        </w:rPr>
        <w:t>3、如</w:t>
      </w:r>
      <w:r>
        <w:rPr>
          <w:rFonts w:hint="eastAsia"/>
          <w:sz w:val="24"/>
          <w:szCs w:val="24"/>
        </w:rPr>
        <w:t>丙</w:t>
      </w:r>
      <w:r>
        <w:rPr>
          <w:sz w:val="24"/>
          <w:szCs w:val="24"/>
        </w:rPr>
        <w:t>方出现不履行义务、迟延履行义务或其他瑕疵履行的，因此而产生的费用和导致甲方损失的责任均由</w:t>
      </w:r>
      <w:r>
        <w:rPr>
          <w:rFonts w:hint="eastAsia"/>
          <w:sz w:val="24"/>
          <w:szCs w:val="24"/>
        </w:rPr>
        <w:t>丙</w:t>
      </w:r>
      <w:r>
        <w:rPr>
          <w:sz w:val="24"/>
          <w:szCs w:val="24"/>
        </w:rPr>
        <w:t>方承担。</w:t>
      </w:r>
    </w:p>
    <w:p w14:paraId="3C04C1DA">
      <w:pPr>
        <w:spacing w:line="360" w:lineRule="auto"/>
        <w:rPr>
          <w:b/>
          <w:sz w:val="24"/>
          <w:szCs w:val="24"/>
        </w:rPr>
      </w:pPr>
      <w:r>
        <w:rPr>
          <w:rFonts w:hint="eastAsia"/>
          <w:b/>
          <w:sz w:val="24"/>
          <w:szCs w:val="24"/>
        </w:rPr>
        <w:t>十二、违约条款</w:t>
      </w:r>
    </w:p>
    <w:p w14:paraId="1D8D9320">
      <w:pPr>
        <w:spacing w:line="360" w:lineRule="auto"/>
        <w:rPr>
          <w:sz w:val="24"/>
          <w:szCs w:val="24"/>
        </w:rPr>
      </w:pPr>
      <w:r>
        <w:rPr>
          <w:rFonts w:hint="eastAsia"/>
          <w:sz w:val="24"/>
          <w:szCs w:val="24"/>
        </w:rPr>
        <w:t>1、丙方交付的</w:t>
      </w:r>
      <w:r>
        <w:rPr>
          <w:rFonts w:hint="eastAsia" w:ascii="宋体" w:hAnsi="宋体"/>
          <w:color w:val="000000"/>
          <w:sz w:val="24"/>
          <w:szCs w:val="24"/>
        </w:rPr>
        <w:t>硬件和软件</w:t>
      </w:r>
      <w:r>
        <w:rPr>
          <w:rFonts w:hint="eastAsia"/>
          <w:sz w:val="24"/>
          <w:szCs w:val="24"/>
        </w:rPr>
        <w:t>质量不符合合同规定的，丙方应向甲方支付合同总价的百分之十的违约金，并须在合同规定的交货时间内更换合格的软件给甲方，否则，视作丙方不能交付</w:t>
      </w:r>
      <w:r>
        <w:rPr>
          <w:rFonts w:hint="eastAsia" w:ascii="宋体" w:hAnsi="宋体"/>
          <w:color w:val="000000"/>
          <w:sz w:val="24"/>
          <w:szCs w:val="24"/>
        </w:rPr>
        <w:t>硬件和软件</w:t>
      </w:r>
      <w:r>
        <w:rPr>
          <w:rFonts w:hint="eastAsia"/>
          <w:sz w:val="24"/>
          <w:szCs w:val="24"/>
        </w:rPr>
        <w:t>而违约，按本条本款下述第“2”项规定由丙方偿付违约赔偿金给甲方。</w:t>
      </w:r>
    </w:p>
    <w:p w14:paraId="5B51FEAD">
      <w:pPr>
        <w:spacing w:line="360" w:lineRule="auto"/>
        <w:rPr>
          <w:sz w:val="24"/>
          <w:szCs w:val="24"/>
        </w:rPr>
      </w:pPr>
      <w:r>
        <w:rPr>
          <w:rFonts w:hint="eastAsia"/>
          <w:sz w:val="24"/>
          <w:szCs w:val="24"/>
        </w:rPr>
        <w:t>2、丙方不能交付</w:t>
      </w:r>
      <w:r>
        <w:rPr>
          <w:rFonts w:hint="eastAsia" w:ascii="宋体" w:hAnsi="宋体"/>
          <w:color w:val="000000"/>
          <w:sz w:val="24"/>
          <w:szCs w:val="24"/>
        </w:rPr>
        <w:t>硬件和软件</w:t>
      </w:r>
      <w:r>
        <w:rPr>
          <w:rFonts w:hint="eastAsia"/>
          <w:sz w:val="24"/>
          <w:szCs w:val="24"/>
        </w:rPr>
        <w:t>或逾期交付</w:t>
      </w:r>
      <w:r>
        <w:rPr>
          <w:rFonts w:hint="eastAsia" w:ascii="宋体" w:hAnsi="宋体"/>
          <w:color w:val="000000"/>
          <w:sz w:val="24"/>
          <w:szCs w:val="24"/>
        </w:rPr>
        <w:t>硬件和软件</w:t>
      </w:r>
      <w:r>
        <w:rPr>
          <w:rFonts w:hint="eastAsia"/>
          <w:sz w:val="24"/>
          <w:szCs w:val="24"/>
        </w:rPr>
        <w:t>而违约的，除应及时交足</w:t>
      </w:r>
      <w:r>
        <w:rPr>
          <w:rFonts w:hint="eastAsia" w:ascii="宋体" w:hAnsi="宋体"/>
          <w:color w:val="000000"/>
          <w:sz w:val="24"/>
          <w:szCs w:val="24"/>
        </w:rPr>
        <w:t>硬件和软件</w:t>
      </w:r>
      <w:r>
        <w:rPr>
          <w:rFonts w:hint="eastAsia"/>
          <w:sz w:val="24"/>
          <w:szCs w:val="24"/>
        </w:rPr>
        <w:t>外，应向甲方偿付逾期交货部分货款总额的万分之五/天的违约金；逾期交货超过叁拾天，甲方有权终止合同，丙方则应按合同总价的百分之十的款额向甲方偿付赔偿金，并须全额退还乙方已经付给丙方的货款及其利息。</w:t>
      </w:r>
    </w:p>
    <w:p w14:paraId="73A41AB2">
      <w:pPr>
        <w:spacing w:line="360" w:lineRule="auto"/>
        <w:rPr>
          <w:sz w:val="24"/>
          <w:szCs w:val="24"/>
        </w:rPr>
      </w:pPr>
      <w:r>
        <w:rPr>
          <w:rFonts w:hint="eastAsia"/>
          <w:sz w:val="24"/>
          <w:szCs w:val="24"/>
        </w:rPr>
        <w:t>3、丙方软件经甲方送交具有法定资格条件的质量技术监督机构检测后，如检测结果认定</w:t>
      </w:r>
      <w:r>
        <w:rPr>
          <w:rFonts w:hint="eastAsia" w:ascii="宋体" w:hAnsi="宋体"/>
          <w:color w:val="000000"/>
          <w:sz w:val="24"/>
          <w:szCs w:val="24"/>
        </w:rPr>
        <w:t>硬件和软件</w:t>
      </w:r>
      <w:r>
        <w:rPr>
          <w:rFonts w:hint="eastAsia"/>
          <w:sz w:val="24"/>
          <w:szCs w:val="24"/>
        </w:rPr>
        <w:t>质量不符合本合同规定标准的，则视为丙方没有按时交货而违约，丙方须在柒天内无条件更换合格的软件，如逾期不能更换合格的软件，甲方有权终止本合同，丙方应另付合同总价的百分之拾的赔偿金给甲方。</w:t>
      </w:r>
    </w:p>
    <w:p w14:paraId="79A1156C">
      <w:pPr>
        <w:spacing w:line="360" w:lineRule="auto"/>
        <w:rPr>
          <w:sz w:val="24"/>
          <w:szCs w:val="24"/>
        </w:rPr>
      </w:pPr>
      <w:r>
        <w:rPr>
          <w:rFonts w:hint="eastAsia"/>
          <w:sz w:val="24"/>
          <w:szCs w:val="24"/>
        </w:rPr>
        <w:t>4、丙方保证本合同</w:t>
      </w:r>
      <w:r>
        <w:rPr>
          <w:rFonts w:hint="eastAsia" w:ascii="宋体" w:hAnsi="宋体"/>
          <w:color w:val="000000"/>
          <w:sz w:val="24"/>
          <w:szCs w:val="24"/>
        </w:rPr>
        <w:t>硬件和软件</w:t>
      </w:r>
      <w:r>
        <w:rPr>
          <w:rFonts w:hint="eastAsia"/>
          <w:sz w:val="24"/>
          <w:szCs w:val="24"/>
        </w:rPr>
        <w:t>的权利无瑕疵，包括</w:t>
      </w:r>
      <w:r>
        <w:rPr>
          <w:rFonts w:hint="eastAsia" w:ascii="宋体" w:hAnsi="宋体"/>
          <w:color w:val="000000"/>
          <w:sz w:val="24"/>
          <w:szCs w:val="24"/>
        </w:rPr>
        <w:t>硬件和软件</w:t>
      </w:r>
      <w:r>
        <w:rPr>
          <w:rFonts w:hint="eastAsia"/>
          <w:sz w:val="24"/>
          <w:szCs w:val="24"/>
        </w:rPr>
        <w:t>所有权及知识产权等权利无瑕疵。如任何第三方经法院（或仲裁机构）裁决有权对上述软件主张权利或国家机关依法对</w:t>
      </w:r>
      <w:r>
        <w:rPr>
          <w:rFonts w:hint="eastAsia" w:ascii="宋体" w:hAnsi="宋体"/>
          <w:color w:val="000000"/>
          <w:sz w:val="24"/>
          <w:szCs w:val="24"/>
        </w:rPr>
        <w:t>硬件和软件</w:t>
      </w:r>
      <w:r>
        <w:rPr>
          <w:rFonts w:hint="eastAsia"/>
          <w:sz w:val="24"/>
          <w:szCs w:val="24"/>
        </w:rPr>
        <w:t>进行没收查处的，丙方除应向乙方返还已收款项外，还应另按合同总价的百分之拾向甲方支付违约金并赔偿因此给甲方造成的一切损失。</w:t>
      </w:r>
    </w:p>
    <w:p w14:paraId="33BFCCB1">
      <w:pPr>
        <w:spacing w:line="360" w:lineRule="auto"/>
        <w:rPr>
          <w:sz w:val="24"/>
          <w:szCs w:val="24"/>
        </w:rPr>
      </w:pPr>
      <w:r>
        <w:rPr>
          <w:rFonts w:hint="eastAsia"/>
          <w:sz w:val="24"/>
          <w:szCs w:val="24"/>
        </w:rPr>
        <w:t>5、甲乙丙三方因违约偿付的违约金不足以弥补非违约方损失的，还应按非违约方损失尚未弥补的部分，支付赔偿金给非违约方。</w:t>
      </w:r>
    </w:p>
    <w:p w14:paraId="601C70E6">
      <w:pPr>
        <w:spacing w:line="360" w:lineRule="auto"/>
        <w:rPr>
          <w:rFonts w:ascii="宋体" w:hAnsi="宋体" w:cs="Tahoma"/>
          <w:sz w:val="24"/>
          <w:szCs w:val="24"/>
        </w:rPr>
      </w:pPr>
      <w:r>
        <w:rPr>
          <w:rFonts w:hint="eastAsia"/>
          <w:sz w:val="24"/>
          <w:szCs w:val="24"/>
        </w:rPr>
        <w:t>6、丙方提供的</w:t>
      </w:r>
      <w:r>
        <w:rPr>
          <w:rFonts w:hint="eastAsia" w:ascii="宋体" w:hAnsi="宋体"/>
          <w:color w:val="000000"/>
          <w:sz w:val="24"/>
          <w:szCs w:val="24"/>
        </w:rPr>
        <w:t>硬件和软件</w:t>
      </w:r>
      <w:r>
        <w:rPr>
          <w:rFonts w:hint="eastAsia"/>
          <w:sz w:val="24"/>
          <w:szCs w:val="24"/>
        </w:rPr>
        <w:t>服务需要严格遵守相关网络信息安全规定。未经甲方允许，丙方不能擅自将系统中甲方的相关信息以任何形式透露给第三方，若有相关行为，甲方将依法追究其法律责任。</w:t>
      </w:r>
    </w:p>
    <w:p w14:paraId="3E241626">
      <w:pPr>
        <w:spacing w:line="360" w:lineRule="auto"/>
        <w:rPr>
          <w:b/>
          <w:sz w:val="24"/>
          <w:szCs w:val="24"/>
        </w:rPr>
      </w:pPr>
      <w:r>
        <w:rPr>
          <w:rFonts w:hint="eastAsia"/>
          <w:b/>
          <w:sz w:val="24"/>
          <w:szCs w:val="24"/>
        </w:rPr>
        <w:t>十三、不可抗力</w:t>
      </w:r>
    </w:p>
    <w:p w14:paraId="09728D8B">
      <w:pPr>
        <w:spacing w:line="360" w:lineRule="auto"/>
        <w:rPr>
          <w:sz w:val="24"/>
          <w:szCs w:val="24"/>
        </w:rPr>
      </w:pPr>
      <w:r>
        <w:rPr>
          <w:sz w:val="24"/>
          <w:szCs w:val="24"/>
        </w:rPr>
        <w:t>1、不可抗力包括影响合同义务的执行的严重火灾、水灾、台风、地震、罢工等。</w:t>
      </w:r>
    </w:p>
    <w:p w14:paraId="0AACC9E4">
      <w:pPr>
        <w:spacing w:line="360" w:lineRule="auto"/>
        <w:rPr>
          <w:sz w:val="24"/>
          <w:szCs w:val="24"/>
        </w:rPr>
      </w:pPr>
      <w:r>
        <w:rPr>
          <w:sz w:val="24"/>
          <w:szCs w:val="24"/>
        </w:rPr>
        <w:t>2、不可抗力事故受到影响的一方应在</w:t>
      </w:r>
      <w:r>
        <w:rPr>
          <w:rFonts w:hint="eastAsia"/>
          <w:sz w:val="24"/>
          <w:szCs w:val="24"/>
        </w:rPr>
        <w:t xml:space="preserve"> 7 </w:t>
      </w:r>
      <w:r>
        <w:rPr>
          <w:sz w:val="24"/>
          <w:szCs w:val="24"/>
        </w:rPr>
        <w:t>个工作日内通知对方，并出具相关证明。当不可抗力事故消除后，受到影响的一方应尽快书面通知</w:t>
      </w:r>
      <w:r>
        <w:rPr>
          <w:rFonts w:hint="eastAsia"/>
          <w:sz w:val="24"/>
          <w:szCs w:val="24"/>
        </w:rPr>
        <w:t>其他</w:t>
      </w:r>
      <w:r>
        <w:rPr>
          <w:sz w:val="24"/>
          <w:szCs w:val="24"/>
        </w:rPr>
        <w:t>方。</w:t>
      </w:r>
    </w:p>
    <w:p w14:paraId="21C9F2BE">
      <w:pPr>
        <w:spacing w:line="360" w:lineRule="auto"/>
        <w:rPr>
          <w:b/>
          <w:sz w:val="24"/>
          <w:szCs w:val="24"/>
        </w:rPr>
      </w:pPr>
      <w:r>
        <w:rPr>
          <w:sz w:val="24"/>
          <w:szCs w:val="24"/>
        </w:rPr>
        <w:t>3、由于不可抗力事故而影响合同履行的，但不影响合同目的实现的，可延迟履行合同期限，延迟时间相当于事故所影响的时间。若不可抗力原因影响本合同执行时间超过</w:t>
      </w:r>
      <w:r>
        <w:rPr>
          <w:rFonts w:hint="eastAsia"/>
          <w:sz w:val="24"/>
          <w:szCs w:val="24"/>
        </w:rPr>
        <w:t>3个月，三方就合同签订履行事宜另行协商。</w:t>
      </w:r>
    </w:p>
    <w:p w14:paraId="5B721E5E">
      <w:pPr>
        <w:spacing w:line="360" w:lineRule="auto"/>
        <w:rPr>
          <w:rFonts w:cstheme="minorBidi"/>
          <w:b/>
          <w:bCs/>
          <w:sz w:val="24"/>
          <w:szCs w:val="24"/>
        </w:rPr>
      </w:pPr>
      <w:r>
        <w:rPr>
          <w:rFonts w:hint="eastAsia"/>
          <w:b/>
          <w:sz w:val="24"/>
          <w:szCs w:val="24"/>
        </w:rPr>
        <w:t>十四、</w:t>
      </w:r>
      <w:r>
        <w:rPr>
          <w:rFonts w:hint="eastAsia" w:cstheme="minorBidi"/>
          <w:b/>
          <w:bCs/>
          <w:sz w:val="24"/>
          <w:szCs w:val="24"/>
        </w:rPr>
        <w:t>知识产权及数据隐私保护</w:t>
      </w:r>
    </w:p>
    <w:p w14:paraId="4403D098">
      <w:pPr>
        <w:spacing w:line="360" w:lineRule="auto"/>
        <w:rPr>
          <w:sz w:val="24"/>
          <w:szCs w:val="24"/>
        </w:rPr>
      </w:pPr>
      <w:r>
        <w:rPr>
          <w:sz w:val="24"/>
          <w:szCs w:val="24"/>
        </w:rPr>
        <w:t>1、</w:t>
      </w:r>
      <w:r>
        <w:rPr>
          <w:rFonts w:hint="eastAsia"/>
          <w:sz w:val="24"/>
          <w:szCs w:val="24"/>
        </w:rPr>
        <w:t>丙</w:t>
      </w:r>
      <w:r>
        <w:rPr>
          <w:sz w:val="24"/>
          <w:szCs w:val="24"/>
        </w:rPr>
        <w:t>方必须对本合同履行过程中知悉的甲方的商业</w:t>
      </w:r>
      <w:r>
        <w:rPr>
          <w:rFonts w:hint="eastAsia"/>
          <w:sz w:val="24"/>
          <w:szCs w:val="24"/>
        </w:rPr>
        <w:t>技术</w:t>
      </w:r>
      <w:r>
        <w:rPr>
          <w:sz w:val="24"/>
          <w:szCs w:val="24"/>
        </w:rPr>
        <w:t>秘密</w:t>
      </w:r>
      <w:r>
        <w:rPr>
          <w:rFonts w:hint="eastAsia"/>
          <w:sz w:val="24"/>
          <w:szCs w:val="24"/>
        </w:rPr>
        <w:t>、经营秘密、患者隐私数据等甲方未公开的信息</w:t>
      </w:r>
      <w:r>
        <w:rPr>
          <w:sz w:val="24"/>
          <w:szCs w:val="24"/>
        </w:rPr>
        <w:t>负保密义务，不得向任何第三方透露</w:t>
      </w:r>
      <w:r>
        <w:rPr>
          <w:rFonts w:hint="eastAsia"/>
          <w:sz w:val="24"/>
          <w:szCs w:val="24"/>
        </w:rPr>
        <w:t>，不得用作本协议以外的其他用途</w:t>
      </w:r>
      <w:r>
        <w:rPr>
          <w:sz w:val="24"/>
          <w:szCs w:val="24"/>
        </w:rPr>
        <w:t>。否则，</w:t>
      </w:r>
      <w:r>
        <w:rPr>
          <w:rFonts w:hint="eastAsia"/>
          <w:sz w:val="24"/>
          <w:szCs w:val="24"/>
        </w:rPr>
        <w:t>丙</w:t>
      </w:r>
      <w:r>
        <w:rPr>
          <w:sz w:val="24"/>
          <w:szCs w:val="24"/>
        </w:rPr>
        <w:t>方应赔偿甲方因此造成的经济损失，包括但不限于实际损失、可得利益损失及为此支付的律师代理费用</w:t>
      </w:r>
      <w:r>
        <w:rPr>
          <w:rFonts w:hint="eastAsia"/>
          <w:sz w:val="24"/>
          <w:szCs w:val="24"/>
        </w:rPr>
        <w:t>、诉讼费、公告费、公证费、保全费等。保密期为永久。损失无法计算的，甲丙双方同意按照合同金额的1</w:t>
      </w:r>
      <w:r>
        <w:rPr>
          <w:sz w:val="24"/>
          <w:szCs w:val="24"/>
        </w:rPr>
        <w:t>0</w:t>
      </w:r>
      <w:r>
        <w:rPr>
          <w:rFonts w:hint="eastAsia"/>
          <w:sz w:val="24"/>
          <w:szCs w:val="24"/>
        </w:rPr>
        <w:t>倍计算违约金，甲丙双方均不认为该违约金过高。</w:t>
      </w:r>
    </w:p>
    <w:p w14:paraId="616625E4">
      <w:pPr>
        <w:spacing w:line="360" w:lineRule="auto"/>
        <w:rPr>
          <w:sz w:val="24"/>
          <w:szCs w:val="24"/>
        </w:rPr>
      </w:pPr>
      <w:r>
        <w:rPr>
          <w:rFonts w:hint="eastAsia"/>
          <w:sz w:val="24"/>
          <w:szCs w:val="24"/>
        </w:rPr>
        <w:t>2</w:t>
      </w:r>
      <w:r>
        <w:rPr>
          <w:sz w:val="24"/>
          <w:szCs w:val="24"/>
        </w:rPr>
        <w:t>、任何一方在未征得对方书面同意，不得将本合同的权利或义务转让给第三方。</w:t>
      </w:r>
      <w:r>
        <w:rPr>
          <w:rFonts w:hint="eastAsia"/>
          <w:sz w:val="24"/>
          <w:szCs w:val="24"/>
        </w:rPr>
        <w:t>否则，违约方按照合同金额</w:t>
      </w:r>
      <w:permStart w:id="16" w:edGrp="everyone"/>
      <w:r>
        <w:rPr>
          <w:rFonts w:hint="eastAsia"/>
          <w:sz w:val="24"/>
          <w:szCs w:val="24"/>
          <w:u w:val="single"/>
        </w:rPr>
        <w:t xml:space="preserve">   </w:t>
      </w:r>
      <w:permEnd w:id="16"/>
      <w:r>
        <w:rPr>
          <w:rFonts w:hint="eastAsia"/>
          <w:sz w:val="24"/>
          <w:szCs w:val="24"/>
        </w:rPr>
        <w:t>%支付违约金，违约金不足以弥补非违约方损失的，违约方予以补足。</w:t>
      </w:r>
    </w:p>
    <w:p w14:paraId="26C89164">
      <w:pPr>
        <w:spacing w:line="360" w:lineRule="auto"/>
        <w:rPr>
          <w:sz w:val="24"/>
          <w:szCs w:val="24"/>
        </w:rPr>
      </w:pPr>
      <w:r>
        <w:rPr>
          <w:rFonts w:hint="eastAsia"/>
          <w:sz w:val="24"/>
          <w:szCs w:val="24"/>
        </w:rPr>
        <w:t>3、</w:t>
      </w:r>
      <w:permStart w:id="17" w:edGrp="everyone"/>
      <w:r>
        <w:rPr>
          <w:rFonts w:hint="eastAsia"/>
          <w:sz w:val="24"/>
          <w:szCs w:val="24"/>
        </w:rPr>
        <w:t>甲、丙双方共同研发的该系统软件产品，知识产权归甲、丙双方共同拥有，软件所有数据归甲方所有。</w:t>
      </w:r>
      <w:permEnd w:id="17"/>
    </w:p>
    <w:p w14:paraId="777E82F0">
      <w:pPr>
        <w:spacing w:line="360" w:lineRule="auto"/>
        <w:rPr>
          <w:b/>
          <w:sz w:val="24"/>
          <w:szCs w:val="24"/>
        </w:rPr>
      </w:pPr>
      <w:r>
        <w:rPr>
          <w:rFonts w:hint="eastAsia"/>
          <w:b/>
          <w:sz w:val="24"/>
          <w:szCs w:val="24"/>
        </w:rPr>
        <w:t>十五、廉洁约定</w:t>
      </w:r>
    </w:p>
    <w:p w14:paraId="4B723AAE">
      <w:pPr>
        <w:spacing w:line="360" w:lineRule="auto"/>
        <w:ind w:firstLine="480" w:firstLineChars="200"/>
        <w:rPr>
          <w:sz w:val="24"/>
          <w:szCs w:val="24"/>
        </w:rPr>
      </w:pPr>
      <w:r>
        <w:rPr>
          <w:rFonts w:hint="eastAsia"/>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78420B09">
      <w:pPr>
        <w:spacing w:line="360" w:lineRule="auto"/>
        <w:rPr>
          <w:b/>
          <w:sz w:val="24"/>
          <w:szCs w:val="24"/>
        </w:rPr>
      </w:pPr>
      <w:r>
        <w:rPr>
          <w:rFonts w:hint="eastAsia"/>
          <w:b/>
          <w:sz w:val="24"/>
          <w:szCs w:val="24"/>
        </w:rPr>
        <w:t>十六、合同生效</w:t>
      </w:r>
    </w:p>
    <w:p w14:paraId="18AE52B5">
      <w:pPr>
        <w:pStyle w:val="42"/>
        <w:numPr>
          <w:ilvl w:val="0"/>
          <w:numId w:val="14"/>
        </w:numPr>
        <w:spacing w:line="360" w:lineRule="auto"/>
        <w:ind w:firstLineChars="0"/>
        <w:rPr>
          <w:sz w:val="24"/>
          <w:szCs w:val="24"/>
        </w:rPr>
      </w:pPr>
      <w:r>
        <w:rPr>
          <w:rFonts w:hint="eastAsia"/>
          <w:sz w:val="24"/>
          <w:szCs w:val="24"/>
        </w:rPr>
        <w:t>本合同在甲乙丙三方法定代表人、负责人或授权代表签字并加盖单位公章或合同专用章后生效。</w:t>
      </w:r>
    </w:p>
    <w:p w14:paraId="72A795BC">
      <w:pPr>
        <w:pStyle w:val="42"/>
        <w:numPr>
          <w:ilvl w:val="0"/>
          <w:numId w:val="14"/>
        </w:numPr>
        <w:spacing w:line="360" w:lineRule="auto"/>
        <w:ind w:firstLineChars="0"/>
        <w:rPr>
          <w:sz w:val="24"/>
          <w:szCs w:val="24"/>
        </w:rPr>
      </w:pPr>
      <w:r>
        <w:rPr>
          <w:rFonts w:hint="eastAsia"/>
          <w:sz w:val="24"/>
          <w:szCs w:val="24"/>
        </w:rPr>
        <w:t>本合同一式</w:t>
      </w:r>
      <w:r>
        <w:rPr>
          <w:rFonts w:hint="eastAsia"/>
          <w:sz w:val="24"/>
          <w:szCs w:val="24"/>
          <w:u w:val="single"/>
        </w:rPr>
        <w:t xml:space="preserve"> </w:t>
      </w:r>
      <w:r>
        <w:rPr>
          <w:rFonts w:hint="eastAsia"/>
          <w:sz w:val="24"/>
          <w:szCs w:val="24"/>
        </w:rPr>
        <w:t>份，甲方执四份，乙方执</w:t>
      </w:r>
      <w:r>
        <w:rPr>
          <w:rFonts w:hint="eastAsia"/>
          <w:sz w:val="24"/>
          <w:szCs w:val="24"/>
          <w:u w:val="single"/>
        </w:rPr>
        <w:t xml:space="preserve"> </w:t>
      </w:r>
      <w:r>
        <w:rPr>
          <w:rFonts w:hint="eastAsia"/>
          <w:sz w:val="24"/>
          <w:szCs w:val="24"/>
        </w:rPr>
        <w:t>份，丙方【 】份。</w:t>
      </w:r>
    </w:p>
    <w:p w14:paraId="22283F0A">
      <w:pPr>
        <w:spacing w:line="360" w:lineRule="auto"/>
        <w:rPr>
          <w:rFonts w:ascii="仿宋" w:hAnsi="仿宋" w:eastAsia="仿宋"/>
          <w:sz w:val="24"/>
          <w:szCs w:val="24"/>
        </w:rPr>
      </w:pPr>
      <w:r>
        <w:rPr>
          <w:rFonts w:hint="eastAsia"/>
          <w:b/>
          <w:sz w:val="24"/>
          <w:szCs w:val="24"/>
        </w:rPr>
        <w:t>十七、争议解决方式</w:t>
      </w:r>
    </w:p>
    <w:p w14:paraId="7D073247">
      <w:pPr>
        <w:pStyle w:val="42"/>
        <w:numPr>
          <w:ilvl w:val="0"/>
          <w:numId w:val="15"/>
        </w:numPr>
        <w:tabs>
          <w:tab w:val="left" w:pos="540"/>
        </w:tabs>
        <w:spacing w:after="120" w:afterLines="50" w:line="360" w:lineRule="auto"/>
        <w:ind w:firstLineChars="0"/>
        <w:outlineLvl w:val="2"/>
        <w:rPr>
          <w:rFonts w:ascii="宋体" w:hAnsi="宋体"/>
          <w:sz w:val="24"/>
          <w:szCs w:val="24"/>
        </w:rPr>
      </w:pPr>
      <w:r>
        <w:rPr>
          <w:rFonts w:hint="eastAsia" w:asciiTheme="majorEastAsia" w:hAnsiTheme="majorEastAsia" w:eastAsiaTheme="majorEastAsia" w:cstheme="majorEastAsia"/>
          <w:sz w:val="24"/>
          <w:szCs w:val="24"/>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1820D138">
      <w:pPr>
        <w:pStyle w:val="42"/>
        <w:numPr>
          <w:ilvl w:val="0"/>
          <w:numId w:val="15"/>
        </w:numPr>
        <w:tabs>
          <w:tab w:val="left" w:pos="540"/>
        </w:tabs>
        <w:spacing w:after="120" w:afterLines="50" w:line="360" w:lineRule="auto"/>
        <w:ind w:firstLineChars="0"/>
        <w:outlineLvl w:val="2"/>
        <w:rPr>
          <w:rFonts w:ascii="宋体" w:hAnsi="宋体"/>
          <w:sz w:val="24"/>
          <w:szCs w:val="24"/>
        </w:rPr>
      </w:pPr>
      <w:r>
        <w:rPr>
          <w:rFonts w:hint="eastAsia" w:ascii="宋体" w:hAnsi="宋体"/>
          <w:sz w:val="24"/>
          <w:szCs w:val="24"/>
        </w:rPr>
        <w:t>合同履行期间,若双方发生争议，可协商或由有关部门调解解决，协商或调解不成的，任何一方均有权向甲方住所地管辖权的人民法院起诉。</w:t>
      </w:r>
    </w:p>
    <w:p w14:paraId="3E071BE6">
      <w:pPr>
        <w:spacing w:line="360" w:lineRule="auto"/>
        <w:rPr>
          <w:b/>
          <w:sz w:val="24"/>
          <w:szCs w:val="24"/>
        </w:rPr>
      </w:pPr>
      <w:r>
        <w:rPr>
          <w:rFonts w:hint="eastAsia"/>
          <w:b/>
          <w:sz w:val="24"/>
          <w:szCs w:val="24"/>
        </w:rPr>
        <w:t>十八、双方需要说明的其他事项</w:t>
      </w:r>
    </w:p>
    <w:p w14:paraId="31C61621">
      <w:pPr>
        <w:spacing w:line="360" w:lineRule="auto"/>
        <w:ind w:firstLine="480" w:firstLineChars="200"/>
        <w:rPr>
          <w:rFonts w:ascii="宋体" w:hAnsi="宋体"/>
          <w:sz w:val="24"/>
          <w:szCs w:val="24"/>
        </w:rPr>
      </w:pPr>
      <w:permStart w:id="18" w:edGrp="everyone"/>
      <w:r>
        <w:rPr>
          <w:rFonts w:hint="eastAsia" w:ascii="宋体" w:hAnsi="宋体"/>
          <w:sz w:val="24"/>
          <w:szCs w:val="24"/>
        </w:rPr>
        <w:t>协议内容应符合各方行业的监管要求，若遇国家监管政策调整导致任何一方不能继续履约，合同当事人有权解除或终止协议，且不承担违约或损失赔偿责任等相关条款。</w:t>
      </w:r>
    </w:p>
    <w:p w14:paraId="174BC615">
      <w:pPr>
        <w:spacing w:line="360" w:lineRule="auto"/>
        <w:rPr>
          <w:bCs/>
          <w:sz w:val="24"/>
          <w:szCs w:val="24"/>
          <w:u w:val="single"/>
        </w:rPr>
      </w:pPr>
    </w:p>
    <w:permEnd w:id="18"/>
    <w:p w14:paraId="50FAE227">
      <w:pPr>
        <w:spacing w:line="360" w:lineRule="auto"/>
        <w:outlineLvl w:val="0"/>
        <w:rPr>
          <w:b/>
          <w:bCs/>
          <w:sz w:val="24"/>
          <w:szCs w:val="24"/>
        </w:rPr>
      </w:pPr>
      <w:r>
        <w:rPr>
          <w:rFonts w:hint="eastAsia"/>
          <w:b/>
          <w:bCs/>
          <w:sz w:val="24"/>
          <w:szCs w:val="24"/>
        </w:rPr>
        <w:t>（以下无正文）</w:t>
      </w:r>
    </w:p>
    <w:p w14:paraId="43C2D9CB">
      <w:pPr>
        <w:spacing w:line="360" w:lineRule="auto"/>
        <w:outlineLvl w:val="0"/>
        <w:rPr>
          <w:b/>
          <w:bCs/>
          <w:sz w:val="24"/>
          <w:szCs w:val="24"/>
        </w:rPr>
      </w:pPr>
      <w:permStart w:id="19" w:edGrp="everyone"/>
    </w:p>
    <w:permEnd w:id="19"/>
    <w:p w14:paraId="252A229B">
      <w:pPr>
        <w:spacing w:line="360" w:lineRule="auto"/>
        <w:outlineLvl w:val="0"/>
        <w:rPr>
          <w:b/>
          <w:bCs/>
          <w:sz w:val="24"/>
          <w:szCs w:val="24"/>
        </w:rPr>
      </w:pPr>
    </w:p>
    <w:p w14:paraId="5C7E5053">
      <w:pPr>
        <w:spacing w:line="360" w:lineRule="auto"/>
        <w:outlineLvl w:val="0"/>
        <w:rPr>
          <w:b/>
          <w:bCs/>
          <w:sz w:val="24"/>
          <w:szCs w:val="24"/>
        </w:rPr>
        <w:sectPr>
          <w:type w:val="continuous"/>
          <w:pgSz w:w="11906" w:h="16838"/>
          <w:pgMar w:top="851" w:right="1134" w:bottom="851" w:left="1134" w:header="0" w:footer="567" w:gutter="0"/>
          <w:pgNumType w:fmt="decimal"/>
          <w:cols w:space="425" w:num="1"/>
          <w:docGrid w:linePitch="312" w:charSpace="0"/>
        </w:sectPr>
      </w:pPr>
      <w:r>
        <w:rPr>
          <w:rFonts w:hint="eastAsia"/>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3A6A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tcPr>
          <w:p w14:paraId="74DC6CF2">
            <w:pPr>
              <w:spacing w:line="360" w:lineRule="auto"/>
              <w:rPr>
                <w:rFonts w:ascii="宋体" w:hAnsi="宋体"/>
                <w:sz w:val="24"/>
                <w:szCs w:val="24"/>
              </w:rPr>
            </w:pPr>
            <w:r>
              <w:rPr>
                <w:rFonts w:hint="eastAsia" w:ascii="宋体" w:hAnsi="宋体"/>
                <w:sz w:val="24"/>
                <w:szCs w:val="24"/>
              </w:rPr>
              <w:t>甲方：四川省人民医院</w:t>
            </w:r>
          </w:p>
          <w:p w14:paraId="474C763A">
            <w:pPr>
              <w:spacing w:line="360" w:lineRule="auto"/>
              <w:rPr>
                <w:rFonts w:ascii="宋体" w:hAnsi="宋体"/>
                <w:sz w:val="24"/>
                <w:szCs w:val="24"/>
              </w:rPr>
            </w:pPr>
            <w:r>
              <w:rPr>
                <w:rFonts w:hint="eastAsia" w:ascii="宋体" w:hAnsi="宋体"/>
                <w:sz w:val="24"/>
                <w:szCs w:val="24"/>
              </w:rPr>
              <w:t>法定代表人（授权代表）：</w:t>
            </w:r>
          </w:p>
        </w:tc>
        <w:tc>
          <w:tcPr>
            <w:tcW w:w="4927" w:type="dxa"/>
            <w:vAlign w:val="center"/>
          </w:tcPr>
          <w:p w14:paraId="5B6061B7">
            <w:pPr>
              <w:spacing w:line="360" w:lineRule="auto"/>
              <w:outlineLvl w:val="0"/>
              <w:rPr>
                <w:rFonts w:ascii="宋体" w:hAnsi="宋体"/>
                <w:sz w:val="24"/>
                <w:szCs w:val="24"/>
              </w:rPr>
            </w:pPr>
            <w:r>
              <w:rPr>
                <w:rFonts w:hint="eastAsia" w:ascii="宋体" w:hAnsi="宋体"/>
                <w:sz w:val="24"/>
                <w:szCs w:val="24"/>
              </w:rPr>
              <w:t>乙方：</w:t>
            </w:r>
            <w:permStart w:id="20" w:edGrp="everyone"/>
            <w:r>
              <w:rPr>
                <w:rFonts w:hint="eastAsia" w:ascii="宋体" w:hAnsi="宋体" w:cs="宋体"/>
                <w:color w:val="000000"/>
                <w:kern w:val="0"/>
                <w:sz w:val="24"/>
                <w:szCs w:val="24"/>
              </w:rPr>
              <w:t>中国农业银行股份有限公司成都光华支行</w:t>
            </w:r>
          </w:p>
          <w:permEnd w:id="20"/>
          <w:p w14:paraId="1B9190BC">
            <w:pPr>
              <w:spacing w:line="360" w:lineRule="auto"/>
              <w:outlineLvl w:val="0"/>
              <w:rPr>
                <w:rFonts w:ascii="宋体" w:hAnsi="宋体"/>
                <w:sz w:val="24"/>
                <w:szCs w:val="24"/>
              </w:rPr>
            </w:pPr>
            <w:r>
              <w:rPr>
                <w:rFonts w:hint="eastAsia" w:ascii="宋体" w:hAnsi="宋体"/>
                <w:sz w:val="24"/>
                <w:szCs w:val="24"/>
              </w:rPr>
              <w:t>负责人（授权代表）：</w:t>
            </w:r>
          </w:p>
        </w:tc>
      </w:tr>
      <w:tr w14:paraId="13AD1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8723CB0">
            <w:pPr>
              <w:spacing w:line="360" w:lineRule="auto"/>
              <w:rPr>
                <w:rFonts w:ascii="宋体" w:hAnsi="宋体"/>
                <w:sz w:val="24"/>
                <w:szCs w:val="24"/>
              </w:rPr>
            </w:pPr>
          </w:p>
        </w:tc>
        <w:tc>
          <w:tcPr>
            <w:tcW w:w="4927" w:type="dxa"/>
            <w:vAlign w:val="center"/>
          </w:tcPr>
          <w:p w14:paraId="718EF07F">
            <w:pPr>
              <w:spacing w:line="360" w:lineRule="auto"/>
              <w:outlineLvl w:val="0"/>
              <w:rPr>
                <w:rFonts w:ascii="宋体" w:hAnsi="宋体"/>
                <w:sz w:val="24"/>
                <w:szCs w:val="24"/>
              </w:rPr>
            </w:pPr>
          </w:p>
        </w:tc>
      </w:tr>
      <w:tr w14:paraId="27E8F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2BF8852">
            <w:pPr>
              <w:spacing w:line="360" w:lineRule="auto"/>
              <w:rPr>
                <w:rFonts w:ascii="宋体" w:hAnsi="宋体"/>
                <w:sz w:val="24"/>
                <w:szCs w:val="24"/>
              </w:rPr>
            </w:pPr>
          </w:p>
        </w:tc>
        <w:tc>
          <w:tcPr>
            <w:tcW w:w="4927" w:type="dxa"/>
            <w:vAlign w:val="center"/>
          </w:tcPr>
          <w:p w14:paraId="38DD96A5">
            <w:pPr>
              <w:spacing w:line="360" w:lineRule="auto"/>
              <w:outlineLvl w:val="0"/>
              <w:rPr>
                <w:rFonts w:ascii="宋体" w:hAnsi="宋体"/>
                <w:sz w:val="24"/>
                <w:szCs w:val="24"/>
              </w:rPr>
            </w:pPr>
          </w:p>
        </w:tc>
      </w:tr>
      <w:tr w14:paraId="61F55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07098F4">
            <w:pPr>
              <w:spacing w:line="360" w:lineRule="auto"/>
              <w:rPr>
                <w:rFonts w:ascii="宋体" w:hAnsi="宋体"/>
                <w:sz w:val="24"/>
                <w:szCs w:val="24"/>
              </w:rPr>
            </w:pPr>
            <w:r>
              <w:rPr>
                <w:rFonts w:hint="eastAsia" w:ascii="宋体" w:hAnsi="宋体"/>
                <w:sz w:val="24"/>
                <w:szCs w:val="24"/>
              </w:rPr>
              <w:t>签约日期：  年  月   日</w:t>
            </w:r>
          </w:p>
        </w:tc>
        <w:tc>
          <w:tcPr>
            <w:tcW w:w="4927" w:type="dxa"/>
            <w:vAlign w:val="center"/>
          </w:tcPr>
          <w:p w14:paraId="6AA89F55">
            <w:pPr>
              <w:spacing w:line="360" w:lineRule="auto"/>
              <w:outlineLvl w:val="0"/>
              <w:rPr>
                <w:rFonts w:ascii="宋体" w:hAnsi="宋体"/>
                <w:sz w:val="24"/>
                <w:szCs w:val="24"/>
              </w:rPr>
            </w:pPr>
            <w:r>
              <w:rPr>
                <w:rFonts w:hint="eastAsia" w:ascii="宋体" w:hAnsi="宋体"/>
                <w:sz w:val="24"/>
                <w:szCs w:val="24"/>
              </w:rPr>
              <w:t>签约日期：   年   月   日</w:t>
            </w:r>
          </w:p>
        </w:tc>
      </w:tr>
      <w:tr w14:paraId="0BDD1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D688F0B">
            <w:pPr>
              <w:spacing w:line="360" w:lineRule="auto"/>
              <w:rPr>
                <w:rFonts w:ascii="宋体" w:hAnsi="宋体"/>
                <w:sz w:val="24"/>
                <w:szCs w:val="24"/>
              </w:rPr>
            </w:pPr>
            <w:permStart w:id="21" w:edGrp="everyone"/>
          </w:p>
        </w:tc>
        <w:tc>
          <w:tcPr>
            <w:tcW w:w="4927" w:type="dxa"/>
            <w:vAlign w:val="center"/>
          </w:tcPr>
          <w:p w14:paraId="4F44577C">
            <w:pPr>
              <w:spacing w:line="360" w:lineRule="auto"/>
              <w:outlineLvl w:val="0"/>
              <w:rPr>
                <w:rFonts w:ascii="宋体" w:hAnsi="宋体"/>
                <w:sz w:val="24"/>
                <w:szCs w:val="24"/>
              </w:rPr>
            </w:pPr>
          </w:p>
        </w:tc>
      </w:tr>
      <w:tr w14:paraId="2DB60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C9FBACE">
            <w:pPr>
              <w:spacing w:line="360" w:lineRule="auto"/>
              <w:outlineLvl w:val="0"/>
              <w:rPr>
                <w:rFonts w:ascii="宋体" w:hAnsi="宋体"/>
                <w:sz w:val="24"/>
                <w:szCs w:val="24"/>
              </w:rPr>
            </w:pPr>
            <w:r>
              <w:rPr>
                <w:rFonts w:hint="eastAsia" w:ascii="宋体" w:hAnsi="宋体"/>
                <w:sz w:val="24"/>
                <w:szCs w:val="24"/>
              </w:rPr>
              <w:t xml:space="preserve">丙方： </w:t>
            </w:r>
          </w:p>
          <w:p w14:paraId="56CE4FC5">
            <w:pPr>
              <w:spacing w:line="360" w:lineRule="auto"/>
              <w:outlineLvl w:val="0"/>
              <w:rPr>
                <w:rFonts w:ascii="宋体" w:hAnsi="宋体"/>
                <w:sz w:val="24"/>
                <w:szCs w:val="24"/>
              </w:rPr>
            </w:pPr>
            <w:r>
              <w:rPr>
                <w:rFonts w:hint="eastAsia" w:ascii="宋体" w:hAnsi="宋体"/>
                <w:sz w:val="24"/>
                <w:szCs w:val="24"/>
              </w:rPr>
              <w:t>法定代表人（授权代表）：</w:t>
            </w:r>
          </w:p>
        </w:tc>
        <w:tc>
          <w:tcPr>
            <w:tcW w:w="4927" w:type="dxa"/>
            <w:vAlign w:val="center"/>
          </w:tcPr>
          <w:p w14:paraId="43D717BA">
            <w:pPr>
              <w:spacing w:line="360" w:lineRule="auto"/>
              <w:outlineLvl w:val="0"/>
              <w:rPr>
                <w:rFonts w:ascii="宋体" w:hAnsi="宋体"/>
                <w:sz w:val="24"/>
                <w:szCs w:val="24"/>
              </w:rPr>
            </w:pPr>
          </w:p>
        </w:tc>
      </w:tr>
      <w:tr w14:paraId="22EDE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B6826C5">
            <w:pPr>
              <w:spacing w:line="360" w:lineRule="auto"/>
              <w:outlineLvl w:val="0"/>
              <w:rPr>
                <w:rFonts w:ascii="宋体" w:hAnsi="宋体"/>
                <w:sz w:val="24"/>
                <w:szCs w:val="24"/>
              </w:rPr>
            </w:pPr>
          </w:p>
        </w:tc>
        <w:tc>
          <w:tcPr>
            <w:tcW w:w="4927" w:type="dxa"/>
            <w:vAlign w:val="center"/>
          </w:tcPr>
          <w:p w14:paraId="25A41608">
            <w:pPr>
              <w:spacing w:line="360" w:lineRule="auto"/>
              <w:outlineLvl w:val="0"/>
              <w:rPr>
                <w:rFonts w:ascii="宋体" w:hAnsi="宋体"/>
                <w:sz w:val="24"/>
                <w:szCs w:val="24"/>
              </w:rPr>
            </w:pPr>
          </w:p>
        </w:tc>
      </w:tr>
      <w:tr w14:paraId="769B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1C08EDA5">
            <w:pPr>
              <w:spacing w:line="360" w:lineRule="auto"/>
              <w:outlineLvl w:val="0"/>
              <w:rPr>
                <w:rFonts w:ascii="宋体" w:hAnsi="宋体"/>
                <w:sz w:val="24"/>
                <w:szCs w:val="24"/>
              </w:rPr>
            </w:pPr>
          </w:p>
        </w:tc>
        <w:tc>
          <w:tcPr>
            <w:tcW w:w="4927" w:type="dxa"/>
            <w:vAlign w:val="center"/>
          </w:tcPr>
          <w:p w14:paraId="1D919F5F">
            <w:pPr>
              <w:spacing w:line="360" w:lineRule="auto"/>
              <w:outlineLvl w:val="0"/>
              <w:rPr>
                <w:rFonts w:ascii="宋体" w:hAnsi="宋体"/>
                <w:sz w:val="24"/>
                <w:szCs w:val="24"/>
              </w:rPr>
            </w:pPr>
          </w:p>
        </w:tc>
      </w:tr>
      <w:tr w14:paraId="7B55F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FC0D37A">
            <w:pPr>
              <w:spacing w:line="360" w:lineRule="auto"/>
              <w:outlineLvl w:val="0"/>
              <w:rPr>
                <w:rFonts w:ascii="宋体" w:hAnsi="宋体"/>
                <w:sz w:val="24"/>
                <w:szCs w:val="24"/>
              </w:rPr>
            </w:pPr>
            <w:r>
              <w:rPr>
                <w:rFonts w:hint="eastAsia" w:ascii="宋体" w:hAnsi="宋体"/>
                <w:sz w:val="24"/>
                <w:szCs w:val="24"/>
              </w:rPr>
              <w:t>签约日期：   年   月   日</w:t>
            </w:r>
          </w:p>
        </w:tc>
        <w:tc>
          <w:tcPr>
            <w:tcW w:w="4927" w:type="dxa"/>
            <w:vAlign w:val="center"/>
          </w:tcPr>
          <w:p w14:paraId="337DC75D">
            <w:pPr>
              <w:spacing w:line="360" w:lineRule="auto"/>
              <w:outlineLvl w:val="0"/>
              <w:rPr>
                <w:rFonts w:ascii="宋体" w:hAnsi="宋体"/>
                <w:sz w:val="24"/>
                <w:szCs w:val="24"/>
              </w:rPr>
            </w:pPr>
          </w:p>
        </w:tc>
      </w:tr>
      <w:permEnd w:id="21"/>
    </w:tbl>
    <w:p w14:paraId="2D17D5B1">
      <w:r>
        <w:rPr>
          <w:rFonts w:ascii="华文中宋" w:hAnsi="华文中宋" w:eastAsia="华文中宋"/>
          <w:sz w:val="24"/>
          <w:szCs w:val="24"/>
        </w:rPr>
        <w:br w:type="page"/>
      </w:r>
    </w:p>
    <w:p w14:paraId="066DAC9D">
      <w:pPr>
        <w:spacing w:line="460" w:lineRule="exact"/>
        <w:outlineLvl w:val="0"/>
        <w:rPr>
          <w:rFonts w:ascii="华文中宋" w:hAnsi="华文中宋" w:eastAsia="华文中宋"/>
          <w:sz w:val="24"/>
          <w:szCs w:val="24"/>
        </w:rPr>
      </w:pPr>
      <w:r>
        <w:rPr>
          <w:rFonts w:hint="eastAsia" w:ascii="华文中宋" w:hAnsi="华文中宋" w:eastAsia="华文中宋"/>
          <w:sz w:val="24"/>
          <w:szCs w:val="24"/>
        </w:rPr>
        <w:t>附件：</w:t>
      </w:r>
    </w:p>
    <w:p w14:paraId="3883B730">
      <w:pPr>
        <w:spacing w:line="460" w:lineRule="exact"/>
        <w:outlineLvl w:val="0"/>
        <w:rPr>
          <w:rFonts w:ascii="华文中宋" w:hAnsi="华文中宋" w:eastAsia="华文中宋"/>
          <w:sz w:val="24"/>
          <w:szCs w:val="24"/>
        </w:rPr>
      </w:pPr>
    </w:p>
    <w:p w14:paraId="30177019">
      <w:pPr>
        <w:spacing w:line="460" w:lineRule="exact"/>
        <w:outlineLvl w:val="0"/>
        <w:rPr>
          <w:rFonts w:ascii="华文中宋" w:hAnsi="华文中宋" w:eastAsia="华文中宋"/>
          <w:sz w:val="24"/>
          <w:szCs w:val="24"/>
        </w:rPr>
      </w:pPr>
    </w:p>
    <w:p w14:paraId="1AB8BC7B">
      <w:pPr>
        <w:rPr>
          <w:rFonts w:ascii="Times New Roman" w:hAnsi="Times New Roman" w:cs="Times New Roman"/>
          <w:b/>
          <w:bCs/>
          <w:sz w:val="44"/>
          <w:szCs w:val="52"/>
        </w:rPr>
      </w:pPr>
    </w:p>
    <w:p w14:paraId="0CA01D3C">
      <w:pPr>
        <w:rPr>
          <w:rFonts w:ascii="Times New Roman" w:hAnsi="Times New Roman" w:cs="Times New Roman"/>
          <w:b/>
          <w:bCs/>
          <w:sz w:val="44"/>
          <w:szCs w:val="52"/>
        </w:rPr>
      </w:pPr>
      <w:r>
        <w:rPr>
          <w:rFonts w:ascii="Times New Roman" w:hAnsi="Times New Roman" w:cs="Times New Roman"/>
          <w:b/>
          <w:bCs/>
          <w:sz w:val="44"/>
          <w:szCs w:val="52"/>
        </w:rPr>
        <w:br w:type="page"/>
      </w:r>
    </w:p>
    <w:p w14:paraId="758E30D4">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6AF43165">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3517DD9D">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6F9D957E">
      <w:pPr>
        <w:ind w:firstLine="560" w:firstLineChars="200"/>
        <w:rPr>
          <w:rFonts w:ascii="Times New Roman" w:hAnsi="Times New Roman" w:eastAsia="仿宋" w:cs="Times New Roman"/>
          <w:sz w:val="28"/>
          <w:szCs w:val="28"/>
        </w:rPr>
      </w:pPr>
    </w:p>
    <w:p w14:paraId="0B7CEB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预防医药购销领域不正之风</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我院与供应商签订如下协议</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共同遵守</w:t>
      </w:r>
      <w:r>
        <w:rPr>
          <w:rFonts w:hint="eastAsia" w:ascii="Times New Roman" w:hAnsi="Times New Roman" w:eastAsia="仿宋" w:cs="Times New Roman"/>
          <w:sz w:val="28"/>
          <w:szCs w:val="28"/>
          <w:lang w:eastAsia="zh-CN"/>
        </w:rPr>
        <w:t>：</w:t>
      </w:r>
    </w:p>
    <w:p w14:paraId="5258CB7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一经查实</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按有关规定严肃处理并追究相关人员责任。</w:t>
      </w:r>
    </w:p>
    <w:p w14:paraId="50804A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归口管理部门、供应商、招标采购中心各执一份。</w:t>
      </w:r>
    </w:p>
    <w:p w14:paraId="22FF060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2C979A6E">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4F0C3DE9">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3AFE638">
      <w:pPr>
        <w:ind w:firstLine="560" w:firstLineChars="200"/>
        <w:rPr>
          <w:rFonts w:ascii="Times New Roman" w:hAnsi="Times New Roman" w:eastAsia="仿宋" w:cs="Times New Roman"/>
          <w:sz w:val="28"/>
          <w:szCs w:val="28"/>
        </w:rPr>
      </w:pPr>
    </w:p>
    <w:p w14:paraId="2E1FAC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 xml:space="preserve">        乙方：   供应单位</w:t>
      </w:r>
      <w:r>
        <w:rPr>
          <w:rFonts w:hint="eastAsia" w:ascii="Times New Roman" w:hAnsi="Times New Roman" w:eastAsia="仿宋" w:cs="Times New Roman"/>
          <w:sz w:val="28"/>
          <w:szCs w:val="28"/>
          <w:lang w:eastAsia="zh-CN"/>
        </w:rPr>
        <w:t>（</w:t>
      </w:r>
      <w:r>
        <w:rPr>
          <w:rFonts w:ascii="Times New Roman" w:hAnsi="Times New Roman" w:eastAsia="仿宋" w:cs="Times New Roman"/>
          <w:sz w:val="28"/>
          <w:szCs w:val="28"/>
        </w:rPr>
        <w:t>盖章</w:t>
      </w:r>
      <w:r>
        <w:rPr>
          <w:rFonts w:hint="eastAsia" w:ascii="Times New Roman" w:hAnsi="Times New Roman" w:eastAsia="仿宋" w:cs="Times New Roman"/>
          <w:sz w:val="28"/>
          <w:szCs w:val="28"/>
          <w:lang w:eastAsia="zh-CN"/>
        </w:rPr>
        <w:t>）</w:t>
      </w:r>
    </w:p>
    <w:p w14:paraId="10206FD8">
      <w:pPr>
        <w:ind w:firstLine="560" w:firstLineChars="200"/>
        <w:rPr>
          <w:rFonts w:ascii="Times New Roman" w:hAnsi="Times New Roman" w:eastAsia="仿宋" w:cs="Times New Roman"/>
          <w:sz w:val="28"/>
          <w:szCs w:val="28"/>
        </w:rPr>
      </w:pPr>
    </w:p>
    <w:p w14:paraId="476F5B5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r>
        <w:rPr>
          <w:rFonts w:hint="eastAsia" w:ascii="Times New Roman" w:hAnsi="Times New Roman" w:eastAsia="仿宋" w:cs="Times New Roman"/>
          <w:sz w:val="28"/>
          <w:szCs w:val="28"/>
          <w:lang w:eastAsia="zh-CN"/>
        </w:rPr>
        <w:t>：</w:t>
      </w:r>
    </w:p>
    <w:p w14:paraId="16107A24">
      <w:pPr>
        <w:ind w:firstLine="4200" w:firstLineChars="1500"/>
        <w:rPr>
          <w:rFonts w:ascii="Times New Roman" w:hAnsi="Times New Roman" w:eastAsia="仿宋" w:cs="Times New Roman"/>
          <w:sz w:val="28"/>
          <w:szCs w:val="28"/>
        </w:rPr>
      </w:pPr>
    </w:p>
    <w:p w14:paraId="112A86E1">
      <w:pPr>
        <w:jc w:val="right"/>
        <w:rPr>
          <w:rStyle w:val="33"/>
          <w:rFonts w:ascii="Times New Roman" w:hAnsi="Times New Roman" w:eastAsia="宋体" w:cs="Times New Roman"/>
          <w:b/>
          <w:bCs/>
          <w:sz w:val="32"/>
          <w:szCs w:val="32"/>
        </w:rPr>
      </w:pPr>
      <w:r>
        <w:rPr>
          <w:rFonts w:ascii="Times New Roman" w:hAnsi="Times New Roman" w:cs="Times New Roman"/>
        </w:rPr>
        <w:t>年   月   日</w:t>
      </w:r>
    </w:p>
    <w:p w14:paraId="27852A60">
      <w:pPr>
        <w:pStyle w:val="26"/>
        <w:rPr>
          <w:rFonts w:ascii="Times New Roman" w:hAnsi="Times New Roman"/>
        </w:rPr>
      </w:pPr>
    </w:p>
    <w:sectPr>
      <w:footerReference r:id="rId10"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1E96C5C-AC3D-44B9-8AC4-A2B71763D7A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E3CACA60-A5AA-439A-8308-479EB76F596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F38DB803-4782-4E69-A18F-002B8FEB906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7408ABB-A24A-4FF0-81D8-41E78F5460AF}"/>
  </w:font>
  <w:font w:name="Segoe UI Symbol">
    <w:panose1 w:val="020B0502040204020203"/>
    <w:charset w:val="00"/>
    <w:family w:val="swiss"/>
    <w:pitch w:val="default"/>
    <w:sig w:usb0="800001E3" w:usb1="1200FFEF" w:usb2="00040000" w:usb3="04000000" w:csb0="00000001" w:csb1="40000000"/>
    <w:embedRegular r:id="rId5" w:fontKey="{8E748BAB-302D-47A7-B51E-0E8F4C9CD02A}"/>
  </w:font>
  <w:font w:name="方正小标宋_GBK">
    <w:panose1 w:val="02000000000000000000"/>
    <w:charset w:val="86"/>
    <w:family w:val="script"/>
    <w:pitch w:val="default"/>
    <w:sig w:usb0="A00002BF" w:usb1="38CF7CFA" w:usb2="00082016" w:usb3="00000000" w:csb0="00040001" w:csb1="00000000"/>
    <w:embedRegular r:id="rId6" w:fontKey="{5FEE28DF-E720-4F27-B946-9EEB4C71D2C8}"/>
  </w:font>
  <w:font w:name="Tahoma">
    <w:panose1 w:val="020B0604030504040204"/>
    <w:charset w:val="00"/>
    <w:family w:val="swiss"/>
    <w:pitch w:val="default"/>
    <w:sig w:usb0="E1002EFF" w:usb1="C000605B" w:usb2="00000029" w:usb3="00000000" w:csb0="200101FF" w:csb1="20280000"/>
    <w:embedRegular r:id="rId7" w:fontKey="{A181A093-A8EE-4048-95F9-58B072F5D787}"/>
  </w:font>
  <w:font w:name="华文中宋">
    <w:panose1 w:val="02010600040101010101"/>
    <w:charset w:val="86"/>
    <w:family w:val="auto"/>
    <w:pitch w:val="default"/>
    <w:sig w:usb0="00000287" w:usb1="080F0000" w:usb2="00000000" w:usb3="00000000" w:csb0="0004009F" w:csb1="DFD70000"/>
    <w:embedRegular r:id="rId8" w:fontKey="{0E537F44-C1ED-403B-ABC3-A50209862FCF}"/>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FEA87">
    <w:pPr>
      <w:pStyle w:val="11"/>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5B1B1">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2A5B1B1">
                    <w:pPr>
                      <w:pStyle w:val="11"/>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30723">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14:paraId="58058E33">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EF7517">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35496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835496C">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52</w:t>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C37D0">
                          <w:pPr>
                            <w:pStyle w:val="11"/>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52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5EC37D0">
                    <w:pPr>
                      <w:pStyle w:val="11"/>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52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72ECE5A"/>
    <w:multiLevelType w:val="singleLevel"/>
    <w:tmpl w:val="372ECE5A"/>
    <w:lvl w:ilvl="0" w:tentative="0">
      <w:start w:val="7"/>
      <w:numFmt w:val="chineseCounting"/>
      <w:suff w:val="nothing"/>
      <w:lvlText w:val="%1、"/>
      <w:lvlJc w:val="left"/>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4">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3"/>
  </w:num>
  <w:num w:numId="3">
    <w:abstractNumId w:val="10"/>
  </w:num>
  <w:num w:numId="4">
    <w:abstractNumId w:val="13"/>
  </w:num>
  <w:num w:numId="5">
    <w:abstractNumId w:val="6"/>
  </w:num>
  <w:num w:numId="6">
    <w:abstractNumId w:val="9"/>
  </w:num>
  <w:num w:numId="7">
    <w:abstractNumId w:val="2"/>
  </w:num>
  <w:num w:numId="8">
    <w:abstractNumId w:val="1"/>
  </w:num>
  <w:num w:numId="9">
    <w:abstractNumId w:val="0"/>
  </w:num>
  <w:num w:numId="10">
    <w:abstractNumId w:val="4"/>
  </w:num>
  <w:num w:numId="11">
    <w:abstractNumId w:val="8"/>
  </w:num>
  <w:num w:numId="12">
    <w:abstractNumId w:val="5"/>
  </w:num>
  <w:num w:numId="13">
    <w:abstractNumId w:val="11"/>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47BA4"/>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16B70"/>
    <w:rsid w:val="00D40B0D"/>
    <w:rsid w:val="00D53AD1"/>
    <w:rsid w:val="00D540D3"/>
    <w:rsid w:val="00D61E8F"/>
    <w:rsid w:val="00D644BF"/>
    <w:rsid w:val="00D66A6D"/>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3F73DE"/>
    <w:rsid w:val="0168325F"/>
    <w:rsid w:val="018A71EC"/>
    <w:rsid w:val="01A1683A"/>
    <w:rsid w:val="01AA7D1B"/>
    <w:rsid w:val="01AC5842"/>
    <w:rsid w:val="01D50A7C"/>
    <w:rsid w:val="01EA636A"/>
    <w:rsid w:val="01FF7230"/>
    <w:rsid w:val="024C0DD3"/>
    <w:rsid w:val="02785724"/>
    <w:rsid w:val="02BC3862"/>
    <w:rsid w:val="03600692"/>
    <w:rsid w:val="03D1158F"/>
    <w:rsid w:val="041F679F"/>
    <w:rsid w:val="047B1719"/>
    <w:rsid w:val="058C78B0"/>
    <w:rsid w:val="05E13064"/>
    <w:rsid w:val="05E51322"/>
    <w:rsid w:val="064E21DF"/>
    <w:rsid w:val="065D35AE"/>
    <w:rsid w:val="06897EFF"/>
    <w:rsid w:val="068B6AFF"/>
    <w:rsid w:val="06D00722"/>
    <w:rsid w:val="06E72E78"/>
    <w:rsid w:val="07603356"/>
    <w:rsid w:val="078A573C"/>
    <w:rsid w:val="07ED4D36"/>
    <w:rsid w:val="082425D6"/>
    <w:rsid w:val="083251D0"/>
    <w:rsid w:val="08326375"/>
    <w:rsid w:val="0837398B"/>
    <w:rsid w:val="083A1BBD"/>
    <w:rsid w:val="086504F8"/>
    <w:rsid w:val="08745B19"/>
    <w:rsid w:val="087B7477"/>
    <w:rsid w:val="08C96CD9"/>
    <w:rsid w:val="08EE39BE"/>
    <w:rsid w:val="09265ED9"/>
    <w:rsid w:val="093A3733"/>
    <w:rsid w:val="096D1D5A"/>
    <w:rsid w:val="09834392"/>
    <w:rsid w:val="0A220AAD"/>
    <w:rsid w:val="0A5151D8"/>
    <w:rsid w:val="0A726EFC"/>
    <w:rsid w:val="0A7E5254"/>
    <w:rsid w:val="0AC92FC0"/>
    <w:rsid w:val="0AE37FA3"/>
    <w:rsid w:val="0B0373BC"/>
    <w:rsid w:val="0B4508AE"/>
    <w:rsid w:val="0B4B7E79"/>
    <w:rsid w:val="0C120997"/>
    <w:rsid w:val="0C774C9E"/>
    <w:rsid w:val="0C965124"/>
    <w:rsid w:val="0CF161C9"/>
    <w:rsid w:val="0D26294C"/>
    <w:rsid w:val="0D3B3F1D"/>
    <w:rsid w:val="0D5C636E"/>
    <w:rsid w:val="0D7D4536"/>
    <w:rsid w:val="0DF742E8"/>
    <w:rsid w:val="0E0B7FF0"/>
    <w:rsid w:val="0E5B6625"/>
    <w:rsid w:val="0E7C47EE"/>
    <w:rsid w:val="0E963B01"/>
    <w:rsid w:val="0EAC189D"/>
    <w:rsid w:val="0EE83C31"/>
    <w:rsid w:val="0EF6634E"/>
    <w:rsid w:val="0F5D2ECD"/>
    <w:rsid w:val="0FC14BAE"/>
    <w:rsid w:val="0FC4644C"/>
    <w:rsid w:val="0FD84645"/>
    <w:rsid w:val="101A497B"/>
    <w:rsid w:val="10432B4B"/>
    <w:rsid w:val="108F25B6"/>
    <w:rsid w:val="10902B48"/>
    <w:rsid w:val="10A15B58"/>
    <w:rsid w:val="110E1F50"/>
    <w:rsid w:val="11254CC9"/>
    <w:rsid w:val="114E2471"/>
    <w:rsid w:val="117A5014"/>
    <w:rsid w:val="1191235E"/>
    <w:rsid w:val="11B24A81"/>
    <w:rsid w:val="11F320DD"/>
    <w:rsid w:val="127F05A0"/>
    <w:rsid w:val="1299771C"/>
    <w:rsid w:val="12BC165D"/>
    <w:rsid w:val="12D469A6"/>
    <w:rsid w:val="130D37E5"/>
    <w:rsid w:val="132C0590"/>
    <w:rsid w:val="134E49AB"/>
    <w:rsid w:val="136D78F8"/>
    <w:rsid w:val="13806B2E"/>
    <w:rsid w:val="13AC16D1"/>
    <w:rsid w:val="13C91F5A"/>
    <w:rsid w:val="13EC7EEC"/>
    <w:rsid w:val="14221993"/>
    <w:rsid w:val="144B0EEA"/>
    <w:rsid w:val="14A32AD4"/>
    <w:rsid w:val="14E47DD6"/>
    <w:rsid w:val="154D2A40"/>
    <w:rsid w:val="15567E5A"/>
    <w:rsid w:val="15CC4977"/>
    <w:rsid w:val="16004EE4"/>
    <w:rsid w:val="16077093"/>
    <w:rsid w:val="162A4F7D"/>
    <w:rsid w:val="164E6403"/>
    <w:rsid w:val="16A82A66"/>
    <w:rsid w:val="16DE614F"/>
    <w:rsid w:val="17233056"/>
    <w:rsid w:val="17826121"/>
    <w:rsid w:val="17F77304"/>
    <w:rsid w:val="18316649"/>
    <w:rsid w:val="18564418"/>
    <w:rsid w:val="18AB1F57"/>
    <w:rsid w:val="18D70F9E"/>
    <w:rsid w:val="18E216F1"/>
    <w:rsid w:val="1954595C"/>
    <w:rsid w:val="19946E8F"/>
    <w:rsid w:val="1994787E"/>
    <w:rsid w:val="1A2C531A"/>
    <w:rsid w:val="1A6A7BF0"/>
    <w:rsid w:val="1A6C5716"/>
    <w:rsid w:val="1A82318C"/>
    <w:rsid w:val="1ABC044C"/>
    <w:rsid w:val="1AC9700C"/>
    <w:rsid w:val="1B0B27A2"/>
    <w:rsid w:val="1B0B5DE4"/>
    <w:rsid w:val="1B3A28C7"/>
    <w:rsid w:val="1B540E52"/>
    <w:rsid w:val="1B5543FC"/>
    <w:rsid w:val="1B634D6B"/>
    <w:rsid w:val="1B642891"/>
    <w:rsid w:val="1B6E4200"/>
    <w:rsid w:val="1BC9751D"/>
    <w:rsid w:val="1C625023"/>
    <w:rsid w:val="1C746B04"/>
    <w:rsid w:val="1CD81789"/>
    <w:rsid w:val="1D2821E4"/>
    <w:rsid w:val="1DC35F95"/>
    <w:rsid w:val="1DD000AF"/>
    <w:rsid w:val="1E09745A"/>
    <w:rsid w:val="1E0D2131"/>
    <w:rsid w:val="1E114F52"/>
    <w:rsid w:val="1E176351"/>
    <w:rsid w:val="1EB15DEE"/>
    <w:rsid w:val="1EB663BA"/>
    <w:rsid w:val="1ECD615C"/>
    <w:rsid w:val="1FE21EC2"/>
    <w:rsid w:val="1FF95C9E"/>
    <w:rsid w:val="205729C5"/>
    <w:rsid w:val="209239FD"/>
    <w:rsid w:val="20CF13CE"/>
    <w:rsid w:val="20D14525"/>
    <w:rsid w:val="215D225D"/>
    <w:rsid w:val="21B53E47"/>
    <w:rsid w:val="21CD2F3E"/>
    <w:rsid w:val="22935D1D"/>
    <w:rsid w:val="23215EE6"/>
    <w:rsid w:val="23563407"/>
    <w:rsid w:val="235975E1"/>
    <w:rsid w:val="2393373D"/>
    <w:rsid w:val="23B24AE2"/>
    <w:rsid w:val="23D4489F"/>
    <w:rsid w:val="23D83E1C"/>
    <w:rsid w:val="24466FD8"/>
    <w:rsid w:val="24727DCD"/>
    <w:rsid w:val="252B6033"/>
    <w:rsid w:val="25537BFE"/>
    <w:rsid w:val="25F95EEC"/>
    <w:rsid w:val="260C1BBD"/>
    <w:rsid w:val="261B6D15"/>
    <w:rsid w:val="262001B9"/>
    <w:rsid w:val="26431A21"/>
    <w:rsid w:val="264F486A"/>
    <w:rsid w:val="268F1252"/>
    <w:rsid w:val="26AF46EB"/>
    <w:rsid w:val="271635BC"/>
    <w:rsid w:val="27B87AF9"/>
    <w:rsid w:val="27D668C5"/>
    <w:rsid w:val="27DA0163"/>
    <w:rsid w:val="27E80EA9"/>
    <w:rsid w:val="280414A1"/>
    <w:rsid w:val="2849353B"/>
    <w:rsid w:val="28570368"/>
    <w:rsid w:val="28991DCC"/>
    <w:rsid w:val="28A27020"/>
    <w:rsid w:val="28D15A45"/>
    <w:rsid w:val="28E14F1E"/>
    <w:rsid w:val="294A30C6"/>
    <w:rsid w:val="29C5318E"/>
    <w:rsid w:val="29EE4BD1"/>
    <w:rsid w:val="29FF65A7"/>
    <w:rsid w:val="2A142F93"/>
    <w:rsid w:val="2A3A76D6"/>
    <w:rsid w:val="2A6D7434"/>
    <w:rsid w:val="2AC86999"/>
    <w:rsid w:val="2B502F98"/>
    <w:rsid w:val="2BE05F64"/>
    <w:rsid w:val="2C2B5831"/>
    <w:rsid w:val="2C9A0A9E"/>
    <w:rsid w:val="2CF577ED"/>
    <w:rsid w:val="2D2F2FAF"/>
    <w:rsid w:val="2D502C75"/>
    <w:rsid w:val="2DA70D65"/>
    <w:rsid w:val="2DBC4548"/>
    <w:rsid w:val="2E1A575D"/>
    <w:rsid w:val="2E3D31FA"/>
    <w:rsid w:val="2E693FEF"/>
    <w:rsid w:val="2E9C2616"/>
    <w:rsid w:val="2F5702EB"/>
    <w:rsid w:val="2F575E37"/>
    <w:rsid w:val="2F9B28CE"/>
    <w:rsid w:val="2FEF6776"/>
    <w:rsid w:val="30136908"/>
    <w:rsid w:val="301F52AD"/>
    <w:rsid w:val="30383311"/>
    <w:rsid w:val="306623EF"/>
    <w:rsid w:val="30B874AF"/>
    <w:rsid w:val="30BA4FD6"/>
    <w:rsid w:val="30C65728"/>
    <w:rsid w:val="30E31FB7"/>
    <w:rsid w:val="31047F66"/>
    <w:rsid w:val="31322DBE"/>
    <w:rsid w:val="316E47AA"/>
    <w:rsid w:val="31C53C32"/>
    <w:rsid w:val="31E5172B"/>
    <w:rsid w:val="32165D3B"/>
    <w:rsid w:val="324C0A51"/>
    <w:rsid w:val="325356E2"/>
    <w:rsid w:val="328A6C2A"/>
    <w:rsid w:val="33226E62"/>
    <w:rsid w:val="332B5D17"/>
    <w:rsid w:val="333F7A14"/>
    <w:rsid w:val="33DC5263"/>
    <w:rsid w:val="33F13B8B"/>
    <w:rsid w:val="33F46A50"/>
    <w:rsid w:val="3427766B"/>
    <w:rsid w:val="343706EB"/>
    <w:rsid w:val="34830DA6"/>
    <w:rsid w:val="350E769E"/>
    <w:rsid w:val="351A08D0"/>
    <w:rsid w:val="35805CB0"/>
    <w:rsid w:val="35876F78"/>
    <w:rsid w:val="35A41DB0"/>
    <w:rsid w:val="35BC70FA"/>
    <w:rsid w:val="35ED3757"/>
    <w:rsid w:val="36050AA1"/>
    <w:rsid w:val="36334CE5"/>
    <w:rsid w:val="36725F80"/>
    <w:rsid w:val="368044CF"/>
    <w:rsid w:val="3701395E"/>
    <w:rsid w:val="3764646E"/>
    <w:rsid w:val="37712166"/>
    <w:rsid w:val="3775603C"/>
    <w:rsid w:val="37920A5A"/>
    <w:rsid w:val="37BE35FD"/>
    <w:rsid w:val="37DB0DFB"/>
    <w:rsid w:val="380A6843"/>
    <w:rsid w:val="382B5F8F"/>
    <w:rsid w:val="390F7E89"/>
    <w:rsid w:val="391E6AEA"/>
    <w:rsid w:val="39A131D7"/>
    <w:rsid w:val="39D013C6"/>
    <w:rsid w:val="3A3F1B1E"/>
    <w:rsid w:val="3A551407"/>
    <w:rsid w:val="3A5C30AC"/>
    <w:rsid w:val="3B033C36"/>
    <w:rsid w:val="3B404329"/>
    <w:rsid w:val="3B7261A2"/>
    <w:rsid w:val="3B7D732B"/>
    <w:rsid w:val="3B9C7486"/>
    <w:rsid w:val="3BAC7C11"/>
    <w:rsid w:val="3BC46D08"/>
    <w:rsid w:val="3C1108C0"/>
    <w:rsid w:val="3C333E8E"/>
    <w:rsid w:val="3C836B12"/>
    <w:rsid w:val="3C8A61A4"/>
    <w:rsid w:val="3CE05DC4"/>
    <w:rsid w:val="3CEE6201"/>
    <w:rsid w:val="3D385C00"/>
    <w:rsid w:val="3D9A7112"/>
    <w:rsid w:val="3DBF7BA4"/>
    <w:rsid w:val="3E0B066F"/>
    <w:rsid w:val="3E57579A"/>
    <w:rsid w:val="3E5D4E8E"/>
    <w:rsid w:val="3E614CE2"/>
    <w:rsid w:val="3EF618CF"/>
    <w:rsid w:val="3F3319F9"/>
    <w:rsid w:val="3FCB2D5B"/>
    <w:rsid w:val="3FDC5B67"/>
    <w:rsid w:val="3FE25336"/>
    <w:rsid w:val="4034372C"/>
    <w:rsid w:val="407F6468"/>
    <w:rsid w:val="40866C82"/>
    <w:rsid w:val="40923879"/>
    <w:rsid w:val="40C31C84"/>
    <w:rsid w:val="41076015"/>
    <w:rsid w:val="412B15D8"/>
    <w:rsid w:val="416F3BBA"/>
    <w:rsid w:val="42075FF8"/>
    <w:rsid w:val="422C3859"/>
    <w:rsid w:val="42842020"/>
    <w:rsid w:val="42876CE2"/>
    <w:rsid w:val="42A94EAA"/>
    <w:rsid w:val="43A062AD"/>
    <w:rsid w:val="43C27FD1"/>
    <w:rsid w:val="44150A49"/>
    <w:rsid w:val="443469F5"/>
    <w:rsid w:val="444340B2"/>
    <w:rsid w:val="445C40CF"/>
    <w:rsid w:val="44E81B7F"/>
    <w:rsid w:val="4513485D"/>
    <w:rsid w:val="454D7D6F"/>
    <w:rsid w:val="458E3CF0"/>
    <w:rsid w:val="468567BB"/>
    <w:rsid w:val="46A114CB"/>
    <w:rsid w:val="4734568A"/>
    <w:rsid w:val="47552708"/>
    <w:rsid w:val="476475F1"/>
    <w:rsid w:val="4782487D"/>
    <w:rsid w:val="47B71E17"/>
    <w:rsid w:val="47C36A0E"/>
    <w:rsid w:val="49137521"/>
    <w:rsid w:val="491B667E"/>
    <w:rsid w:val="49A10689"/>
    <w:rsid w:val="49A455B6"/>
    <w:rsid w:val="49D56585"/>
    <w:rsid w:val="49FC25C6"/>
    <w:rsid w:val="4A475610"/>
    <w:rsid w:val="4A484FA8"/>
    <w:rsid w:val="4ABD5996"/>
    <w:rsid w:val="4AD625B4"/>
    <w:rsid w:val="4B31068E"/>
    <w:rsid w:val="4B410375"/>
    <w:rsid w:val="4BA55220"/>
    <w:rsid w:val="4BAD0151"/>
    <w:rsid w:val="4BCA036B"/>
    <w:rsid w:val="4BCF3BD3"/>
    <w:rsid w:val="4BF453E8"/>
    <w:rsid w:val="4C184E09"/>
    <w:rsid w:val="4C2757BD"/>
    <w:rsid w:val="4C3C28EB"/>
    <w:rsid w:val="4C7E73A7"/>
    <w:rsid w:val="4C7F7227"/>
    <w:rsid w:val="4C8F75A2"/>
    <w:rsid w:val="4C932747"/>
    <w:rsid w:val="4D53613E"/>
    <w:rsid w:val="4DAD4403"/>
    <w:rsid w:val="4E6F0D56"/>
    <w:rsid w:val="4E79115D"/>
    <w:rsid w:val="4E8C008E"/>
    <w:rsid w:val="4EA312FE"/>
    <w:rsid w:val="4ED24BC6"/>
    <w:rsid w:val="4EDC5ADC"/>
    <w:rsid w:val="4EE002CE"/>
    <w:rsid w:val="4EF15C0F"/>
    <w:rsid w:val="4F563CC4"/>
    <w:rsid w:val="4FEF758C"/>
    <w:rsid w:val="501A6E72"/>
    <w:rsid w:val="501C4F0D"/>
    <w:rsid w:val="50201D6B"/>
    <w:rsid w:val="505A492D"/>
    <w:rsid w:val="50771A9C"/>
    <w:rsid w:val="50903205"/>
    <w:rsid w:val="517B5A7B"/>
    <w:rsid w:val="51907961"/>
    <w:rsid w:val="51C47F6D"/>
    <w:rsid w:val="52B256B5"/>
    <w:rsid w:val="52FB52AE"/>
    <w:rsid w:val="53990623"/>
    <w:rsid w:val="53C81DDC"/>
    <w:rsid w:val="54063F0A"/>
    <w:rsid w:val="5455382C"/>
    <w:rsid w:val="547F7727"/>
    <w:rsid w:val="551C55B1"/>
    <w:rsid w:val="552C0EDB"/>
    <w:rsid w:val="55342CF9"/>
    <w:rsid w:val="554674F7"/>
    <w:rsid w:val="556E259A"/>
    <w:rsid w:val="55860208"/>
    <w:rsid w:val="55A35789"/>
    <w:rsid w:val="55C51BA3"/>
    <w:rsid w:val="560662B2"/>
    <w:rsid w:val="56133344"/>
    <w:rsid w:val="56CF2CD9"/>
    <w:rsid w:val="57F66044"/>
    <w:rsid w:val="5878114F"/>
    <w:rsid w:val="589C07F4"/>
    <w:rsid w:val="58BF645E"/>
    <w:rsid w:val="58DF1D46"/>
    <w:rsid w:val="59357973"/>
    <w:rsid w:val="59441031"/>
    <w:rsid w:val="595C45CC"/>
    <w:rsid w:val="59965D30"/>
    <w:rsid w:val="59B447B9"/>
    <w:rsid w:val="59CC1752"/>
    <w:rsid w:val="59F36487"/>
    <w:rsid w:val="5A1D1FAE"/>
    <w:rsid w:val="5A237A7B"/>
    <w:rsid w:val="5A2B5C4C"/>
    <w:rsid w:val="5A6307F6"/>
    <w:rsid w:val="5AA47FD9"/>
    <w:rsid w:val="5AB729BD"/>
    <w:rsid w:val="5AE76118"/>
    <w:rsid w:val="5B2D4374"/>
    <w:rsid w:val="5B6B4F9B"/>
    <w:rsid w:val="5BA529F7"/>
    <w:rsid w:val="5C205D85"/>
    <w:rsid w:val="5C335AD2"/>
    <w:rsid w:val="5C6043D4"/>
    <w:rsid w:val="5D0A3490"/>
    <w:rsid w:val="5D551A5E"/>
    <w:rsid w:val="5D7E0D39"/>
    <w:rsid w:val="5D8F6D1E"/>
    <w:rsid w:val="5DDF2DD1"/>
    <w:rsid w:val="5DE057CC"/>
    <w:rsid w:val="5E2E5CB0"/>
    <w:rsid w:val="5E490A40"/>
    <w:rsid w:val="5E9D3F29"/>
    <w:rsid w:val="5EDF45D6"/>
    <w:rsid w:val="5F353859"/>
    <w:rsid w:val="5F64242D"/>
    <w:rsid w:val="5F7E529D"/>
    <w:rsid w:val="5FB63195"/>
    <w:rsid w:val="60384CD1"/>
    <w:rsid w:val="60557590"/>
    <w:rsid w:val="60655808"/>
    <w:rsid w:val="606C7EF8"/>
    <w:rsid w:val="608E1541"/>
    <w:rsid w:val="60F86CEE"/>
    <w:rsid w:val="611C2FBF"/>
    <w:rsid w:val="613C71BD"/>
    <w:rsid w:val="61762CA4"/>
    <w:rsid w:val="617D1584"/>
    <w:rsid w:val="6220263B"/>
    <w:rsid w:val="622F287E"/>
    <w:rsid w:val="626C5880"/>
    <w:rsid w:val="62A41849"/>
    <w:rsid w:val="62DF6FC3"/>
    <w:rsid w:val="62F41FBE"/>
    <w:rsid w:val="63A9427A"/>
    <w:rsid w:val="63D462B1"/>
    <w:rsid w:val="63E678B4"/>
    <w:rsid w:val="63FF44D2"/>
    <w:rsid w:val="641A3596"/>
    <w:rsid w:val="64C00105"/>
    <w:rsid w:val="64C36D7E"/>
    <w:rsid w:val="64D96647"/>
    <w:rsid w:val="64F90F01"/>
    <w:rsid w:val="654961FB"/>
    <w:rsid w:val="655B51E5"/>
    <w:rsid w:val="65AE7F5E"/>
    <w:rsid w:val="65E40ADA"/>
    <w:rsid w:val="66330B86"/>
    <w:rsid w:val="666D3AFB"/>
    <w:rsid w:val="66BB6DD6"/>
    <w:rsid w:val="66E22203"/>
    <w:rsid w:val="677B6565"/>
    <w:rsid w:val="67852F40"/>
    <w:rsid w:val="67AB0BF9"/>
    <w:rsid w:val="68297D70"/>
    <w:rsid w:val="68437CA3"/>
    <w:rsid w:val="68B812C9"/>
    <w:rsid w:val="694A4441"/>
    <w:rsid w:val="698536CB"/>
    <w:rsid w:val="69D50CF4"/>
    <w:rsid w:val="69D73D89"/>
    <w:rsid w:val="69FF522C"/>
    <w:rsid w:val="6A535578"/>
    <w:rsid w:val="6ADE12E5"/>
    <w:rsid w:val="6AE34B4E"/>
    <w:rsid w:val="6B39651C"/>
    <w:rsid w:val="6B8B4E89"/>
    <w:rsid w:val="6BBB1173"/>
    <w:rsid w:val="6C487AFD"/>
    <w:rsid w:val="6C8664BC"/>
    <w:rsid w:val="6CB24363"/>
    <w:rsid w:val="6CC9154D"/>
    <w:rsid w:val="6D3E7C18"/>
    <w:rsid w:val="6DBB3A8B"/>
    <w:rsid w:val="6DC76061"/>
    <w:rsid w:val="6E283FD4"/>
    <w:rsid w:val="6E290AC9"/>
    <w:rsid w:val="6E6F33F1"/>
    <w:rsid w:val="6EA93466"/>
    <w:rsid w:val="6EBE56B6"/>
    <w:rsid w:val="6EFF37D8"/>
    <w:rsid w:val="6F146151"/>
    <w:rsid w:val="6F276F27"/>
    <w:rsid w:val="6F7D4948"/>
    <w:rsid w:val="6F960C48"/>
    <w:rsid w:val="6FC50FC5"/>
    <w:rsid w:val="6FCF0795"/>
    <w:rsid w:val="6FE70C3C"/>
    <w:rsid w:val="6FFB0243"/>
    <w:rsid w:val="700560CB"/>
    <w:rsid w:val="70182BA3"/>
    <w:rsid w:val="70455963"/>
    <w:rsid w:val="70643A4D"/>
    <w:rsid w:val="709F32C5"/>
    <w:rsid w:val="70A02B99"/>
    <w:rsid w:val="70C90342"/>
    <w:rsid w:val="70F10A19"/>
    <w:rsid w:val="71381023"/>
    <w:rsid w:val="715F4802"/>
    <w:rsid w:val="71ED0060"/>
    <w:rsid w:val="720D425E"/>
    <w:rsid w:val="722111CB"/>
    <w:rsid w:val="7231619E"/>
    <w:rsid w:val="732B6917"/>
    <w:rsid w:val="735465E8"/>
    <w:rsid w:val="73714961"/>
    <w:rsid w:val="739358D2"/>
    <w:rsid w:val="73B07F67"/>
    <w:rsid w:val="73BA5622"/>
    <w:rsid w:val="74060F7A"/>
    <w:rsid w:val="74D27DA9"/>
    <w:rsid w:val="74D925D0"/>
    <w:rsid w:val="752217B8"/>
    <w:rsid w:val="754825D6"/>
    <w:rsid w:val="754D1D92"/>
    <w:rsid w:val="758350A9"/>
    <w:rsid w:val="758D153E"/>
    <w:rsid w:val="75AB44BA"/>
    <w:rsid w:val="75AE2269"/>
    <w:rsid w:val="75B84A72"/>
    <w:rsid w:val="75E654F2"/>
    <w:rsid w:val="76161308"/>
    <w:rsid w:val="76AF3B36"/>
    <w:rsid w:val="76B2549B"/>
    <w:rsid w:val="76EE55AC"/>
    <w:rsid w:val="770301B6"/>
    <w:rsid w:val="773521BD"/>
    <w:rsid w:val="777F175A"/>
    <w:rsid w:val="77AB254F"/>
    <w:rsid w:val="77BE6726"/>
    <w:rsid w:val="77D953F3"/>
    <w:rsid w:val="77EE068E"/>
    <w:rsid w:val="782A7918"/>
    <w:rsid w:val="782C7B34"/>
    <w:rsid w:val="783F74D7"/>
    <w:rsid w:val="78412EB3"/>
    <w:rsid w:val="788B412F"/>
    <w:rsid w:val="78AA2807"/>
    <w:rsid w:val="79687E1D"/>
    <w:rsid w:val="79FD2E0A"/>
    <w:rsid w:val="7A256189"/>
    <w:rsid w:val="7A911E35"/>
    <w:rsid w:val="7AD26045"/>
    <w:rsid w:val="7B196783"/>
    <w:rsid w:val="7B1E128A"/>
    <w:rsid w:val="7B560FD7"/>
    <w:rsid w:val="7B5F74F8"/>
    <w:rsid w:val="7B690630"/>
    <w:rsid w:val="7BC01667"/>
    <w:rsid w:val="7BD0027A"/>
    <w:rsid w:val="7C5123F4"/>
    <w:rsid w:val="7C7E6FA2"/>
    <w:rsid w:val="7CC846E8"/>
    <w:rsid w:val="7CCF0A8E"/>
    <w:rsid w:val="7D040AB6"/>
    <w:rsid w:val="7D4119E6"/>
    <w:rsid w:val="7DAF162B"/>
    <w:rsid w:val="7DB303AF"/>
    <w:rsid w:val="7DC42B41"/>
    <w:rsid w:val="7DEB7B49"/>
    <w:rsid w:val="7E5971A9"/>
    <w:rsid w:val="7E665422"/>
    <w:rsid w:val="7ECF1219"/>
    <w:rsid w:val="7F4D1F29"/>
    <w:rsid w:val="7F524A36"/>
    <w:rsid w:val="7FD76BF0"/>
    <w:rsid w:val="7FF00D8F"/>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 w:type="paragraph" w:customStyle="1" w:styleId="43">
    <w:name w:val="普通(网站) Char"/>
    <w:basedOn w:val="1"/>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54</Pages>
  <Words>1297</Words>
  <Characters>1385</Characters>
  <Lines>72</Lines>
  <Paragraphs>20</Paragraphs>
  <TotalTime>1</TotalTime>
  <ScaleCrop>false</ScaleCrop>
  <LinksUpToDate>false</LinksUpToDate>
  <CharactersWithSpaces>1447</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蔡</cp:lastModifiedBy>
  <dcterms:modified xsi:type="dcterms:W3CDTF">2026-05-20T03:49:48Z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57EB7A2434744399A951BBFC278C5099_13</vt:lpwstr>
  </property>
  <property fmtid="{D5CDD505-2E9C-101B-9397-08002B2CF9AE}" pid="4" name="KSOTemplateDocerSaveRecord">
    <vt:lpwstr>eyJoZGlkIjoiNDc0MTk5M2JkMmE1NDI4NDczMTFjZTZjODJmMzdhNjkiLCJ1c2VySWQiOiIyMTIzMTcyNzYifQ==</vt:lpwstr>
  </property>
</Properties>
</file>