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val="en-US" w:eastAsia="zh-CN"/>
        </w:rPr>
        <w:t>中和医学实验平台、实训楼、护校空调维保服务</w:t>
      </w:r>
      <w:r>
        <w:rPr>
          <w:rFonts w:ascii="Times New Roman" w:hAnsi="Times New Roman" w:eastAsia="黑体" w:cs="Times New Roman"/>
          <w:b/>
          <w:spacing w:val="24"/>
          <w:sz w:val="56"/>
          <w:szCs w:val="56"/>
        </w:rPr>
        <w:t>采购项目</w:t>
      </w:r>
      <w:r>
        <w:rPr>
          <w:rFonts w:hint="eastAsia" w:ascii="Times New Roman" w:hAnsi="Times New Roman" w:eastAsia="黑体" w:cs="Times New Roman"/>
          <w:b/>
          <w:spacing w:val="24"/>
          <w:sz w:val="56"/>
          <w:szCs w:val="56"/>
          <w:lang w:eastAsia="zh-CN"/>
        </w:rPr>
        <w:t>（</w:t>
      </w:r>
      <w:r>
        <w:rPr>
          <w:rFonts w:hint="eastAsia" w:ascii="Times New Roman" w:hAnsi="Times New Roman" w:eastAsia="黑体" w:cs="Times New Roman"/>
          <w:b/>
          <w:spacing w:val="24"/>
          <w:sz w:val="56"/>
          <w:szCs w:val="56"/>
          <w:lang w:val="en-US" w:eastAsia="zh-CN"/>
        </w:rPr>
        <w:t>2）</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highlight w:val="none"/>
          <w:lang w:val="en-US" w:eastAsia="zh-CN"/>
        </w:rPr>
        <w:t>7</w:t>
      </w:r>
      <w:r>
        <w:rPr>
          <w:rFonts w:ascii="Times New Roman" w:hAnsi="Times New Roman" w:eastAsia="黑体" w:cs="Times New Roman"/>
          <w:b/>
          <w:sz w:val="36"/>
          <w:szCs w:val="36"/>
          <w:highlight w:val="none"/>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21919"/>
      <w:bookmarkStart w:id="1" w:name="_Toc62832406"/>
      <w:bookmarkStart w:id="2" w:name="_Toc1907"/>
      <w:bookmarkStart w:id="3" w:name="_Toc3240"/>
      <w:bookmarkStart w:id="4" w:name="_Toc20358"/>
      <w:bookmarkStart w:id="5" w:name="_Toc471310326"/>
      <w:r>
        <w:rPr>
          <w:rFonts w:ascii="Times New Roman" w:hAnsi="Times New Roman" w:cs="Times New Roman"/>
        </w:rPr>
        <w:t>谈判邀请</w:t>
      </w:r>
      <w:bookmarkEnd w:id="0"/>
      <w:bookmarkEnd w:id="1"/>
      <w:bookmarkEnd w:id="2"/>
      <w:bookmarkEnd w:id="3"/>
      <w:bookmarkEnd w:id="4"/>
      <w:bookmarkEnd w:id="5"/>
    </w:p>
    <w:tbl>
      <w:tblPr>
        <w:tblStyle w:val="18"/>
        <w:tblW w:w="5023"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0"/>
        <w:gridCol w:w="1888"/>
        <w:gridCol w:w="727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rPr>
              <w:t>四川省人民医院中和医学实验平台、实训楼、护校空调维保服务采购项目</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CGZX-HQB20260942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700B880E">
            <w:pPr>
              <w:spacing w:line="360" w:lineRule="auto"/>
              <w:ind w:left="210" w:leftChars="100"/>
              <w:rPr>
                <w:rFonts w:hint="default" w:ascii="Times New Roman" w:hAnsi="Times New Roman" w:eastAsia="仿宋" w:cs="Times New Roman"/>
                <w:sz w:val="22"/>
                <w:u w:val="none"/>
                <w:lang w:val="en-US"/>
              </w:rPr>
            </w:pPr>
            <w:r>
              <w:rPr>
                <w:rFonts w:ascii="Times New Roman" w:hAnsi="Times New Roman" w:eastAsia="仿宋" w:cs="Times New Roman"/>
                <w:sz w:val="22"/>
                <w:u w:val="none"/>
              </w:rPr>
              <w:t>人民币</w:t>
            </w:r>
            <w:r>
              <w:rPr>
                <w:rFonts w:hint="eastAsia" w:ascii="Times New Roman" w:hAnsi="Times New Roman" w:eastAsia="仿宋" w:cs="Times New Roman"/>
                <w:sz w:val="22"/>
                <w:u w:val="none"/>
                <w:lang w:val="en-US" w:eastAsia="zh-CN"/>
              </w:rPr>
              <w:t>150000.00</w:t>
            </w:r>
            <w:r>
              <w:rPr>
                <w:rFonts w:ascii="Times New Roman" w:hAnsi="Times New Roman" w:eastAsia="仿宋" w:cs="Times New Roman"/>
                <w:sz w:val="22"/>
                <w:u w:val="none"/>
              </w:rPr>
              <w:t>元</w:t>
            </w:r>
            <w:r>
              <w:rPr>
                <w:rFonts w:hint="eastAsia" w:ascii="Times New Roman" w:hAnsi="Times New Roman" w:eastAsia="仿宋" w:cs="Times New Roman"/>
                <w:sz w:val="22"/>
                <w:u w:val="none"/>
                <w:lang w:val="en-US" w:eastAsia="zh-CN"/>
              </w:rPr>
              <w:t>/年。</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举行</w:t>
            </w:r>
          </w:p>
          <w:p w14:paraId="70C2932C">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(1)</w:t>
            </w:r>
            <w:r>
              <w:rPr>
                <w:rFonts w:ascii="Times New Roman" w:hAnsi="Times New Roman" w:eastAsia="仿宋" w:cs="Times New Roman"/>
                <w:sz w:val="22"/>
                <w:u w:color="000000"/>
              </w:rPr>
              <w:t>踏勘签到时间：</w:t>
            </w:r>
            <w:r>
              <w:rPr>
                <w:rFonts w:hint="eastAsia" w:ascii="Times New Roman" w:hAnsi="Times New Roman" w:eastAsia="仿宋" w:cs="Times New Roman"/>
                <w:sz w:val="22"/>
                <w:highlight w:val="none"/>
                <w:u w:color="000000"/>
                <w:lang w:val="en-US" w:eastAsia="zh-CN"/>
              </w:rPr>
              <w:t>2026年7月20日</w:t>
            </w:r>
            <w:r>
              <w:rPr>
                <w:rFonts w:hint="eastAsia" w:ascii="Times New Roman" w:hAnsi="Times New Roman" w:eastAsia="仿宋" w:cs="Times New Roman"/>
                <w:sz w:val="22"/>
                <w:u w:color="000000"/>
              </w:rPr>
              <w:t>上午9：00-9：30</w:t>
            </w:r>
          </w:p>
          <w:p w14:paraId="72677446">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(2)</w:t>
            </w: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r>
              <w:rPr>
                <w:rFonts w:hint="eastAsia" w:ascii="Times New Roman" w:hAnsi="Times New Roman" w:eastAsia="仿宋" w:cs="Times New Roman"/>
                <w:sz w:val="22"/>
                <w:u w:color="000000"/>
                <w:lang w:val="en-US" w:eastAsia="zh-CN"/>
              </w:rPr>
              <w:t>成都市青羊区浣花北路18号四川省人民医院医学图书馆4楼招标采购中心401办公室</w:t>
            </w:r>
          </w:p>
          <w:p w14:paraId="05E49845">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(3)</w:t>
            </w: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r>
              <w:rPr>
                <w:rFonts w:hint="eastAsia" w:ascii="Times New Roman" w:hAnsi="Times New Roman" w:eastAsia="仿宋" w:cs="Times New Roman"/>
                <w:sz w:val="22"/>
                <w:highlight w:val="none"/>
                <w:u w:color="000000"/>
                <w:lang w:val="en-US" w:eastAsia="zh-CN"/>
              </w:rPr>
              <w:t>2026年7月20</w:t>
            </w:r>
            <w:bookmarkStart w:id="101" w:name="_GoBack"/>
            <w:bookmarkEnd w:id="101"/>
            <w:r>
              <w:rPr>
                <w:rFonts w:hint="eastAsia" w:ascii="Times New Roman" w:hAnsi="Times New Roman" w:eastAsia="仿宋" w:cs="Times New Roman"/>
                <w:sz w:val="22"/>
                <w:highlight w:val="none"/>
                <w:u w:color="000000"/>
                <w:lang w:val="en-US" w:eastAsia="zh-CN"/>
              </w:rPr>
              <w:t>日</w:t>
            </w:r>
            <w:r>
              <w:rPr>
                <w:rFonts w:hint="eastAsia" w:ascii="Times New Roman" w:hAnsi="Times New Roman" w:eastAsia="仿宋" w:cs="Times New Roman"/>
                <w:sz w:val="22"/>
                <w:u w:color="000000"/>
              </w:rPr>
              <w:t>10：00</w:t>
            </w:r>
          </w:p>
          <w:p w14:paraId="2DB245B1">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(4)</w:t>
            </w:r>
            <w:r>
              <w:rPr>
                <w:rFonts w:hint="eastAsia" w:ascii="Times New Roman" w:hAnsi="Times New Roman" w:eastAsia="仿宋" w:cs="Times New Roman"/>
                <w:sz w:val="22"/>
                <w:u w:color="000000"/>
              </w:rPr>
              <w:t>踏勘地点：四川省人民医院中和科研基地（高新区中和街道应龙社区256号）</w:t>
            </w:r>
          </w:p>
          <w:p w14:paraId="2B285ABD">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(5)</w:t>
            </w:r>
            <w:r>
              <w:rPr>
                <w:rFonts w:ascii="Times New Roman" w:hAnsi="Times New Roman" w:eastAsia="仿宋" w:cs="Times New Roman"/>
                <w:sz w:val="22"/>
                <w:u w:color="000000"/>
              </w:rPr>
              <w:t>联系人：</w:t>
            </w:r>
            <w:r>
              <w:rPr>
                <w:rFonts w:hint="eastAsia" w:ascii="Times New Roman" w:hAnsi="Times New Roman" w:eastAsia="仿宋" w:cs="Times New Roman"/>
                <w:sz w:val="22"/>
                <w:u w:color="000000"/>
              </w:rPr>
              <w:t>蒋老师</w:t>
            </w:r>
          </w:p>
          <w:p w14:paraId="462DCA6B">
            <w:pPr>
              <w:pStyle w:val="7"/>
              <w:numPr>
                <w:ilvl w:val="0"/>
                <w:numId w:val="0"/>
              </w:numPr>
              <w:spacing w:after="0" w:line="360" w:lineRule="auto"/>
              <w:ind w:left="216" w:leftChars="103" w:firstLine="202" w:firstLineChars="92"/>
              <w:rPr>
                <w:rFonts w:ascii="Times New Roman" w:hAnsi="Times New Roman" w:eastAsia="仿宋" w:cs="Times New Roman"/>
                <w:sz w:val="22"/>
                <w:u w:color="000000"/>
              </w:rPr>
            </w:pPr>
            <w:r>
              <w:rPr>
                <w:rFonts w:hint="default" w:ascii="Times New Roman" w:hAnsi="Times New Roman" w:eastAsia="仿宋" w:cs="Times New Roman"/>
                <w:kern w:val="2"/>
                <w:sz w:val="22"/>
                <w:szCs w:val="22"/>
                <w:u w:color="000000"/>
                <w:lang w:val="en-US" w:eastAsia="zh-CN" w:bidi="ar-SA"/>
              </w:rPr>
              <w:t>(6)</w:t>
            </w:r>
            <w:r>
              <w:rPr>
                <w:rFonts w:ascii="Times New Roman" w:hAnsi="Times New Roman" w:eastAsia="仿宋" w:cs="Times New Roman"/>
                <w:sz w:val="22"/>
                <w:u w:color="000000"/>
              </w:rPr>
              <w:t>联系电话：</w:t>
            </w:r>
            <w:r>
              <w:rPr>
                <w:rFonts w:hint="eastAsia" w:ascii="Times New Roman" w:hAnsi="Times New Roman" w:eastAsia="仿宋" w:cs="Times New Roman"/>
                <w:sz w:val="22"/>
                <w:u w:color="000000"/>
              </w:rPr>
              <w:t>15102815069</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合同总价的10%</w:t>
            </w:r>
          </w:p>
          <w:p w14:paraId="00EA646A">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因供应商严重违约或其它违法违规行为等情形，导致双方无法继续履约。</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4B466140">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（1）采购部门：招标采购中心</w:t>
            </w:r>
          </w:p>
          <w:p w14:paraId="14D4100A">
            <w:pPr>
              <w:spacing w:line="360" w:lineRule="auto"/>
              <w:ind w:left="210" w:leftChars="100"/>
              <w:rPr>
                <w:rFonts w:hint="default" w:ascii="Times New Roman" w:hAnsi="Times New Roman" w:eastAsia="仿宋" w:cs="Times New Roman"/>
                <w:sz w:val="22"/>
                <w:u w:val="none"/>
                <w:lang w:val="en-US" w:eastAsia="zh-CN"/>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何</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lang w:val="en-US" w:eastAsia="zh-CN"/>
              </w:rPr>
              <w:t>87394783</w:t>
            </w:r>
          </w:p>
          <w:p w14:paraId="606033E3">
            <w:pPr>
              <w:spacing w:line="360" w:lineRule="auto"/>
              <w:ind w:left="210" w:leftChars="100"/>
              <w:rPr>
                <w:rFonts w:hint="eastAsia" w:ascii="Times New Roman" w:hAnsi="Times New Roman" w:eastAsia="仿宋" w:cs="Times New Roman"/>
                <w:sz w:val="22"/>
                <w:u w:val="none"/>
                <w:lang w:eastAsia="zh-CN"/>
              </w:rPr>
            </w:pPr>
            <w:r>
              <w:rPr>
                <w:rFonts w:ascii="Times New Roman" w:hAnsi="Times New Roman" w:eastAsia="仿宋" w:cs="Times New Roman"/>
                <w:sz w:val="22"/>
                <w:u w:val="none"/>
              </w:rPr>
              <w:t>（2）归口部门：</w:t>
            </w:r>
            <w:r>
              <w:rPr>
                <w:rFonts w:hint="eastAsia" w:ascii="Times New Roman" w:hAnsi="Times New Roman" w:eastAsia="仿宋" w:cs="Times New Roman"/>
                <w:sz w:val="22"/>
                <w:u w:val="none"/>
                <w:lang w:val="en-US" w:eastAsia="zh-CN"/>
              </w:rPr>
              <w:t>后勤保障部</w:t>
            </w:r>
          </w:p>
          <w:p w14:paraId="0362D7DB">
            <w:pPr>
              <w:spacing w:line="360" w:lineRule="auto"/>
              <w:ind w:left="210" w:leftChars="100"/>
              <w:rPr>
                <w:rFonts w:ascii="Times New Roman" w:hAnsi="Times New Roman" w:eastAsia="仿宋" w:cs="Times New Roman"/>
                <w:sz w:val="22"/>
                <w:u w:val="none"/>
              </w:rPr>
            </w:pPr>
            <w:r>
              <w:rPr>
                <w:rFonts w:ascii="Times New Roman" w:hAnsi="Times New Roman" w:eastAsia="仿宋" w:cs="Times New Roman"/>
                <w:sz w:val="22"/>
                <w:u w:val="none"/>
              </w:rPr>
              <w:t>联系方式：</w:t>
            </w:r>
            <w:r>
              <w:rPr>
                <w:rFonts w:hint="eastAsia" w:ascii="Times New Roman" w:hAnsi="Times New Roman" w:eastAsia="仿宋" w:cs="Times New Roman"/>
                <w:sz w:val="22"/>
                <w:u w:val="none"/>
                <w:lang w:val="en-US" w:eastAsia="zh-CN"/>
              </w:rPr>
              <w:t>李</w:t>
            </w:r>
            <w:r>
              <w:rPr>
                <w:rFonts w:ascii="Times New Roman" w:hAnsi="Times New Roman" w:eastAsia="仿宋" w:cs="Times New Roman"/>
                <w:sz w:val="22"/>
                <w:u w:val="none"/>
              </w:rPr>
              <w:t>老师</w:t>
            </w:r>
            <w:r>
              <w:rPr>
                <w:rFonts w:hint="eastAsia" w:ascii="Times New Roman" w:hAnsi="Times New Roman" w:eastAsia="仿宋" w:cs="Times New Roman"/>
                <w:sz w:val="22"/>
                <w:u w:val="none"/>
                <w:lang w:eastAsia="zh-CN"/>
              </w:rPr>
              <w:t>，</w:t>
            </w:r>
            <w:r>
              <w:rPr>
                <w:rFonts w:ascii="Times New Roman" w:hAnsi="Times New Roman" w:eastAsia="仿宋" w:cs="Times New Roman"/>
                <w:sz w:val="22"/>
                <w:u w:val="none"/>
              </w:rPr>
              <w:t>028-</w:t>
            </w:r>
            <w:r>
              <w:rPr>
                <w:rFonts w:hint="eastAsia" w:ascii="Times New Roman" w:hAnsi="Times New Roman" w:eastAsia="仿宋" w:cs="Times New Roman"/>
                <w:sz w:val="22"/>
                <w:u w:val="none"/>
              </w:rPr>
              <w:t>87393442</w:t>
            </w:r>
          </w:p>
          <w:p w14:paraId="214C6D9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2D954B0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8C8854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lang w:val="zh-CN" w:eastAsia="zh-CN"/>
              </w:rPr>
              <w:t>4783</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1841331039@qq.com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none"/>
                <w:lang w:val="en-US" w:eastAsia="zh-CN"/>
              </w:rPr>
              <w:t>无</w:t>
            </w:r>
          </w:p>
        </w:tc>
        <w:tc>
          <w:tcPr>
            <w:tcW w:w="2846" w:type="pct"/>
            <w:vAlign w:val="center"/>
          </w:tcPr>
          <w:p w14:paraId="7D3D2FEC">
            <w:pPr>
              <w:jc w:val="center"/>
              <w:rPr>
                <w:rFonts w:hint="eastAsia" w:ascii="Times New Roman" w:hAnsi="Times New Roman" w:eastAsia="仿宋" w:cs="Times New Roman"/>
                <w:sz w:val="22"/>
                <w:u w:val="single"/>
                <w:lang w:val="en-US" w:eastAsia="zh-CN"/>
              </w:rPr>
            </w:pPr>
            <w:r>
              <w:rPr>
                <w:rFonts w:hint="eastAsia" w:ascii="Times New Roman" w:hAnsi="Times New Roman" w:eastAsia="仿宋" w:cs="Times New Roman"/>
                <w:sz w:val="22"/>
                <w:u w:val="none"/>
                <w:lang w:val="en-US" w:eastAsia="zh-CN"/>
              </w:rPr>
              <w:t>/</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779CE6EF">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Times New Roman" w:hAnsi="Times New Roman" w:eastAsia="仿宋" w:cs="Times New Roman"/>
          <w:b/>
          <w:bCs/>
          <w:sz w:val="24"/>
          <w:szCs w:val="24"/>
          <w:lang w:val="en-US" w:eastAsia="zh-CN"/>
        </w:rPr>
      </w:pPr>
    </w:p>
    <w:p w14:paraId="3EB4431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Times New Roman" w:hAnsi="Times New Roman" w:eastAsia="仿宋" w:cs="Times New Roman"/>
          <w:b/>
          <w:bCs/>
          <w:color w:val="auto"/>
          <w:sz w:val="24"/>
          <w:szCs w:val="24"/>
          <w:highlight w:val="none"/>
        </w:rPr>
      </w:pPr>
      <w:r>
        <w:rPr>
          <w:rFonts w:hint="eastAsia" w:ascii="Times New Roman" w:hAnsi="Times New Roman" w:eastAsia="仿宋" w:cs="Times New Roman"/>
          <w:b/>
          <w:bCs/>
          <w:color w:val="auto"/>
          <w:sz w:val="24"/>
          <w:szCs w:val="24"/>
          <w:highlight w:val="none"/>
          <w:lang w:val="en-US" w:eastAsia="zh-CN"/>
        </w:rPr>
        <w:t>一、</w:t>
      </w:r>
      <w:r>
        <w:rPr>
          <w:rFonts w:ascii="Times New Roman" w:hAnsi="Times New Roman" w:eastAsia="仿宋" w:cs="Times New Roman"/>
          <w:b/>
          <w:bCs/>
          <w:color w:val="auto"/>
          <w:sz w:val="24"/>
          <w:szCs w:val="24"/>
          <w:highlight w:val="none"/>
        </w:rPr>
        <w:t>项目简介</w:t>
      </w:r>
    </w:p>
    <w:p w14:paraId="7FAE3D30">
      <w:pPr>
        <w:pStyle w:val="14"/>
        <w:keepNext w:val="0"/>
        <w:keepLines w:val="0"/>
        <w:pageBreakBefore w:val="0"/>
        <w:widowControl/>
        <w:suppressLineNumbers w:val="0"/>
        <w:kinsoku/>
        <w:wordWrap/>
        <w:overflowPunct/>
        <w:topLinePunct w:val="0"/>
        <w:autoSpaceDE/>
        <w:autoSpaceDN/>
        <w:bidi w:val="0"/>
        <w:snapToGrid/>
        <w:spacing w:before="0" w:beforeAutospacing="0" w:after="0" w:afterAutospacing="0" w:line="440" w:lineRule="exact"/>
        <w:ind w:left="0"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因采购人实际工作需要，本项目拟采购一家供应商为四川省人民医院中和科研基地提供空调维保服务，包括</w:t>
      </w:r>
      <w:r>
        <w:rPr>
          <w:rFonts w:hint="eastAsia" w:ascii="仿宋" w:hAnsi="仿宋" w:eastAsia="仿宋" w:cs="仿宋"/>
          <w:color w:val="auto"/>
          <w:kern w:val="2"/>
          <w:sz w:val="24"/>
          <w:szCs w:val="24"/>
          <w:highlight w:val="none"/>
        </w:rPr>
        <w:t>实训楼多联机空调及净化空调系统、护校分体式空调、医学实验平台多联机空调等，</w:t>
      </w:r>
      <w:r>
        <w:rPr>
          <w:rFonts w:hint="eastAsia" w:ascii="仿宋" w:hAnsi="仿宋" w:eastAsia="仿宋" w:cs="仿宋"/>
          <w:color w:val="auto"/>
          <w:kern w:val="2"/>
          <w:sz w:val="24"/>
          <w:szCs w:val="24"/>
          <w:highlight w:val="none"/>
          <w:lang w:val="en-US" w:eastAsia="zh-CN"/>
        </w:rPr>
        <w:t>预计</w:t>
      </w:r>
      <w:r>
        <w:rPr>
          <w:rFonts w:hint="eastAsia" w:ascii="仿宋" w:hAnsi="仿宋" w:eastAsia="仿宋" w:cs="仿宋"/>
          <w:color w:val="auto"/>
          <w:kern w:val="2"/>
          <w:sz w:val="24"/>
          <w:szCs w:val="24"/>
          <w:highlight w:val="none"/>
        </w:rPr>
        <w:t>约400台空调设备。</w:t>
      </w:r>
    </w:p>
    <w:p w14:paraId="18407A91">
      <w:pPr>
        <w:pStyle w:val="14"/>
        <w:keepNext w:val="0"/>
        <w:keepLines w:val="0"/>
        <w:pageBreakBefore w:val="0"/>
        <w:widowControl/>
        <w:suppressLineNumbers w:val="0"/>
        <w:kinsoku/>
        <w:wordWrap/>
        <w:overflowPunct/>
        <w:topLinePunct w:val="0"/>
        <w:autoSpaceDE/>
        <w:autoSpaceDN/>
        <w:bidi w:val="0"/>
        <w:snapToGrid/>
        <w:spacing w:before="0" w:beforeAutospacing="0" w:after="0" w:afterAutospacing="0" w:line="440" w:lineRule="exact"/>
        <w:ind w:left="0" w:firstLine="482" w:firstLineChars="200"/>
        <w:rPr>
          <w:rFonts w:hint="default"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rPr>
        <w:t>★</w:t>
      </w:r>
      <w:r>
        <w:rPr>
          <w:rFonts w:hint="eastAsia" w:ascii="仿宋" w:hAnsi="仿宋" w:eastAsia="仿宋" w:cs="仿宋"/>
          <w:b/>
          <w:bCs/>
          <w:color w:val="auto"/>
          <w:kern w:val="2"/>
          <w:sz w:val="24"/>
          <w:szCs w:val="24"/>
          <w:highlight w:val="none"/>
          <w:lang w:val="en-US" w:eastAsia="zh-CN"/>
        </w:rPr>
        <w:t>二、维保设备清单及设备维保要求</w:t>
      </w:r>
    </w:p>
    <w:p w14:paraId="3FEAA862">
      <w:pPr>
        <w:pStyle w:val="14"/>
        <w:keepNext w:val="0"/>
        <w:keepLines w:val="0"/>
        <w:pageBreakBefore w:val="0"/>
        <w:widowControl/>
        <w:suppressLineNumbers w:val="0"/>
        <w:kinsoku/>
        <w:wordWrap/>
        <w:overflowPunct/>
        <w:topLinePunct w:val="0"/>
        <w:autoSpaceDE/>
        <w:autoSpaceDN/>
        <w:bidi w:val="0"/>
        <w:snapToGrid/>
        <w:spacing w:before="0" w:beforeAutospacing="0" w:after="0" w:afterAutospacing="0" w:line="440" w:lineRule="exact"/>
        <w:ind w:left="0" w:firstLine="482" w:firstLineChars="200"/>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lang w:val="en-US" w:eastAsia="zh-CN"/>
        </w:rPr>
        <w:t>1.</w:t>
      </w:r>
      <w:r>
        <w:rPr>
          <w:rFonts w:hint="eastAsia" w:ascii="仿宋" w:hAnsi="仿宋" w:eastAsia="仿宋" w:cs="仿宋"/>
          <w:b/>
          <w:bCs/>
          <w:color w:val="auto"/>
          <w:kern w:val="2"/>
          <w:sz w:val="24"/>
          <w:szCs w:val="24"/>
          <w:highlight w:val="none"/>
        </w:rPr>
        <w:t>维保设备清单（本次维保范围内的设备，约70%设备已超出原厂质保期限）</w:t>
      </w:r>
    </w:p>
    <w:p w14:paraId="751DF39A">
      <w:pPr>
        <w:pStyle w:val="14"/>
        <w:keepNext w:val="0"/>
        <w:keepLines w:val="0"/>
        <w:pageBreakBefore w:val="0"/>
        <w:widowControl/>
        <w:suppressLineNumbers w:val="0"/>
        <w:kinsoku/>
        <w:wordWrap/>
        <w:overflowPunct/>
        <w:topLinePunct w:val="0"/>
        <w:autoSpaceDE/>
        <w:autoSpaceDN/>
        <w:bidi w:val="0"/>
        <w:spacing w:before="0" w:beforeAutospacing="0" w:after="0" w:afterAutospacing="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多联空调机组设备清单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750"/>
        <w:gridCol w:w="1980"/>
        <w:gridCol w:w="1038"/>
        <w:gridCol w:w="2108"/>
        <w:gridCol w:w="910"/>
        <w:gridCol w:w="2874"/>
      </w:tblGrid>
      <w:tr w14:paraId="363D4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40" w:hRule="atLeast"/>
        </w:trPr>
        <w:tc>
          <w:tcPr>
            <w:tcW w:w="705" w:type="dxa"/>
            <w:tcBorders>
              <w:top w:val="single" w:color="000000" w:sz="6" w:space="0"/>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E2F70F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860" w:type="dxa"/>
            <w:tcBorders>
              <w:top w:val="single" w:color="000000" w:sz="6" w:space="0"/>
              <w:left w:val="nil"/>
              <w:bottom w:val="single" w:color="000000" w:sz="6" w:space="0"/>
              <w:right w:val="single" w:color="000000" w:sz="6" w:space="0"/>
            </w:tcBorders>
            <w:shd w:val="clear" w:color="auto" w:fill="auto"/>
            <w:tcMar>
              <w:bottom w:w="0" w:type="dxa"/>
            </w:tcMar>
            <w:vAlign w:val="center"/>
          </w:tcPr>
          <w:p w14:paraId="65A4FD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设备名称</w:t>
            </w:r>
          </w:p>
        </w:tc>
        <w:tc>
          <w:tcPr>
            <w:tcW w:w="975" w:type="dxa"/>
            <w:tcBorders>
              <w:top w:val="single" w:color="000000" w:sz="6" w:space="0"/>
              <w:left w:val="nil"/>
              <w:bottom w:val="single" w:color="000000" w:sz="6" w:space="0"/>
              <w:right w:val="single" w:color="000000" w:sz="6" w:space="0"/>
            </w:tcBorders>
            <w:shd w:val="clear" w:color="auto" w:fill="auto"/>
            <w:tcMar>
              <w:bottom w:w="0" w:type="dxa"/>
            </w:tcMar>
            <w:vAlign w:val="center"/>
          </w:tcPr>
          <w:p w14:paraId="31BE5A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1980" w:type="dxa"/>
            <w:tcBorders>
              <w:top w:val="single" w:color="000000" w:sz="6" w:space="0"/>
              <w:left w:val="nil"/>
              <w:bottom w:val="single" w:color="000000" w:sz="6" w:space="0"/>
              <w:right w:val="single" w:color="000000" w:sz="6" w:space="0"/>
            </w:tcBorders>
            <w:shd w:val="clear" w:color="auto" w:fill="auto"/>
            <w:tcMar>
              <w:bottom w:w="0" w:type="dxa"/>
            </w:tcMar>
            <w:vAlign w:val="center"/>
          </w:tcPr>
          <w:p w14:paraId="031CEF1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tc>
        <w:tc>
          <w:tcPr>
            <w:tcW w:w="855" w:type="dxa"/>
            <w:tcBorders>
              <w:top w:val="single" w:color="000000" w:sz="6" w:space="0"/>
              <w:left w:val="nil"/>
              <w:bottom w:val="single" w:color="000000" w:sz="6" w:space="0"/>
              <w:right w:val="single" w:color="000000" w:sz="6" w:space="0"/>
            </w:tcBorders>
            <w:shd w:val="clear" w:color="auto" w:fill="auto"/>
            <w:tcMar>
              <w:bottom w:w="0" w:type="dxa"/>
            </w:tcMar>
            <w:vAlign w:val="center"/>
          </w:tcPr>
          <w:p w14:paraId="22FC14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2700" w:type="dxa"/>
            <w:tcBorders>
              <w:top w:val="single" w:color="000000" w:sz="6" w:space="0"/>
              <w:left w:val="nil"/>
              <w:bottom w:val="single" w:color="000000" w:sz="6" w:space="0"/>
              <w:right w:val="single" w:color="auto" w:sz="6" w:space="0"/>
            </w:tcBorders>
            <w:shd w:val="clear" w:color="auto" w:fill="auto"/>
            <w:tcMar>
              <w:bottom w:w="0" w:type="dxa"/>
            </w:tcMar>
            <w:vAlign w:val="center"/>
          </w:tcPr>
          <w:p w14:paraId="34119C2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r>
      <w:tr w14:paraId="67995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F00FD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105EB22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多联式空调机组（外机）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44F95A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日立</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79BA7F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RAS-450FSN6Q</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78910EF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49A85D6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中和实训楼屋面4楼</w:t>
            </w:r>
          </w:p>
        </w:tc>
      </w:tr>
      <w:tr w14:paraId="460DC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407F3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4D95C63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多联式空调内机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7FC7FB4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日立</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611E050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12拖59</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72EFBD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59</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160ABC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中和实训楼1、2、3楼</w:t>
            </w:r>
          </w:p>
        </w:tc>
      </w:tr>
      <w:tr w14:paraId="339BE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A0D3B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74B6E1B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多联式空调机组（外机）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770819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欧科</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2A445D4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EKRV240AR1S</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7B2539F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198EC1C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中和医学实验平台1楼</w:t>
            </w:r>
          </w:p>
        </w:tc>
      </w:tr>
      <w:tr w14:paraId="1088A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C931C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7DAC35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多联式空调内机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63CD0DA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欧科</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7C37867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2拖20</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0B73EC5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01A650C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中和医学实验平台负1楼</w:t>
            </w:r>
          </w:p>
        </w:tc>
      </w:tr>
      <w:tr w14:paraId="5CEE4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8FF112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21FF94E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多联式空调机组（外机）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45CB5B1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三菱</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405AF1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FDC560KXDE2AQ/1</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0E77E3F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22CBB84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中和医学实验平台1、11楼</w:t>
            </w:r>
          </w:p>
        </w:tc>
      </w:tr>
      <w:tr w14:paraId="6C585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705" w:type="dxa"/>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200BD1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860" w:type="dxa"/>
            <w:tcBorders>
              <w:top w:val="nil"/>
              <w:left w:val="nil"/>
              <w:bottom w:val="single" w:color="000000" w:sz="6" w:space="0"/>
              <w:right w:val="single" w:color="000000" w:sz="6" w:space="0"/>
            </w:tcBorders>
            <w:shd w:val="clear" w:color="auto" w:fill="auto"/>
            <w:tcMar>
              <w:bottom w:w="0" w:type="dxa"/>
            </w:tcMar>
            <w:vAlign w:val="center"/>
          </w:tcPr>
          <w:p w14:paraId="758BCB7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多联式空调内机</w:t>
            </w:r>
          </w:p>
        </w:tc>
        <w:tc>
          <w:tcPr>
            <w:tcW w:w="975" w:type="dxa"/>
            <w:tcBorders>
              <w:top w:val="nil"/>
              <w:left w:val="nil"/>
              <w:bottom w:val="single" w:color="000000" w:sz="6" w:space="0"/>
              <w:right w:val="single" w:color="000000" w:sz="6" w:space="0"/>
            </w:tcBorders>
            <w:shd w:val="clear" w:color="auto" w:fill="auto"/>
            <w:tcMar>
              <w:bottom w:w="0" w:type="dxa"/>
            </w:tcMar>
            <w:vAlign w:val="center"/>
          </w:tcPr>
          <w:p w14:paraId="0B20B4D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三菱</w:t>
            </w:r>
          </w:p>
        </w:tc>
        <w:tc>
          <w:tcPr>
            <w:tcW w:w="1980" w:type="dxa"/>
            <w:tcBorders>
              <w:top w:val="nil"/>
              <w:left w:val="nil"/>
              <w:bottom w:val="single" w:color="000000" w:sz="6" w:space="0"/>
              <w:right w:val="single" w:color="000000" w:sz="6" w:space="0"/>
            </w:tcBorders>
            <w:shd w:val="clear" w:color="auto" w:fill="auto"/>
            <w:tcMar>
              <w:bottom w:w="0" w:type="dxa"/>
            </w:tcMar>
            <w:vAlign w:val="center"/>
          </w:tcPr>
          <w:p w14:paraId="2C76C80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14拖144</w:t>
            </w:r>
          </w:p>
        </w:tc>
        <w:tc>
          <w:tcPr>
            <w:tcW w:w="855" w:type="dxa"/>
            <w:tcBorders>
              <w:top w:val="nil"/>
              <w:left w:val="nil"/>
              <w:bottom w:val="single" w:color="000000" w:sz="6" w:space="0"/>
              <w:right w:val="single" w:color="000000" w:sz="6" w:space="0"/>
            </w:tcBorders>
            <w:shd w:val="clear" w:color="auto" w:fill="auto"/>
            <w:tcMar>
              <w:bottom w:w="0" w:type="dxa"/>
            </w:tcMar>
            <w:vAlign w:val="center"/>
          </w:tcPr>
          <w:p w14:paraId="07B5DD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w:t>
            </w:r>
          </w:p>
        </w:tc>
        <w:tc>
          <w:tcPr>
            <w:tcW w:w="2700" w:type="dxa"/>
            <w:tcBorders>
              <w:top w:val="nil"/>
              <w:left w:val="nil"/>
              <w:bottom w:val="single" w:color="000000" w:sz="6" w:space="0"/>
              <w:right w:val="single" w:color="auto" w:sz="6" w:space="0"/>
            </w:tcBorders>
            <w:shd w:val="clear" w:color="auto" w:fill="auto"/>
            <w:tcMar>
              <w:bottom w:w="0" w:type="dxa"/>
            </w:tcMar>
            <w:vAlign w:val="center"/>
          </w:tcPr>
          <w:p w14:paraId="0921280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中和医学实验平台1-7楼</w:t>
            </w:r>
          </w:p>
        </w:tc>
      </w:tr>
    </w:tbl>
    <w:p w14:paraId="75D18466">
      <w:pPr>
        <w:pStyle w:val="14"/>
        <w:keepNext w:val="0"/>
        <w:keepLines w:val="0"/>
        <w:pageBreakBefore w:val="0"/>
        <w:widowControl/>
        <w:suppressLineNumbers w:val="0"/>
        <w:kinsoku/>
        <w:wordWrap/>
        <w:overflowPunct/>
        <w:topLinePunct w:val="0"/>
        <w:autoSpaceDE/>
        <w:autoSpaceDN/>
        <w:bidi w:val="0"/>
        <w:spacing w:before="0" w:beforeAutospacing="0" w:after="0" w:afterAutospacing="0" w:line="44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净化空调机组设备清单</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600"/>
        <w:gridCol w:w="2013"/>
        <w:gridCol w:w="1219"/>
        <w:gridCol w:w="2430"/>
        <w:gridCol w:w="1007"/>
        <w:gridCol w:w="740"/>
        <w:gridCol w:w="1647"/>
      </w:tblGrid>
      <w:tr w14:paraId="5D03B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40" w:hRule="atLeast"/>
        </w:trPr>
        <w:tc>
          <w:tcPr>
            <w:tcW w:w="340" w:type="pct"/>
            <w:tcBorders>
              <w:top w:val="single" w:color="000000" w:sz="6" w:space="0"/>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476485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071" w:type="pct"/>
            <w:tcBorders>
              <w:top w:val="single" w:color="000000" w:sz="6" w:space="0"/>
              <w:left w:val="nil"/>
              <w:bottom w:val="single" w:color="000000" w:sz="6" w:space="0"/>
              <w:right w:val="single" w:color="000000" w:sz="6" w:space="0"/>
            </w:tcBorders>
            <w:shd w:val="clear" w:color="auto" w:fill="auto"/>
            <w:tcMar>
              <w:bottom w:w="0" w:type="dxa"/>
            </w:tcMar>
            <w:vAlign w:val="center"/>
          </w:tcPr>
          <w:p w14:paraId="375A517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设备名称</w:t>
            </w:r>
          </w:p>
        </w:tc>
        <w:tc>
          <w:tcPr>
            <w:tcW w:w="660" w:type="pct"/>
            <w:tcBorders>
              <w:top w:val="single" w:color="000000" w:sz="6" w:space="0"/>
              <w:left w:val="nil"/>
              <w:bottom w:val="single" w:color="000000" w:sz="6" w:space="0"/>
              <w:right w:val="single" w:color="000000" w:sz="6" w:space="0"/>
            </w:tcBorders>
            <w:shd w:val="clear" w:color="auto" w:fill="auto"/>
            <w:tcMar>
              <w:bottom w:w="0" w:type="dxa"/>
            </w:tcMar>
            <w:vAlign w:val="center"/>
          </w:tcPr>
          <w:p w14:paraId="4B3737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品牌</w:t>
            </w:r>
          </w:p>
        </w:tc>
        <w:tc>
          <w:tcPr>
            <w:tcW w:w="1082" w:type="pct"/>
            <w:tcBorders>
              <w:top w:val="single" w:color="000000" w:sz="6" w:space="0"/>
              <w:left w:val="nil"/>
              <w:bottom w:val="single" w:color="000000" w:sz="6" w:space="0"/>
              <w:right w:val="single" w:color="000000" w:sz="6" w:space="0"/>
            </w:tcBorders>
            <w:shd w:val="clear" w:color="auto" w:fill="auto"/>
            <w:tcMar>
              <w:bottom w:w="0" w:type="dxa"/>
            </w:tcMar>
            <w:vAlign w:val="center"/>
          </w:tcPr>
          <w:p w14:paraId="51D7558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型号</w:t>
            </w:r>
          </w:p>
        </w:tc>
        <w:tc>
          <w:tcPr>
            <w:tcW w:w="550" w:type="pct"/>
            <w:tcBorders>
              <w:top w:val="single" w:color="000000" w:sz="6" w:space="0"/>
              <w:left w:val="nil"/>
              <w:bottom w:val="single" w:color="000000" w:sz="6" w:space="0"/>
              <w:right w:val="single" w:color="000000" w:sz="6" w:space="0"/>
            </w:tcBorders>
            <w:shd w:val="clear" w:color="auto" w:fill="auto"/>
            <w:tcMar>
              <w:bottom w:w="0" w:type="dxa"/>
            </w:tcMar>
            <w:vAlign w:val="center"/>
          </w:tcPr>
          <w:p w14:paraId="4B5BD8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安装时间</w:t>
            </w:r>
          </w:p>
        </w:tc>
        <w:tc>
          <w:tcPr>
            <w:tcW w:w="412" w:type="pct"/>
            <w:tcBorders>
              <w:top w:val="single" w:color="000000" w:sz="6" w:space="0"/>
              <w:left w:val="nil"/>
              <w:bottom w:val="single" w:color="000000" w:sz="6" w:space="0"/>
              <w:right w:val="single" w:color="000000" w:sz="6" w:space="0"/>
            </w:tcBorders>
            <w:shd w:val="clear" w:color="auto" w:fill="auto"/>
            <w:tcMar>
              <w:bottom w:w="0" w:type="dxa"/>
            </w:tcMar>
            <w:vAlign w:val="center"/>
          </w:tcPr>
          <w:p w14:paraId="42C8F6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881" w:type="pct"/>
            <w:tcBorders>
              <w:top w:val="single" w:color="000000" w:sz="6" w:space="0"/>
              <w:left w:val="nil"/>
              <w:bottom w:val="single" w:color="000000" w:sz="6" w:space="0"/>
              <w:right w:val="single" w:color="auto" w:sz="6" w:space="0"/>
            </w:tcBorders>
            <w:shd w:val="clear" w:color="auto" w:fill="auto"/>
            <w:tcMar>
              <w:bottom w:w="0" w:type="dxa"/>
            </w:tcMar>
            <w:vAlign w:val="center"/>
          </w:tcPr>
          <w:p w14:paraId="4B56A1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r>
      <w:tr w14:paraId="63AE3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647BC3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3C3EB63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风冷变频空调机组（室外机）</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33F1CA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TICA（天加）</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368854D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TSAV0100BRCX</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6026BB6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0E5E936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7C637B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583E4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8AB2BE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623ACF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变频直膨式空调机组（室内机）</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0F2F075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TICA（天加）</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2E74BD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TAC016020BHVHRHS0100</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4C10D0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44BAE04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3AD21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4286C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6921B8C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0E9AEC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天加控制柜</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0C0F551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TICA（天加）</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1471CE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定制</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4DB1F84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7C5C62B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53895FF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37966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6A32E5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2412DC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高效过滤器</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4F86A7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TICA（天加）</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3BFBBC1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420*420</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6C28B3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440DE13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0CDCC4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中和实训楼2楼</w:t>
            </w:r>
          </w:p>
        </w:tc>
      </w:tr>
      <w:tr w14:paraId="7BDC7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7C4AC81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789BC2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高效过滤器</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793E8EA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TICA（天加）</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1562694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600*600</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4DB4A15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20D779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78A1BF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中和实训楼2楼</w:t>
            </w:r>
          </w:p>
        </w:tc>
      </w:tr>
      <w:tr w14:paraId="26C17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49CA653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71A77AD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约克空调机</w:t>
            </w:r>
          </w:p>
          <w:p w14:paraId="615159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（室外机）</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1E0198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YORK（约克）</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3725B5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YEOH120VPEMBQH</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0506BCB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3EB0F2F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CAE1A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123D3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17013B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597327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直膨式组合空气处理机组</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24E50E5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YORK（约克）</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5453624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YDXT-1216SE/BKA</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63B884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4AE925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4B6C761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16BF2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1082A4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065AD3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约克控制柜</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6544428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YORK（约克）</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58954E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定制</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0215E18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3DA7CFE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509575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r w14:paraId="3E535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95" w:hRule="atLeast"/>
        </w:trPr>
        <w:tc>
          <w:tcPr>
            <w:tcW w:w="340" w:type="pct"/>
            <w:tcBorders>
              <w:top w:val="nil"/>
              <w:left w:val="single" w:color="auto" w:sz="6" w:space="0"/>
              <w:bottom w:val="single" w:color="000000" w:sz="6" w:space="0"/>
              <w:right w:val="single" w:color="000000" w:sz="6" w:space="0"/>
            </w:tcBorders>
            <w:shd w:val="clear" w:color="auto" w:fill="auto"/>
            <w:tcMar>
              <w:top w:w="0" w:type="dxa"/>
              <w:left w:w="0" w:type="dxa"/>
              <w:bottom w:w="0" w:type="dxa"/>
              <w:right w:w="0" w:type="dxa"/>
            </w:tcMar>
            <w:vAlign w:val="center"/>
          </w:tcPr>
          <w:p w14:paraId="09A4FD1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1071" w:type="pct"/>
            <w:tcBorders>
              <w:top w:val="nil"/>
              <w:left w:val="nil"/>
              <w:bottom w:val="single" w:color="000000" w:sz="6" w:space="0"/>
              <w:right w:val="single" w:color="000000" w:sz="6" w:space="0"/>
            </w:tcBorders>
            <w:shd w:val="clear" w:color="auto" w:fill="auto"/>
            <w:tcMar>
              <w:bottom w:w="0" w:type="dxa"/>
            </w:tcMar>
            <w:vAlign w:val="center"/>
          </w:tcPr>
          <w:p w14:paraId="712EEB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高效过滤器</w:t>
            </w:r>
          </w:p>
        </w:tc>
        <w:tc>
          <w:tcPr>
            <w:tcW w:w="660" w:type="pct"/>
            <w:tcBorders>
              <w:top w:val="nil"/>
              <w:left w:val="nil"/>
              <w:bottom w:val="single" w:color="000000" w:sz="6" w:space="0"/>
              <w:right w:val="single" w:color="000000" w:sz="6" w:space="0"/>
            </w:tcBorders>
            <w:shd w:val="clear" w:color="auto" w:fill="auto"/>
            <w:tcMar>
              <w:bottom w:w="0" w:type="dxa"/>
            </w:tcMar>
            <w:vAlign w:val="center"/>
          </w:tcPr>
          <w:p w14:paraId="53E963E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YORK（约克）</w:t>
            </w:r>
          </w:p>
        </w:tc>
        <w:tc>
          <w:tcPr>
            <w:tcW w:w="1082" w:type="pct"/>
            <w:tcBorders>
              <w:top w:val="nil"/>
              <w:left w:val="nil"/>
              <w:bottom w:val="single" w:color="000000" w:sz="6" w:space="0"/>
              <w:right w:val="single" w:color="000000" w:sz="6" w:space="0"/>
            </w:tcBorders>
            <w:shd w:val="clear" w:color="auto" w:fill="auto"/>
            <w:tcMar>
              <w:bottom w:w="0" w:type="dxa"/>
            </w:tcMar>
            <w:vAlign w:val="center"/>
          </w:tcPr>
          <w:p w14:paraId="1C154B8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420*420</w:t>
            </w:r>
          </w:p>
        </w:tc>
        <w:tc>
          <w:tcPr>
            <w:tcW w:w="550" w:type="pct"/>
            <w:tcBorders>
              <w:top w:val="nil"/>
              <w:left w:val="nil"/>
              <w:bottom w:val="single" w:color="000000" w:sz="6" w:space="0"/>
              <w:right w:val="single" w:color="000000" w:sz="6" w:space="0"/>
            </w:tcBorders>
            <w:shd w:val="clear" w:color="auto" w:fill="auto"/>
            <w:tcMar>
              <w:bottom w:w="0" w:type="dxa"/>
            </w:tcMar>
            <w:vAlign w:val="center"/>
          </w:tcPr>
          <w:p w14:paraId="33A241B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w:t>
            </w:r>
          </w:p>
        </w:tc>
        <w:tc>
          <w:tcPr>
            <w:tcW w:w="412" w:type="pct"/>
            <w:tcBorders>
              <w:top w:val="nil"/>
              <w:left w:val="nil"/>
              <w:bottom w:val="single" w:color="000000" w:sz="6" w:space="0"/>
              <w:right w:val="single" w:color="000000" w:sz="6" w:space="0"/>
            </w:tcBorders>
            <w:shd w:val="clear" w:color="auto" w:fill="auto"/>
            <w:tcMar>
              <w:bottom w:w="0" w:type="dxa"/>
            </w:tcMar>
            <w:vAlign w:val="center"/>
          </w:tcPr>
          <w:p w14:paraId="2F8BFE5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881" w:type="pct"/>
            <w:tcBorders>
              <w:top w:val="nil"/>
              <w:left w:val="nil"/>
              <w:bottom w:val="single" w:color="000000" w:sz="6" w:space="0"/>
              <w:right w:val="single" w:color="auto" w:sz="6" w:space="0"/>
            </w:tcBorders>
            <w:shd w:val="clear" w:color="auto" w:fill="auto"/>
            <w:tcMar>
              <w:bottom w:w="0" w:type="dxa"/>
            </w:tcMar>
            <w:vAlign w:val="center"/>
          </w:tcPr>
          <w:p w14:paraId="0EE087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中和实训楼1楼</w:t>
            </w:r>
          </w:p>
        </w:tc>
      </w:tr>
    </w:tbl>
    <w:p w14:paraId="3E4E42E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0" w:firstLineChars="20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分体空调设备清单</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57"/>
        <w:gridCol w:w="18"/>
        <w:gridCol w:w="1910"/>
        <w:gridCol w:w="1879"/>
        <w:gridCol w:w="2728"/>
        <w:gridCol w:w="2155"/>
      </w:tblGrid>
      <w:tr w14:paraId="557BA3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6"/>
            <w:tcBorders>
              <w:top w:val="single" w:color="000000" w:sz="6" w:space="0"/>
              <w:left w:val="single" w:color="000000" w:sz="6" w:space="0"/>
              <w:bottom w:val="single" w:color="000000" w:sz="6" w:space="0"/>
              <w:right w:val="single" w:color="000000" w:sz="6" w:space="0"/>
            </w:tcBorders>
            <w:shd w:val="clear" w:color="auto" w:fill="A4A4A4"/>
            <w:tcMar>
              <w:top w:w="0" w:type="dxa"/>
              <w:left w:w="105" w:type="dxa"/>
              <w:bottom w:w="0" w:type="dxa"/>
              <w:right w:w="105" w:type="dxa"/>
            </w:tcMar>
            <w:vAlign w:val="center"/>
          </w:tcPr>
          <w:p w14:paraId="4E88F00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老教学楼</w:t>
            </w:r>
          </w:p>
        </w:tc>
      </w:tr>
      <w:tr w14:paraId="03E10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15446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979" w:type="pct"/>
            <w:gridSpan w:val="2"/>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4D9D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房间编号</w:t>
            </w:r>
          </w:p>
        </w:tc>
        <w:tc>
          <w:tcPr>
            <w:tcW w:w="954"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3309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品牌</w:t>
            </w:r>
          </w:p>
        </w:tc>
        <w:tc>
          <w:tcPr>
            <w:tcW w:w="1385"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60EE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型号</w:t>
            </w:r>
          </w:p>
        </w:tc>
        <w:tc>
          <w:tcPr>
            <w:tcW w:w="1092" w:type="pct"/>
            <w:tcBorders>
              <w:top w:val="single" w:color="000000" w:sz="6" w:space="0"/>
              <w:left w:val="nil"/>
              <w:bottom w:val="single" w:color="000000" w:sz="6" w:space="0"/>
              <w:right w:val="single" w:color="000000" w:sz="6" w:space="0"/>
            </w:tcBorders>
            <w:shd w:val="clear" w:color="auto" w:fill="EFEFEF"/>
            <w:tcMar>
              <w:top w:w="0" w:type="dxa"/>
              <w:left w:w="105" w:type="dxa"/>
              <w:bottom w:w="0" w:type="dxa"/>
              <w:right w:w="105" w:type="dxa"/>
            </w:tcMar>
            <w:vAlign w:val="center"/>
          </w:tcPr>
          <w:p w14:paraId="708AB02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空调情况</w:t>
            </w:r>
          </w:p>
        </w:tc>
      </w:tr>
      <w:tr w14:paraId="4E1C7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E4E40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95432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A7E1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D7361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62870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3AF0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C14A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1F9F7B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EF549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AC51C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8F75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6CB0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E6F36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7DA92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DA54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656F5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7687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B9BD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6E08DA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91CD7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EA2B0A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BD2EE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E3EF5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2301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A81FF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3EAC05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466B2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9C9CC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C88F5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6C43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C178A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61223B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62571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00960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EDA05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E1C3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162BA3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A3165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6AAE5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C341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259DC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53613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17F26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D76A7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7942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3152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B6E4F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B45E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3F328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7784C0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62D2D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9E62A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B177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D584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98A0C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5FABE5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阶梯教室1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14B2B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36CB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0AF4F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7C99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BC9C9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B80F1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阶梯教室2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4439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A5C6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E6DD4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643E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0F6F53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07045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46D58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50831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6F08E4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C7C8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EFA645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CFF37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8837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B6645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43D40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风叶打不开</w:t>
            </w:r>
          </w:p>
        </w:tc>
      </w:tr>
      <w:tr w14:paraId="4CEEB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083C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7D698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D2915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1A77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D542E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风叶打不开</w:t>
            </w:r>
          </w:p>
        </w:tc>
      </w:tr>
      <w:tr w14:paraId="3FD5C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D5CCC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6B2D57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8731B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DAEC5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KFR-25GW/DC</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A31E1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08DF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D09799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BF39F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8CA8D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E692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KFR-25GW/DC</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60B4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1E1FD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5C36B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D0FD5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9D5A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7507B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A09BD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4067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04C0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BE471B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7417A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7A394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70D94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7CCB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04318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1BDD8F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B0D92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C505B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8972D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只制冷不制热</w:t>
            </w:r>
          </w:p>
        </w:tc>
      </w:tr>
      <w:tr w14:paraId="177E3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12097A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11E3B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0920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76863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A6631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5F05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9CF796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921051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36EB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932D8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FDA5F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C540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540048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AEB37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7EFC2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A2F9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C004E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870C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493E7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B611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AE2A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1F28E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2FF9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CA62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06A454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E8BBF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551B8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CB6B9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36D3E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3ED2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72126B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00B47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1CFC2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BEC0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D52A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8633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21E23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1A001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7366A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9C040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4E5F4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3C39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9C566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BA0E2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1191C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50191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7199B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4006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3101A9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D8DE1E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1F0ED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E98CD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7A6B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9337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7FAB6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6BFF88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DBFB6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81686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36928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A4A1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8A4B2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FB60F6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F6A74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CDA46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KFR-51LW/DG</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7C9F2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7F39A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83E75D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8358C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BAA6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26833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E115C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7C03D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AB395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377827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E45DE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00D81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1BA3B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7FBC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6"/>
            <w:tcBorders>
              <w:top w:val="nil"/>
              <w:left w:val="single" w:color="000000" w:sz="6" w:space="0"/>
              <w:bottom w:val="nil"/>
              <w:right w:val="nil"/>
            </w:tcBorders>
            <w:shd w:val="clear" w:color="auto" w:fill="BCBCBC"/>
            <w:tcMar>
              <w:top w:w="0" w:type="dxa"/>
              <w:left w:w="105" w:type="dxa"/>
              <w:bottom w:w="0" w:type="dxa"/>
              <w:right w:w="105" w:type="dxa"/>
            </w:tcMar>
            <w:vAlign w:val="center"/>
          </w:tcPr>
          <w:p w14:paraId="52628EB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食堂</w:t>
            </w:r>
          </w:p>
        </w:tc>
      </w:tr>
      <w:tr w14:paraId="29674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6B4CBA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7731D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食堂1号机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4A74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55AC8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E3AF8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9539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8CC25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78AE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食堂2号机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E77F6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F2ED1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7B28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90B51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4B719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A5900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食堂3号机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C54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4E7E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0E5D3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5F76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76DB3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7D9AA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食堂4号机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8B419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AC57B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3E17D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D15B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8C47B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088BB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食堂5号机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2D9AC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AED816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68C20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8405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BC671D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57150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食堂6号机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C0226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49B5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F66C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7752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EAE3A7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39</w:t>
            </w:r>
          </w:p>
        </w:tc>
        <w:tc>
          <w:tcPr>
            <w:tcW w:w="979" w:type="pct"/>
            <w:gridSpan w:val="2"/>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2850F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食堂7号机</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4C584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69AB0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2D768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17E9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6"/>
            <w:tcBorders>
              <w:top w:val="single" w:color="000000" w:sz="6" w:space="0"/>
              <w:left w:val="single" w:color="000000" w:sz="6" w:space="0"/>
              <w:bottom w:val="single" w:color="000000" w:sz="6" w:space="0"/>
              <w:right w:val="single" w:color="000000" w:sz="6" w:space="0"/>
            </w:tcBorders>
            <w:shd w:val="clear" w:color="auto" w:fill="D0D0D0"/>
            <w:tcMar>
              <w:top w:w="0" w:type="dxa"/>
              <w:left w:w="105" w:type="dxa"/>
              <w:bottom w:w="0" w:type="dxa"/>
              <w:right w:w="105" w:type="dxa"/>
            </w:tcMar>
            <w:vAlign w:val="center"/>
          </w:tcPr>
          <w:p w14:paraId="0B0ACCA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学生公寓</w:t>
            </w:r>
          </w:p>
        </w:tc>
      </w:tr>
      <w:tr w14:paraId="2F4D7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39893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748C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F5131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7B53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CAA12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0BE2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16EC1D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9CD7A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10D79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01DC2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3C885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161F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ABDB0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6AF7A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8EAB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1FFAA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AB3D1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518A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BBB1B3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C18BB0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916B9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8D546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1451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A5D3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A95D78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1E26FA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92D4A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ABFC0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96A2C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3663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CF6D3C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C001B6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7878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A5B2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D33F1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CF63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84CC6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8B4023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DC97D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6ED9C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4389A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03F8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3F597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58393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A10A46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A7C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1F6B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8AB7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F39964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7187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20261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7B30A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0DF6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90A8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2F1C8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A001B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A24F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5B5D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F3326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7871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4CE67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1156D4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36EF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9D3E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2E20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7800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4A8F33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9A8EE1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3F616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CDAB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C5DCD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96AB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9867B0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550915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D108B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DC004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56D08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E18C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6EB87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B7BC5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A5246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4A25D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KFR-26GM</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3A45F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005F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7CFD41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E15A29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2F16C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704C2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C6180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131E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BAD66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D439E3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FF25E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3EC70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A465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991F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65E122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65FEB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0958A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C8268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83290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6B3E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4C2962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60D4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DE7D0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E43CA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9A61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5E34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7D8043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74020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E85A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D11E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KFR-26GM</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00473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AEDE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3587FF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895BF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4857B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76805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B23E7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E6C4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963284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8B86D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92CC5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04901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E96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6EC8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3B092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2B682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68A28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51877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437F5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2082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861B28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A37BD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229CC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DF9D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5D31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9C4B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E4A23E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45A737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C094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BC6E7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EDF8A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94C6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22F79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DCF07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6883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03F3E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C816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E2BC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BCF8FB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810E4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8F839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081D9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FAEDB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6B83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F6089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EFFD4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43FCA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4DEC9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A12A3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9C95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5E314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ADBC4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75286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625FC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4ADF3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352E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8E20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D658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1C67E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7EE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0680E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7F44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1613D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6BCC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F92D8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87180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628C6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4547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34FF50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6FC972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628F5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07D44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7305D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A3A7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D5DC78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DC68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54A6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082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D602D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721D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A1A97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F0C76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67F82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CCF94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7860C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20958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4175A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5AE2A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EF317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62E6D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3B67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64FB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3675C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389A4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86B9C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1F959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8677C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B10F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D710E1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9F4EB8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F6AA7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5A7F3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74FB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E8E8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F8FA19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4C7D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99A2A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CD0A4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211E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8B68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4BDC9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B2C5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F084D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40E1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16503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8AF1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C4AF1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2E05F9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9682C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891A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3E490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F053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2E6E41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501EF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05A9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7CB74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FFACF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E51D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CCA9D7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4E28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7B923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0DBF9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81D21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88DD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5867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4DDD0D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5CECB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4729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52865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2E67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7D57BB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C7251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36A2C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E70B9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89725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7BE6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EB3DBA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3D2B91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1A72A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11CFB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4B90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E4F39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6F94B6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5337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0455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A6153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9CB4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9DBA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721EA9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B9C36A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AF54E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2D15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E78F7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4F24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08046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2BEC81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61E53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C10A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KFR-26GW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024D2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8124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C1B63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42448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98818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D3C71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6E908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FE4A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1A335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756A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2874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BDE2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4CCFD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6BAF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145675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3388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6B3BE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5EF8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B262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AAF9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00A58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02A93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F7B14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682F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1100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DB7F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B80E05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196749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9DDD4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8DEE7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C08DE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BF6A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1D66C1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9B0A4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842A0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8304B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99A1B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006F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0683D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17A299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403A9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469D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8E9DB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572C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B4825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23FAFF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2B6F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84B99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E10B1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402A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CDE6E4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37B48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3D0C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40B77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DDD38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834E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CE3461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2A1516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336F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B91E5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3A31D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E56D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5AB5CC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97</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94C782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B949B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5224E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1863F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204E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39C4FE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98</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5F08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A263D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35907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E1C1F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DECB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122EB6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99</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1E235E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701F8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649CD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47448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9350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75BE9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E1435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F30D7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DDD88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84E54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52E0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F894FA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834E7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00A0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3F3D6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653B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D6AC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64A235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EC00F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19A8F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9F479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2AA69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8724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7C583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D9DE2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0BF6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FA1C2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8B3BF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A574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DAE94D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40556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DC4A2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796A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852FD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8EC8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CBA28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A4F3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B365F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D472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5E695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529F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88"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73F955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106</w:t>
            </w:r>
          </w:p>
        </w:tc>
        <w:tc>
          <w:tcPr>
            <w:tcW w:w="979" w:type="pct"/>
            <w:gridSpan w:val="2"/>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4F0604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B0179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0BC31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9E14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2C4B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6"/>
            <w:tcBorders>
              <w:top w:val="single" w:color="000000" w:sz="6" w:space="0"/>
              <w:left w:val="single" w:color="000000" w:sz="6" w:space="0"/>
              <w:bottom w:val="single" w:color="000000" w:sz="6" w:space="0"/>
              <w:right w:val="single" w:color="000000" w:sz="6" w:space="0"/>
            </w:tcBorders>
            <w:shd w:val="clear" w:color="auto" w:fill="A0A0A0"/>
            <w:tcMar>
              <w:top w:w="0" w:type="dxa"/>
              <w:left w:w="105" w:type="dxa"/>
              <w:bottom w:w="0" w:type="dxa"/>
              <w:right w:w="105" w:type="dxa"/>
            </w:tcMar>
            <w:vAlign w:val="center"/>
          </w:tcPr>
          <w:p w14:paraId="5257094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客房部</w:t>
            </w:r>
          </w:p>
        </w:tc>
      </w:tr>
      <w:tr w14:paraId="12592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6E8A4A8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107</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9A53D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F705E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CCF4C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KFR-25GW/DC3</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9403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1984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37DDAE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108</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64DEC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FF89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B8D15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KFR-120LW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CDF42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A0CA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3CFAA00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109</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8619C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EF699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47145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KFR-120LW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43CBA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C73D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7D19D4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E2BFF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3CD46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6FBBE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KFR-120LW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3F2F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C5F5E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208A280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5F9152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CA0D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7E668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KFR-120LW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EDC09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B62A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25DB2F2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FC66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1-10</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251B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21B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KFR-25GW/DC3</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51497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0EB6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767F384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E59F99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DD9A1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34159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8E48D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内机异响</w:t>
            </w:r>
          </w:p>
        </w:tc>
      </w:tr>
      <w:tr w14:paraId="4F582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5BAF34A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662C5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0044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550A1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6193B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内机异响</w:t>
            </w:r>
          </w:p>
        </w:tc>
      </w:tr>
      <w:tr w14:paraId="2177E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5C62733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149B1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DB31D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E8142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7A1C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309C7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18A51BB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2017F5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B659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6FED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15AB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2355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284246F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117</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A2B50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2BAE7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73835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E99CF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88D21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67D18CF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118</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39B262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45D8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B14C4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F7BE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1134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4C39D4F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119</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2EF0E4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9F0BA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BD5EE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E5DA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42C6D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2DED43A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120</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6D6918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7296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41B7B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4A7F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6A651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76941C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8E625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CEBD2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6E4F5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3970B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227FA4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70D6135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F1EBB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B2948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0B913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FDCBA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3CE84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44921A4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EBC599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744F7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19C4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2E418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02841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4B4656A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124</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AAC7C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63770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E286B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7FB7F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AD8C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49A1B64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125</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49878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FA073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150E7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4C316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0BF1D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1C98F6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126</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5E8AC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7EEFF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B4DB7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E1BD0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内机异响</w:t>
            </w:r>
          </w:p>
        </w:tc>
      </w:tr>
      <w:tr w14:paraId="5839A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52E85A5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127</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3C9AF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E2C1B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A55DA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85BCA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4316C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45EB008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128</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3F8697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35D9E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90294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23F09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7F637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0939D51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129</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648B76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64FF7F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AFF88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3F763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只制冷不制热</w:t>
            </w:r>
          </w:p>
        </w:tc>
      </w:tr>
      <w:tr w14:paraId="15F4C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31238CE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130</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832FE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5A530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F9AF7C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637BF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5E3F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nil"/>
            </w:tcBorders>
            <w:shd w:val="clear" w:color="auto" w:fill="auto"/>
            <w:tcMar>
              <w:top w:w="0" w:type="dxa"/>
              <w:left w:w="105" w:type="dxa"/>
              <w:bottom w:w="0" w:type="dxa"/>
              <w:right w:w="105" w:type="dxa"/>
            </w:tcMar>
            <w:vAlign w:val="center"/>
          </w:tcPr>
          <w:p w14:paraId="3D9A59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970"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5DDB96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4-9</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CAD6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597E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KFR-36GW/DH</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3B4AF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2AC2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3B32CC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0997C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值班室</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6490D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A6161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KF-35GW/E</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C3262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739CF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D909C4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133</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AE3A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门卫室</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D3223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3BDE3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KFR-32GW/E</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04FCE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3058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5047A9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134</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18981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监控室</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16FB8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E01B3F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KFR70LW/E1</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79B96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79DFC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00" w:type="pct"/>
            <w:gridSpan w:val="6"/>
            <w:tcBorders>
              <w:top w:val="single" w:color="000000" w:sz="6" w:space="0"/>
              <w:left w:val="single" w:color="000000" w:sz="6" w:space="0"/>
              <w:bottom w:val="single" w:color="000000" w:sz="6" w:space="0"/>
              <w:right w:val="single" w:color="000000" w:sz="6" w:space="0"/>
            </w:tcBorders>
            <w:shd w:val="clear" w:color="auto" w:fill="A4A4A4"/>
            <w:tcMar>
              <w:top w:w="0" w:type="dxa"/>
              <w:left w:w="105" w:type="dxa"/>
              <w:bottom w:w="0" w:type="dxa"/>
              <w:right w:w="105" w:type="dxa"/>
            </w:tcMar>
            <w:vAlign w:val="center"/>
          </w:tcPr>
          <w:p w14:paraId="77C507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新大楼</w:t>
            </w:r>
          </w:p>
        </w:tc>
      </w:tr>
      <w:tr w14:paraId="745C3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C8F432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135</w:t>
            </w:r>
          </w:p>
        </w:tc>
        <w:tc>
          <w:tcPr>
            <w:tcW w:w="970"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89EED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954"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C7ABC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D0B32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KFR-72LW</w:t>
            </w:r>
          </w:p>
        </w:tc>
        <w:tc>
          <w:tcPr>
            <w:tcW w:w="1092"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FD2A1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4A60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C4F4E7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136</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5347D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FAC88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22389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KFR-72LW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A6886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70A5E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6"/>
            <w:tcBorders>
              <w:top w:val="nil"/>
              <w:left w:val="single" w:color="000000" w:sz="6" w:space="0"/>
              <w:bottom w:val="single" w:color="000000" w:sz="6" w:space="0"/>
              <w:right w:val="single" w:color="000000" w:sz="6" w:space="0"/>
            </w:tcBorders>
            <w:shd w:val="clear" w:color="auto" w:fill="A4A4A4"/>
            <w:tcMar>
              <w:top w:w="0" w:type="dxa"/>
              <w:left w:w="105" w:type="dxa"/>
              <w:bottom w:w="0" w:type="dxa"/>
              <w:right w:w="105" w:type="dxa"/>
            </w:tcMar>
            <w:vAlign w:val="center"/>
          </w:tcPr>
          <w:p w14:paraId="670EED8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E区库房</w:t>
            </w:r>
          </w:p>
        </w:tc>
      </w:tr>
      <w:tr w14:paraId="7E96A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30D6B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137</w:t>
            </w:r>
          </w:p>
        </w:tc>
        <w:tc>
          <w:tcPr>
            <w:tcW w:w="970"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FA0F4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库房2</w:t>
            </w:r>
          </w:p>
        </w:tc>
        <w:tc>
          <w:tcPr>
            <w:tcW w:w="954"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33BE3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5EF91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KFR-50GW/K</w:t>
            </w:r>
          </w:p>
        </w:tc>
        <w:tc>
          <w:tcPr>
            <w:tcW w:w="1092"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B8212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18041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10DA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138</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69A13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库房4</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BDEFF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64C0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KFR-50GW/K</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63A4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效果差</w:t>
            </w:r>
          </w:p>
        </w:tc>
      </w:tr>
      <w:tr w14:paraId="1D0FF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D79688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139</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80670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13BA7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3FAD9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KF-35GW/E</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83B17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49BB4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E6BA1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140</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5B233C">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门卫室1</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BDE14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格力</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AC664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KF-35GW/E</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45D2A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5EE8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3FED96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141</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2B192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门卫室2</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0C27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长虹</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E4E29D">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KFR-25GW/DC3</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AB7F54">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0173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000" w:type="pct"/>
            <w:gridSpan w:val="6"/>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E002F7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实训楼</w:t>
            </w:r>
          </w:p>
        </w:tc>
      </w:tr>
      <w:tr w14:paraId="2B670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FE4F9F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142</w:t>
            </w:r>
          </w:p>
        </w:tc>
        <w:tc>
          <w:tcPr>
            <w:tcW w:w="970"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859BE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实训楼1楼</w:t>
            </w:r>
          </w:p>
        </w:tc>
        <w:tc>
          <w:tcPr>
            <w:tcW w:w="954"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1BC11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18FED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AC103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5D3B2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AB3A6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143</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0E62E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实训楼1楼</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7CC7F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0E83C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0CE4C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20232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1C8CE6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144</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E1029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实训楼1楼</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D6D82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5E323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B3DF2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r w14:paraId="19846C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97" w:type="pct"/>
            <w:gridSpan w:val="2"/>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B49216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145</w:t>
            </w:r>
          </w:p>
        </w:tc>
        <w:tc>
          <w:tcPr>
            <w:tcW w:w="970"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A478F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实训楼1楼</w:t>
            </w:r>
          </w:p>
        </w:tc>
        <w:tc>
          <w:tcPr>
            <w:tcW w:w="954"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090D3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美的</w:t>
            </w:r>
          </w:p>
        </w:tc>
        <w:tc>
          <w:tcPr>
            <w:tcW w:w="1385"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5A9D0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KFR-35GW</w:t>
            </w:r>
          </w:p>
        </w:tc>
        <w:tc>
          <w:tcPr>
            <w:tcW w:w="109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157532">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0" w:firstLineChars="0"/>
              <w:jc w:val="center"/>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正常</w:t>
            </w:r>
          </w:p>
        </w:tc>
      </w:tr>
    </w:tbl>
    <w:p w14:paraId="5DF630DC">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2" w:firstLineChars="200"/>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val="en-US" w:eastAsia="zh-CN"/>
        </w:rPr>
        <w:t>2.设备维保要求</w:t>
      </w:r>
    </w:p>
    <w:p w14:paraId="074424C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1）</w:t>
      </w:r>
      <w:r>
        <w:rPr>
          <w:rFonts w:hint="eastAsia" w:ascii="仿宋" w:hAnsi="仿宋" w:eastAsia="仿宋" w:cs="仿宋"/>
          <w:color w:val="auto"/>
          <w:kern w:val="2"/>
          <w:sz w:val="24"/>
          <w:szCs w:val="24"/>
          <w:highlight w:val="none"/>
        </w:rPr>
        <w:t>定期保养：每年进行两次保养，上下半年各一次，保养内容包括：检查空调运行状况、空调安全性能等，对空调存在的问题进行修复处理。</w:t>
      </w:r>
    </w:p>
    <w:p w14:paraId="7A613825">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rPr>
        <w:t>定期清洗：每年进行两次深度清洗，上下半年各一次，清洗包括内外机：机壳、接水盘污垢、过滤网、散热网、循环管、叶轮、排水管污垢、蒸发器、冷凝器、进出风口等。</w:t>
      </w:r>
    </w:p>
    <w:p w14:paraId="44C9210E">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rPr>
        <w:t>不定期清洗，接到科室的分体空调清洗需求后，按要求进行清洗。</w:t>
      </w:r>
    </w:p>
    <w:p w14:paraId="6AFFD08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平时维修维护，接到科室的报修需求后，对维保范围内的各类品牌分体空调进行维修维护，包括空调不启动、不工作、不制冷、不制热、滴水漏水、不出风、风量小、结冰结霜、保温层损坏缺失、排水不畅通、铜管损坏、缺氟漏氟等，确保空调正常运行，保障科室的使用需求。</w:t>
      </w:r>
    </w:p>
    <w:p w14:paraId="4997A92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b w:val="0"/>
          <w:bCs w:val="0"/>
          <w:color w:val="auto"/>
          <w:kern w:val="2"/>
          <w:sz w:val="24"/>
          <w:szCs w:val="24"/>
          <w:highlight w:val="none"/>
          <w:lang w:val="en-US" w:eastAsia="zh-CN"/>
        </w:rPr>
      </w:pPr>
      <w:r>
        <w:rPr>
          <w:rFonts w:hint="eastAsia" w:ascii="仿宋" w:hAnsi="仿宋" w:eastAsia="仿宋" w:cs="仿宋"/>
          <w:b w:val="0"/>
          <w:bCs w:val="0"/>
          <w:color w:val="auto"/>
          <w:kern w:val="2"/>
          <w:sz w:val="24"/>
          <w:szCs w:val="24"/>
          <w:highlight w:val="none"/>
          <w:lang w:eastAsia="zh-CN"/>
        </w:rPr>
        <w:t>（</w:t>
      </w:r>
      <w:r>
        <w:rPr>
          <w:rFonts w:hint="eastAsia" w:ascii="仿宋" w:hAnsi="仿宋" w:eastAsia="仿宋" w:cs="仿宋"/>
          <w:b w:val="0"/>
          <w:bCs w:val="0"/>
          <w:color w:val="auto"/>
          <w:kern w:val="2"/>
          <w:sz w:val="24"/>
          <w:szCs w:val="24"/>
          <w:highlight w:val="none"/>
          <w:lang w:val="en-US" w:eastAsia="zh-CN"/>
        </w:rPr>
        <w:t>5）</w:t>
      </w:r>
      <w:r>
        <w:rPr>
          <w:rFonts w:hint="eastAsia" w:ascii="仿宋" w:hAnsi="仿宋" w:eastAsia="仿宋" w:cs="仿宋"/>
          <w:b w:val="0"/>
          <w:bCs w:val="0"/>
          <w:color w:val="auto"/>
          <w:kern w:val="2"/>
          <w:sz w:val="24"/>
          <w:szCs w:val="24"/>
          <w:highlight w:val="none"/>
        </w:rPr>
        <w:t>多联空调机组</w:t>
      </w:r>
      <w:r>
        <w:rPr>
          <w:rFonts w:hint="eastAsia" w:ascii="仿宋" w:hAnsi="仿宋" w:eastAsia="仿宋" w:cs="仿宋"/>
          <w:b w:val="0"/>
          <w:bCs w:val="0"/>
          <w:color w:val="auto"/>
          <w:kern w:val="2"/>
          <w:sz w:val="24"/>
          <w:szCs w:val="24"/>
          <w:highlight w:val="none"/>
          <w:lang w:val="en-US" w:eastAsia="zh-CN"/>
        </w:rPr>
        <w:t>维保要求：</w:t>
      </w:r>
    </w:p>
    <w:p w14:paraId="25FDE1C9">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多联空调机组维修维护包括整套系统从主端到末端，与空调配套的配电箱、线路等也在维修维护范围内。</w:t>
      </w:r>
    </w:p>
    <w:p w14:paraId="3EAD39E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jc w:val="both"/>
        <w:rPr>
          <w:rFonts w:hint="eastAsia" w:ascii="仿宋" w:hAnsi="仿宋" w:eastAsia="仿宋" w:cs="仿宋"/>
          <w:b w:val="0"/>
          <w:bCs w:val="0"/>
          <w:color w:val="auto"/>
          <w:kern w:val="2"/>
          <w:sz w:val="24"/>
          <w:szCs w:val="24"/>
          <w:highlight w:val="none"/>
          <w:lang w:val="en-US" w:eastAsia="zh-CN"/>
        </w:rPr>
      </w:pPr>
      <w:r>
        <w:rPr>
          <w:rFonts w:hint="eastAsia" w:ascii="仿宋" w:hAnsi="仿宋" w:eastAsia="仿宋" w:cs="仿宋"/>
          <w:b w:val="0"/>
          <w:bCs w:val="0"/>
          <w:color w:val="auto"/>
          <w:kern w:val="2"/>
          <w:sz w:val="24"/>
          <w:szCs w:val="24"/>
          <w:highlight w:val="none"/>
          <w:lang w:eastAsia="zh-CN"/>
        </w:rPr>
        <w:t>（</w:t>
      </w:r>
      <w:r>
        <w:rPr>
          <w:rFonts w:hint="eastAsia" w:ascii="仿宋" w:hAnsi="仿宋" w:eastAsia="仿宋" w:cs="仿宋"/>
          <w:b w:val="0"/>
          <w:bCs w:val="0"/>
          <w:color w:val="auto"/>
          <w:kern w:val="2"/>
          <w:sz w:val="24"/>
          <w:szCs w:val="24"/>
          <w:highlight w:val="none"/>
          <w:lang w:val="en-US" w:eastAsia="zh-CN"/>
        </w:rPr>
        <w:t>6）</w:t>
      </w:r>
      <w:r>
        <w:rPr>
          <w:rFonts w:hint="eastAsia" w:ascii="仿宋" w:hAnsi="仿宋" w:eastAsia="仿宋" w:cs="仿宋"/>
          <w:b w:val="0"/>
          <w:bCs w:val="0"/>
          <w:color w:val="auto"/>
          <w:kern w:val="2"/>
          <w:sz w:val="24"/>
          <w:szCs w:val="24"/>
          <w:highlight w:val="none"/>
        </w:rPr>
        <w:t>净化空调机组</w:t>
      </w:r>
      <w:r>
        <w:rPr>
          <w:rFonts w:hint="eastAsia" w:ascii="仿宋" w:hAnsi="仿宋" w:eastAsia="仿宋" w:cs="仿宋"/>
          <w:b w:val="0"/>
          <w:bCs w:val="0"/>
          <w:color w:val="auto"/>
          <w:kern w:val="2"/>
          <w:sz w:val="24"/>
          <w:szCs w:val="24"/>
          <w:highlight w:val="none"/>
          <w:lang w:val="en-US" w:eastAsia="zh-CN"/>
        </w:rPr>
        <w:t>维保要求：</w:t>
      </w:r>
    </w:p>
    <w:p w14:paraId="1F8DE07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每季度更换一次初效过滤器，每半年更换一次中效过滤器，每年更换一次高效过滤器。</w:t>
      </w:r>
    </w:p>
    <w:p w14:paraId="17C375A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净化空调机组维修维护包括整套系统从主端到末端，净化空调机组配套的配电箱、控制系统、线路也在维修维护范围内。</w:t>
      </w:r>
    </w:p>
    <w:p w14:paraId="0D0B509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rPr>
          <w:rFonts w:hint="eastAsia" w:ascii="仿宋" w:hAnsi="仿宋" w:eastAsia="仿宋" w:cs="仿宋"/>
          <w:b w:val="0"/>
          <w:bCs w:val="0"/>
          <w:color w:val="auto"/>
          <w:kern w:val="2"/>
          <w:sz w:val="24"/>
          <w:szCs w:val="24"/>
          <w:highlight w:val="none"/>
          <w:lang w:val="en-US" w:eastAsia="zh-CN"/>
        </w:rPr>
      </w:pPr>
      <w:r>
        <w:rPr>
          <w:rFonts w:hint="eastAsia" w:ascii="仿宋" w:hAnsi="仿宋" w:eastAsia="仿宋" w:cs="仿宋"/>
          <w:b w:val="0"/>
          <w:bCs w:val="0"/>
          <w:color w:val="auto"/>
          <w:kern w:val="2"/>
          <w:sz w:val="24"/>
          <w:szCs w:val="24"/>
          <w:highlight w:val="none"/>
          <w:lang w:eastAsia="zh-CN"/>
        </w:rPr>
        <w:t>（</w:t>
      </w:r>
      <w:r>
        <w:rPr>
          <w:rFonts w:hint="eastAsia" w:ascii="仿宋" w:hAnsi="仿宋" w:eastAsia="仿宋" w:cs="仿宋"/>
          <w:b w:val="0"/>
          <w:bCs w:val="0"/>
          <w:color w:val="auto"/>
          <w:kern w:val="2"/>
          <w:sz w:val="24"/>
          <w:szCs w:val="24"/>
          <w:highlight w:val="none"/>
          <w:lang w:val="en-US" w:eastAsia="zh-CN"/>
        </w:rPr>
        <w:t>7）</w:t>
      </w:r>
      <w:r>
        <w:rPr>
          <w:rFonts w:hint="eastAsia" w:ascii="仿宋" w:hAnsi="仿宋" w:eastAsia="仿宋" w:cs="仿宋"/>
          <w:b w:val="0"/>
          <w:bCs w:val="0"/>
          <w:color w:val="auto"/>
          <w:kern w:val="2"/>
          <w:sz w:val="24"/>
          <w:szCs w:val="24"/>
          <w:highlight w:val="none"/>
        </w:rPr>
        <w:t>分体空调</w:t>
      </w:r>
      <w:r>
        <w:rPr>
          <w:rFonts w:hint="eastAsia" w:ascii="仿宋" w:hAnsi="仿宋" w:eastAsia="仿宋" w:cs="仿宋"/>
          <w:b w:val="0"/>
          <w:bCs w:val="0"/>
          <w:color w:val="auto"/>
          <w:kern w:val="2"/>
          <w:sz w:val="24"/>
          <w:szCs w:val="24"/>
          <w:highlight w:val="none"/>
          <w:lang w:val="en-US" w:eastAsia="zh-CN"/>
        </w:rPr>
        <w:t>维保要求：</w:t>
      </w:r>
    </w:p>
    <w:p w14:paraId="1965BFD0">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供应商</w:t>
      </w:r>
      <w:r>
        <w:rPr>
          <w:rFonts w:hint="eastAsia" w:ascii="仿宋" w:hAnsi="仿宋" w:eastAsia="仿宋" w:cs="仿宋"/>
          <w:color w:val="auto"/>
          <w:kern w:val="2"/>
          <w:sz w:val="24"/>
          <w:szCs w:val="24"/>
          <w:highlight w:val="none"/>
        </w:rPr>
        <w:t>负责旧空调拆除（包括支架、背架、连接管等）。</w:t>
      </w:r>
    </w:p>
    <w:p w14:paraId="6D50DE8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Segoe UI Symbol" w:hAnsi="Segoe UI Symbol" w:eastAsia="仿宋" w:cs="Segoe UI Symbol"/>
          <w:b/>
          <w:bCs/>
          <w:color w:val="auto"/>
          <w:sz w:val="24"/>
          <w:szCs w:val="22"/>
          <w:highlight w:val="none"/>
        </w:rPr>
      </w:pPr>
      <w:r>
        <w:rPr>
          <w:rFonts w:hint="eastAsia" w:ascii="仿宋" w:hAnsi="仿宋" w:eastAsia="仿宋" w:cs="仿宋"/>
          <w:color w:val="auto"/>
          <w:kern w:val="2"/>
          <w:sz w:val="24"/>
          <w:szCs w:val="24"/>
          <w:highlight w:val="none"/>
          <w:lang w:val="en-US" w:eastAsia="zh-CN"/>
        </w:rPr>
        <w:t>供应商</w:t>
      </w:r>
      <w:r>
        <w:rPr>
          <w:rFonts w:hint="eastAsia" w:ascii="仿宋" w:hAnsi="仿宋" w:eastAsia="仿宋" w:cs="仿宋"/>
          <w:color w:val="auto"/>
          <w:kern w:val="2"/>
          <w:sz w:val="24"/>
          <w:szCs w:val="24"/>
          <w:highlight w:val="none"/>
        </w:rPr>
        <w:t>负责空调移机、旧空调安装（包括增加铜管、连接线、支架、背架等）。</w:t>
      </w:r>
    </w:p>
    <w:p w14:paraId="5C435E22">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Times New Roman" w:hAnsi="Times New Roman" w:eastAsia="仿宋" w:cs="Times New Roman"/>
          <w:b/>
          <w:bCs/>
          <w:color w:val="auto"/>
          <w:sz w:val="24"/>
          <w:szCs w:val="24"/>
          <w:highlight w:val="none"/>
          <w:lang w:val="en-US" w:eastAsia="zh-CN"/>
        </w:rPr>
      </w:pPr>
      <w:r>
        <w:rPr>
          <w:rFonts w:ascii="Segoe UI Symbol" w:hAnsi="Segoe UI Symbol" w:eastAsia="仿宋" w:cs="Segoe UI Symbol"/>
          <w:b/>
          <w:bCs/>
          <w:color w:val="auto"/>
          <w:sz w:val="24"/>
          <w:szCs w:val="22"/>
          <w:highlight w:val="none"/>
        </w:rPr>
        <w:t>★</w:t>
      </w:r>
      <w:r>
        <w:rPr>
          <w:rFonts w:hint="eastAsia" w:ascii="Times New Roman" w:hAnsi="Times New Roman" w:eastAsia="仿宋" w:cs="Times New Roman"/>
          <w:b/>
          <w:bCs/>
          <w:color w:val="auto"/>
          <w:sz w:val="24"/>
          <w:szCs w:val="24"/>
          <w:highlight w:val="none"/>
          <w:lang w:val="en-US" w:eastAsia="zh-CN"/>
        </w:rPr>
        <w:t>三、服务内容及服务要求</w:t>
      </w:r>
    </w:p>
    <w:p w14:paraId="7EA3572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default"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val="en-US" w:eastAsia="zh-CN"/>
        </w:rPr>
        <w:t>（一）服务内容及维修范围</w:t>
      </w:r>
    </w:p>
    <w:p w14:paraId="2522B93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firstLine="480" w:firstLineChars="200"/>
        <w:jc w:val="both"/>
        <w:rPr>
          <w:rFonts w:hint="eastAsia" w:ascii="仿宋" w:hAnsi="仿宋" w:eastAsia="仿宋" w:cs="仿宋"/>
          <w:b w:val="0"/>
          <w:bCs w:val="0"/>
          <w:color w:val="auto"/>
          <w:sz w:val="24"/>
          <w:szCs w:val="24"/>
          <w:highlight w:val="none"/>
          <w:lang w:eastAsia="zh-CN"/>
        </w:rPr>
      </w:pPr>
      <w:r>
        <w:rPr>
          <w:rFonts w:hint="eastAsia" w:ascii="Times New Roman" w:hAnsi="Times New Roman" w:eastAsia="仿宋" w:cs="Times New Roman"/>
          <w:b w:val="0"/>
          <w:bCs w:val="0"/>
          <w:color w:val="auto"/>
          <w:sz w:val="24"/>
          <w:szCs w:val="24"/>
          <w:highlight w:val="none"/>
          <w:lang w:val="en-US" w:eastAsia="zh-CN"/>
        </w:rPr>
        <w:t>1.</w:t>
      </w:r>
      <w:r>
        <w:rPr>
          <w:rStyle w:val="21"/>
          <w:rFonts w:hint="eastAsia" w:ascii="仿宋" w:hAnsi="仿宋" w:eastAsia="仿宋" w:cs="仿宋"/>
          <w:b w:val="0"/>
          <w:bCs w:val="0"/>
          <w:color w:val="auto"/>
          <w:kern w:val="2"/>
          <w:sz w:val="24"/>
          <w:szCs w:val="24"/>
          <w:highlight w:val="none"/>
        </w:rPr>
        <w:t>服务内容</w:t>
      </w:r>
      <w:r>
        <w:rPr>
          <w:rStyle w:val="21"/>
          <w:rFonts w:hint="eastAsia" w:ascii="仿宋" w:hAnsi="仿宋" w:eastAsia="仿宋" w:cs="仿宋"/>
          <w:b w:val="0"/>
          <w:bCs w:val="0"/>
          <w:color w:val="auto"/>
          <w:kern w:val="2"/>
          <w:sz w:val="24"/>
          <w:szCs w:val="24"/>
          <w:highlight w:val="none"/>
          <w:lang w:eastAsia="zh-CN"/>
        </w:rPr>
        <w:t>包括以下内容及其他采购人安排的常规空调维保服务。</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125"/>
        <w:gridCol w:w="8722"/>
      </w:tblGrid>
      <w:tr w14:paraId="13755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D6135F9">
            <w:pPr>
              <w:pStyle w:val="14"/>
              <w:keepNext/>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清洗保养类</w:t>
            </w:r>
          </w:p>
        </w:tc>
        <w:tc>
          <w:tcPr>
            <w:tcW w:w="7560"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D61F2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滤网清洗、蒸发器/冷凝器深度除垢、接水盘杀菌消毒、风轮清洁、排水管疏通。</w:t>
            </w:r>
          </w:p>
        </w:tc>
      </w:tr>
      <w:tr w14:paraId="19242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70FE9A">
            <w:pPr>
              <w:pStyle w:val="14"/>
              <w:keepNext/>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安装移机类</w:t>
            </w:r>
          </w:p>
        </w:tc>
        <w:tc>
          <w:tcPr>
            <w:tcW w:w="756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D2EFEB">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旧机拆除（含支架、背架、连接管）；旧机安装（含增加铜管、连接线、新支架）；移机整改（含打孔、抽真空、加氟）。</w:t>
            </w:r>
          </w:p>
        </w:tc>
      </w:tr>
      <w:tr w14:paraId="22574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86EEB5">
            <w:pPr>
              <w:pStyle w:val="14"/>
              <w:keepNext/>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线路改造类</w:t>
            </w:r>
          </w:p>
        </w:tc>
        <w:tc>
          <w:tcPr>
            <w:tcW w:w="756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169CA0">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电源线老化更换、控制线修复、加装专用插座、内外机连接线修复。</w:t>
            </w:r>
          </w:p>
        </w:tc>
      </w:tr>
      <w:tr w14:paraId="06D59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0" w:type="auto"/>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A174F2">
            <w:pPr>
              <w:pStyle w:val="14"/>
              <w:keepNext/>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系统扩展类</w:t>
            </w:r>
          </w:p>
        </w:tc>
        <w:tc>
          <w:tcPr>
            <w:tcW w:w="756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E4DAA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多联机连接的新风处理机组系统的维修维护。</w:t>
            </w:r>
          </w:p>
        </w:tc>
      </w:tr>
      <w:tr w14:paraId="66EB4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975"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9C69E41">
            <w:pPr>
              <w:pStyle w:val="14"/>
              <w:keepNext/>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管理配合类</w:t>
            </w:r>
          </w:p>
        </w:tc>
        <w:tc>
          <w:tcPr>
            <w:tcW w:w="7560"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7DE285">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0" w:firstLineChars="0"/>
              <w:textAlignment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对接后勤智慧运维管理平台、数据录入、工单流转、满意度评价。</w:t>
            </w:r>
          </w:p>
        </w:tc>
      </w:tr>
    </w:tbl>
    <w:p w14:paraId="12693F7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2.维修范围包括以下内容及其他采购人安排的常规空调维保服务。</w:t>
      </w:r>
    </w:p>
    <w:p w14:paraId="57B7D82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补加冷媒</w:t>
      </w:r>
    </w:p>
    <w:p w14:paraId="3185D42F">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简修</w:t>
      </w:r>
    </w:p>
    <w:p w14:paraId="3038F51A">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上门检修检测、调整、更换遥控器、过滤网、封堵墙洞、加长水管等服务</w:t>
      </w:r>
    </w:p>
    <w:p w14:paraId="1EC911B2">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小修</w:t>
      </w:r>
    </w:p>
    <w:p w14:paraId="17B9E8E6">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外机：更换电抗器、整流桥、接触器、继电器、压缩机过载（过流）保护器、压缩机（风机）电容、电加热带、阀体线圈、轴流风叶、换气电机、压缩机连接线、外观件、加装接水装置及其它零部件等。</w:t>
      </w:r>
    </w:p>
    <w:p w14:paraId="342697AA">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机：更换挂机壳体、柜机离心风叶；更换面板、面板卡扣、接水盘、变压器、电器盒、控制器（控制板、主板）、显示（板）、接收器（板、头）、感（管）温包（头）、保险丝（管）、电源线、扫风（导风、同步）电机、空气开关、耦合器、开关电源、方形柜机电加热管、电加热管限温器（熔断器）、出风框、扫风（导风）机构、更换水泵、及其它零部件等。</w:t>
      </w:r>
    </w:p>
    <w:p w14:paraId="0AE8464E">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其它：线路断线维修等；处理接水盘及排水管漏、堵等故障；调整、排除内外机风叶、管路零部件噪音故障；处理紧固件、接线松动、松脱等故障；加贴</w:t>
      </w:r>
      <w:r>
        <w:rPr>
          <w:rFonts w:hint="eastAsia" w:ascii="仿宋" w:hAnsi="仿宋" w:eastAsia="仿宋" w:cs="仿宋"/>
          <w:color w:val="auto"/>
          <w:sz w:val="24"/>
          <w:szCs w:val="24"/>
          <w:highlight w:val="none"/>
          <w:lang w:val="en-US" w:eastAsia="zh-CN"/>
        </w:rPr>
        <w:t>海绵</w:t>
      </w:r>
      <w:r>
        <w:rPr>
          <w:rFonts w:hint="eastAsia" w:ascii="仿宋" w:hAnsi="仿宋" w:eastAsia="仿宋" w:cs="仿宋"/>
          <w:color w:val="auto"/>
          <w:sz w:val="24"/>
          <w:szCs w:val="24"/>
          <w:highlight w:val="none"/>
        </w:rPr>
        <w:t>（阻尼块）及其它调整等。</w:t>
      </w:r>
    </w:p>
    <w:p w14:paraId="311A8BC1">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中修</w:t>
      </w:r>
    </w:p>
    <w:p w14:paraId="16F69A3F">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外机：更换底盘、电器盒部（组）件、控制器（控制板、主板）、风机、风机支架；更换管路、系统补漏等。</w:t>
      </w:r>
    </w:p>
    <w:p w14:paraId="698CF0D5">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内机：更换底壳、贯流风叶、挂机电加热管、风扇电机、蒸发器、蒸发器接头、节流元件（毛细管、电子膨胀阀、热力膨胀阀）、过滤器（分配器）；更换管路、系统补漏、圆柱柜机电加热管、圆柱柜机电加热管限温器（熔断器）等。</w:t>
      </w:r>
    </w:p>
    <w:p w14:paraId="54BE26E9">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其它：更换连接管或波纹管、接管螺母；连接管补漏；重扩喇叭口；更换内外机电源连接线、信号控制连接线等。</w:t>
      </w:r>
    </w:p>
    <w:p w14:paraId="7F9B81CA">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大修</w:t>
      </w:r>
    </w:p>
    <w:p w14:paraId="44F09A35">
      <w:pPr>
        <w:pStyle w:val="7"/>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外机：更换压缩机、冷凝器、四通阀、节流元件、阀门（截止阀）、单向阀、过滤器（分配器）储液罐、汽液分离器、消音器、电磁阀阀体及压力开关等制冷系统部件的维修。</w:t>
      </w:r>
    </w:p>
    <w:p w14:paraId="0EBC0AAC">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仿宋" w:hAnsi="仿宋" w:eastAsia="仿宋" w:cs="仿宋"/>
          <w:color w:val="auto"/>
          <w:kern w:val="2"/>
          <w:sz w:val="24"/>
          <w:szCs w:val="24"/>
          <w:highlight w:val="none"/>
          <w:lang w:val="en-US" w:eastAsia="zh-CN" w:bidi="ar"/>
        </w:rPr>
      </w:pPr>
      <w:r>
        <w:rPr>
          <w:rFonts w:hint="eastAsia" w:ascii="仿宋" w:hAnsi="仿宋" w:eastAsia="仿宋" w:cs="仿宋"/>
          <w:b/>
          <w:bCs/>
          <w:color w:val="auto"/>
          <w:kern w:val="2"/>
          <w:sz w:val="24"/>
          <w:szCs w:val="24"/>
          <w:highlight w:val="none"/>
          <w:lang w:val="en-US" w:eastAsia="zh-CN" w:bidi="ar"/>
        </w:rPr>
        <w:t>（二）服务要求</w:t>
      </w:r>
    </w:p>
    <w:p w14:paraId="6BD4D3E1">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本项目为总价包干服务项目，供应商在接到采购人维修通知，供应商须在规定时间内完成维修。</w:t>
      </w:r>
    </w:p>
    <w:p w14:paraId="132A43A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lang w:val="en-US" w:eastAsia="zh-CN"/>
        </w:rPr>
        <w:t>1.</w:t>
      </w:r>
      <w:r>
        <w:rPr>
          <w:rFonts w:hint="eastAsia" w:ascii="仿宋" w:hAnsi="仿宋" w:eastAsia="仿宋" w:cs="仿宋"/>
          <w:b/>
          <w:bCs/>
          <w:color w:val="auto"/>
          <w:kern w:val="2"/>
          <w:sz w:val="24"/>
          <w:szCs w:val="24"/>
          <w:highlight w:val="none"/>
        </w:rPr>
        <w:t>全设备覆盖：</w:t>
      </w:r>
    </w:p>
    <w:p w14:paraId="0A05EBB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highlight w:val="none"/>
        </w:rPr>
      </w:pPr>
      <w:r>
        <w:rPr>
          <w:rFonts w:hint="eastAsia" w:ascii="仿宋" w:hAnsi="仿宋" w:eastAsia="仿宋" w:cs="仿宋"/>
          <w:i w:val="0"/>
          <w:iCs w:val="0"/>
          <w:caps w:val="0"/>
          <w:color w:val="auto"/>
          <w:spacing w:val="0"/>
          <w:sz w:val="24"/>
          <w:szCs w:val="24"/>
          <w:highlight w:val="none"/>
          <w:shd w:val="clear" w:fill="FFFFFF"/>
          <w:lang w:val="en-US" w:eastAsia="zh-CN"/>
        </w:rPr>
        <w:t>维保设备</w:t>
      </w:r>
      <w:r>
        <w:rPr>
          <w:rFonts w:hint="eastAsia" w:ascii="仿宋" w:hAnsi="仿宋" w:eastAsia="仿宋" w:cs="仿宋"/>
          <w:i w:val="0"/>
          <w:iCs w:val="0"/>
          <w:caps w:val="0"/>
          <w:color w:val="auto"/>
          <w:spacing w:val="0"/>
          <w:sz w:val="24"/>
          <w:szCs w:val="24"/>
          <w:highlight w:val="none"/>
          <w:shd w:val="clear" w:fill="FFFFFF"/>
        </w:rPr>
        <w:t>包括但不限于多联机空调、净化空调机组，以及分体式空调（含挂机、柜机、吸顶机、风管机等各类机型）。服务期内，采购人新增或清单中遗漏的上述同类型空调设备（即多联空调机组、净化空调机组、分体空调</w:t>
      </w:r>
      <w:r>
        <w:rPr>
          <w:rFonts w:hint="eastAsia" w:ascii="仿宋" w:hAnsi="仿宋" w:eastAsia="仿宋" w:cs="仿宋"/>
          <w:i w:val="0"/>
          <w:iCs w:val="0"/>
          <w:caps w:val="0"/>
          <w:color w:val="auto"/>
          <w:spacing w:val="0"/>
          <w:sz w:val="24"/>
          <w:szCs w:val="24"/>
          <w:highlight w:val="none"/>
          <w:shd w:val="clear" w:fill="FFFFFF"/>
          <w:lang w:eastAsia="zh-CN"/>
        </w:rPr>
        <w:t>，新增及遗漏的总数不超过清单设备总数的5%</w:t>
      </w:r>
      <w:r>
        <w:rPr>
          <w:rFonts w:hint="eastAsia" w:ascii="仿宋" w:hAnsi="仿宋" w:eastAsia="仿宋" w:cs="仿宋"/>
          <w:i w:val="0"/>
          <w:iCs w:val="0"/>
          <w:caps w:val="0"/>
          <w:color w:val="auto"/>
          <w:spacing w:val="0"/>
          <w:sz w:val="24"/>
          <w:szCs w:val="24"/>
          <w:highlight w:val="none"/>
          <w:shd w:val="clear" w:fill="FFFFFF"/>
        </w:rPr>
        <w:t>），均自动纳入本</w:t>
      </w:r>
      <w:r>
        <w:rPr>
          <w:rFonts w:hint="eastAsia" w:ascii="仿宋" w:hAnsi="仿宋" w:eastAsia="仿宋" w:cs="仿宋"/>
          <w:i w:val="0"/>
          <w:iCs w:val="0"/>
          <w:caps w:val="0"/>
          <w:color w:val="auto"/>
          <w:spacing w:val="0"/>
          <w:sz w:val="24"/>
          <w:szCs w:val="24"/>
          <w:highlight w:val="none"/>
          <w:shd w:val="clear" w:fill="FFFFFF"/>
          <w:lang w:val="en-US" w:eastAsia="zh-CN"/>
        </w:rPr>
        <w:t>项目</w:t>
      </w:r>
      <w:r>
        <w:rPr>
          <w:rFonts w:hint="eastAsia" w:ascii="仿宋" w:hAnsi="仿宋" w:eastAsia="仿宋" w:cs="仿宋"/>
          <w:i w:val="0"/>
          <w:iCs w:val="0"/>
          <w:caps w:val="0"/>
          <w:color w:val="auto"/>
          <w:spacing w:val="0"/>
          <w:sz w:val="24"/>
          <w:szCs w:val="24"/>
          <w:highlight w:val="none"/>
          <w:shd w:val="clear" w:fill="FFFFFF"/>
        </w:rPr>
        <w:t>维保范围</w:t>
      </w:r>
      <w:r>
        <w:rPr>
          <w:rFonts w:hint="eastAsia" w:ascii="仿宋" w:hAnsi="仿宋" w:eastAsia="仿宋" w:cs="仿宋"/>
          <w:i w:val="0"/>
          <w:iCs w:val="0"/>
          <w:caps w:val="0"/>
          <w:color w:val="auto"/>
          <w:spacing w:val="0"/>
          <w:sz w:val="24"/>
          <w:szCs w:val="24"/>
          <w:highlight w:val="none"/>
          <w:shd w:val="clear" w:fill="FFFFFF"/>
          <w:lang w:eastAsia="zh-CN"/>
        </w:rPr>
        <w:t>，</w:t>
      </w:r>
      <w:r>
        <w:rPr>
          <w:rFonts w:hint="eastAsia" w:ascii="仿宋" w:hAnsi="仿宋" w:eastAsia="仿宋" w:cs="仿宋"/>
          <w:b w:val="0"/>
          <w:bCs w:val="0"/>
          <w:color w:val="auto"/>
          <w:highlight w:val="none"/>
          <w:lang w:val="en-US" w:eastAsia="zh-CN"/>
        </w:rPr>
        <w:t>相关费用已包含在本项目报价中，采购人不再为此支付额外费用。</w:t>
      </w:r>
    </w:p>
    <w:p w14:paraId="54B219D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关联设施：包含所有与空调运行相关的附属设施（支架、背架、连接管、排水管、专用电源线路、控制面板等）。</w:t>
      </w:r>
    </w:p>
    <w:p w14:paraId="7C6520A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rPr>
        <w:t>2</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rPr>
        <w:t>全生命周期维护：</w:t>
      </w:r>
    </w:p>
    <w:p w14:paraId="430DEF1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预防性维护（PM）：包含但不限于年度两次深度清洗、安全性能检测、电气性能检测、制冷剂管路检查、紧固件检查等。</w:t>
      </w:r>
    </w:p>
    <w:p w14:paraId="03C83C0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纠正性维修（CM）：包含所有故障类型的修复（不启动、不制冷、漏水、异响、跳闸等）。</w:t>
      </w:r>
    </w:p>
    <w:p w14:paraId="728E0B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rPr>
        <w:t>3</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rPr>
        <w:t>全物资包干：</w:t>
      </w:r>
    </w:p>
    <w:p w14:paraId="587978C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消耗品：清洗用的药剂、抹布、垃圾袋、消毒用品等。</w:t>
      </w:r>
    </w:p>
    <w:p w14:paraId="1DEDBC5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配件包干：所有维修过程中需要更换的配件，无论大小，均包含在</w:t>
      </w:r>
      <w:r>
        <w:rPr>
          <w:rFonts w:hint="eastAsia" w:ascii="仿宋" w:hAnsi="仿宋" w:eastAsia="仿宋" w:cs="仿宋"/>
          <w:color w:val="auto"/>
          <w:sz w:val="24"/>
          <w:szCs w:val="24"/>
          <w:highlight w:val="none"/>
          <w:lang w:val="en-US" w:eastAsia="zh-CN"/>
        </w:rPr>
        <w:t>报价</w:t>
      </w:r>
      <w:r>
        <w:rPr>
          <w:rFonts w:hint="eastAsia" w:ascii="仿宋" w:hAnsi="仿宋" w:eastAsia="仿宋" w:cs="仿宋"/>
          <w:color w:val="auto"/>
          <w:kern w:val="2"/>
          <w:sz w:val="24"/>
          <w:szCs w:val="24"/>
          <w:highlight w:val="none"/>
        </w:rPr>
        <w:t>中。</w:t>
      </w:r>
    </w:p>
    <w:p w14:paraId="3F14AF06">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小件：遥控器、电路板、传感器、电容、滤网、接水盘等。</w:t>
      </w:r>
    </w:p>
    <w:p w14:paraId="5B73CA87">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大件：压缩机、电机、风扇组件、内外机交换总成等。</w:t>
      </w:r>
    </w:p>
    <w:p w14:paraId="1FD8583A">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特殊说明：供应商必须建立“常用维修配件库”。若因配件缺货导致无法及时修复，视为违约。</w:t>
      </w:r>
    </w:p>
    <w:p w14:paraId="036794E3">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kern w:val="2"/>
          <w:sz w:val="24"/>
          <w:szCs w:val="24"/>
          <w:highlight w:val="none"/>
        </w:rPr>
        <w:t>4</w:t>
      </w:r>
      <w:r>
        <w:rPr>
          <w:rFonts w:hint="eastAsia" w:ascii="仿宋" w:hAnsi="仿宋" w:eastAsia="仿宋" w:cs="仿宋"/>
          <w:b/>
          <w:bCs/>
          <w:color w:val="auto"/>
          <w:kern w:val="2"/>
          <w:sz w:val="24"/>
          <w:szCs w:val="24"/>
          <w:highlight w:val="none"/>
          <w:lang w:val="en-US" w:eastAsia="zh-CN"/>
        </w:rPr>
        <w:t>.</w:t>
      </w:r>
      <w:r>
        <w:rPr>
          <w:rFonts w:hint="eastAsia" w:ascii="仿宋" w:hAnsi="仿宋" w:eastAsia="仿宋" w:cs="仿宋"/>
          <w:b/>
          <w:bCs/>
          <w:color w:val="auto"/>
          <w:kern w:val="2"/>
          <w:sz w:val="24"/>
          <w:szCs w:val="24"/>
          <w:highlight w:val="none"/>
        </w:rPr>
        <w:t>全作业内容：</w:t>
      </w:r>
    </w:p>
    <w:p w14:paraId="09BB1169">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基础作业：报价包含上门费、工时费、交通费、加班费（含节假日）、24小时应急值班费。</w:t>
      </w:r>
    </w:p>
    <w:p w14:paraId="24445D0E">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特殊作业：报价包含度高空作业费（含安全防护）、旧机拆除费、安装费（含铜管、支架、电线辅材）、移机整改费、医疗环境防尘防感染作业费。</w:t>
      </w:r>
    </w:p>
    <w:p w14:paraId="2803423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kern w:val="2"/>
          <w:sz w:val="24"/>
          <w:szCs w:val="24"/>
          <w:highlight w:val="none"/>
          <w:lang w:val="en-US" w:eastAsia="zh-CN"/>
        </w:rPr>
        <w:t>（三）其他服务要求</w:t>
      </w:r>
    </w:p>
    <w:p w14:paraId="23B6C8A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1.本项目第一年</w:t>
      </w:r>
      <w:r>
        <w:rPr>
          <w:rFonts w:hint="eastAsia" w:ascii="仿宋" w:hAnsi="仿宋" w:eastAsia="仿宋" w:cs="仿宋"/>
          <w:color w:val="auto"/>
          <w:kern w:val="2"/>
          <w:sz w:val="24"/>
          <w:szCs w:val="24"/>
          <w:highlight w:val="none"/>
        </w:rPr>
        <w:t>合同签订后</w:t>
      </w:r>
      <w:r>
        <w:rPr>
          <w:rFonts w:hint="eastAsia" w:ascii="仿宋" w:hAnsi="仿宋" w:eastAsia="仿宋" w:cs="仿宋"/>
          <w:color w:val="auto"/>
          <w:kern w:val="2"/>
          <w:sz w:val="24"/>
          <w:szCs w:val="24"/>
          <w:highlight w:val="none"/>
          <w:lang w:val="en-US" w:eastAsia="zh-CN"/>
        </w:rPr>
        <w:t>30日内</w:t>
      </w:r>
      <w:r>
        <w:rPr>
          <w:rFonts w:hint="eastAsia" w:ascii="仿宋" w:hAnsi="仿宋" w:eastAsia="仿宋" w:cs="仿宋"/>
          <w:color w:val="auto"/>
          <w:kern w:val="2"/>
          <w:sz w:val="24"/>
          <w:szCs w:val="24"/>
          <w:highlight w:val="none"/>
        </w:rPr>
        <w:t>，供应商须对维保范围内的所有空调设备，进行一次全面的集中维护保养（该次服务不包含在年度两次保养之</w:t>
      </w:r>
      <w:r>
        <w:rPr>
          <w:rFonts w:hint="eastAsia" w:ascii="仿宋" w:hAnsi="仿宋" w:eastAsia="仿宋" w:cs="仿宋"/>
          <w:color w:val="auto"/>
          <w:kern w:val="2"/>
          <w:sz w:val="24"/>
          <w:szCs w:val="24"/>
          <w:highlight w:val="none"/>
          <w:lang w:val="en-US" w:eastAsia="zh-CN"/>
        </w:rPr>
        <w:t>中</w:t>
      </w:r>
      <w:r>
        <w:rPr>
          <w:rFonts w:hint="eastAsia" w:ascii="仿宋" w:hAnsi="仿宋" w:eastAsia="仿宋" w:cs="仿宋"/>
          <w:color w:val="auto"/>
          <w:kern w:val="2"/>
          <w:sz w:val="24"/>
          <w:szCs w:val="24"/>
          <w:highlight w:val="none"/>
        </w:rPr>
        <w:t>）。对有问题、有故障的设备进行修复，确保所有空调安全正常运行。</w:t>
      </w:r>
    </w:p>
    <w:p w14:paraId="1AB791A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2.供应商</w:t>
      </w:r>
      <w:r>
        <w:rPr>
          <w:rFonts w:hint="eastAsia" w:ascii="仿宋" w:hAnsi="仿宋" w:eastAsia="仿宋" w:cs="仿宋"/>
          <w:color w:val="auto"/>
          <w:kern w:val="2"/>
          <w:sz w:val="24"/>
          <w:szCs w:val="24"/>
          <w:highlight w:val="none"/>
        </w:rPr>
        <w:t>应当根据采购人的各类空调设备，备好常用维修配件，以保证常见故障的及时修复。</w:t>
      </w:r>
    </w:p>
    <w:p w14:paraId="36E8F3EA">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rPr>
        <w:t>3.现场作业专业技术人员要求：不少于1名，须具备制冷与空调作业证、低压电工作业证、焊接与热切割作业证（同一人员可同时持有多项特种作业操作证书，提供证书复印件并加盖供应商公章）,未经采购人批准不得随意更换。若现场作业需求增加，供应商可另行统筹调配技术人员予以支持。</w:t>
      </w:r>
    </w:p>
    <w:p w14:paraId="21CB26A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安全生产要求：</w:t>
      </w:r>
      <w:r>
        <w:rPr>
          <w:rFonts w:hint="eastAsia" w:ascii="仿宋" w:hAnsi="仿宋" w:eastAsia="仿宋" w:cs="仿宋"/>
          <w:color w:val="auto"/>
          <w:kern w:val="2"/>
          <w:sz w:val="24"/>
          <w:szCs w:val="24"/>
          <w:highlight w:val="none"/>
          <w:lang w:val="en-US" w:eastAsia="zh-CN"/>
        </w:rPr>
        <w:t>作业过程中</w:t>
      </w:r>
      <w:r>
        <w:rPr>
          <w:rFonts w:hint="eastAsia" w:ascii="仿宋" w:hAnsi="仿宋" w:eastAsia="仿宋" w:cs="仿宋"/>
          <w:color w:val="auto"/>
          <w:kern w:val="2"/>
          <w:sz w:val="24"/>
          <w:szCs w:val="24"/>
          <w:highlight w:val="none"/>
        </w:rPr>
        <w:t>服务人员安全、作业安全和其他与本项目有关的安全均由供应商负责。</w:t>
      </w:r>
    </w:p>
    <w:p w14:paraId="22592654">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left="0" w:firstLine="480" w:firstLineChars="200"/>
        <w:textAlignment w:val="auto"/>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5.维修完成后，供应商须确保设备正常运行，避免出现返修</w:t>
      </w:r>
      <w:r>
        <w:rPr>
          <w:rFonts w:hint="eastAsia" w:ascii="仿宋" w:hAnsi="仿宋" w:eastAsia="仿宋" w:cs="仿宋"/>
          <w:i w:val="0"/>
          <w:iCs w:val="0"/>
          <w:color w:val="auto"/>
          <w:kern w:val="0"/>
          <w:sz w:val="24"/>
          <w:szCs w:val="24"/>
          <w:u w:val="none"/>
          <w:lang w:val="en-US" w:eastAsia="zh-CN" w:bidi="ar"/>
        </w:rPr>
        <w:t>（同一故障7日内复发）</w:t>
      </w:r>
      <w:r>
        <w:rPr>
          <w:rFonts w:hint="eastAsia" w:ascii="仿宋" w:hAnsi="仿宋" w:eastAsia="仿宋" w:cs="仿宋"/>
          <w:color w:val="auto"/>
          <w:kern w:val="2"/>
          <w:sz w:val="24"/>
          <w:szCs w:val="24"/>
          <w:highlight w:val="none"/>
          <w:lang w:val="en-US" w:eastAsia="zh-CN"/>
        </w:rPr>
        <w:t>情况。</w:t>
      </w:r>
    </w:p>
    <w:p w14:paraId="7110D13D">
      <w:pPr>
        <w:pStyle w:val="14"/>
        <w:keepNext w:val="0"/>
        <w:keepLines w:val="0"/>
        <w:pageBreakBefore w:val="0"/>
        <w:widowControl/>
        <w:suppressLineNumbers w:val="0"/>
        <w:kinsoku/>
        <w:wordWrap/>
        <w:overflowPunct/>
        <w:topLinePunct w:val="0"/>
        <w:autoSpaceDE/>
        <w:autoSpaceDN/>
        <w:bidi w:val="0"/>
        <w:adjustRightInd/>
        <w:spacing w:before="0" w:beforeAutospacing="0" w:after="0" w:afterAutospacing="0" w:line="440" w:lineRule="exact"/>
        <w:ind w:firstLine="482" w:firstLineChars="200"/>
        <w:jc w:val="both"/>
        <w:textAlignment w:val="auto"/>
        <w:rPr>
          <w:rFonts w:hint="eastAsia" w:ascii="仿宋" w:hAnsi="仿宋" w:eastAsia="仿宋" w:cs="仿宋"/>
          <w:b/>
          <w:bCs/>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val="en-US" w:eastAsia="zh-CN"/>
        </w:rPr>
        <w:t>（四）维保响应要求</w:t>
      </w:r>
    </w:p>
    <w:p w14:paraId="7346D23B">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40" w:lineRule="exact"/>
        <w:ind w:firstLine="480" w:firstLineChars="200"/>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rPr>
        <w:t>供应商需</w:t>
      </w:r>
      <w:r>
        <w:rPr>
          <w:rFonts w:hint="eastAsia" w:ascii="仿宋" w:hAnsi="仿宋" w:eastAsia="仿宋" w:cs="仿宋"/>
          <w:color w:val="auto"/>
          <w:kern w:val="2"/>
          <w:sz w:val="24"/>
          <w:szCs w:val="24"/>
          <w:highlight w:val="none"/>
          <w:lang w:val="en-US" w:eastAsia="zh-CN"/>
        </w:rPr>
        <w:t>接入采购人后勤智慧管理平台</w:t>
      </w:r>
      <w:r>
        <w:rPr>
          <w:rFonts w:hint="eastAsia" w:ascii="仿宋" w:hAnsi="仿宋" w:eastAsia="仿宋" w:cs="仿宋"/>
          <w:color w:val="auto"/>
          <w:kern w:val="2"/>
          <w:sz w:val="24"/>
          <w:szCs w:val="24"/>
          <w:highlight w:val="none"/>
        </w:rPr>
        <w:t>(开发公司名称:南京天溯自动化控制系统有限公司，后勤智慧管理平台，版本:v3.1.3，不产生接口费用)，接受工单派发、进度追踪、结果评价。供应商提供</w:t>
      </w:r>
      <w:r>
        <w:rPr>
          <w:rFonts w:hint="eastAsia" w:ascii="仿宋" w:hAnsi="仿宋" w:eastAsia="仿宋" w:cs="仿宋"/>
          <w:color w:val="auto"/>
          <w:kern w:val="2"/>
          <w:sz w:val="24"/>
          <w:szCs w:val="24"/>
          <w:highlight w:val="none"/>
          <w:lang w:val="en-US" w:eastAsia="zh-CN"/>
        </w:rPr>
        <w:t>7</w:t>
      </w:r>
      <w:r>
        <w:rPr>
          <w:rFonts w:hint="eastAsia" w:ascii="微软雅黑" w:hAnsi="微软雅黑" w:eastAsia="微软雅黑" w:cs="微软雅黑"/>
          <w:color w:val="auto"/>
          <w:kern w:val="2"/>
          <w:sz w:val="24"/>
          <w:szCs w:val="24"/>
          <w:highlight w:val="none"/>
          <w:lang w:val="en-US" w:eastAsia="zh-CN"/>
        </w:rPr>
        <w:t>×</w:t>
      </w:r>
      <w:r>
        <w:rPr>
          <w:rFonts w:hint="eastAsia" w:ascii="仿宋" w:hAnsi="仿宋" w:eastAsia="仿宋" w:cs="仿宋"/>
          <w:color w:val="auto"/>
          <w:kern w:val="2"/>
          <w:sz w:val="24"/>
          <w:szCs w:val="24"/>
          <w:highlight w:val="none"/>
        </w:rPr>
        <w:t>24小时服务，确保各类设备设施处于安全正常运行状态。若维保范围内的设备设施出现问题，须派人现场解决。供应商接到报修通知后，在0.5小时内响应，3小时内到达现场进行维修，平均工单完成时间在6小时内。</w:t>
      </w:r>
    </w:p>
    <w:p w14:paraId="75B869DC">
      <w:pPr>
        <w:pStyle w:val="16"/>
        <w:keepNext w:val="0"/>
        <w:keepLines w:val="0"/>
        <w:pageBreakBefore w:val="0"/>
        <w:widowControl w:val="0"/>
        <w:numPr>
          <w:ilvl w:val="0"/>
          <w:numId w:val="0"/>
        </w:numPr>
        <w:kinsoku/>
        <w:wordWrap/>
        <w:overflowPunct/>
        <w:topLinePunct w:val="0"/>
        <w:autoSpaceDE/>
        <w:autoSpaceDN/>
        <w:bidi w:val="0"/>
        <w:adjustRightInd/>
        <w:snapToGrid w:val="0"/>
        <w:spacing w:after="0" w:line="440" w:lineRule="exact"/>
        <w:ind w:firstLine="480" w:firstLineChars="200"/>
        <w:textAlignment w:val="auto"/>
        <w:rPr>
          <w:rFonts w:hint="default"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2.在原厂质保期内的空调设备及配件出现故障时，供应商须负责联系原厂维修人员在规定时间内完成维修。不在原厂质保期内的空调设备及配件出现故障时，供应商应在规定时间完成维修。</w:t>
      </w:r>
    </w:p>
    <w:p w14:paraId="5DA931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40" w:lineRule="exact"/>
        <w:ind w:firstLine="482" w:firstLineChars="200"/>
        <w:jc w:val="left"/>
        <w:textAlignment w:val="auto"/>
        <w:rPr>
          <w:rFonts w:ascii="Times New Roman" w:hAnsi="Times New Roman" w:eastAsia="仿宋" w:cs="Times New Roman"/>
          <w:b/>
          <w:bCs/>
          <w:color w:val="auto"/>
          <w:sz w:val="24"/>
          <w:szCs w:val="24"/>
          <w:highlight w:val="none"/>
        </w:rPr>
      </w:pPr>
      <w:r>
        <w:rPr>
          <w:rFonts w:ascii="Segoe UI Symbol" w:hAnsi="Segoe UI Symbol" w:eastAsia="仿宋" w:cs="Segoe UI Symbol"/>
          <w:b/>
          <w:bCs/>
          <w:color w:val="auto"/>
          <w:sz w:val="24"/>
          <w:szCs w:val="22"/>
          <w:highlight w:val="none"/>
        </w:rPr>
        <w:t>★</w:t>
      </w:r>
      <w:r>
        <w:rPr>
          <w:rFonts w:hint="eastAsia" w:ascii="Times New Roman" w:hAnsi="Times New Roman" w:eastAsia="仿宋" w:cs="Times New Roman"/>
          <w:b/>
          <w:bCs/>
          <w:color w:val="auto"/>
          <w:sz w:val="24"/>
          <w:szCs w:val="24"/>
          <w:highlight w:val="none"/>
          <w:lang w:val="en-US" w:eastAsia="zh-CN"/>
        </w:rPr>
        <w:t>四</w:t>
      </w:r>
      <w:r>
        <w:rPr>
          <w:rFonts w:ascii="Times New Roman" w:hAnsi="Times New Roman" w:eastAsia="仿宋" w:cs="Times New Roman"/>
          <w:b/>
          <w:bCs/>
          <w:color w:val="auto"/>
          <w:sz w:val="24"/>
          <w:szCs w:val="24"/>
          <w:highlight w:val="none"/>
        </w:rPr>
        <w:t>、商务要求</w:t>
      </w:r>
    </w:p>
    <w:p w14:paraId="3F76A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beforeAutospacing="0" w:after="0" w:afterAutospacing="0" w:line="440" w:lineRule="exact"/>
        <w:ind w:firstLine="482" w:firstLineChars="200"/>
        <w:jc w:val="left"/>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一）服务期限</w:t>
      </w:r>
      <w:r>
        <w:rPr>
          <w:rFonts w:hint="eastAsia" w:ascii="仿宋" w:hAnsi="仿宋" w:eastAsia="仿宋" w:cs="仿宋"/>
          <w:b w:val="0"/>
          <w:bCs w:val="0"/>
          <w:color w:val="auto"/>
          <w:sz w:val="24"/>
          <w:szCs w:val="24"/>
          <w:highlight w:val="none"/>
          <w:lang w:val="en-US" w:eastAsia="zh-CN"/>
        </w:rPr>
        <w:t>：2026年8月8日起至2029年8月7日，合同一年一签，经年度考核合格后续签下一年度合同。若合同签订生效时间晚于2026年8月8日，则以合同签订生效时间作为服务期起始时间，服务期结束时间按本项目服务期限顺延。</w:t>
      </w:r>
    </w:p>
    <w:p w14:paraId="74D3F1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40" w:lineRule="exact"/>
        <w:ind w:firstLine="482"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（二）</w:t>
      </w:r>
      <w:r>
        <w:rPr>
          <w:rFonts w:hint="eastAsia" w:ascii="仿宋" w:hAnsi="仿宋" w:eastAsia="仿宋" w:cs="仿宋"/>
          <w:b/>
          <w:bCs/>
          <w:color w:val="auto"/>
          <w:sz w:val="24"/>
          <w:szCs w:val="24"/>
          <w:highlight w:val="none"/>
          <w:lang w:val="en-US" w:eastAsia="zh-CN"/>
        </w:rPr>
        <w:t>服务地点</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四川省人民医院中和科研基地。</w:t>
      </w:r>
    </w:p>
    <w:p w14:paraId="1BCD5D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4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（三）服务费用</w:t>
      </w:r>
    </w:p>
    <w:p w14:paraId="48BE8F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4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color w:val="auto"/>
          <w:kern w:val="2"/>
          <w:sz w:val="24"/>
          <w:szCs w:val="24"/>
          <w:highlight w:val="none"/>
          <w:lang w:val="en-US" w:eastAsia="zh-CN" w:bidi="ar-SA"/>
        </w:rPr>
        <w:t>供应商报价是为完成本项目空调设备维保服务所需的一切费用，包括：人工费、材料费（含维修更换零配件）、机械费、管理费、规费、维修维护费、清洗费、利润、税金、安全防护费、垃圾清运费等以及因服务产生的所有费用。</w:t>
      </w:r>
    </w:p>
    <w:p w14:paraId="07764F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40" w:lineRule="exact"/>
        <w:ind w:firstLine="482" w:firstLineChars="200"/>
        <w:jc w:val="left"/>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付款方式</w:t>
      </w:r>
    </w:p>
    <w:p w14:paraId="7E6C32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440" w:lineRule="exact"/>
        <w:ind w:firstLine="480" w:firstLineChars="2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内，每三个月支付一次费用，每次费用金额为：本项目成交价/4（按四舍五入保留两位小数）。供应商每完成三个月服务且经采购人验收后，供应商5日内向采购人提供合法有效票据及其他相关请款资料，采购人自收到上述票据及资料后55日内，向供应商支付相应费用，如存在因考核等原因导致的扣款，应在支付前予以扣除。</w:t>
      </w:r>
    </w:p>
    <w:p w14:paraId="42FF7E3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40" w:lineRule="exact"/>
        <w:ind w:firstLine="482" w:firstLineChars="200"/>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kern w:val="2"/>
          <w:sz w:val="24"/>
          <w:szCs w:val="24"/>
          <w:highlight w:val="none"/>
          <w:lang w:val="en-US" w:eastAsia="zh-CN" w:bidi="ar-SA"/>
        </w:rPr>
        <w:t>履约验收方案</w:t>
      </w:r>
    </w:p>
    <w:tbl>
      <w:tblPr>
        <w:tblStyle w:val="19"/>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0"/>
        <w:gridCol w:w="6794"/>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0" w:type="dxa"/>
            <w:shd w:val="clear" w:color="auto" w:fill="auto"/>
            <w:vAlign w:val="center"/>
          </w:tcPr>
          <w:p w14:paraId="47BDB7E2">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验收主体</w:t>
            </w:r>
          </w:p>
        </w:tc>
        <w:tc>
          <w:tcPr>
            <w:tcW w:w="6794" w:type="dxa"/>
            <w:shd w:val="clear" w:color="auto" w:fill="auto"/>
            <w:vAlign w:val="center"/>
          </w:tcPr>
          <w:p w14:paraId="74BCE2AC">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采购人</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478F3799">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验收组织方式</w:t>
            </w:r>
          </w:p>
        </w:tc>
        <w:tc>
          <w:tcPr>
            <w:tcW w:w="6794" w:type="dxa"/>
            <w:shd w:val="clear" w:color="auto" w:fill="auto"/>
            <w:vAlign w:val="center"/>
          </w:tcPr>
          <w:p w14:paraId="2E15490D">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sz w:val="24"/>
                <w:highlight w:val="none"/>
              </w:rPr>
              <w:t>自行验收</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88D9CC">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验收程序</w:t>
            </w:r>
          </w:p>
        </w:tc>
        <w:tc>
          <w:tcPr>
            <w:tcW w:w="6794" w:type="dxa"/>
            <w:shd w:val="clear" w:color="auto" w:fill="auto"/>
            <w:vAlign w:val="center"/>
          </w:tcPr>
          <w:p w14:paraId="785EE0C9">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分期/分段验收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A6ABF6A">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default"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验收方式</w:t>
            </w:r>
          </w:p>
        </w:tc>
        <w:tc>
          <w:tcPr>
            <w:tcW w:w="6794" w:type="dxa"/>
            <w:shd w:val="clear" w:color="auto" w:fill="auto"/>
            <w:vAlign w:val="center"/>
          </w:tcPr>
          <w:p w14:paraId="59C0C429">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现场整体验收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0" w:type="dxa"/>
            <w:shd w:val="clear" w:color="auto" w:fill="auto"/>
            <w:vAlign w:val="center"/>
          </w:tcPr>
          <w:p w14:paraId="00D82789">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lang w:val="en-US" w:eastAsia="zh-CN"/>
              </w:rPr>
              <w:t>验收内容</w:t>
            </w:r>
          </w:p>
        </w:tc>
        <w:tc>
          <w:tcPr>
            <w:tcW w:w="6794" w:type="dxa"/>
            <w:shd w:val="clear" w:color="auto" w:fill="auto"/>
            <w:vAlign w:val="center"/>
          </w:tcPr>
          <w:p w14:paraId="3DAAF7E8">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按照基于本项目采购需求编制的采购文件要求及供应商响应文件情况，由供应商向采购人提供的全部服务的履约情况。</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0" w:type="dxa"/>
            <w:shd w:val="clear" w:color="auto" w:fill="auto"/>
            <w:vAlign w:val="center"/>
          </w:tcPr>
          <w:p w14:paraId="52608F8C">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验收时间</w:t>
            </w:r>
          </w:p>
        </w:tc>
        <w:tc>
          <w:tcPr>
            <w:tcW w:w="6794" w:type="dxa"/>
            <w:shd w:val="clear" w:color="auto" w:fill="auto"/>
            <w:vAlign w:val="center"/>
          </w:tcPr>
          <w:p w14:paraId="1A169849">
            <w:pPr>
              <w:keepNext w:val="0"/>
              <w:keepLines w:val="0"/>
              <w:pageBreakBefore w:val="0"/>
              <w:widowControl/>
              <w:kinsoku/>
              <w:wordWrap/>
              <w:overflowPunct/>
              <w:topLinePunct w:val="0"/>
              <w:autoSpaceDE/>
              <w:autoSpaceDN/>
              <w:bidi w:val="0"/>
              <w:adjustRightInd/>
              <w:spacing w:afterAutospacing="0" w:line="44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供应商每完成每三个月服务后，于5日内通知采购人验收，采购人接供应商通知后10日内组织验收。</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jc w:val="center"/>
        </w:trPr>
        <w:tc>
          <w:tcPr>
            <w:tcW w:w="2890" w:type="dxa"/>
            <w:shd w:val="clear" w:color="auto" w:fill="auto"/>
            <w:vAlign w:val="center"/>
          </w:tcPr>
          <w:p w14:paraId="33E0D49E">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是否邀请本项目的其他供应商</w:t>
            </w:r>
          </w:p>
        </w:tc>
        <w:tc>
          <w:tcPr>
            <w:tcW w:w="6794" w:type="dxa"/>
            <w:shd w:val="clear" w:color="auto" w:fill="auto"/>
            <w:vAlign w:val="center"/>
          </w:tcPr>
          <w:p w14:paraId="773CAF1F">
            <w:pPr>
              <w:keepNext w:val="0"/>
              <w:keepLines w:val="0"/>
              <w:pageBreakBefore w:val="0"/>
              <w:widowControl/>
              <w:kinsoku/>
              <w:wordWrap/>
              <w:overflowPunct/>
              <w:topLinePunct w:val="0"/>
              <w:autoSpaceDE/>
              <w:autoSpaceDN/>
              <w:bidi w:val="0"/>
              <w:adjustRightInd/>
              <w:spacing w:afterAutospacing="0" w:line="440" w:lineRule="exact"/>
              <w:ind w:firstLine="0" w:firstLineChars="0"/>
              <w:contextualSpacing/>
              <w:jc w:val="left"/>
              <w:textAlignment w:val="center"/>
              <w:rPr>
                <w:rFonts w:hint="default"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0858CB93">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是否邀请专家</w:t>
            </w:r>
          </w:p>
        </w:tc>
        <w:tc>
          <w:tcPr>
            <w:tcW w:w="6794" w:type="dxa"/>
            <w:shd w:val="clear" w:color="auto" w:fill="auto"/>
            <w:vAlign w:val="center"/>
          </w:tcPr>
          <w:p w14:paraId="2461601A">
            <w:pPr>
              <w:keepNext w:val="0"/>
              <w:keepLines w:val="0"/>
              <w:pageBreakBefore w:val="0"/>
              <w:widowControl/>
              <w:kinsoku/>
              <w:wordWrap/>
              <w:overflowPunct/>
              <w:topLinePunct w:val="0"/>
              <w:autoSpaceDE/>
              <w:autoSpaceDN/>
              <w:bidi w:val="0"/>
              <w:adjustRightInd/>
              <w:spacing w:afterAutospacing="0" w:line="44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0" w:type="dxa"/>
            <w:shd w:val="clear" w:color="auto" w:fill="auto"/>
            <w:vAlign w:val="center"/>
          </w:tcPr>
          <w:p w14:paraId="5A36D4AF">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是否邀请服务对象</w:t>
            </w:r>
          </w:p>
        </w:tc>
        <w:tc>
          <w:tcPr>
            <w:tcW w:w="6794" w:type="dxa"/>
            <w:shd w:val="clear" w:color="auto" w:fill="auto"/>
            <w:vAlign w:val="center"/>
          </w:tcPr>
          <w:p w14:paraId="3A928A34">
            <w:pPr>
              <w:keepNext w:val="0"/>
              <w:keepLines w:val="0"/>
              <w:pageBreakBefore w:val="0"/>
              <w:widowControl/>
              <w:kinsoku/>
              <w:wordWrap/>
              <w:overflowPunct/>
              <w:topLinePunct w:val="0"/>
              <w:autoSpaceDE/>
              <w:autoSpaceDN/>
              <w:bidi w:val="0"/>
              <w:adjustRightInd/>
              <w:spacing w:afterAutospacing="0" w:line="44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0" w:type="dxa"/>
            <w:shd w:val="clear" w:color="auto" w:fill="auto"/>
            <w:vAlign w:val="center"/>
          </w:tcPr>
          <w:p w14:paraId="74474423">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是否邀请第三方检测机构</w:t>
            </w:r>
          </w:p>
        </w:tc>
        <w:tc>
          <w:tcPr>
            <w:tcW w:w="6794" w:type="dxa"/>
            <w:shd w:val="clear" w:color="auto" w:fill="auto"/>
            <w:vAlign w:val="center"/>
          </w:tcPr>
          <w:p w14:paraId="17BC5EF9">
            <w:pPr>
              <w:keepNext w:val="0"/>
              <w:keepLines w:val="0"/>
              <w:pageBreakBefore w:val="0"/>
              <w:widowControl/>
              <w:kinsoku/>
              <w:wordWrap/>
              <w:overflowPunct/>
              <w:topLinePunct w:val="0"/>
              <w:autoSpaceDE/>
              <w:autoSpaceDN/>
              <w:bidi w:val="0"/>
              <w:adjustRightInd/>
              <w:spacing w:afterAutospacing="0" w:line="440" w:lineRule="exact"/>
              <w:ind w:firstLine="0" w:firstLineChars="0"/>
              <w:contextualSpacing/>
              <w:jc w:val="left"/>
              <w:textAlignment w:val="center"/>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kern w:val="2"/>
                <w:sz w:val="24"/>
                <w:szCs w:val="20"/>
                <w:highlight w:val="none"/>
                <w:lang w:val="en-US" w:eastAsia="zh-CN" w:bidi="ar-SA"/>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6B9309A">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kern w:val="2"/>
                <w:sz w:val="24"/>
                <w:szCs w:val="22"/>
                <w:highlight w:val="none"/>
                <w:lang w:val="en-US" w:eastAsia="zh-CN" w:bidi="ar-SA"/>
              </w:rPr>
            </w:pPr>
            <w:r>
              <w:rPr>
                <w:rFonts w:hint="eastAsia" w:ascii="仿宋" w:hAnsi="仿宋" w:eastAsia="仿宋" w:cs="仿宋"/>
                <w:b/>
                <w:bCs/>
                <w:color w:val="auto"/>
                <w:sz w:val="24"/>
                <w:highlight w:val="none"/>
              </w:rPr>
              <w:t>验收标准</w:t>
            </w:r>
          </w:p>
        </w:tc>
        <w:tc>
          <w:tcPr>
            <w:tcW w:w="6794" w:type="dxa"/>
            <w:shd w:val="clear" w:color="auto" w:fill="auto"/>
            <w:vAlign w:val="center"/>
          </w:tcPr>
          <w:p w14:paraId="7E4ECA7F">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1.国家相关法律法规、行业标准、技术规范。</w:t>
            </w:r>
          </w:p>
          <w:p w14:paraId="0D0668BD">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基于本项目采购需求编制的采购文件相关技术、服务要求、供应商响应文件相关响应内容。</w:t>
            </w:r>
          </w:p>
          <w:p w14:paraId="079799AB">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3.产品生产厂家出具的产品说明书、技术白皮书、医疗器械注册证或备案凭证等官方技术资料（如涉及）。</w:t>
            </w:r>
          </w:p>
          <w:p w14:paraId="2CFFAAB0">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26F713A6">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5.参照《财政部关于进一步加强政府采购需求和履约验收管理的指导意见》（财库〔2016〕205号）的要求进行验收。</w:t>
            </w:r>
          </w:p>
          <w:p w14:paraId="63D35DD2">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eastAsia" w:ascii="仿宋" w:hAnsi="仿宋" w:eastAsia="仿宋" w:cs="仿宋"/>
                <w:color w:val="auto"/>
                <w:kern w:val="2"/>
                <w:sz w:val="24"/>
                <w:szCs w:val="20"/>
                <w:highlight w:val="none"/>
                <w:lang w:val="en-US" w:eastAsia="zh-CN" w:bidi="ar-SA"/>
              </w:rPr>
            </w:pPr>
            <w:r>
              <w:rPr>
                <w:rFonts w:hint="eastAsia" w:ascii="仿宋" w:hAnsi="仿宋" w:eastAsia="仿宋" w:cs="仿宋"/>
                <w:color w:val="auto"/>
                <w:sz w:val="24"/>
                <w:highlight w:val="none"/>
                <w:lang w:val="en-US" w:eastAsia="zh-CN"/>
              </w:rPr>
              <w:t>6.如本项目验收方式为考核验收，则考核结果须为合格。</w:t>
            </w:r>
          </w:p>
        </w:tc>
      </w:tr>
      <w:tr w14:paraId="09C9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2890" w:type="dxa"/>
            <w:shd w:val="clear" w:color="auto" w:fill="auto"/>
            <w:vAlign w:val="center"/>
          </w:tcPr>
          <w:p w14:paraId="43DFFA72">
            <w:pPr>
              <w:keepNext w:val="0"/>
              <w:keepLines w:val="0"/>
              <w:pageBreakBefore w:val="0"/>
              <w:widowControl/>
              <w:kinsoku/>
              <w:wordWrap/>
              <w:overflowPunct/>
              <w:topLinePunct w:val="0"/>
              <w:autoSpaceDE/>
              <w:autoSpaceDN/>
              <w:bidi w:val="0"/>
              <w:adjustRightInd/>
              <w:spacing w:afterAutospacing="0" w:line="440" w:lineRule="exact"/>
              <w:ind w:firstLine="0" w:firstLineChars="0"/>
              <w:jc w:val="center"/>
              <w:textAlignment w:val="center"/>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验收其它事项</w:t>
            </w:r>
          </w:p>
        </w:tc>
        <w:tc>
          <w:tcPr>
            <w:tcW w:w="6794" w:type="dxa"/>
            <w:shd w:val="clear" w:color="auto" w:fill="auto"/>
            <w:vAlign w:val="center"/>
          </w:tcPr>
          <w:p w14:paraId="16D03055">
            <w:pPr>
              <w:pStyle w:val="16"/>
              <w:keepNext w:val="0"/>
              <w:keepLines w:val="0"/>
              <w:pageBreakBefore w:val="0"/>
              <w:kinsoku/>
              <w:wordWrap/>
              <w:overflowPunct/>
              <w:topLinePunct w:val="0"/>
              <w:autoSpaceDE/>
              <w:autoSpaceDN/>
              <w:bidi w:val="0"/>
              <w:adjustRightInd/>
              <w:spacing w:before="0" w:after="0" w:afterAutospacing="0" w:line="440" w:lineRule="exact"/>
              <w:ind w:firstLine="0" w:firstLineChars="0"/>
              <w:contextualSpacing/>
              <w:jc w:val="lef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无</w:t>
            </w:r>
          </w:p>
        </w:tc>
      </w:tr>
    </w:tbl>
    <w:p w14:paraId="150D15E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after="0" w:afterAutospacing="0" w:line="440" w:lineRule="exact"/>
        <w:ind w:firstLine="482" w:firstLineChars="200"/>
        <w:jc w:val="left"/>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（六）考核表</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749"/>
        <w:gridCol w:w="1716"/>
        <w:gridCol w:w="932"/>
        <w:gridCol w:w="5452"/>
      </w:tblGrid>
      <w:tr w14:paraId="16E53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88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A3D52D">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考核大类</w:t>
            </w:r>
          </w:p>
        </w:tc>
        <w:tc>
          <w:tcPr>
            <w:tcW w:w="87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92B05">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细分指标</w:t>
            </w:r>
          </w:p>
        </w:tc>
        <w:tc>
          <w:tcPr>
            <w:tcW w:w="47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65B268">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分值</w:t>
            </w:r>
          </w:p>
        </w:tc>
        <w:tc>
          <w:tcPr>
            <w:tcW w:w="2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0B49A">
            <w:pPr>
              <w:keepNext w:val="0"/>
              <w:keepLines w:val="0"/>
              <w:pageBreakBefore w:val="0"/>
              <w:widowControl/>
              <w:suppressLineNumbers w:val="0"/>
              <w:kinsoku/>
              <w:wordWrap/>
              <w:overflowPunct/>
              <w:topLinePunct w:val="0"/>
              <w:autoSpaceDE/>
              <w:autoSpaceDN/>
              <w:bidi w:val="0"/>
              <w:adjustRightInd/>
              <w:snapToGrid/>
              <w:spacing w:line="440" w:lineRule="exact"/>
              <w:ind w:firstLine="0" w:firstLineChars="0"/>
              <w:jc w:val="center"/>
              <w:textAlignment w:val="center"/>
              <w:rPr>
                <w:rFonts w:hint="eastAsia" w:ascii="仿宋" w:hAnsi="仿宋" w:eastAsia="仿宋" w:cs="仿宋"/>
                <w:b/>
                <w:bCs/>
                <w:i w:val="0"/>
                <w:iCs w:val="0"/>
                <w:color w:val="auto"/>
                <w:sz w:val="24"/>
                <w:szCs w:val="24"/>
                <w:highlight w:val="none"/>
                <w:u w:val="none"/>
              </w:rPr>
            </w:pPr>
            <w:r>
              <w:rPr>
                <w:rFonts w:hint="eastAsia" w:ascii="仿宋" w:hAnsi="仿宋" w:eastAsia="仿宋" w:cs="仿宋"/>
                <w:b/>
                <w:bCs/>
                <w:i w:val="0"/>
                <w:iCs w:val="0"/>
                <w:color w:val="auto"/>
                <w:kern w:val="0"/>
                <w:sz w:val="24"/>
                <w:szCs w:val="24"/>
                <w:highlight w:val="none"/>
                <w:u w:val="none"/>
                <w:lang w:val="en-US" w:eastAsia="zh-CN" w:bidi="ar"/>
              </w:rPr>
              <w:t>考核标准/扣分规则</w:t>
            </w:r>
          </w:p>
        </w:tc>
      </w:tr>
      <w:tr w14:paraId="5A06CF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3543EA">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Style w:val="44"/>
                <w:rFonts w:hint="eastAsia" w:ascii="仿宋" w:hAnsi="仿宋" w:eastAsia="仿宋" w:cs="仿宋"/>
                <w:color w:val="auto"/>
                <w:sz w:val="24"/>
                <w:szCs w:val="24"/>
                <w:lang w:val="en-US" w:eastAsia="zh-CN" w:bidi="ar"/>
              </w:rPr>
              <w:t xml:space="preserve">1. </w:t>
            </w:r>
            <w:r>
              <w:rPr>
                <w:rFonts w:hint="eastAsia" w:ascii="仿宋" w:hAnsi="仿宋" w:eastAsia="仿宋" w:cs="仿宋"/>
                <w:i w:val="0"/>
                <w:iCs w:val="0"/>
                <w:color w:val="auto"/>
                <w:kern w:val="0"/>
                <w:sz w:val="24"/>
                <w:szCs w:val="24"/>
                <w:u w:val="none"/>
                <w:lang w:val="en-US" w:eastAsia="zh-CN" w:bidi="ar"/>
              </w:rPr>
              <w:t>响应及时性（</w:t>
            </w:r>
            <w:r>
              <w:rPr>
                <w:rStyle w:val="44"/>
                <w:rFonts w:hint="eastAsia" w:ascii="仿宋" w:hAnsi="仿宋" w:eastAsia="仿宋" w:cs="仿宋"/>
                <w:color w:val="auto"/>
                <w:sz w:val="24"/>
                <w:szCs w:val="24"/>
                <w:lang w:val="en-US" w:eastAsia="zh-CN" w:bidi="ar"/>
              </w:rPr>
              <w:t>30</w:t>
            </w:r>
            <w:r>
              <w:rPr>
                <w:rFonts w:hint="eastAsia" w:ascii="仿宋" w:hAnsi="仿宋" w:eastAsia="仿宋" w:cs="仿宋"/>
                <w:i w:val="0"/>
                <w:iCs w:val="0"/>
                <w:color w:val="auto"/>
                <w:kern w:val="0"/>
                <w:sz w:val="24"/>
                <w:szCs w:val="24"/>
                <w:u w:val="none"/>
                <w:lang w:val="en-US" w:eastAsia="zh-CN" w:bidi="ar"/>
              </w:rPr>
              <w:t>）</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A388F">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响应率</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869E2">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BB866">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接到报修后0.5小时内响应。每超时1次扣2分，未响应扣10分。</w:t>
            </w:r>
          </w:p>
        </w:tc>
      </w:tr>
      <w:tr w14:paraId="2E232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81708">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F79A">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到场时效</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42D6D">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6069B">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3小时内到达现场。每超时1次扣2分，未到场扣10分。</w:t>
            </w:r>
          </w:p>
        </w:tc>
      </w:tr>
      <w:tr w14:paraId="5FAB4F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E562A">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77A92">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完工时效</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0FC38">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314D">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平均工单完成时间在6小时内。超时工单占比&gt;10%扣5分，&gt;20%不得分。</w:t>
            </w:r>
          </w:p>
        </w:tc>
      </w:tr>
      <w:tr w14:paraId="08A91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53254">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Style w:val="44"/>
                <w:rFonts w:hint="eastAsia" w:ascii="仿宋" w:hAnsi="仿宋" w:eastAsia="仿宋" w:cs="仿宋"/>
                <w:color w:val="auto"/>
                <w:sz w:val="24"/>
                <w:szCs w:val="24"/>
                <w:lang w:val="en-US" w:eastAsia="zh-CN" w:bidi="ar"/>
              </w:rPr>
              <w:t xml:space="preserve">2. </w:t>
            </w:r>
            <w:r>
              <w:rPr>
                <w:rFonts w:hint="eastAsia" w:ascii="仿宋" w:hAnsi="仿宋" w:eastAsia="仿宋" w:cs="仿宋"/>
                <w:i w:val="0"/>
                <w:iCs w:val="0"/>
                <w:color w:val="auto"/>
                <w:kern w:val="0"/>
                <w:sz w:val="24"/>
                <w:szCs w:val="24"/>
                <w:u w:val="none"/>
                <w:lang w:val="en-US" w:eastAsia="zh-CN" w:bidi="ar"/>
              </w:rPr>
              <w:t>维修质量与配件（</w:t>
            </w:r>
            <w:r>
              <w:rPr>
                <w:rStyle w:val="44"/>
                <w:rFonts w:hint="eastAsia" w:ascii="仿宋" w:hAnsi="仿宋" w:eastAsia="仿宋" w:cs="仿宋"/>
                <w:color w:val="auto"/>
                <w:sz w:val="24"/>
                <w:szCs w:val="24"/>
                <w:lang w:val="en-US" w:eastAsia="zh-CN" w:bidi="ar"/>
              </w:rPr>
              <w:t>35</w:t>
            </w:r>
            <w:r>
              <w:rPr>
                <w:rFonts w:hint="eastAsia" w:ascii="仿宋" w:hAnsi="仿宋" w:eastAsia="仿宋" w:cs="仿宋"/>
                <w:i w:val="0"/>
                <w:iCs w:val="0"/>
                <w:color w:val="auto"/>
                <w:kern w:val="0"/>
                <w:sz w:val="24"/>
                <w:szCs w:val="24"/>
                <w:u w:val="none"/>
                <w:lang w:val="en-US" w:eastAsia="zh-CN" w:bidi="ar"/>
              </w:rPr>
              <w:t>）</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363DE">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一次修复率</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C013">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15分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E556F">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首次维修即解决问题。出现返修（同一故障7日内复发）每单扣5分。</w:t>
            </w:r>
          </w:p>
        </w:tc>
      </w:tr>
      <w:tr w14:paraId="0A62B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6D7FF">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EB512">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配件库建设</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ECFF">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460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现场常用配件库齐全。因缺配件导致无法修复（除特殊定制件外），每次扣5分。</w:t>
            </w:r>
          </w:p>
        </w:tc>
      </w:tr>
      <w:tr w14:paraId="78D50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2068D">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CA645">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全包干执行</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DF629">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96C89">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检查是否有向科室索要配件费、加氟费、高空费等违规行为。发现一次扣5分，严重者一票否决。</w:t>
            </w:r>
          </w:p>
        </w:tc>
      </w:tr>
      <w:tr w14:paraId="16C52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75A60E">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Style w:val="44"/>
                <w:rFonts w:hint="eastAsia" w:ascii="仿宋" w:hAnsi="仿宋" w:eastAsia="仿宋" w:cs="仿宋"/>
                <w:color w:val="auto"/>
                <w:sz w:val="24"/>
                <w:szCs w:val="24"/>
                <w:lang w:val="en-US" w:eastAsia="zh-CN" w:bidi="ar"/>
              </w:rPr>
              <w:t xml:space="preserve">3. </w:t>
            </w:r>
            <w:r>
              <w:rPr>
                <w:rFonts w:hint="eastAsia" w:ascii="仿宋" w:hAnsi="仿宋" w:eastAsia="仿宋" w:cs="仿宋"/>
                <w:i w:val="0"/>
                <w:iCs w:val="0"/>
                <w:color w:val="auto"/>
                <w:kern w:val="0"/>
                <w:sz w:val="24"/>
                <w:szCs w:val="24"/>
                <w:u w:val="none"/>
                <w:lang w:val="en-US" w:eastAsia="zh-CN" w:bidi="ar"/>
              </w:rPr>
              <w:t>预防性维护</w:t>
            </w:r>
            <w:r>
              <w:rPr>
                <w:rStyle w:val="44"/>
                <w:rFonts w:hint="eastAsia" w:ascii="仿宋" w:hAnsi="仿宋" w:eastAsia="仿宋" w:cs="仿宋"/>
                <w:color w:val="auto"/>
                <w:sz w:val="24"/>
                <w:szCs w:val="24"/>
                <w:lang w:val="en-US" w:eastAsia="zh-CN" w:bidi="ar"/>
              </w:rPr>
              <w:t>(PM)</w:t>
            </w:r>
            <w:r>
              <w:rPr>
                <w:rFonts w:hint="eastAsia" w:ascii="仿宋" w:hAnsi="仿宋" w:eastAsia="仿宋" w:cs="仿宋"/>
                <w:i w:val="0"/>
                <w:iCs w:val="0"/>
                <w:color w:val="auto"/>
                <w:kern w:val="0"/>
                <w:sz w:val="24"/>
                <w:szCs w:val="24"/>
                <w:u w:val="none"/>
                <w:lang w:val="en-US" w:eastAsia="zh-CN" w:bidi="ar"/>
              </w:rPr>
              <w:t>（</w:t>
            </w:r>
            <w:r>
              <w:rPr>
                <w:rStyle w:val="44"/>
                <w:rFonts w:hint="eastAsia" w:ascii="仿宋" w:hAnsi="仿宋" w:eastAsia="仿宋" w:cs="仿宋"/>
                <w:color w:val="auto"/>
                <w:sz w:val="24"/>
                <w:szCs w:val="24"/>
                <w:lang w:val="en-US" w:eastAsia="zh-CN" w:bidi="ar"/>
              </w:rPr>
              <w:t>20</w:t>
            </w:r>
            <w:r>
              <w:rPr>
                <w:rFonts w:hint="eastAsia" w:ascii="仿宋" w:hAnsi="仿宋" w:eastAsia="仿宋" w:cs="仿宋"/>
                <w:i w:val="0"/>
                <w:iCs w:val="0"/>
                <w:color w:val="auto"/>
                <w:kern w:val="0"/>
                <w:sz w:val="24"/>
                <w:szCs w:val="24"/>
                <w:u w:val="none"/>
                <w:lang w:val="en-US" w:eastAsia="zh-CN" w:bidi="ar"/>
              </w:rPr>
              <w:t>）</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36B0B">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清洗保养完成率</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4F2F">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C11DF">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检查当月计划的清洗保养是否完成。每漏检/漏洗1台扣1分。</w:t>
            </w:r>
          </w:p>
        </w:tc>
      </w:tr>
      <w:tr w14:paraId="66396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234A9">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71FC2">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清洗质量</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F1AB3">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10分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E3B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随机抽查已清洗设备，若发现滤网堵塞、接水盘有污垢、排水管未疏通，每处扣2分。</w:t>
            </w:r>
          </w:p>
        </w:tc>
      </w:tr>
      <w:tr w14:paraId="735FA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17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BCBE59">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Style w:val="44"/>
                <w:rFonts w:hint="eastAsia" w:ascii="仿宋" w:hAnsi="仿宋" w:eastAsia="仿宋" w:cs="仿宋"/>
                <w:color w:val="auto"/>
                <w:sz w:val="24"/>
                <w:szCs w:val="24"/>
                <w:lang w:val="en-US" w:eastAsia="zh-CN" w:bidi="ar"/>
              </w:rPr>
              <w:t xml:space="preserve">4. </w:t>
            </w:r>
            <w:r>
              <w:rPr>
                <w:rFonts w:hint="eastAsia" w:ascii="仿宋" w:hAnsi="仿宋" w:eastAsia="仿宋" w:cs="仿宋"/>
                <w:i w:val="0"/>
                <w:iCs w:val="0"/>
                <w:color w:val="auto"/>
                <w:kern w:val="0"/>
                <w:sz w:val="24"/>
                <w:szCs w:val="24"/>
                <w:u w:val="none"/>
                <w:lang w:val="en-US" w:eastAsia="zh-CN" w:bidi="ar"/>
              </w:rPr>
              <w:t>管理与安全（</w:t>
            </w:r>
            <w:r>
              <w:rPr>
                <w:rStyle w:val="44"/>
                <w:rFonts w:hint="eastAsia" w:ascii="仿宋" w:hAnsi="仿宋" w:eastAsia="仿宋" w:cs="仿宋"/>
                <w:color w:val="auto"/>
                <w:sz w:val="24"/>
                <w:szCs w:val="24"/>
                <w:lang w:val="en-US" w:eastAsia="zh-CN" w:bidi="ar"/>
              </w:rPr>
              <w:t>15</w:t>
            </w:r>
            <w:r>
              <w:rPr>
                <w:rFonts w:hint="eastAsia" w:ascii="仿宋" w:hAnsi="仿宋" w:eastAsia="仿宋" w:cs="仿宋"/>
                <w:i w:val="0"/>
                <w:iCs w:val="0"/>
                <w:color w:val="auto"/>
                <w:kern w:val="0"/>
                <w:sz w:val="24"/>
                <w:szCs w:val="24"/>
                <w:u w:val="none"/>
                <w:lang w:val="en-US" w:eastAsia="zh-CN" w:bidi="ar"/>
              </w:rPr>
              <w:t>）</w:t>
            </w: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9D346">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平台对接</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10605">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F1D8C">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工单流转、数据录入及时准确。出现工单遗漏或数据错误扣2分/次。</w:t>
            </w:r>
          </w:p>
        </w:tc>
      </w:tr>
      <w:tr w14:paraId="0ABFE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75EBA">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F820C">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人员资质</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37D83">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5分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975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现场作业人员持证（制冷、低压电工、焊工）。发现无证上岗，直接扣5分。</w:t>
            </w:r>
          </w:p>
        </w:tc>
      </w:tr>
      <w:tr w14:paraId="02E93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7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95C51B">
            <w:pPr>
              <w:keepLines w:val="0"/>
              <w:pageBreakBefore w:val="0"/>
              <w:kinsoku/>
              <w:wordWrap/>
              <w:overflowPunct/>
              <w:topLinePunct w:val="0"/>
              <w:autoSpaceDE/>
              <w:autoSpaceDN/>
              <w:bidi w:val="0"/>
              <w:spacing w:line="440" w:lineRule="exact"/>
              <w:jc w:val="center"/>
              <w:rPr>
                <w:rFonts w:hint="eastAsia" w:ascii="仿宋" w:hAnsi="仿宋" w:eastAsia="仿宋" w:cs="仿宋"/>
                <w:i w:val="0"/>
                <w:iCs w:val="0"/>
                <w:color w:val="auto"/>
                <w:sz w:val="24"/>
                <w:szCs w:val="24"/>
                <w:highlight w:val="none"/>
                <w:u w:val="none"/>
              </w:rPr>
            </w:pPr>
          </w:p>
        </w:tc>
        <w:tc>
          <w:tcPr>
            <w:tcW w:w="1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C9D5F">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安全作业</w:t>
            </w:r>
          </w:p>
        </w:tc>
        <w:tc>
          <w:tcPr>
            <w:tcW w:w="9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63E42">
            <w:pPr>
              <w:keepNext w:val="0"/>
              <w:keepLines w:val="0"/>
              <w:pageBreakBefore w:val="0"/>
              <w:widowControl/>
              <w:suppressLineNumbers w:val="0"/>
              <w:kinsoku/>
              <w:wordWrap/>
              <w:overflowPunct/>
              <w:topLinePunct w:val="0"/>
              <w:autoSpaceDE/>
              <w:autoSpaceDN/>
              <w:bidi w:val="0"/>
              <w:spacing w:line="440" w:lineRule="exact"/>
              <w:jc w:val="center"/>
              <w:textAlignment w:val="center"/>
              <w:rPr>
                <w:rFonts w:hint="eastAsia" w:ascii="仿宋" w:hAnsi="仿宋" w:eastAsia="仿宋" w:cs="仿宋"/>
                <w:i w:val="0"/>
                <w:iCs w:val="0"/>
                <w:color w:val="auto"/>
                <w:sz w:val="24"/>
                <w:szCs w:val="24"/>
                <w:highlight w:val="none"/>
                <w:u w:val="none"/>
              </w:rPr>
            </w:pPr>
            <w:r>
              <w:rPr>
                <w:rStyle w:val="44"/>
                <w:rFonts w:hint="eastAsia" w:ascii="仿宋" w:hAnsi="仿宋" w:eastAsia="仿宋" w:cs="仿宋"/>
                <w:color w:val="auto"/>
                <w:sz w:val="24"/>
                <w:szCs w:val="24"/>
                <w:lang w:val="en-US" w:eastAsia="zh-CN" w:bidi="ar"/>
              </w:rPr>
              <w:t>5</w:t>
            </w:r>
            <w:r>
              <w:rPr>
                <w:rFonts w:hint="eastAsia" w:ascii="仿宋" w:hAnsi="仿宋" w:eastAsia="仿宋" w:cs="仿宋"/>
                <w:i w:val="0"/>
                <w:iCs w:val="0"/>
                <w:color w:val="auto"/>
                <w:kern w:val="0"/>
                <w:sz w:val="24"/>
                <w:szCs w:val="24"/>
                <w:u w:val="none"/>
                <w:lang w:val="en-US" w:eastAsia="zh-CN" w:bidi="ar"/>
              </w:rPr>
              <w:t>分</w:t>
            </w:r>
          </w:p>
        </w:tc>
        <w:tc>
          <w:tcPr>
            <w:tcW w:w="5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7700A">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center"/>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kern w:val="0"/>
                <w:sz w:val="24"/>
                <w:szCs w:val="24"/>
                <w:u w:val="none"/>
                <w:lang w:val="en-US" w:eastAsia="zh-CN" w:bidi="ar"/>
              </w:rPr>
              <w:t>检查高空作业防护、用电安全、医疗环境防尘防感染措施。发现安全隐患扣3分/次。</w:t>
            </w:r>
          </w:p>
        </w:tc>
      </w:tr>
      <w:tr w14:paraId="4A2BA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888" w:type="pct"/>
            <w:tcBorders>
              <w:top w:val="nil"/>
              <w:left w:val="nil"/>
              <w:bottom w:val="nil"/>
              <w:right w:val="nil"/>
            </w:tcBorders>
            <w:shd w:val="clear" w:color="auto" w:fill="auto"/>
            <w:noWrap/>
            <w:vAlign w:val="bottom"/>
          </w:tcPr>
          <w:p w14:paraId="369521D4">
            <w:pPr>
              <w:keepNext w:val="0"/>
              <w:keepLines w:val="0"/>
              <w:pageBreakBefore w:val="0"/>
              <w:widowControl/>
              <w:kinsoku/>
              <w:wordWrap/>
              <w:overflowPunct/>
              <w:topLinePunct w:val="0"/>
              <w:autoSpaceDE/>
              <w:autoSpaceDN/>
              <w:bidi w:val="0"/>
              <w:adjustRightInd/>
              <w:snapToGrid/>
              <w:spacing w:after="0" w:line="440" w:lineRule="exact"/>
              <w:ind w:firstLine="0" w:firstLineChars="0"/>
              <w:rPr>
                <w:rFonts w:hint="eastAsia" w:ascii="仿宋" w:hAnsi="仿宋" w:eastAsia="仿宋" w:cs="仿宋"/>
                <w:i w:val="0"/>
                <w:iCs w:val="0"/>
                <w:color w:val="auto"/>
                <w:sz w:val="24"/>
                <w:szCs w:val="24"/>
                <w:highlight w:val="none"/>
                <w:u w:val="none"/>
              </w:rPr>
            </w:pPr>
          </w:p>
        </w:tc>
        <w:tc>
          <w:tcPr>
            <w:tcW w:w="871" w:type="pct"/>
            <w:tcBorders>
              <w:top w:val="nil"/>
              <w:left w:val="nil"/>
              <w:bottom w:val="nil"/>
              <w:right w:val="nil"/>
            </w:tcBorders>
            <w:shd w:val="clear" w:color="auto" w:fill="auto"/>
            <w:noWrap/>
            <w:vAlign w:val="bottom"/>
          </w:tcPr>
          <w:p w14:paraId="47F31497">
            <w:pPr>
              <w:keepNext w:val="0"/>
              <w:keepLines w:val="0"/>
              <w:pageBreakBefore w:val="0"/>
              <w:widowControl/>
              <w:kinsoku/>
              <w:wordWrap/>
              <w:overflowPunct/>
              <w:topLinePunct w:val="0"/>
              <w:autoSpaceDE/>
              <w:autoSpaceDN/>
              <w:bidi w:val="0"/>
              <w:adjustRightInd/>
              <w:snapToGrid/>
              <w:spacing w:after="0" w:line="440" w:lineRule="exact"/>
              <w:ind w:firstLine="0" w:firstLineChars="0"/>
              <w:rPr>
                <w:rFonts w:hint="eastAsia" w:ascii="仿宋" w:hAnsi="仿宋" w:eastAsia="仿宋" w:cs="仿宋"/>
                <w:i w:val="0"/>
                <w:iCs w:val="0"/>
                <w:color w:val="auto"/>
                <w:sz w:val="24"/>
                <w:szCs w:val="24"/>
                <w:highlight w:val="none"/>
                <w:u w:val="none"/>
              </w:rPr>
            </w:pPr>
          </w:p>
        </w:tc>
        <w:tc>
          <w:tcPr>
            <w:tcW w:w="473" w:type="pct"/>
            <w:tcBorders>
              <w:top w:val="nil"/>
              <w:left w:val="nil"/>
              <w:bottom w:val="nil"/>
              <w:right w:val="nil"/>
            </w:tcBorders>
            <w:shd w:val="clear" w:color="auto" w:fill="auto"/>
            <w:noWrap/>
            <w:vAlign w:val="bottom"/>
          </w:tcPr>
          <w:p w14:paraId="2EA3980C">
            <w:pPr>
              <w:keepNext w:val="0"/>
              <w:keepLines w:val="0"/>
              <w:pageBreakBefore w:val="0"/>
              <w:widowControl/>
              <w:kinsoku/>
              <w:wordWrap/>
              <w:overflowPunct/>
              <w:topLinePunct w:val="0"/>
              <w:autoSpaceDE/>
              <w:autoSpaceDN/>
              <w:bidi w:val="0"/>
              <w:adjustRightInd/>
              <w:snapToGrid/>
              <w:spacing w:after="0" w:line="440" w:lineRule="exact"/>
              <w:ind w:firstLine="0" w:firstLineChars="0"/>
              <w:rPr>
                <w:rFonts w:hint="eastAsia" w:ascii="仿宋" w:hAnsi="仿宋" w:eastAsia="仿宋" w:cs="仿宋"/>
                <w:i w:val="0"/>
                <w:iCs w:val="0"/>
                <w:color w:val="auto"/>
                <w:sz w:val="24"/>
                <w:szCs w:val="24"/>
                <w:highlight w:val="none"/>
                <w:u w:val="none"/>
              </w:rPr>
            </w:pPr>
          </w:p>
        </w:tc>
        <w:tc>
          <w:tcPr>
            <w:tcW w:w="2766" w:type="pct"/>
            <w:tcBorders>
              <w:top w:val="nil"/>
              <w:left w:val="nil"/>
              <w:bottom w:val="nil"/>
              <w:right w:val="nil"/>
            </w:tcBorders>
            <w:shd w:val="clear" w:color="auto" w:fill="auto"/>
            <w:noWrap/>
            <w:vAlign w:val="bottom"/>
          </w:tcPr>
          <w:p w14:paraId="5FDCEF33">
            <w:pPr>
              <w:keepNext w:val="0"/>
              <w:keepLines w:val="0"/>
              <w:pageBreakBefore w:val="0"/>
              <w:widowControl/>
              <w:kinsoku/>
              <w:wordWrap/>
              <w:overflowPunct/>
              <w:topLinePunct w:val="0"/>
              <w:autoSpaceDE/>
              <w:autoSpaceDN/>
              <w:bidi w:val="0"/>
              <w:adjustRightInd/>
              <w:snapToGrid/>
              <w:spacing w:after="0" w:line="440" w:lineRule="exact"/>
              <w:ind w:firstLine="0" w:firstLineChars="0"/>
              <w:rPr>
                <w:rFonts w:hint="eastAsia" w:ascii="仿宋" w:hAnsi="仿宋" w:eastAsia="仿宋" w:cs="仿宋"/>
                <w:i w:val="0"/>
                <w:iCs w:val="0"/>
                <w:color w:val="auto"/>
                <w:sz w:val="24"/>
                <w:szCs w:val="24"/>
                <w:highlight w:val="none"/>
                <w:u w:val="none"/>
              </w:rPr>
            </w:pPr>
          </w:p>
        </w:tc>
      </w:tr>
      <w:tr w14:paraId="72CE8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000" w:type="pct"/>
            <w:gridSpan w:val="4"/>
            <w:tcBorders>
              <w:top w:val="nil"/>
              <w:left w:val="nil"/>
              <w:bottom w:val="nil"/>
              <w:right w:val="nil"/>
            </w:tcBorders>
            <w:shd w:val="clear" w:color="auto" w:fill="auto"/>
            <w:vAlign w:val="bottom"/>
          </w:tcPr>
          <w:p w14:paraId="08583897">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1.考核结果应用</w:t>
            </w:r>
          </w:p>
          <w:p w14:paraId="46065299">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考核得分≥95分：向供应商全额支付该季度服务费用。</w:t>
            </w:r>
          </w:p>
          <w:p w14:paraId="7BC3E77E">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80≤考核得分＜95分：若供应商季度考核得分低于95分，每低于95分1分，采购人有权在该季度服务费支付比例中扣除1%。计算公式：实际支付比例=100%-(95-考核得分)%</w:t>
            </w:r>
          </w:p>
          <w:p w14:paraId="3336253C">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考核得分＜80分：该季度服务费不予支付。供应商需在考核结束后3日内提交整改报告，并扣除履约保证金的50%作为违约金。</w:t>
            </w:r>
          </w:p>
          <w:p w14:paraId="3061519A">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2.考核一票否决</w:t>
            </w:r>
          </w:p>
          <w:p w14:paraId="4BD81F2E">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若发生以下任一情况，采购人有权单方面解除合同，且不予退还履约保证金：</w:t>
            </w:r>
          </w:p>
          <w:p w14:paraId="56B440CE">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（1）严重超时：经采购人核实，因供应商响应不及时（超过2小时）导致生产事故的情形。</w:t>
            </w:r>
          </w:p>
          <w:p w14:paraId="060F1AE3">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（2）累计不合格：在服务期内，累计出现2次季度考核低于80分。</w:t>
            </w:r>
          </w:p>
          <w:p w14:paraId="4AD299E7">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（3）放弃服务：供应商以任何理由拒绝接收新工单或停止服务。</w:t>
            </w:r>
          </w:p>
          <w:p w14:paraId="469ED4CC">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bottom"/>
              <w:rPr>
                <w:rFonts w:hint="eastAsia" w:ascii="仿宋" w:hAnsi="仿宋" w:eastAsia="仿宋" w:cs="仿宋"/>
                <w:i w:val="0"/>
                <w:iCs w:val="0"/>
                <w:color w:val="auto"/>
                <w:sz w:val="24"/>
                <w:szCs w:val="24"/>
                <w:highlight w:val="none"/>
                <w:u w:val="none"/>
              </w:rPr>
            </w:pPr>
            <w:r>
              <w:rPr>
                <w:rFonts w:hint="eastAsia" w:ascii="仿宋" w:hAnsi="仿宋" w:eastAsia="仿宋" w:cs="仿宋"/>
                <w:i w:val="0"/>
                <w:iCs w:val="0"/>
                <w:color w:val="auto"/>
                <w:sz w:val="24"/>
                <w:szCs w:val="24"/>
                <w:highlight w:val="none"/>
                <w:u w:val="none"/>
              </w:rPr>
              <w:t>3.合同续签：年度考核合格续签下一年度合同，年度考核合格是指供应商前三个季度考核得分均≥90分。</w:t>
            </w:r>
          </w:p>
        </w:tc>
      </w:tr>
    </w:tbl>
    <w:p w14:paraId="09D846B2">
      <w:pPr>
        <w:pStyle w:val="16"/>
        <w:keepNext w:val="0"/>
        <w:keepLines w:val="0"/>
        <w:pageBreakBefore w:val="0"/>
        <w:widowControl w:val="0"/>
        <w:kinsoku/>
        <w:wordWrap/>
        <w:overflowPunct/>
        <w:topLinePunct w:val="0"/>
        <w:autoSpaceDE/>
        <w:autoSpaceDN/>
        <w:bidi w:val="0"/>
        <w:adjustRightInd/>
        <w:spacing w:before="0" w:after="0" w:line="440" w:lineRule="exact"/>
        <w:ind w:firstLine="482" w:firstLineChars="200"/>
        <w:textAlignment w:val="auto"/>
        <w:rPr>
          <w:rFonts w:hint="eastAsia" w:ascii="Times New Roman" w:hAnsi="Times New Roman" w:eastAsia="仿宋" w:cs="Times New Roman"/>
          <w:b/>
          <w:bCs/>
          <w:color w:val="auto"/>
          <w:sz w:val="24"/>
          <w:szCs w:val="24"/>
          <w:highlight w:val="none"/>
          <w:lang w:val="en-US" w:eastAsia="zh-CN"/>
        </w:rPr>
      </w:pPr>
      <w:r>
        <w:rPr>
          <w:rFonts w:hint="eastAsia" w:ascii="Times New Roman" w:hAnsi="Times New Roman" w:eastAsia="仿宋" w:cs="Times New Roman"/>
          <w:b/>
          <w:bCs/>
          <w:color w:val="auto"/>
          <w:sz w:val="24"/>
          <w:szCs w:val="24"/>
          <w:highlight w:val="none"/>
          <w:lang w:val="en-US" w:eastAsia="zh-CN"/>
        </w:rPr>
        <w:t>五、其他要求</w:t>
      </w:r>
    </w:p>
    <w:p w14:paraId="35C75681">
      <w:pPr>
        <w:pStyle w:val="16"/>
        <w:keepNext w:val="0"/>
        <w:keepLines w:val="0"/>
        <w:pageBreakBefore w:val="0"/>
        <w:widowControl w:val="0"/>
        <w:numPr>
          <w:ilvl w:val="0"/>
          <w:numId w:val="0"/>
        </w:numPr>
        <w:kinsoku/>
        <w:wordWrap/>
        <w:overflowPunct/>
        <w:topLinePunct w:val="0"/>
        <w:autoSpaceDE/>
        <w:autoSpaceDN/>
        <w:bidi w:val="0"/>
        <w:adjustRightInd/>
        <w:spacing w:before="0" w:after="0"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1.供应商提供自2023年1月1日（含）至响应文件递交截止之日类似项目业绩（类似项目是指空调维保服务项目），提供合同复印件并加盖供应商公章。</w:t>
      </w:r>
    </w:p>
    <w:p w14:paraId="05E34D3C">
      <w:pPr>
        <w:keepNext w:val="0"/>
        <w:keepLines w:val="0"/>
        <w:pageBreakBefore w:val="0"/>
        <w:widowControl w:val="0"/>
        <w:kinsoku/>
        <w:wordWrap/>
        <w:overflowPunct/>
        <w:topLinePunct w:val="0"/>
        <w:autoSpaceDE/>
        <w:autoSpaceDN/>
        <w:bidi w:val="0"/>
        <w:adjustRightInd/>
        <w:spacing w:line="440" w:lineRule="exact"/>
        <w:ind w:firstLine="480" w:firstLineChars="200"/>
        <w:textAlignment w:val="auto"/>
        <w:rPr>
          <w:color w:val="auto"/>
          <w:highlight w:val="none"/>
        </w:rPr>
      </w:pPr>
      <w:r>
        <w:rPr>
          <w:rFonts w:hint="eastAsia" w:ascii="仿宋" w:hAnsi="仿宋" w:eastAsia="仿宋" w:cs="仿宋"/>
          <w:color w:val="auto"/>
          <w:sz w:val="24"/>
          <w:szCs w:val="24"/>
          <w:highlight w:val="none"/>
          <w:lang w:val="en-US" w:eastAsia="zh-CN"/>
        </w:rPr>
        <w:t>2.供应商为本项目拟配备的服务人员，拟配备项目经理具有机电工程相关专业中级或高级工程师职称。</w:t>
      </w:r>
    </w:p>
    <w:p w14:paraId="643B735A">
      <w:pPr>
        <w:pStyle w:val="16"/>
        <w:keepNext w:val="0"/>
        <w:keepLines w:val="0"/>
        <w:pageBreakBefore w:val="0"/>
        <w:widowControl w:val="0"/>
        <w:numPr>
          <w:ilvl w:val="0"/>
          <w:numId w:val="0"/>
        </w:numPr>
        <w:kinsoku/>
        <w:wordWrap/>
        <w:overflowPunct/>
        <w:topLinePunct w:val="0"/>
        <w:autoSpaceDE/>
        <w:autoSpaceDN/>
        <w:bidi w:val="0"/>
        <w:adjustRightInd/>
        <w:spacing w:before="0" w:after="0" w:line="44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3.</w:t>
      </w:r>
      <w:r>
        <w:rPr>
          <w:rFonts w:hint="eastAsia" w:ascii="仿宋" w:hAnsi="仿宋" w:eastAsia="仿宋" w:cs="仿宋"/>
          <w:color w:val="auto"/>
          <w:sz w:val="24"/>
          <w:szCs w:val="24"/>
          <w:highlight w:val="none"/>
          <w:lang w:val="en-US" w:eastAsia="zh-CN"/>
        </w:rPr>
        <w:t>供应商针对本项目提供维保服务方案，包括：①设备维护保养计划；②维护保养巡检措施；③设备的维护保养流程、工序；④备品备件更换及质量保障方案。</w:t>
      </w:r>
    </w:p>
    <w:p w14:paraId="1AD22D47">
      <w:pPr>
        <w:pStyle w:val="16"/>
        <w:keepNext w:val="0"/>
        <w:keepLines w:val="0"/>
        <w:pageBreakBefore w:val="0"/>
        <w:widowControl w:val="0"/>
        <w:kinsoku/>
        <w:wordWrap/>
        <w:overflowPunct/>
        <w:topLinePunct w:val="0"/>
        <w:autoSpaceDE/>
        <w:autoSpaceDN/>
        <w:bidi w:val="0"/>
        <w:adjustRightInd/>
        <w:spacing w:before="0" w:after="0" w:line="440" w:lineRule="exact"/>
        <w:ind w:firstLine="480" w:firstLineChars="200"/>
        <w:textAlignment w:val="auto"/>
        <w:rPr>
          <w:rFonts w:hint="default" w:ascii="仿宋" w:hAnsi="仿宋" w:eastAsia="仿宋" w:cs="仿宋"/>
          <w:color w:val="auto"/>
          <w:sz w:val="24"/>
          <w:szCs w:val="24"/>
          <w:highlight w:val="none"/>
          <w:lang w:val="en-US" w:eastAsia="zh-CN"/>
        </w:rPr>
      </w:pPr>
      <w:r>
        <w:rPr>
          <w:rFonts w:hint="default" w:ascii="Times New Roman" w:hAnsi="Times New Roman" w:eastAsia="仿宋" w:cs="Times New Roman"/>
          <w:b w:val="0"/>
          <w:bCs w:val="0"/>
          <w:color w:val="auto"/>
          <w:sz w:val="24"/>
          <w:szCs w:val="24"/>
          <w:highlight w:val="none"/>
          <w:lang w:val="en-US" w:eastAsia="zh-CN"/>
        </w:rPr>
        <w:t>4.供应商针对本项目提供安全、应急保障方案，</w:t>
      </w:r>
      <w:r>
        <w:rPr>
          <w:rFonts w:hint="default" w:ascii="仿宋" w:hAnsi="仿宋" w:eastAsia="仿宋" w:cs="仿宋"/>
          <w:color w:val="auto"/>
          <w:sz w:val="24"/>
          <w:szCs w:val="24"/>
          <w:highlight w:val="none"/>
          <w:lang w:val="en-US" w:eastAsia="zh-CN"/>
        </w:rPr>
        <w:t>包括：①作业安全与人员保障方案；②应急事件响应方案；③设备故障响应与抢修方案。</w:t>
      </w:r>
    </w:p>
    <w:p w14:paraId="5966EB51">
      <w:pPr>
        <w:pStyle w:val="16"/>
        <w:keepLines w:val="0"/>
        <w:pageBreakBefore w:val="0"/>
        <w:kinsoku/>
        <w:wordWrap/>
        <w:overflowPunct/>
        <w:topLinePunct w:val="0"/>
        <w:autoSpaceDE/>
        <w:autoSpaceDN/>
        <w:bidi w:val="0"/>
        <w:spacing w:before="0" w:after="0" w:line="440" w:lineRule="exact"/>
        <w:ind w:firstLine="480" w:firstLineChars="200"/>
        <w:rPr>
          <w:rFonts w:ascii="Times New Roman" w:hAnsi="Times New Roman" w:eastAsia="仿宋" w:cs="Times New Roman"/>
          <w:color w:val="auto"/>
          <w:sz w:val="24"/>
          <w:szCs w:val="24"/>
          <w:highlight w:val="none"/>
        </w:rPr>
      </w:pPr>
    </w:p>
    <w:p w14:paraId="4A6A2942">
      <w:pPr>
        <w:pStyle w:val="16"/>
        <w:keepLines w:val="0"/>
        <w:pageBreakBefore w:val="0"/>
        <w:kinsoku/>
        <w:wordWrap/>
        <w:overflowPunct/>
        <w:topLinePunct w:val="0"/>
        <w:autoSpaceDE/>
        <w:autoSpaceDN/>
        <w:bidi w:val="0"/>
        <w:spacing w:before="0" w:after="0" w:line="440" w:lineRule="exact"/>
        <w:ind w:firstLine="480" w:firstLineChars="200"/>
        <w:rPr>
          <w:rFonts w:ascii="Times New Roman" w:hAnsi="Times New Roman" w:eastAsia="仿宋" w:cs="Times New Roman"/>
          <w:color w:val="auto"/>
          <w:sz w:val="24"/>
          <w:szCs w:val="24"/>
          <w:highlight w:val="none"/>
        </w:rPr>
      </w:pPr>
      <w:r>
        <w:rPr>
          <w:rFonts w:ascii="Times New Roman" w:hAnsi="Times New Roman" w:eastAsia="仿宋" w:cs="Times New Roman"/>
          <w:color w:val="auto"/>
          <w:sz w:val="24"/>
          <w:szCs w:val="24"/>
          <w:highlight w:val="none"/>
        </w:rPr>
        <w:t>注：本章中带“</w:t>
      </w:r>
      <w:r>
        <w:rPr>
          <w:rFonts w:ascii="Segoe UI Symbol" w:hAnsi="Segoe UI Symbol" w:eastAsia="仿宋" w:cs="Segoe UI Symbol"/>
          <w:b/>
          <w:bCs/>
          <w:color w:val="auto"/>
          <w:sz w:val="24"/>
          <w:szCs w:val="22"/>
          <w:highlight w:val="none"/>
        </w:rPr>
        <w:t>★</w:t>
      </w:r>
      <w:r>
        <w:rPr>
          <w:rFonts w:ascii="Times New Roman" w:hAnsi="Times New Roman" w:eastAsia="仿宋" w:cs="Times New Roman"/>
          <w:color w:val="auto"/>
          <w:sz w:val="24"/>
          <w:szCs w:val="24"/>
          <w:highlight w:val="none"/>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0FE2E259">
      <w:pPr>
        <w:rPr>
          <w:lang w:val="zh-CN"/>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2"/>
        <w:gridCol w:w="1279"/>
        <w:gridCol w:w="1057"/>
        <w:gridCol w:w="4525"/>
        <w:gridCol w:w="2150"/>
      </w:tblGrid>
      <w:tr w14:paraId="25740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0E123AE4">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序号</w:t>
            </w:r>
          </w:p>
        </w:tc>
        <w:tc>
          <w:tcPr>
            <w:tcW w:w="1279" w:type="dxa"/>
            <w:tcBorders>
              <w:top w:val="single" w:color="auto" w:sz="4" w:space="0"/>
              <w:left w:val="single" w:color="auto" w:sz="4" w:space="0"/>
              <w:bottom w:val="single" w:color="auto" w:sz="4" w:space="0"/>
              <w:right w:val="single" w:color="auto" w:sz="4" w:space="0"/>
            </w:tcBorders>
            <w:vAlign w:val="center"/>
          </w:tcPr>
          <w:p w14:paraId="6C69E609">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评审因素</w:t>
            </w:r>
          </w:p>
        </w:tc>
        <w:tc>
          <w:tcPr>
            <w:tcW w:w="1057" w:type="dxa"/>
            <w:tcBorders>
              <w:top w:val="single" w:color="auto" w:sz="4" w:space="0"/>
              <w:left w:val="single" w:color="auto" w:sz="4" w:space="0"/>
              <w:bottom w:val="single" w:color="auto" w:sz="4" w:space="0"/>
              <w:right w:val="single" w:color="auto" w:sz="4" w:space="0"/>
            </w:tcBorders>
            <w:vAlign w:val="center"/>
          </w:tcPr>
          <w:p w14:paraId="35AAE3BA">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分值</w:t>
            </w:r>
          </w:p>
        </w:tc>
        <w:tc>
          <w:tcPr>
            <w:tcW w:w="4525" w:type="dxa"/>
            <w:tcBorders>
              <w:top w:val="single" w:color="auto" w:sz="4" w:space="0"/>
              <w:left w:val="single" w:color="auto" w:sz="4" w:space="0"/>
              <w:bottom w:val="single" w:color="auto" w:sz="4" w:space="0"/>
              <w:right w:val="single" w:color="auto" w:sz="4" w:space="0"/>
            </w:tcBorders>
            <w:vAlign w:val="center"/>
          </w:tcPr>
          <w:p w14:paraId="77EF252B">
            <w:pPr>
              <w:ind w:firstLine="28"/>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评分标准</w:t>
            </w:r>
          </w:p>
        </w:tc>
        <w:tc>
          <w:tcPr>
            <w:tcW w:w="2150" w:type="dxa"/>
            <w:tcBorders>
              <w:top w:val="single" w:color="auto" w:sz="4" w:space="0"/>
              <w:left w:val="single" w:color="auto" w:sz="4" w:space="0"/>
              <w:bottom w:val="single" w:color="auto" w:sz="4" w:space="0"/>
              <w:right w:val="single" w:color="auto" w:sz="4" w:space="0"/>
            </w:tcBorders>
            <w:vAlign w:val="center"/>
          </w:tcPr>
          <w:p w14:paraId="2C71D137">
            <w:pPr>
              <w:jc w:val="center"/>
              <w:rPr>
                <w:rFonts w:ascii="Times New Roman" w:hAnsi="Times New Roman" w:eastAsia="仿宋" w:cs="Times New Roman"/>
                <w:b/>
                <w:bCs/>
                <w:sz w:val="24"/>
                <w:szCs w:val="24"/>
              </w:rPr>
            </w:pPr>
            <w:r>
              <w:rPr>
                <w:rFonts w:ascii="Times New Roman" w:hAnsi="Times New Roman" w:eastAsia="仿宋" w:cs="Times New Roman"/>
                <w:b/>
                <w:bCs/>
                <w:sz w:val="24"/>
                <w:szCs w:val="24"/>
              </w:rPr>
              <w:t>说明</w:t>
            </w:r>
          </w:p>
        </w:tc>
      </w:tr>
      <w:tr w14:paraId="62F5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6F7F373C">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1</w:t>
            </w:r>
          </w:p>
        </w:tc>
        <w:tc>
          <w:tcPr>
            <w:tcW w:w="1279" w:type="dxa"/>
            <w:tcBorders>
              <w:top w:val="single" w:color="auto" w:sz="4" w:space="0"/>
              <w:left w:val="single" w:color="auto" w:sz="4" w:space="0"/>
              <w:bottom w:val="single" w:color="auto" w:sz="4" w:space="0"/>
              <w:right w:val="single" w:color="auto" w:sz="4" w:space="0"/>
            </w:tcBorders>
            <w:vAlign w:val="center"/>
          </w:tcPr>
          <w:p w14:paraId="7E76E211">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ascii="Times New Roman" w:hAnsi="Times New Roman" w:eastAsia="仿宋" w:cs="Times New Roman"/>
                <w:sz w:val="24"/>
                <w:szCs w:val="24"/>
              </w:rPr>
            </w:pPr>
            <w:r>
              <w:rPr>
                <w:rFonts w:hint="eastAsia" w:ascii="仿宋" w:hAnsi="仿宋" w:eastAsia="仿宋" w:cs="仿宋"/>
                <w:bCs/>
                <w:sz w:val="24"/>
                <w:szCs w:val="24"/>
                <w:lang w:val="en-US" w:eastAsia="zh-CN"/>
              </w:rPr>
              <w:t>报价</w:t>
            </w:r>
          </w:p>
        </w:tc>
        <w:tc>
          <w:tcPr>
            <w:tcW w:w="1057" w:type="dxa"/>
            <w:tcBorders>
              <w:top w:val="single" w:color="auto" w:sz="4" w:space="0"/>
              <w:left w:val="single" w:color="auto" w:sz="4" w:space="0"/>
              <w:bottom w:val="single" w:color="auto" w:sz="4" w:space="0"/>
              <w:right w:val="single" w:color="auto" w:sz="4" w:space="0"/>
            </w:tcBorders>
            <w:vAlign w:val="center"/>
          </w:tcPr>
          <w:p w14:paraId="31CBAE52">
            <w:pPr>
              <w:keepNext w:val="0"/>
              <w:keepLines w:val="0"/>
              <w:pageBreakBefore w:val="0"/>
              <w:widowControl w:val="0"/>
              <w:kinsoku/>
              <w:wordWrap/>
              <w:overflowPunct/>
              <w:topLinePunct w:val="0"/>
              <w:autoSpaceDE/>
              <w:autoSpaceDN/>
              <w:bidi w:val="0"/>
              <w:adjustRightInd/>
              <w:snapToGrid/>
              <w:spacing w:line="240" w:lineRule="auto"/>
              <w:ind w:left="0" w:leftChars="0" w:firstLine="28" w:firstLineChars="0"/>
              <w:jc w:val="center"/>
              <w:textAlignment w:val="auto"/>
              <w:rPr>
                <w:rFonts w:ascii="Times New Roman" w:hAnsi="Times New Roman" w:eastAsia="仿宋" w:cs="Times New Roman"/>
                <w:sz w:val="24"/>
                <w:szCs w:val="24"/>
              </w:rPr>
            </w:pPr>
            <w:r>
              <w:rPr>
                <w:rFonts w:hint="eastAsia" w:ascii="仿宋" w:hAnsi="仿宋" w:eastAsia="仿宋" w:cs="仿宋"/>
                <w:bCs/>
                <w:sz w:val="24"/>
                <w:szCs w:val="24"/>
                <w:lang w:val="en-US" w:eastAsia="zh-CN"/>
              </w:rPr>
              <w:t>30</w:t>
            </w:r>
            <w:r>
              <w:rPr>
                <w:rFonts w:hint="eastAsia" w:ascii="仿宋" w:hAnsi="仿宋" w:eastAsia="仿宋" w:cs="仿宋"/>
                <w:bCs/>
                <w:sz w:val="24"/>
                <w:szCs w:val="24"/>
              </w:rPr>
              <w:t>分</w:t>
            </w:r>
          </w:p>
        </w:tc>
        <w:tc>
          <w:tcPr>
            <w:tcW w:w="4525" w:type="dxa"/>
            <w:tcBorders>
              <w:top w:val="single" w:color="auto" w:sz="4" w:space="0"/>
              <w:left w:val="single" w:color="auto" w:sz="4" w:space="0"/>
              <w:bottom w:val="single" w:color="auto" w:sz="4" w:space="0"/>
              <w:right w:val="single" w:color="auto" w:sz="4" w:space="0"/>
            </w:tcBorders>
            <w:vAlign w:val="center"/>
          </w:tcPr>
          <w:p w14:paraId="6DEB5B4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满足谈判文件要求且响应价格最低的报价为评审基准价，其价格分为满分</w:t>
            </w:r>
            <w:r>
              <w:rPr>
                <w:rFonts w:hint="eastAsia" w:ascii="仿宋" w:hAnsi="仿宋" w:eastAsia="仿宋" w:cs="仿宋"/>
                <w:sz w:val="24"/>
                <w:szCs w:val="24"/>
              </w:rPr>
              <w:t>；报价得分=</w:t>
            </w:r>
            <w:r>
              <w:rPr>
                <w:rFonts w:hint="eastAsia" w:ascii="仿宋" w:hAnsi="仿宋" w:eastAsia="仿宋" w:cs="仿宋"/>
                <w:sz w:val="24"/>
                <w:szCs w:val="24"/>
                <w:lang w:eastAsia="zh-CN"/>
              </w:rPr>
              <w:t>（</w:t>
            </w:r>
            <w:r>
              <w:rPr>
                <w:rFonts w:hint="eastAsia" w:ascii="仿宋" w:hAnsi="仿宋" w:eastAsia="仿宋" w:cs="仿宋"/>
                <w:sz w:val="24"/>
                <w:szCs w:val="24"/>
              </w:rPr>
              <w:t>基准价／报价</w:t>
            </w:r>
            <w:r>
              <w:rPr>
                <w:rFonts w:hint="eastAsia" w:ascii="仿宋" w:hAnsi="仿宋" w:eastAsia="仿宋" w:cs="仿宋"/>
                <w:sz w:val="24"/>
                <w:szCs w:val="24"/>
                <w:lang w:eastAsia="zh-CN"/>
              </w:rPr>
              <w:t>）</w:t>
            </w:r>
            <w:r>
              <w:rPr>
                <w:rFonts w:hint="eastAsia" w:ascii="仿宋" w:hAnsi="仿宋" w:eastAsia="仿宋" w:cs="仿宋"/>
                <w:sz w:val="24"/>
                <w:szCs w:val="24"/>
              </w:rPr>
              <w:t>×</w:t>
            </w:r>
            <w:r>
              <w:rPr>
                <w:rFonts w:hint="eastAsia" w:ascii="仿宋" w:hAnsi="仿宋" w:eastAsia="仿宋" w:cs="仿宋"/>
                <w:sz w:val="24"/>
                <w:szCs w:val="24"/>
                <w:lang w:val="en-US" w:eastAsia="zh-CN"/>
              </w:rPr>
              <w:t>30</w:t>
            </w:r>
            <w:r>
              <w:rPr>
                <w:rFonts w:hint="eastAsia" w:ascii="仿宋" w:hAnsi="仿宋" w:eastAsia="仿宋" w:cs="仿宋"/>
                <w:sz w:val="24"/>
                <w:szCs w:val="24"/>
              </w:rPr>
              <w:t>分。</w:t>
            </w:r>
          </w:p>
        </w:tc>
        <w:tc>
          <w:tcPr>
            <w:tcW w:w="2150" w:type="dxa"/>
            <w:tcBorders>
              <w:top w:val="single" w:color="auto" w:sz="4" w:space="0"/>
              <w:left w:val="single" w:color="auto" w:sz="4" w:space="0"/>
              <w:bottom w:val="single" w:color="auto" w:sz="4" w:space="0"/>
              <w:right w:val="single" w:color="auto" w:sz="4" w:space="0"/>
            </w:tcBorders>
            <w:vAlign w:val="center"/>
          </w:tcPr>
          <w:p w14:paraId="79198450">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仿宋" w:cs="Times New Roman"/>
                <w:sz w:val="24"/>
                <w:szCs w:val="24"/>
              </w:rPr>
            </w:pPr>
          </w:p>
        </w:tc>
      </w:tr>
      <w:tr w14:paraId="2B08F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top w:val="single" w:color="auto" w:sz="4" w:space="0"/>
              <w:left w:val="single" w:color="auto" w:sz="4" w:space="0"/>
              <w:right w:val="single" w:color="auto" w:sz="4" w:space="0"/>
            </w:tcBorders>
            <w:vAlign w:val="center"/>
          </w:tcPr>
          <w:p w14:paraId="0E0DA849">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lang w:val="en-US" w:eastAsia="zh-CN"/>
              </w:rPr>
              <w:t>2</w:t>
            </w:r>
          </w:p>
        </w:tc>
        <w:tc>
          <w:tcPr>
            <w:tcW w:w="1279" w:type="dxa"/>
            <w:tcBorders>
              <w:top w:val="single" w:color="auto" w:sz="4" w:space="0"/>
              <w:left w:val="single" w:color="auto" w:sz="4" w:space="0"/>
              <w:right w:val="single" w:color="auto" w:sz="4" w:space="0"/>
            </w:tcBorders>
            <w:vAlign w:val="center"/>
          </w:tcPr>
          <w:p w14:paraId="3CFDA421">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sz w:val="24"/>
                <w:szCs w:val="24"/>
              </w:rPr>
            </w:pPr>
            <w:r>
              <w:rPr>
                <w:rFonts w:hint="eastAsia" w:ascii="仿宋" w:hAnsi="仿宋" w:eastAsia="仿宋" w:cs="仿宋"/>
                <w:sz w:val="24"/>
                <w:szCs w:val="24"/>
                <w:highlight w:val="none"/>
              </w:rPr>
              <w:t>业绩</w:t>
            </w:r>
          </w:p>
        </w:tc>
        <w:tc>
          <w:tcPr>
            <w:tcW w:w="1057" w:type="dxa"/>
            <w:tcBorders>
              <w:top w:val="single" w:color="auto" w:sz="4" w:space="0"/>
              <w:left w:val="single" w:color="auto" w:sz="4" w:space="0"/>
              <w:bottom w:val="single" w:color="auto" w:sz="4" w:space="0"/>
              <w:right w:val="single" w:color="auto" w:sz="4" w:space="0"/>
            </w:tcBorders>
            <w:vAlign w:val="center"/>
          </w:tcPr>
          <w:p w14:paraId="698E54E3">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ascii="Times New Roman" w:hAnsi="Times New Roman" w:eastAsia="仿宋" w:cs="Times New Roman"/>
                <w:bCs/>
                <w:sz w:val="24"/>
                <w:szCs w:val="24"/>
              </w:rPr>
            </w:pPr>
            <w:r>
              <w:rPr>
                <w:rFonts w:hint="eastAsia" w:ascii="仿宋" w:hAnsi="仿宋" w:eastAsia="仿宋" w:cs="仿宋"/>
                <w:sz w:val="24"/>
                <w:szCs w:val="24"/>
                <w:highlight w:val="none"/>
                <w:lang w:val="en-US" w:eastAsia="zh-CN"/>
              </w:rPr>
              <w:t>45分</w:t>
            </w:r>
          </w:p>
        </w:tc>
        <w:tc>
          <w:tcPr>
            <w:tcW w:w="4525" w:type="dxa"/>
            <w:tcBorders>
              <w:top w:val="single" w:color="auto" w:sz="4" w:space="0"/>
              <w:left w:val="single" w:color="auto" w:sz="4" w:space="0"/>
              <w:bottom w:val="single" w:color="auto" w:sz="4" w:space="0"/>
              <w:right w:val="single" w:color="auto" w:sz="4" w:space="0"/>
            </w:tcBorders>
            <w:vAlign w:val="center"/>
          </w:tcPr>
          <w:p w14:paraId="145B6C9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sz w:val="24"/>
                <w:szCs w:val="24"/>
                <w:lang w:val="en-US" w:eastAsia="zh-CN"/>
              </w:rPr>
              <w:t>供应商自2023年1月1日（含）至响应文件递交截止之日，每具有1个类似项目业绩（类似项目是指空调维保服务项目）得7.5分，本项最高得45分。</w:t>
            </w:r>
          </w:p>
        </w:tc>
        <w:tc>
          <w:tcPr>
            <w:tcW w:w="2150" w:type="dxa"/>
            <w:tcBorders>
              <w:top w:val="single" w:color="auto" w:sz="4" w:space="0"/>
              <w:left w:val="single" w:color="auto" w:sz="4" w:space="0"/>
              <w:bottom w:val="single" w:color="auto" w:sz="4" w:space="0"/>
              <w:right w:val="single" w:color="auto" w:sz="4" w:space="0"/>
            </w:tcBorders>
            <w:vAlign w:val="center"/>
          </w:tcPr>
          <w:p w14:paraId="1260EA4B">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提供合同复印件并加盖供应商公章</w:t>
            </w:r>
            <w:r>
              <w:rPr>
                <w:rFonts w:hint="eastAsia" w:ascii="仿宋" w:hAnsi="仿宋" w:eastAsia="仿宋" w:cs="仿宋"/>
                <w:sz w:val="24"/>
                <w:szCs w:val="24"/>
              </w:rPr>
              <w:t>。</w:t>
            </w:r>
          </w:p>
        </w:tc>
      </w:tr>
      <w:tr w14:paraId="7F4A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left w:val="single" w:color="auto" w:sz="4" w:space="0"/>
              <w:bottom w:val="single" w:color="auto" w:sz="4" w:space="0"/>
              <w:right w:val="single" w:color="auto" w:sz="4" w:space="0"/>
            </w:tcBorders>
            <w:vAlign w:val="center"/>
          </w:tcPr>
          <w:p w14:paraId="12E402E8">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3</w:t>
            </w:r>
          </w:p>
        </w:tc>
        <w:tc>
          <w:tcPr>
            <w:tcW w:w="1279" w:type="dxa"/>
            <w:tcBorders>
              <w:left w:val="single" w:color="auto" w:sz="4" w:space="0"/>
              <w:bottom w:val="single" w:color="auto" w:sz="4" w:space="0"/>
              <w:right w:val="single" w:color="auto" w:sz="4" w:space="0"/>
            </w:tcBorders>
            <w:vAlign w:val="center"/>
          </w:tcPr>
          <w:p w14:paraId="505033EE">
            <w:pPr>
              <w:ind w:left="525" w:leftChars="0" w:hanging="525" w:hangingChars="219"/>
              <w:jc w:val="center"/>
              <w:rPr>
                <w:rFonts w:hint="eastAsia" w:ascii="Times New Roman" w:hAnsi="Times New Roman" w:eastAsia="仿宋" w:cs="Times New Roman"/>
                <w:sz w:val="24"/>
                <w:szCs w:val="24"/>
                <w:lang w:eastAsia="zh-CN"/>
              </w:rPr>
            </w:pPr>
            <w:r>
              <w:rPr>
                <w:rFonts w:hint="eastAsia" w:ascii="Times New Roman" w:hAnsi="Times New Roman" w:eastAsia="仿宋" w:cs="Times New Roman"/>
                <w:bCs/>
                <w:sz w:val="24"/>
                <w:szCs w:val="24"/>
                <w:lang w:val="en-US" w:eastAsia="zh-CN"/>
              </w:rPr>
              <w:t>服务人员</w:t>
            </w:r>
          </w:p>
        </w:tc>
        <w:tc>
          <w:tcPr>
            <w:tcW w:w="1057" w:type="dxa"/>
            <w:tcBorders>
              <w:top w:val="single" w:color="auto" w:sz="4" w:space="0"/>
              <w:left w:val="single" w:color="auto" w:sz="4" w:space="0"/>
              <w:bottom w:val="single" w:color="auto" w:sz="4" w:space="0"/>
              <w:right w:val="single" w:color="auto" w:sz="4" w:space="0"/>
            </w:tcBorders>
            <w:vAlign w:val="center"/>
          </w:tcPr>
          <w:p w14:paraId="2FE50D66">
            <w:pPr>
              <w:ind w:firstLine="28" w:firstLineChars="0"/>
              <w:jc w:val="center"/>
              <w:rPr>
                <w:rFonts w:ascii="Times New Roman" w:hAnsi="Times New Roman" w:eastAsia="仿宋" w:cs="Times New Roman"/>
                <w:bCs/>
                <w:sz w:val="24"/>
                <w:szCs w:val="24"/>
              </w:rPr>
            </w:pPr>
            <w:r>
              <w:rPr>
                <w:rFonts w:hint="eastAsia" w:ascii="Times New Roman" w:hAnsi="Times New Roman" w:eastAsia="仿宋" w:cs="Times New Roman"/>
                <w:bCs/>
                <w:sz w:val="24"/>
                <w:szCs w:val="24"/>
                <w:lang w:val="en-US" w:eastAsia="zh-CN"/>
              </w:rPr>
              <w:t>11</w:t>
            </w:r>
            <w:r>
              <w:rPr>
                <w:rFonts w:ascii="Times New Roman" w:hAnsi="Times New Roman" w:eastAsia="仿宋" w:cs="Times New Roman"/>
                <w:bCs/>
                <w:sz w:val="24"/>
                <w:szCs w:val="24"/>
              </w:rPr>
              <w:t>分</w:t>
            </w:r>
          </w:p>
        </w:tc>
        <w:tc>
          <w:tcPr>
            <w:tcW w:w="4525" w:type="dxa"/>
            <w:tcBorders>
              <w:top w:val="single" w:color="auto" w:sz="4" w:space="0"/>
              <w:left w:val="single" w:color="auto" w:sz="4" w:space="0"/>
              <w:bottom w:val="single" w:color="auto" w:sz="4" w:space="0"/>
              <w:right w:val="single" w:color="auto" w:sz="4" w:space="0"/>
            </w:tcBorders>
            <w:vAlign w:val="center"/>
          </w:tcPr>
          <w:p w14:paraId="675A6AD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根据供应商为本项目拟配备的服务人员情况，按以下标准评审：</w:t>
            </w:r>
          </w:p>
          <w:p w14:paraId="47A91D8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拟配备项目经理，具有机电工程相关专业中级工程师职称的得7分，具有机电工程相关专业高级工程师职称的得11分，本项最多得11分，未提供不得分。</w:t>
            </w:r>
          </w:p>
        </w:tc>
        <w:tc>
          <w:tcPr>
            <w:tcW w:w="2150" w:type="dxa"/>
            <w:tcBorders>
              <w:top w:val="single" w:color="auto" w:sz="4" w:space="0"/>
              <w:left w:val="single" w:color="auto" w:sz="4" w:space="0"/>
              <w:bottom w:val="single" w:color="auto" w:sz="4" w:space="0"/>
              <w:right w:val="single" w:color="auto" w:sz="4" w:space="0"/>
            </w:tcBorders>
            <w:vAlign w:val="center"/>
          </w:tcPr>
          <w:p w14:paraId="65A98B95">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b w:val="0"/>
                <w:bCs/>
                <w:kern w:val="2"/>
                <w:sz w:val="24"/>
                <w:szCs w:val="24"/>
                <w:lang w:val="en-US" w:eastAsia="zh-CN"/>
              </w:rPr>
            </w:pPr>
            <w:r>
              <w:rPr>
                <w:rFonts w:hint="eastAsia" w:ascii="仿宋" w:hAnsi="仿宋" w:eastAsia="仿宋" w:cs="仿宋"/>
                <w:b w:val="0"/>
                <w:bCs/>
                <w:kern w:val="2"/>
                <w:sz w:val="24"/>
                <w:szCs w:val="24"/>
                <w:lang w:val="en-US" w:eastAsia="zh-CN"/>
              </w:rPr>
              <w:t>同一人员同时持有多项证书的，按最高一项分值计分，不重复累计。</w:t>
            </w:r>
          </w:p>
          <w:p w14:paraId="0928DA4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ascii="Times New Roman" w:hAnsi="Times New Roman" w:eastAsia="仿宋" w:cs="Times New Roman"/>
                <w:sz w:val="24"/>
                <w:szCs w:val="24"/>
              </w:rPr>
            </w:pPr>
            <w:r>
              <w:rPr>
                <w:rFonts w:hint="eastAsia" w:ascii="仿宋" w:hAnsi="仿宋" w:eastAsia="仿宋" w:cs="仿宋"/>
                <w:b w:val="0"/>
                <w:bCs/>
                <w:kern w:val="2"/>
                <w:sz w:val="24"/>
                <w:szCs w:val="24"/>
                <w:lang w:val="en-US" w:eastAsia="zh-CN"/>
              </w:rPr>
              <w:t>证书须在有效期内，提供证书复印件、身份证复印件并加盖供应商公章。</w:t>
            </w:r>
          </w:p>
        </w:tc>
      </w:tr>
      <w:tr w14:paraId="7CC4A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842" w:type="dxa"/>
            <w:tcBorders>
              <w:left w:val="single" w:color="auto" w:sz="4" w:space="0"/>
              <w:bottom w:val="single" w:color="auto" w:sz="4" w:space="0"/>
              <w:right w:val="single" w:color="auto" w:sz="4" w:space="0"/>
            </w:tcBorders>
            <w:vAlign w:val="center"/>
          </w:tcPr>
          <w:p w14:paraId="63961D65">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4</w:t>
            </w:r>
          </w:p>
        </w:tc>
        <w:tc>
          <w:tcPr>
            <w:tcW w:w="1279" w:type="dxa"/>
            <w:tcBorders>
              <w:left w:val="single" w:color="auto" w:sz="4" w:space="0"/>
              <w:bottom w:val="single" w:color="auto" w:sz="4" w:space="0"/>
              <w:right w:val="single" w:color="auto" w:sz="4" w:space="0"/>
            </w:tcBorders>
            <w:vAlign w:val="center"/>
          </w:tcPr>
          <w:p w14:paraId="10F284C9">
            <w:pPr>
              <w:ind w:firstLine="28"/>
              <w:jc w:val="center"/>
              <w:rPr>
                <w:rFonts w:hint="eastAsia" w:ascii="Times New Roman" w:hAnsi="Times New Roman" w:eastAsia="仿宋" w:cs="Times New Roman"/>
                <w:sz w:val="24"/>
                <w:szCs w:val="24"/>
                <w:lang w:eastAsia="zh-CN"/>
              </w:rPr>
            </w:pPr>
            <w:r>
              <w:rPr>
                <w:rFonts w:hint="eastAsia" w:ascii="Times New Roman" w:hAnsi="Times New Roman" w:eastAsia="仿宋" w:cs="Times New Roman"/>
                <w:bCs/>
                <w:sz w:val="24"/>
                <w:szCs w:val="24"/>
                <w:lang w:val="en-US" w:eastAsia="zh-CN"/>
              </w:rPr>
              <w:t>维保服务方案</w:t>
            </w:r>
          </w:p>
        </w:tc>
        <w:tc>
          <w:tcPr>
            <w:tcW w:w="1057" w:type="dxa"/>
            <w:tcBorders>
              <w:top w:val="single" w:color="auto" w:sz="4" w:space="0"/>
              <w:left w:val="single" w:color="auto" w:sz="4" w:space="0"/>
              <w:bottom w:val="single" w:color="auto" w:sz="4" w:space="0"/>
              <w:right w:val="single" w:color="auto" w:sz="4" w:space="0"/>
            </w:tcBorders>
            <w:vAlign w:val="center"/>
          </w:tcPr>
          <w:p w14:paraId="42DCC55F">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hint="default" w:ascii="Times New Roman" w:hAnsi="Times New Roman" w:eastAsia="仿宋" w:cs="Times New Roman"/>
                <w:bCs/>
                <w:sz w:val="24"/>
                <w:szCs w:val="24"/>
                <w:lang w:val="en-US"/>
              </w:rPr>
            </w:pPr>
            <w:r>
              <w:rPr>
                <w:rFonts w:hint="eastAsia" w:ascii="仿宋" w:hAnsi="仿宋" w:eastAsia="仿宋" w:cs="仿宋"/>
                <w:kern w:val="2"/>
                <w:sz w:val="24"/>
                <w:szCs w:val="24"/>
                <w:highlight w:val="none"/>
                <w:lang w:val="en-US" w:eastAsia="zh-CN" w:bidi="ar-SA"/>
              </w:rPr>
              <w:t>8分</w:t>
            </w:r>
          </w:p>
        </w:tc>
        <w:tc>
          <w:tcPr>
            <w:tcW w:w="4525" w:type="dxa"/>
            <w:tcBorders>
              <w:top w:val="single" w:color="auto" w:sz="4" w:space="0"/>
              <w:left w:val="single" w:color="auto" w:sz="4" w:space="0"/>
              <w:bottom w:val="single" w:color="auto" w:sz="4" w:space="0"/>
              <w:right w:val="single" w:color="auto" w:sz="4" w:space="0"/>
            </w:tcBorders>
            <w:vAlign w:val="center"/>
          </w:tcPr>
          <w:p w14:paraId="633BBD60">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维保服务方案，包括：①设备维护保养计划；②维护保养巡检措施；③设备的维护保养流程、工序；④备品备件更换及质量保障方案。涵盖以上内容且不存在缺陷得8分，在此基础上，每缺少一项内容扣2分，每有一处内容存在缺陷扣1分，扣完为止。</w:t>
            </w:r>
          </w:p>
          <w:p w14:paraId="56018C0E">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50" w:type="dxa"/>
            <w:tcBorders>
              <w:top w:val="single" w:color="auto" w:sz="4" w:space="0"/>
              <w:left w:val="single" w:color="auto" w:sz="4" w:space="0"/>
              <w:bottom w:val="single" w:color="auto" w:sz="4" w:space="0"/>
              <w:right w:val="single" w:color="auto" w:sz="4" w:space="0"/>
            </w:tcBorders>
            <w:vAlign w:val="center"/>
          </w:tcPr>
          <w:p w14:paraId="7158F53A">
            <w:pPr>
              <w:jc w:val="center"/>
              <w:rPr>
                <w:rFonts w:ascii="Times New Roman" w:hAnsi="Times New Roman" w:eastAsia="仿宋" w:cs="Times New Roman"/>
                <w:sz w:val="24"/>
                <w:szCs w:val="24"/>
              </w:rPr>
            </w:pPr>
          </w:p>
        </w:tc>
      </w:tr>
      <w:tr w14:paraId="4CA1C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0" w:hRule="atLeast"/>
          <w:jc w:val="center"/>
        </w:trPr>
        <w:tc>
          <w:tcPr>
            <w:tcW w:w="842" w:type="dxa"/>
            <w:tcBorders>
              <w:top w:val="single" w:color="auto" w:sz="4" w:space="0"/>
              <w:left w:val="single" w:color="auto" w:sz="4" w:space="0"/>
              <w:bottom w:val="single" w:color="auto" w:sz="4" w:space="0"/>
              <w:right w:val="single" w:color="auto" w:sz="4" w:space="0"/>
            </w:tcBorders>
            <w:vAlign w:val="center"/>
          </w:tcPr>
          <w:p w14:paraId="1E62D6EC">
            <w:pPr>
              <w:ind w:firstLine="28"/>
              <w:jc w:val="center"/>
              <w:rPr>
                <w:rFonts w:ascii="Times New Roman" w:hAnsi="Times New Roman" w:eastAsia="仿宋" w:cs="Times New Roman"/>
                <w:sz w:val="24"/>
                <w:szCs w:val="24"/>
              </w:rPr>
            </w:pPr>
            <w:r>
              <w:rPr>
                <w:rFonts w:ascii="Times New Roman" w:hAnsi="Times New Roman" w:eastAsia="仿宋" w:cs="Times New Roman"/>
                <w:sz w:val="24"/>
                <w:szCs w:val="24"/>
              </w:rPr>
              <w:t>5</w:t>
            </w:r>
          </w:p>
        </w:tc>
        <w:tc>
          <w:tcPr>
            <w:tcW w:w="1279" w:type="dxa"/>
            <w:tcBorders>
              <w:top w:val="single" w:color="auto" w:sz="4" w:space="0"/>
              <w:left w:val="single" w:color="auto" w:sz="4" w:space="0"/>
              <w:bottom w:val="single" w:color="auto" w:sz="4" w:space="0"/>
              <w:right w:val="single" w:color="auto" w:sz="4" w:space="0"/>
            </w:tcBorders>
            <w:vAlign w:val="center"/>
          </w:tcPr>
          <w:p w14:paraId="50DBF0ED">
            <w:pPr>
              <w:ind w:firstLine="28"/>
              <w:jc w:val="center"/>
              <w:rPr>
                <w:rFonts w:hint="default" w:ascii="Times New Roman" w:hAnsi="Times New Roman" w:eastAsia="仿宋" w:cs="Times New Roman"/>
                <w:sz w:val="24"/>
                <w:szCs w:val="24"/>
                <w:lang w:val="en-US" w:eastAsia="zh-CN"/>
              </w:rPr>
            </w:pPr>
            <w:r>
              <w:rPr>
                <w:rFonts w:hint="eastAsia" w:ascii="Times New Roman" w:hAnsi="Times New Roman" w:eastAsia="仿宋" w:cs="Times New Roman"/>
                <w:bCs/>
                <w:sz w:val="24"/>
                <w:szCs w:val="24"/>
                <w:lang w:val="en-US" w:eastAsia="zh-CN"/>
              </w:rPr>
              <w:t>安全、应急保障方案</w:t>
            </w:r>
          </w:p>
        </w:tc>
        <w:tc>
          <w:tcPr>
            <w:tcW w:w="1057" w:type="dxa"/>
            <w:tcBorders>
              <w:top w:val="single" w:color="auto" w:sz="4" w:space="0"/>
              <w:left w:val="single" w:color="auto" w:sz="4" w:space="0"/>
              <w:bottom w:val="single" w:color="auto" w:sz="4" w:space="0"/>
              <w:right w:val="single" w:color="auto" w:sz="4" w:space="0"/>
            </w:tcBorders>
            <w:vAlign w:val="center"/>
          </w:tcPr>
          <w:p w14:paraId="20B6A218">
            <w:pPr>
              <w:keepNext w:val="0"/>
              <w:keepLines w:val="0"/>
              <w:pageBreakBefore w:val="0"/>
              <w:kinsoku/>
              <w:wordWrap/>
              <w:overflowPunct/>
              <w:topLinePunct w:val="0"/>
              <w:autoSpaceDE/>
              <w:autoSpaceDN/>
              <w:bidi w:val="0"/>
              <w:adjustRightInd/>
              <w:snapToGrid/>
              <w:spacing w:line="240" w:lineRule="auto"/>
              <w:ind w:firstLine="28" w:firstLineChars="0"/>
              <w:jc w:val="center"/>
              <w:textAlignment w:val="auto"/>
              <w:rPr>
                <w:rFonts w:ascii="Times New Roman" w:hAnsi="Times New Roman" w:eastAsia="仿宋" w:cs="Times New Roman"/>
                <w:bCs/>
                <w:sz w:val="24"/>
                <w:szCs w:val="24"/>
              </w:rPr>
            </w:pPr>
            <w:r>
              <w:rPr>
                <w:rFonts w:hint="eastAsia" w:ascii="仿宋" w:hAnsi="仿宋" w:eastAsia="仿宋" w:cs="仿宋"/>
                <w:kern w:val="2"/>
                <w:sz w:val="24"/>
                <w:szCs w:val="24"/>
                <w:highlight w:val="none"/>
                <w:lang w:val="en-US" w:eastAsia="zh-CN" w:bidi="ar-SA"/>
              </w:rPr>
              <w:t>6分</w:t>
            </w:r>
          </w:p>
        </w:tc>
        <w:tc>
          <w:tcPr>
            <w:tcW w:w="4525" w:type="dxa"/>
            <w:tcBorders>
              <w:top w:val="single" w:color="auto" w:sz="4" w:space="0"/>
              <w:left w:val="single" w:color="auto" w:sz="4" w:space="0"/>
              <w:bottom w:val="single" w:color="auto" w:sz="4" w:space="0"/>
              <w:right w:val="single" w:color="auto" w:sz="4" w:space="0"/>
            </w:tcBorders>
            <w:vAlign w:val="center"/>
          </w:tcPr>
          <w:p w14:paraId="78AAB5E2">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针对本项目提供安全、应急保障方案，包括：①作业安全与人员保障方案；②应急事件响应方案；③设备故障响应与抢修方案。涵盖以上内容且不存在缺陷得6分，在此基础上，每缺少一项内容扣2分，每有一处内容存在缺陷扣1分，扣完为止。</w:t>
            </w:r>
          </w:p>
          <w:p w14:paraId="67C36FB6">
            <w:pPr>
              <w:keepNext w:val="0"/>
              <w:keepLines w:val="0"/>
              <w:pageBreakBefore w:val="0"/>
              <w:widowControl w:val="0"/>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内容存在缺陷”是指：①本项目提供的方案中引用法律法规、规范、标准或其他规范性文件存在失效或错误；②非专门针对本项目或内容与本项目需求无关；③复制或套用其他项目内容；④照搬采购需求且未作出进一步描述；以上任意一种情形。</w:t>
            </w:r>
          </w:p>
        </w:tc>
        <w:tc>
          <w:tcPr>
            <w:tcW w:w="2150" w:type="dxa"/>
            <w:tcBorders>
              <w:top w:val="single" w:color="auto" w:sz="4" w:space="0"/>
              <w:left w:val="single" w:color="auto" w:sz="4" w:space="0"/>
              <w:bottom w:val="single" w:color="auto" w:sz="4" w:space="0"/>
              <w:right w:val="single" w:color="auto" w:sz="4" w:space="0"/>
            </w:tcBorders>
            <w:vAlign w:val="center"/>
          </w:tcPr>
          <w:p w14:paraId="420172E6">
            <w:pPr>
              <w:jc w:val="center"/>
              <w:rPr>
                <w:rFonts w:ascii="Times New Roman" w:hAnsi="Times New Roman" w:eastAsia="仿宋" w:cs="Times New Roman"/>
                <w:sz w:val="24"/>
                <w:szCs w:val="24"/>
              </w:rPr>
            </w:pPr>
          </w:p>
        </w:tc>
      </w:tr>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0028A7FC">
      <w:pPr>
        <w:spacing w:line="700" w:lineRule="exact"/>
        <w:rPr>
          <w:rFonts w:ascii="Times New Roman" w:hAnsi="Times New Roman" w:eastAsia="仿宋" w:cs="Times New Roman"/>
          <w:b/>
          <w:bCs/>
          <w:sz w:val="32"/>
          <w:szCs w:val="32"/>
        </w:rPr>
      </w:pPr>
      <w:bookmarkStart w:id="21" w:name="_Toc15065"/>
      <w:bookmarkStart w:id="22" w:name="_Toc24494"/>
      <w:bookmarkStart w:id="23" w:name="_Toc3871"/>
      <w:bookmarkStart w:id="24" w:name="_Toc32605"/>
    </w:p>
    <w:p w14:paraId="7684B06E">
      <w:pPr>
        <w:jc w:val="left"/>
        <w:rPr>
          <w:rFonts w:ascii="Times New Roman" w:hAnsi="Times New Roman" w:eastAsia="仿宋" w:cs="Times New Roman"/>
          <w:sz w:val="28"/>
          <w:szCs w:val="24"/>
        </w:rPr>
      </w:pPr>
      <w:bookmarkStart w:id="25" w:name="_Toc29819"/>
      <w:bookmarkStart w:id="26" w:name="_Toc5913"/>
      <w:bookmarkStart w:id="27" w:name="_Toc4960"/>
      <w:r>
        <w:rPr>
          <w:rFonts w:ascii="Times New Roman" w:hAnsi="Times New Roman" w:eastAsia="仿宋" w:cs="Times New Roman"/>
          <w:sz w:val="28"/>
          <w:szCs w:val="24"/>
        </w:rPr>
        <w:t>（响应文件封面）</w:t>
      </w:r>
      <w:bookmarkEnd w:id="25"/>
      <w:bookmarkEnd w:id="26"/>
      <w:bookmarkEnd w:id="27"/>
    </w:p>
    <w:p w14:paraId="02C9575D">
      <w:pPr>
        <w:rPr>
          <w:rFonts w:ascii="Times New Roman" w:hAnsi="Times New Roman" w:eastAsia="仿宋" w:cs="Times New Roman"/>
          <w:sz w:val="28"/>
          <w:szCs w:val="28"/>
        </w:rPr>
      </w:pPr>
    </w:p>
    <w:p w14:paraId="082AD931">
      <w:pPr>
        <w:jc w:val="left"/>
        <w:rPr>
          <w:rFonts w:ascii="Times New Roman" w:hAnsi="Times New Roman" w:eastAsia="仿宋" w:cs="Times New Roman"/>
          <w:sz w:val="24"/>
          <w:szCs w:val="24"/>
        </w:rPr>
      </w:pPr>
      <w:bookmarkStart w:id="28" w:name="_Toc19851"/>
      <w:bookmarkStart w:id="29" w:name="_Toc30609"/>
      <w:bookmarkStart w:id="30" w:name="_Toc9428"/>
      <w:r>
        <w:rPr>
          <w:rFonts w:ascii="Times New Roman" w:hAnsi="Times New Roman" w:eastAsia="仿宋" w:cs="Times New Roman"/>
          <w:sz w:val="24"/>
          <w:szCs w:val="24"/>
        </w:rPr>
        <w:t>项目名称：</w:t>
      </w:r>
      <w:bookmarkEnd w:id="28"/>
      <w:bookmarkEnd w:id="29"/>
      <w:bookmarkEnd w:id="30"/>
    </w:p>
    <w:p w14:paraId="58EC75C9">
      <w:pPr>
        <w:jc w:val="left"/>
        <w:rPr>
          <w:rFonts w:ascii="Times New Roman" w:hAnsi="Times New Roman" w:eastAsia="仿宋" w:cs="Times New Roman"/>
          <w:sz w:val="24"/>
          <w:szCs w:val="24"/>
        </w:rPr>
      </w:pPr>
      <w:bookmarkStart w:id="31" w:name="_Toc1544"/>
      <w:bookmarkStart w:id="32" w:name="_Toc9041"/>
      <w:bookmarkStart w:id="33" w:name="_Toc32352"/>
      <w:r>
        <w:rPr>
          <w:rFonts w:ascii="Times New Roman" w:hAnsi="Times New Roman" w:eastAsia="仿宋" w:cs="Times New Roman"/>
          <w:sz w:val="24"/>
          <w:szCs w:val="24"/>
        </w:rPr>
        <w:t>项目编号：</w:t>
      </w:r>
      <w:bookmarkEnd w:id="31"/>
      <w:bookmarkEnd w:id="32"/>
      <w:bookmarkEnd w:id="33"/>
    </w:p>
    <w:p w14:paraId="29757E61">
      <w:pPr>
        <w:rPr>
          <w:rFonts w:ascii="Times New Roman" w:hAnsi="Times New Roman" w:eastAsia="仿宋" w:cs="Times New Roman"/>
        </w:rPr>
      </w:pPr>
    </w:p>
    <w:p w14:paraId="5C523132">
      <w:pPr>
        <w:rPr>
          <w:rFonts w:ascii="Times New Roman" w:hAnsi="Times New Roman" w:eastAsia="仿宋" w:cs="Times New Roman"/>
        </w:rPr>
      </w:pPr>
    </w:p>
    <w:p w14:paraId="7090B562">
      <w:pPr>
        <w:rPr>
          <w:rFonts w:ascii="Times New Roman" w:hAnsi="Times New Roman" w:eastAsia="仿宋" w:cs="Times New Roman"/>
        </w:rPr>
      </w:pPr>
    </w:p>
    <w:p w14:paraId="44F14194">
      <w:pPr>
        <w:jc w:val="left"/>
        <w:rPr>
          <w:rFonts w:ascii="Times New Roman" w:hAnsi="Times New Roman" w:eastAsia="仿宋" w:cs="Times New Roman"/>
          <w:sz w:val="84"/>
          <w:szCs w:val="24"/>
        </w:rPr>
      </w:pPr>
      <w:bookmarkStart w:id="34" w:name="_Toc21472"/>
      <w:bookmarkStart w:id="35" w:name="_Toc24097"/>
    </w:p>
    <w:bookmarkEnd w:id="34"/>
    <w:bookmarkEnd w:id="35"/>
    <w:p w14:paraId="4820CBAC">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293A11D6">
      <w:pPr>
        <w:rPr>
          <w:rFonts w:ascii="Times New Roman" w:hAnsi="Times New Roman" w:eastAsia="仿宋" w:cs="Times New Roman"/>
        </w:rPr>
      </w:pPr>
    </w:p>
    <w:p w14:paraId="3FC0E926">
      <w:pPr>
        <w:rPr>
          <w:rFonts w:ascii="Times New Roman" w:hAnsi="Times New Roman" w:eastAsia="仿宋" w:cs="Times New Roman"/>
        </w:rPr>
      </w:pPr>
    </w:p>
    <w:p w14:paraId="790040E3">
      <w:pPr>
        <w:rPr>
          <w:rFonts w:ascii="Times New Roman" w:hAnsi="Times New Roman" w:eastAsia="仿宋" w:cs="Times New Roman"/>
        </w:rPr>
      </w:pPr>
    </w:p>
    <w:p w14:paraId="48A2E62B">
      <w:pPr>
        <w:rPr>
          <w:rFonts w:ascii="Times New Roman" w:hAnsi="Times New Roman" w:eastAsia="仿宋" w:cs="Times New Roman"/>
        </w:rPr>
      </w:pPr>
    </w:p>
    <w:p w14:paraId="35714137">
      <w:pPr>
        <w:rPr>
          <w:rFonts w:ascii="Times New Roman" w:hAnsi="Times New Roman" w:eastAsia="仿宋" w:cs="Times New Roman"/>
        </w:rPr>
      </w:pPr>
    </w:p>
    <w:p w14:paraId="41D38D10">
      <w:pPr>
        <w:rPr>
          <w:rFonts w:ascii="Times New Roman" w:hAnsi="Times New Roman" w:eastAsia="仿宋" w:cs="Times New Roman"/>
        </w:rPr>
      </w:pPr>
    </w:p>
    <w:p w14:paraId="256E7F01">
      <w:pPr>
        <w:jc w:val="left"/>
        <w:rPr>
          <w:rFonts w:ascii="Times New Roman" w:hAnsi="Times New Roman" w:eastAsia="仿宋" w:cs="Times New Roman"/>
          <w:sz w:val="28"/>
          <w:szCs w:val="24"/>
        </w:rPr>
      </w:pPr>
      <w:bookmarkStart w:id="36" w:name="_Toc1690"/>
      <w:bookmarkStart w:id="37" w:name="_Toc24859"/>
      <w:bookmarkStart w:id="38" w:name="_Toc17163"/>
      <w:bookmarkStart w:id="39" w:name="_Toc32749"/>
      <w:r>
        <w:rPr>
          <w:rFonts w:ascii="Times New Roman" w:hAnsi="Times New Roman" w:eastAsia="仿宋" w:cs="Times New Roman"/>
          <w:sz w:val="28"/>
          <w:szCs w:val="24"/>
        </w:rPr>
        <w:t>供应商名称（公章）：</w:t>
      </w:r>
      <w:bookmarkEnd w:id="36"/>
      <w:bookmarkEnd w:id="37"/>
      <w:bookmarkEnd w:id="38"/>
      <w:bookmarkEnd w:id="39"/>
    </w:p>
    <w:p w14:paraId="08134EC8">
      <w:pPr>
        <w:jc w:val="left"/>
        <w:rPr>
          <w:rFonts w:ascii="Times New Roman" w:hAnsi="Times New Roman" w:eastAsia="仿宋" w:cs="Times New Roman"/>
          <w:sz w:val="28"/>
          <w:szCs w:val="24"/>
        </w:rPr>
      </w:pPr>
      <w:bookmarkStart w:id="40" w:name="_Toc24123"/>
      <w:bookmarkStart w:id="41" w:name="_Toc17905"/>
      <w:bookmarkStart w:id="42" w:name="_Toc3558"/>
      <w:bookmarkStart w:id="43" w:name="_Toc6803"/>
      <w:r>
        <w:rPr>
          <w:rFonts w:ascii="Times New Roman" w:hAnsi="Times New Roman" w:eastAsia="仿宋" w:cs="Times New Roman"/>
          <w:sz w:val="28"/>
          <w:szCs w:val="24"/>
        </w:rPr>
        <w:t>法定代表人或授权代理人（签字）：</w:t>
      </w:r>
      <w:bookmarkEnd w:id="40"/>
      <w:bookmarkEnd w:id="41"/>
      <w:bookmarkEnd w:id="42"/>
      <w:bookmarkEnd w:id="43"/>
    </w:p>
    <w:p w14:paraId="432EF678">
      <w:pPr>
        <w:jc w:val="left"/>
        <w:rPr>
          <w:rFonts w:ascii="Times New Roman" w:hAnsi="Times New Roman" w:eastAsia="仿宋" w:cs="Times New Roman"/>
          <w:sz w:val="28"/>
          <w:szCs w:val="24"/>
        </w:rPr>
      </w:pPr>
      <w:bookmarkStart w:id="44" w:name="_Toc5996"/>
      <w:bookmarkStart w:id="45" w:name="_Toc2989"/>
      <w:bookmarkStart w:id="46" w:name="_Toc27526"/>
      <w:bookmarkStart w:id="47" w:name="_Toc27135"/>
      <w:r>
        <w:rPr>
          <w:rFonts w:ascii="Times New Roman" w:hAnsi="Times New Roman" w:eastAsia="仿宋" w:cs="Times New Roman"/>
          <w:sz w:val="28"/>
          <w:szCs w:val="24"/>
        </w:rPr>
        <w:t>联系方式（移动电话）：</w:t>
      </w:r>
      <w:bookmarkEnd w:id="44"/>
      <w:bookmarkEnd w:id="45"/>
      <w:bookmarkEnd w:id="46"/>
      <w:bookmarkEnd w:id="47"/>
    </w:p>
    <w:p w14:paraId="6BC0F1E0">
      <w:pPr>
        <w:jc w:val="left"/>
        <w:rPr>
          <w:rFonts w:ascii="Times New Roman" w:hAnsi="Times New Roman" w:eastAsia="仿宋" w:cs="Times New Roman"/>
          <w:sz w:val="28"/>
          <w:szCs w:val="24"/>
        </w:rPr>
      </w:pPr>
      <w:bookmarkStart w:id="48" w:name="_Toc7233"/>
      <w:bookmarkStart w:id="49" w:name="_Toc19987"/>
      <w:bookmarkStart w:id="50" w:name="_Toc2031"/>
      <w:bookmarkStart w:id="51" w:name="_Toc5056"/>
      <w:r>
        <w:rPr>
          <w:rFonts w:ascii="Times New Roman" w:hAnsi="Times New Roman" w:eastAsia="仿宋" w:cs="Times New Roman"/>
          <w:sz w:val="28"/>
          <w:szCs w:val="24"/>
        </w:rPr>
        <w:t>日期：     年    月     日</w:t>
      </w:r>
      <w:bookmarkEnd w:id="48"/>
      <w:bookmarkEnd w:id="49"/>
      <w:bookmarkEnd w:id="50"/>
      <w:bookmarkEnd w:id="51"/>
    </w:p>
    <w:p w14:paraId="1AA08C65">
      <w:pPr>
        <w:jc w:val="center"/>
        <w:rPr>
          <w:rFonts w:ascii="Times New Roman" w:hAnsi="Times New Roman" w:eastAsia="仿宋" w:cs="Times New Roman"/>
          <w:sz w:val="32"/>
          <w:szCs w:val="40"/>
        </w:rPr>
      </w:pPr>
      <w:bookmarkStart w:id="52" w:name="_Toc6482"/>
      <w:bookmarkStart w:id="53" w:name="_Toc16029"/>
      <w:bookmarkStart w:id="54" w:name="_Toc21519"/>
      <w:bookmarkStart w:id="55" w:name="_Toc11352"/>
      <w:bookmarkStart w:id="56" w:name="_Toc14829"/>
      <w:bookmarkStart w:id="57" w:name="_Toc3023"/>
    </w:p>
    <w:p w14:paraId="19D62983">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48F872A8">
      <w:pPr>
        <w:pStyle w:val="3"/>
        <w:ind w:firstLine="0"/>
      </w:pPr>
      <w:r>
        <w:t>承诺函</w:t>
      </w:r>
      <w:bookmarkEnd w:id="52"/>
      <w:bookmarkEnd w:id="53"/>
      <w:bookmarkEnd w:id="54"/>
      <w:bookmarkEnd w:id="55"/>
      <w:bookmarkEnd w:id="56"/>
      <w:bookmarkEnd w:id="57"/>
    </w:p>
    <w:p w14:paraId="67A58C3D">
      <w:pPr>
        <w:pStyle w:val="7"/>
        <w:rPr>
          <w:rFonts w:ascii="Times New Roman" w:hAnsi="Times New Roman" w:eastAsia="仿宋" w:cs="Times New Roman"/>
        </w:rPr>
      </w:pPr>
    </w:p>
    <w:p w14:paraId="522E3A50">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547276D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05EB24F2">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720887A0">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063DE760">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32B51D43">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FDD98D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12EBE0F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39DBC3E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0CA0552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5E3B9DC8">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4580090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51DCBBD8">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0406B97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4C62518E">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0059DA4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25AD181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789EE2CA">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4ED909F7">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8C1470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6FC4D76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5AAED407">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D13530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30C40087">
      <w:pPr>
        <w:adjustRightInd w:val="0"/>
        <w:spacing w:line="360" w:lineRule="auto"/>
        <w:rPr>
          <w:rFonts w:ascii="Times New Roman" w:hAnsi="Times New Roman" w:eastAsia="仿宋" w:cs="Times New Roman"/>
          <w:bCs/>
          <w:sz w:val="24"/>
        </w:rPr>
      </w:pPr>
    </w:p>
    <w:p w14:paraId="2E39D97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227BBF">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632BC8">
      <w:pPr>
        <w:rPr>
          <w:rFonts w:ascii="Times New Roman" w:hAnsi="Times New Roman" w:cs="Times New Roman"/>
        </w:rPr>
      </w:pPr>
      <w:bookmarkStart w:id="58" w:name="_Toc17857"/>
      <w:bookmarkStart w:id="59" w:name="_Toc4305"/>
      <w:bookmarkStart w:id="60" w:name="_Toc31838"/>
      <w:bookmarkStart w:id="61" w:name="_Toc22676"/>
      <w:bookmarkStart w:id="62" w:name="_Toc30971"/>
      <w:r>
        <w:rPr>
          <w:rFonts w:ascii="Times New Roman" w:hAnsi="Times New Roman" w:cs="Times New Roman"/>
        </w:rPr>
        <w:br w:type="page"/>
      </w:r>
    </w:p>
    <w:p w14:paraId="7FD9A03F">
      <w:pPr>
        <w:pStyle w:val="3"/>
        <w:ind w:firstLine="0"/>
      </w:pPr>
      <w:r>
        <w:t>具有独立承担民事责任的能力</w:t>
      </w:r>
      <w:bookmarkEnd w:id="58"/>
      <w:bookmarkEnd w:id="59"/>
      <w:bookmarkEnd w:id="60"/>
      <w:bookmarkEnd w:id="61"/>
      <w:bookmarkEnd w:id="62"/>
    </w:p>
    <w:p w14:paraId="7A9CCF0C">
      <w:pPr>
        <w:pStyle w:val="7"/>
        <w:jc w:val="center"/>
        <w:rPr>
          <w:rFonts w:ascii="Times New Roman" w:hAnsi="Times New Roman" w:eastAsia="仿宋" w:cs="Times New Roman"/>
          <w:b/>
          <w:bCs/>
        </w:rPr>
      </w:pPr>
    </w:p>
    <w:p w14:paraId="69D659C8">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E457177">
      <w:pPr>
        <w:pStyle w:val="3"/>
        <w:ind w:firstLine="0"/>
        <w:rPr>
          <w:rStyle w:val="32"/>
          <w:szCs w:val="28"/>
        </w:rPr>
      </w:pPr>
      <w:r>
        <w:rPr>
          <w:bCs/>
        </w:rPr>
        <w:br w:type="page"/>
      </w:r>
      <w:bookmarkStart w:id="63" w:name="_Toc15613"/>
      <w:bookmarkStart w:id="64" w:name="_Toc27186"/>
      <w:bookmarkStart w:id="65" w:name="_Toc30158"/>
      <w:r>
        <w:t>具有健全的财务会计制度的证明材料</w:t>
      </w:r>
    </w:p>
    <w:p w14:paraId="48AC8BCC">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3"/>
      <w:bookmarkEnd w:id="64"/>
      <w:bookmarkStart w:id="66" w:name="_Toc13904"/>
      <w:bookmarkStart w:id="67" w:name="_Toc25357"/>
      <w:bookmarkStart w:id="68" w:name="_Toc13706"/>
    </w:p>
    <w:p w14:paraId="63C837BE">
      <w:pPr>
        <w:pStyle w:val="3"/>
        <w:ind w:firstLine="0"/>
        <w:rPr>
          <w:szCs w:val="32"/>
        </w:rPr>
      </w:pPr>
      <w:bookmarkStart w:id="69" w:name="_Toc23146"/>
      <w:bookmarkStart w:id="70" w:name="_Toc15508"/>
      <w:r>
        <w:t>本项目其他资格条件提供的证明材料</w:t>
      </w:r>
      <w:bookmarkEnd w:id="65"/>
      <w:bookmarkEnd w:id="66"/>
      <w:bookmarkEnd w:id="67"/>
      <w:bookmarkEnd w:id="68"/>
      <w:bookmarkEnd w:id="69"/>
      <w:bookmarkEnd w:id="70"/>
    </w:p>
    <w:p w14:paraId="3B975A48">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0A99B558">
      <w:pPr>
        <w:pStyle w:val="31"/>
        <w:ind w:left="420" w:leftChars="200"/>
        <w:jc w:val="both"/>
        <w:rPr>
          <w:rFonts w:ascii="Times New Roman" w:hAnsi="Times New Roman" w:eastAsia="仿宋" w:cs="Times New Roman"/>
          <w:color w:val="auto"/>
        </w:rPr>
      </w:pPr>
    </w:p>
    <w:p w14:paraId="7EFC0410">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6F9F6CA4">
      <w:pPr>
        <w:pStyle w:val="3"/>
        <w:ind w:firstLine="0"/>
        <w:rPr>
          <w:szCs w:val="32"/>
        </w:rPr>
      </w:pPr>
      <w:r>
        <w:rPr>
          <w:szCs w:val="32"/>
        </w:rPr>
        <w:br w:type="page"/>
      </w:r>
      <w:bookmarkStart w:id="71" w:name="_Toc27661"/>
      <w:bookmarkStart w:id="72" w:name="_Toc11351"/>
      <w:bookmarkStart w:id="73" w:name="_Toc25638"/>
      <w:bookmarkStart w:id="74" w:name="_Toc12015"/>
      <w:bookmarkStart w:id="75" w:name="_Toc15526"/>
      <w:bookmarkStart w:id="76" w:name="_Toc20589"/>
      <w:r>
        <w:rPr>
          <w:rStyle w:val="40"/>
          <w:b/>
        </w:rPr>
        <w:t>法定代表人身份证明书</w:t>
      </w:r>
      <w:bookmarkEnd w:id="71"/>
      <w:bookmarkEnd w:id="72"/>
      <w:bookmarkEnd w:id="73"/>
      <w:bookmarkEnd w:id="74"/>
      <w:bookmarkEnd w:id="75"/>
      <w:bookmarkEnd w:id="76"/>
    </w:p>
    <w:p w14:paraId="429BF792">
      <w:pPr>
        <w:pStyle w:val="31"/>
        <w:jc w:val="center"/>
        <w:rPr>
          <w:rFonts w:ascii="Times New Roman" w:hAnsi="Times New Roman" w:eastAsia="仿宋" w:cs="Times New Roman"/>
          <w:color w:val="auto"/>
        </w:rPr>
      </w:pPr>
    </w:p>
    <w:p w14:paraId="25F053F1">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2ACDEB1">
      <w:pPr>
        <w:pStyle w:val="31"/>
        <w:jc w:val="center"/>
        <w:rPr>
          <w:rFonts w:ascii="Times New Roman" w:hAnsi="Times New Roman" w:eastAsia="仿宋" w:cs="Times New Roman"/>
          <w:color w:val="auto"/>
        </w:rPr>
      </w:pPr>
    </w:p>
    <w:p w14:paraId="4EDE984B">
      <w:pPr>
        <w:pStyle w:val="31"/>
        <w:jc w:val="center"/>
        <w:rPr>
          <w:rFonts w:ascii="Times New Roman" w:hAnsi="Times New Roman" w:eastAsia="仿宋" w:cs="Times New Roman"/>
          <w:color w:val="auto"/>
        </w:rPr>
      </w:pPr>
    </w:p>
    <w:p w14:paraId="6639B54F">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0896AE94">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0F870E3">
      <w:pPr>
        <w:pStyle w:val="31"/>
        <w:jc w:val="both"/>
        <w:rPr>
          <w:rFonts w:ascii="Times New Roman" w:hAnsi="Times New Roman" w:eastAsia="仿宋" w:cs="Times New Roman"/>
          <w:color w:val="auto"/>
        </w:rPr>
      </w:pPr>
    </w:p>
    <w:p w14:paraId="44CC897B">
      <w:pPr>
        <w:pStyle w:val="31"/>
        <w:jc w:val="both"/>
        <w:rPr>
          <w:rFonts w:ascii="Times New Roman" w:hAnsi="Times New Roman" w:eastAsia="仿宋" w:cs="Times New Roman"/>
          <w:color w:val="auto"/>
        </w:rPr>
      </w:pPr>
    </w:p>
    <w:p w14:paraId="05A2914A">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6692E20">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08A9F97">
      <w:pPr>
        <w:pStyle w:val="31"/>
        <w:jc w:val="center"/>
        <w:rPr>
          <w:rFonts w:ascii="Times New Roman" w:hAnsi="Times New Roman" w:eastAsia="仿宋" w:cs="Times New Roman"/>
          <w:color w:val="auto"/>
        </w:rPr>
      </w:pPr>
    </w:p>
    <w:p w14:paraId="1CB3B391">
      <w:pPr>
        <w:pStyle w:val="31"/>
        <w:jc w:val="center"/>
        <w:rPr>
          <w:rFonts w:ascii="Times New Roman" w:hAnsi="Times New Roman" w:eastAsia="仿宋" w:cs="Times New Roman"/>
          <w:color w:val="auto"/>
        </w:rPr>
      </w:pPr>
    </w:p>
    <w:p w14:paraId="1B1D9808">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67A50E5D">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82AE7DB">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6DC22ABB">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35ABAC66">
      <w:pPr>
        <w:pStyle w:val="31"/>
        <w:jc w:val="both"/>
        <w:rPr>
          <w:rFonts w:ascii="Times New Roman" w:hAnsi="Times New Roman" w:eastAsia="仿宋" w:cs="Times New Roman"/>
          <w:color w:val="auto"/>
          <w:sz w:val="32"/>
          <w:szCs w:val="32"/>
        </w:rPr>
      </w:pPr>
    </w:p>
    <w:p w14:paraId="4E4DE15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2DE9BE7B">
      <w:pPr>
        <w:pStyle w:val="31"/>
        <w:jc w:val="center"/>
        <w:rPr>
          <w:rFonts w:ascii="Times New Roman" w:hAnsi="Times New Roman" w:eastAsia="仿宋" w:cs="Times New Roman"/>
          <w:b/>
          <w:bCs/>
          <w:color w:val="auto"/>
        </w:rPr>
      </w:pPr>
    </w:p>
    <w:p w14:paraId="0882CD79">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63984233">
      <w:pPr>
        <w:pStyle w:val="31"/>
        <w:jc w:val="center"/>
        <w:rPr>
          <w:rFonts w:ascii="Times New Roman" w:hAnsi="Times New Roman" w:eastAsia="仿宋" w:cs="Times New Roman"/>
          <w:color w:val="auto"/>
        </w:rPr>
      </w:pPr>
    </w:p>
    <w:p w14:paraId="5CF69C78">
      <w:pPr>
        <w:pStyle w:val="7"/>
        <w:snapToGrid w:val="0"/>
        <w:spacing w:after="0" w:line="500" w:lineRule="exact"/>
        <w:ind w:firstLine="480" w:firstLineChars="200"/>
        <w:rPr>
          <w:rFonts w:ascii="Times New Roman" w:hAnsi="Times New Roman" w:eastAsia="仿宋" w:cs="Times New Roman"/>
          <w:sz w:val="24"/>
        </w:rPr>
      </w:pPr>
    </w:p>
    <w:p w14:paraId="6266501A">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041D053C">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61DE1B58">
      <w:pPr>
        <w:snapToGrid w:val="0"/>
        <w:spacing w:line="560" w:lineRule="exact"/>
        <w:ind w:firstLine="480" w:firstLineChars="200"/>
        <w:rPr>
          <w:rFonts w:ascii="Times New Roman" w:hAnsi="Times New Roman" w:eastAsia="仿宋" w:cs="Times New Roman"/>
          <w:sz w:val="24"/>
        </w:rPr>
      </w:pPr>
    </w:p>
    <w:p w14:paraId="2807CD5D">
      <w:pPr>
        <w:snapToGrid w:val="0"/>
        <w:spacing w:line="560" w:lineRule="exact"/>
        <w:ind w:firstLine="480" w:firstLineChars="200"/>
        <w:rPr>
          <w:rFonts w:ascii="Times New Roman" w:hAnsi="Times New Roman" w:eastAsia="仿宋" w:cs="Times New Roman"/>
          <w:sz w:val="24"/>
        </w:rPr>
      </w:pPr>
    </w:p>
    <w:p w14:paraId="3D1AC1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3E4CEB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1F115E34">
      <w:pPr>
        <w:snapToGrid w:val="0"/>
        <w:spacing w:line="560" w:lineRule="exact"/>
        <w:rPr>
          <w:rFonts w:ascii="Times New Roman" w:hAnsi="Times New Roman" w:eastAsia="仿宋" w:cs="Times New Roman"/>
          <w:sz w:val="24"/>
        </w:rPr>
      </w:pPr>
    </w:p>
    <w:p w14:paraId="108DA6F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7FF6CC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BD7F067">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9C15FE">
      <w:pPr>
        <w:pStyle w:val="3"/>
        <w:ind w:firstLine="0"/>
        <w:rPr>
          <w:szCs w:val="32"/>
        </w:rPr>
      </w:pPr>
      <w:r>
        <w:rPr>
          <w:szCs w:val="32"/>
        </w:rPr>
        <w:br w:type="page"/>
      </w:r>
      <w:bookmarkStart w:id="77" w:name="_Toc1074"/>
      <w:bookmarkStart w:id="78" w:name="_Toc2041"/>
      <w:bookmarkStart w:id="79" w:name="_Toc23967"/>
      <w:bookmarkStart w:id="80" w:name="_Toc12967"/>
      <w:bookmarkStart w:id="81" w:name="_Toc26969"/>
      <w:bookmarkStart w:id="82" w:name="_Toc16435"/>
      <w:r>
        <w:rPr>
          <w:rStyle w:val="40"/>
          <w:b/>
        </w:rPr>
        <w:t>采购需求偏离表</w:t>
      </w:r>
      <w:bookmarkEnd w:id="77"/>
      <w:bookmarkEnd w:id="78"/>
      <w:bookmarkEnd w:id="79"/>
      <w:bookmarkEnd w:id="80"/>
      <w:bookmarkEnd w:id="81"/>
      <w:bookmarkEnd w:id="82"/>
    </w:p>
    <w:p w14:paraId="1349AA4F">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Layout w:type="fixed"/>
        <w:tblCellMar>
          <w:top w:w="0" w:type="dxa"/>
          <w:left w:w="108" w:type="dxa"/>
          <w:bottom w:w="0" w:type="dxa"/>
          <w:right w:w="108" w:type="dxa"/>
        </w:tblCellMar>
      </w:tblPr>
      <w:tblGrid>
        <w:gridCol w:w="1135"/>
        <w:gridCol w:w="2144"/>
        <w:gridCol w:w="2655"/>
        <w:gridCol w:w="1154"/>
        <w:gridCol w:w="2083"/>
      </w:tblGrid>
      <w:tr w14:paraId="4DEC1A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280E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AC6A6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D771D6">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860744">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A39D3E">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697440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8F8EE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DDFDD3">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6F7B7">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F69169">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5014BC">
            <w:pPr>
              <w:rPr>
                <w:rFonts w:ascii="Times New Roman" w:hAnsi="Times New Roman" w:eastAsia="仿宋" w:cs="Times New Roman"/>
                <w:sz w:val="24"/>
              </w:rPr>
            </w:pPr>
          </w:p>
        </w:tc>
      </w:tr>
      <w:tr w14:paraId="6B1022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auto"/>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8DE7E">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0B8559">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887A29">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F3C5F1">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A8310">
            <w:pPr>
              <w:rPr>
                <w:rFonts w:ascii="Times New Roman" w:hAnsi="Times New Roman" w:eastAsia="仿宋" w:cs="Times New Roman"/>
                <w:sz w:val="24"/>
              </w:rPr>
            </w:pPr>
          </w:p>
        </w:tc>
      </w:tr>
      <w:tr w14:paraId="1D63EA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C539C9">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24BB2B">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222DB4">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F30EE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DD3966">
            <w:pPr>
              <w:rPr>
                <w:rFonts w:ascii="Times New Roman" w:hAnsi="Times New Roman" w:eastAsia="仿宋" w:cs="Times New Roman"/>
                <w:sz w:val="24"/>
              </w:rPr>
            </w:pPr>
          </w:p>
        </w:tc>
      </w:tr>
    </w:tbl>
    <w:p w14:paraId="76FD9FDF">
      <w:pPr>
        <w:spacing w:line="360" w:lineRule="auto"/>
        <w:jc w:val="left"/>
        <w:rPr>
          <w:rFonts w:ascii="Times New Roman" w:hAnsi="Times New Roman" w:eastAsia="仿宋" w:cs="Times New Roman"/>
          <w:bCs/>
          <w:sz w:val="24"/>
        </w:rPr>
      </w:pPr>
    </w:p>
    <w:p w14:paraId="22341232">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71311EBE">
      <w:pPr>
        <w:pStyle w:val="16"/>
        <w:ind w:firstLine="0"/>
        <w:rPr>
          <w:rFonts w:ascii="Times New Roman" w:hAnsi="Times New Roman" w:eastAsia="仿宋" w:cs="Times New Roman"/>
          <w:lang w:val="zh-TW" w:eastAsia="zh-TW"/>
        </w:rPr>
      </w:pPr>
    </w:p>
    <w:p w14:paraId="67D830C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D31FA4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14660A92">
      <w:pPr>
        <w:pStyle w:val="31"/>
        <w:jc w:val="center"/>
        <w:rPr>
          <w:rFonts w:ascii="Times New Roman" w:hAnsi="Times New Roman" w:eastAsia="仿宋" w:cs="Times New Roman"/>
          <w:color w:val="auto"/>
          <w:sz w:val="32"/>
          <w:szCs w:val="32"/>
        </w:rPr>
      </w:pPr>
    </w:p>
    <w:p w14:paraId="357B11B5">
      <w:pPr>
        <w:pStyle w:val="3"/>
        <w:ind w:firstLine="0"/>
        <w:rPr>
          <w:bCs/>
          <w:szCs w:val="32"/>
        </w:rPr>
      </w:pPr>
      <w:r>
        <w:rPr>
          <w:szCs w:val="32"/>
        </w:rPr>
        <w:br w:type="page"/>
      </w:r>
      <w:bookmarkStart w:id="83" w:name="_Toc31686"/>
      <w:bookmarkStart w:id="84" w:name="_Toc1369"/>
      <w:bookmarkStart w:id="85" w:name="_Toc28634"/>
      <w:bookmarkStart w:id="86" w:name="_Toc21082"/>
      <w:bookmarkStart w:id="87" w:name="_Toc24806"/>
      <w:bookmarkStart w:id="88" w:name="_Toc26839"/>
      <w:r>
        <w:rPr>
          <w:rStyle w:val="40"/>
          <w:b/>
        </w:rPr>
        <w:t>评分需要提供的证明材料</w:t>
      </w:r>
      <w:bookmarkEnd w:id="83"/>
      <w:bookmarkEnd w:id="84"/>
      <w:bookmarkEnd w:id="85"/>
      <w:bookmarkEnd w:id="86"/>
      <w:bookmarkEnd w:id="87"/>
      <w:bookmarkEnd w:id="88"/>
    </w:p>
    <w:p w14:paraId="0E0106F8">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4384EF07">
      <w:pPr>
        <w:pStyle w:val="31"/>
        <w:jc w:val="center"/>
        <w:rPr>
          <w:rFonts w:ascii="Times New Roman" w:hAnsi="Times New Roman" w:eastAsia="仿宋" w:cs="Times New Roman"/>
          <w:b/>
          <w:bCs/>
          <w:color w:val="auto"/>
        </w:rPr>
      </w:pPr>
    </w:p>
    <w:p w14:paraId="531100FC">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26FCDAD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0D5746C2">
      <w:pPr>
        <w:rPr>
          <w:rFonts w:ascii="Times New Roman" w:hAnsi="Times New Roman" w:eastAsia="仿宋" w:cs="Times New Roman"/>
          <w:sz w:val="24"/>
          <w:szCs w:val="24"/>
        </w:rPr>
      </w:pPr>
    </w:p>
    <w:p w14:paraId="6E4369C5">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05F7BCD2">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DAF5798">
      <w:pPr>
        <w:rPr>
          <w:rFonts w:ascii="Times New Roman" w:hAnsi="Times New Roman" w:eastAsia="仿宋" w:cs="Times New Roman"/>
          <w:sz w:val="24"/>
          <w:szCs w:val="24"/>
        </w:rPr>
      </w:pPr>
    </w:p>
    <w:p w14:paraId="5DC31E1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CF62BB5">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2173427E">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p>
    <w:p w14:paraId="7E648D40">
      <w:pPr>
        <w:pStyle w:val="3"/>
        <w:ind w:firstLine="0"/>
      </w:pPr>
      <w:r>
        <w:t>报价单</w:t>
      </w:r>
    </w:p>
    <w:p w14:paraId="276B86E9">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077650E8">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E825D47">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15E5DA2E">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273133D3">
      <w:pPr>
        <w:rPr>
          <w:lang w:val="zh-TW"/>
        </w:rPr>
      </w:pPr>
    </w:p>
    <w:p w14:paraId="22C05AFE">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72"/>
        <w:gridCol w:w="2606"/>
        <w:gridCol w:w="4065"/>
        <w:gridCol w:w="2404"/>
      </w:tblGrid>
      <w:tr w14:paraId="4D90A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572" w:type="dxa"/>
            <w:vAlign w:val="center"/>
          </w:tcPr>
          <w:p w14:paraId="2E858C89">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序号</w:t>
            </w:r>
          </w:p>
        </w:tc>
        <w:tc>
          <w:tcPr>
            <w:tcW w:w="2606" w:type="dxa"/>
            <w:vAlign w:val="center"/>
          </w:tcPr>
          <w:p w14:paraId="01AB6555">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采购标的名称</w:t>
            </w:r>
          </w:p>
        </w:tc>
        <w:tc>
          <w:tcPr>
            <w:tcW w:w="4065" w:type="dxa"/>
            <w:vAlign w:val="center"/>
          </w:tcPr>
          <w:p w14:paraId="027E30CC">
            <w:pPr>
              <w:spacing w:line="200" w:lineRule="exact"/>
              <w:jc w:val="center"/>
              <w:rPr>
                <w:rFonts w:ascii="Times New Roman" w:hAnsi="Times New Roman" w:eastAsia="仿宋" w:cs="Times New Roman"/>
                <w:kern w:val="0"/>
                <w:szCs w:val="21"/>
                <w:lang w:val="zh-TW" w:eastAsia="zh-TW"/>
              </w:rPr>
            </w:pPr>
            <w:r>
              <w:rPr>
                <w:rFonts w:hint="eastAsia" w:ascii="Times New Roman" w:hAnsi="Times New Roman" w:eastAsia="仿宋" w:cs="Times New Roman"/>
                <w:kern w:val="0"/>
                <w:szCs w:val="21"/>
                <w:lang w:val="en-US" w:eastAsia="zh-CN"/>
              </w:rPr>
              <w:t>报价</w:t>
            </w:r>
            <w:r>
              <w:rPr>
                <w:rFonts w:ascii="Times New Roman" w:hAnsi="Times New Roman" w:eastAsia="仿宋" w:cs="Times New Roman"/>
                <w:kern w:val="0"/>
                <w:szCs w:val="21"/>
                <w:lang w:val="zh-TW" w:eastAsia="zh-TW"/>
              </w:rPr>
              <w:t>（元）</w:t>
            </w:r>
          </w:p>
        </w:tc>
        <w:tc>
          <w:tcPr>
            <w:tcW w:w="2404" w:type="dxa"/>
            <w:vAlign w:val="center"/>
          </w:tcPr>
          <w:p w14:paraId="631786CD">
            <w:pPr>
              <w:spacing w:line="200" w:lineRule="exact"/>
              <w:jc w:val="center"/>
              <w:rPr>
                <w:rFonts w:hint="eastAsia" w:ascii="Times New Roman" w:hAnsi="Times New Roman" w:eastAsia="仿宋" w:cs="Times New Roman"/>
                <w:kern w:val="0"/>
                <w:szCs w:val="21"/>
                <w:lang w:val="zh-TW" w:eastAsia="zh-CN"/>
              </w:rPr>
            </w:pPr>
            <w:r>
              <w:rPr>
                <w:rFonts w:hint="eastAsia" w:ascii="Times New Roman" w:hAnsi="Times New Roman" w:eastAsia="仿宋" w:cs="Times New Roman"/>
                <w:kern w:val="0"/>
                <w:szCs w:val="21"/>
                <w:lang w:val="en-US" w:eastAsia="zh-CN"/>
              </w:rPr>
              <w:t>备注</w:t>
            </w:r>
          </w:p>
        </w:tc>
      </w:tr>
      <w:tr w14:paraId="35F31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46DD23E">
            <w:pPr>
              <w:pStyle w:val="7"/>
              <w:jc w:val="center"/>
              <w:rPr>
                <w:rFonts w:ascii="Times New Roman" w:hAnsi="Times New Roman" w:eastAsia="仿宋" w:cs="Times New Roman"/>
                <w:szCs w:val="21"/>
              </w:rPr>
            </w:pPr>
            <w:r>
              <w:rPr>
                <w:rFonts w:ascii="Times New Roman" w:hAnsi="Times New Roman" w:eastAsia="仿宋" w:cs="Times New Roman"/>
                <w:szCs w:val="21"/>
              </w:rPr>
              <w:t>1</w:t>
            </w:r>
          </w:p>
        </w:tc>
        <w:tc>
          <w:tcPr>
            <w:tcW w:w="2606" w:type="dxa"/>
            <w:vAlign w:val="center"/>
          </w:tcPr>
          <w:p w14:paraId="12653FA9">
            <w:pPr>
              <w:pStyle w:val="7"/>
              <w:jc w:val="center"/>
              <w:rPr>
                <w:rFonts w:ascii="Times New Roman" w:hAnsi="Times New Roman" w:eastAsia="仿宋" w:cs="Times New Roman"/>
                <w:szCs w:val="21"/>
              </w:rPr>
            </w:pPr>
            <w:r>
              <w:rPr>
                <w:rFonts w:hint="eastAsia" w:ascii="Times New Roman" w:hAnsi="Times New Roman" w:eastAsia="仿宋" w:cs="Times New Roman"/>
                <w:sz w:val="22"/>
              </w:rPr>
              <w:t>中和医学实验平台、实训楼、护校空调维保服务</w:t>
            </w:r>
          </w:p>
        </w:tc>
        <w:tc>
          <w:tcPr>
            <w:tcW w:w="4065" w:type="dxa"/>
            <w:vAlign w:val="center"/>
          </w:tcPr>
          <w:p w14:paraId="42A6F169">
            <w:pPr>
              <w:pStyle w:val="7"/>
              <w:jc w:val="center"/>
              <w:rPr>
                <w:rFonts w:ascii="Times New Roman" w:hAnsi="Times New Roman" w:eastAsia="仿宋" w:cs="Times New Roman"/>
                <w:szCs w:val="21"/>
              </w:rPr>
            </w:pPr>
          </w:p>
        </w:tc>
        <w:tc>
          <w:tcPr>
            <w:tcW w:w="2404" w:type="dxa"/>
            <w:vAlign w:val="center"/>
          </w:tcPr>
          <w:p w14:paraId="259F32B6">
            <w:pPr>
              <w:pStyle w:val="7"/>
              <w:jc w:val="center"/>
              <w:rPr>
                <w:rFonts w:ascii="Times New Roman" w:hAnsi="Times New Roman" w:eastAsia="仿宋" w:cs="Times New Roman"/>
                <w:szCs w:val="21"/>
              </w:rPr>
            </w:pPr>
          </w:p>
        </w:tc>
      </w:tr>
      <w:tr w14:paraId="03113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2" w:hRule="atLeast"/>
          <w:jc w:val="center"/>
        </w:trPr>
        <w:tc>
          <w:tcPr>
            <w:tcW w:w="3178" w:type="dxa"/>
            <w:gridSpan w:val="2"/>
            <w:vAlign w:val="center"/>
          </w:tcPr>
          <w:p w14:paraId="53F34F87">
            <w:pPr>
              <w:spacing w:line="200" w:lineRule="exact"/>
              <w:jc w:val="center"/>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报价合计</w:t>
            </w:r>
          </w:p>
        </w:tc>
        <w:tc>
          <w:tcPr>
            <w:tcW w:w="6469" w:type="dxa"/>
            <w:gridSpan w:val="2"/>
            <w:vAlign w:val="center"/>
          </w:tcPr>
          <w:p w14:paraId="5B3B0638">
            <w:pPr>
              <w:spacing w:line="200" w:lineRule="exact"/>
              <w:ind w:firstLine="105" w:firstLineChars="50"/>
              <w:jc w:val="left"/>
              <w:rPr>
                <w:rFonts w:ascii="Times New Roman" w:hAnsi="Times New Roman" w:eastAsia="仿宋" w:cs="Times New Roman"/>
                <w:kern w:val="0"/>
                <w:szCs w:val="21"/>
                <w:lang w:val="zh-TW" w:eastAsia="zh-TW"/>
              </w:rPr>
            </w:pPr>
            <w:r>
              <w:rPr>
                <w:rFonts w:ascii="Times New Roman" w:hAnsi="Times New Roman" w:eastAsia="仿宋" w:cs="Times New Roman"/>
                <w:kern w:val="0"/>
                <w:szCs w:val="21"/>
                <w:lang w:val="zh-TW" w:eastAsia="zh-TW"/>
              </w:rPr>
              <w:t xml:space="preserve">大写：       </w:t>
            </w:r>
            <w:r>
              <w:rPr>
                <w:rFonts w:hint="eastAsia" w:ascii="Times New Roman" w:hAnsi="Times New Roman" w:eastAsia="仿宋" w:cs="Times New Roman"/>
                <w:kern w:val="0"/>
                <w:szCs w:val="21"/>
                <w:lang w:val="zh-TW"/>
              </w:rPr>
              <w:t xml:space="preserve">    </w:t>
            </w:r>
            <w:r>
              <w:rPr>
                <w:rFonts w:ascii="Times New Roman" w:hAnsi="Times New Roman" w:eastAsia="仿宋" w:cs="Times New Roman"/>
                <w:kern w:val="0"/>
                <w:szCs w:val="21"/>
                <w:lang w:val="zh-TW" w:eastAsia="zh-TW"/>
              </w:rPr>
              <w:t>小写：</w:t>
            </w:r>
          </w:p>
        </w:tc>
      </w:tr>
    </w:tbl>
    <w:p w14:paraId="0906D637">
      <w:pPr>
        <w:widowControl/>
        <w:jc w:val="left"/>
        <w:rPr>
          <w:rFonts w:ascii="Times New Roman" w:hAnsi="Times New Roman" w:eastAsia="仿宋" w:cs="Times New Roman"/>
          <w:szCs w:val="21"/>
          <w:lang w:val="zh-TW"/>
        </w:rPr>
      </w:pPr>
    </w:p>
    <w:p w14:paraId="4345F4A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7FEC277">
      <w:pPr>
        <w:pStyle w:val="7"/>
        <w:rPr>
          <w:rFonts w:ascii="Times New Roman" w:hAnsi="Times New Roman" w:eastAsia="仿宋" w:cs="Times New Roman"/>
          <w:szCs w:val="21"/>
          <w:lang w:val="zh-TW" w:eastAsia="zh-TW"/>
        </w:rPr>
      </w:pPr>
    </w:p>
    <w:p w14:paraId="462CAB00">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22A92CA8">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6C9064D">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06808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0C795DC3">
      <w:pPr>
        <w:pStyle w:val="3"/>
        <w:ind w:firstLine="0"/>
      </w:pPr>
      <w:r>
        <w:t>供应商认为需要提供的其他材料</w:t>
      </w:r>
    </w:p>
    <w:p w14:paraId="5C553D71">
      <w:pPr>
        <w:pStyle w:val="7"/>
        <w:jc w:val="center"/>
        <w:rPr>
          <w:rFonts w:ascii="Times New Roman" w:hAnsi="Times New Roman" w:eastAsia="仿宋" w:cs="Times New Roman"/>
        </w:rPr>
      </w:pPr>
    </w:p>
    <w:p w14:paraId="1C462007">
      <w:pPr>
        <w:pStyle w:val="7"/>
        <w:jc w:val="center"/>
        <w:rPr>
          <w:rFonts w:ascii="Times New Roman" w:hAnsi="Times New Roman" w:eastAsia="仿宋" w:cs="Times New Roman"/>
        </w:rPr>
      </w:pPr>
    </w:p>
    <w:p w14:paraId="6FC624DE">
      <w:pPr>
        <w:pStyle w:val="7"/>
        <w:jc w:val="center"/>
        <w:rPr>
          <w:rFonts w:ascii="Times New Roman" w:hAnsi="Times New Roman" w:eastAsia="仿宋" w:cs="Times New Roman"/>
        </w:rPr>
      </w:pPr>
    </w:p>
    <w:p w14:paraId="7F7FF383">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3E0130BD">
      <w:pPr>
        <w:rPr>
          <w:rFonts w:ascii="Times New Roman" w:hAnsi="Times New Roman" w:eastAsia="黑体" w:cs="Times New Roman"/>
          <w:b/>
          <w:sz w:val="36"/>
          <w:szCs w:val="32"/>
        </w:rPr>
      </w:pPr>
      <w:r>
        <w:rPr>
          <w:rFonts w:ascii="Times New Roman" w:hAnsi="Times New Roman" w:eastAsia="黑体" w:cs="Times New Roman"/>
          <w:b/>
          <w:sz w:val="36"/>
          <w:szCs w:val="32"/>
        </w:rPr>
        <w:br w:type="page"/>
      </w:r>
    </w:p>
    <w:bookmarkEnd w:id="21"/>
    <w:bookmarkEnd w:id="22"/>
    <w:bookmarkEnd w:id="23"/>
    <w:bookmarkEnd w:id="24"/>
    <w:p w14:paraId="2C1171E3">
      <w:pPr>
        <w:pStyle w:val="2"/>
        <w:rPr>
          <w:rFonts w:ascii="Times New Roman" w:hAnsi="Times New Roman" w:cs="Times New Roman"/>
        </w:rPr>
      </w:pPr>
      <w:bookmarkStart w:id="89" w:name="_Toc20691"/>
      <w:bookmarkStart w:id="90" w:name="_Toc10625"/>
      <w:bookmarkStart w:id="91" w:name="_Toc5447"/>
      <w:r>
        <w:rPr>
          <w:rFonts w:ascii="Times New Roman" w:hAnsi="Times New Roman" w:cs="Times New Roman"/>
        </w:rPr>
        <w:t>合同条款（仅成交后使用）</w:t>
      </w:r>
      <w:bookmarkEnd w:id="89"/>
      <w:bookmarkEnd w:id="90"/>
      <w:bookmarkEnd w:id="91"/>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2D744FF1">
      <w:pPr>
        <w:pStyle w:val="43"/>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48"/>
          <w:szCs w:val="48"/>
        </w:rPr>
      </w:pPr>
      <w:r>
        <w:rPr>
          <w:rFonts w:hint="eastAsia" w:ascii="宋体" w:hAnsi="宋体" w:eastAsia="宋体" w:cs="宋体"/>
          <w:sz w:val="48"/>
          <w:szCs w:val="48"/>
        </w:rPr>
        <w:t>***服务项目</w:t>
      </w:r>
    </w:p>
    <w:p w14:paraId="622B975B">
      <w:pPr>
        <w:pStyle w:val="43"/>
        <w:keepNext w:val="0"/>
        <w:keepLines w:val="0"/>
        <w:pageBreakBefore w:val="0"/>
        <w:kinsoku/>
        <w:wordWrap/>
        <w:overflowPunct/>
        <w:topLinePunct w:val="0"/>
        <w:autoSpaceDE/>
        <w:autoSpaceDN/>
        <w:bidi w:val="0"/>
        <w:spacing w:line="240" w:lineRule="auto"/>
        <w:ind w:left="0" w:leftChars="0"/>
        <w:textAlignment w:val="auto"/>
        <w:rPr>
          <w:rFonts w:hint="eastAsia" w:ascii="宋体" w:hAnsi="宋体" w:eastAsia="宋体" w:cs="宋体"/>
          <w:sz w:val="48"/>
          <w:szCs w:val="48"/>
        </w:rPr>
      </w:pPr>
      <w:r>
        <w:rPr>
          <w:rFonts w:hint="eastAsia" w:ascii="宋体" w:hAnsi="宋体" w:eastAsia="宋体" w:cs="宋体"/>
          <w:sz w:val="48"/>
          <w:szCs w:val="48"/>
        </w:rPr>
        <w:t>采购合同</w:t>
      </w:r>
    </w:p>
    <w:p w14:paraId="51A81929">
      <w:pPr>
        <w:keepNext w:val="0"/>
        <w:keepLines w:val="0"/>
        <w:pageBreakBefore w:val="0"/>
        <w:kinsoku/>
        <w:wordWrap/>
        <w:overflowPunct/>
        <w:topLinePunct w:val="0"/>
        <w:autoSpaceDE/>
        <w:autoSpaceDN/>
        <w:bidi w:val="0"/>
        <w:adjustRightInd w:val="0"/>
        <w:spacing w:line="400" w:lineRule="exact"/>
        <w:ind w:left="0" w:leftChars="0" w:firstLine="420" w:firstLineChars="200"/>
        <w:contextualSpacing/>
        <w:jc w:val="left"/>
        <w:textAlignment w:val="auto"/>
        <w:rPr>
          <w:rFonts w:hint="eastAsia" w:ascii="宋体" w:hAnsi="宋体" w:eastAsia="宋体" w:cs="宋体"/>
          <w:color w:val="000000"/>
          <w:szCs w:val="21"/>
        </w:rPr>
      </w:pPr>
    </w:p>
    <w:p w14:paraId="38DA1C0D">
      <w:pPr>
        <w:keepNext w:val="0"/>
        <w:keepLines w:val="0"/>
        <w:pageBreakBefore w:val="0"/>
        <w:kinsoku/>
        <w:wordWrap/>
        <w:overflowPunct/>
        <w:topLinePunct w:val="0"/>
        <w:autoSpaceDE/>
        <w:autoSpaceDN/>
        <w:bidi w:val="0"/>
        <w:adjustRightInd w:val="0"/>
        <w:spacing w:line="400" w:lineRule="exact"/>
        <w:ind w:left="0" w:leftChars="0" w:firstLine="420" w:firstLineChars="200"/>
        <w:contextualSpacing/>
        <w:jc w:val="left"/>
        <w:textAlignment w:val="auto"/>
        <w:rPr>
          <w:rFonts w:hint="eastAsia" w:ascii="宋体" w:hAnsi="宋体" w:eastAsia="宋体" w:cs="宋体"/>
          <w:color w:val="000000"/>
          <w:szCs w:val="21"/>
        </w:rPr>
      </w:pPr>
    </w:p>
    <w:tbl>
      <w:tblPr>
        <w:tblStyle w:val="18"/>
        <w:tblW w:w="5000" w:type="pct"/>
        <w:jc w:val="center"/>
        <w:tblLayout w:type="autofit"/>
        <w:tblCellMar>
          <w:top w:w="0" w:type="dxa"/>
          <w:left w:w="0" w:type="dxa"/>
          <w:bottom w:w="0" w:type="dxa"/>
          <w:right w:w="0" w:type="dxa"/>
        </w:tblCellMar>
      </w:tblPr>
      <w:tblGrid>
        <w:gridCol w:w="4687"/>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keepNext w:val="0"/>
              <w:keepLines w:val="0"/>
              <w:pageBreakBefore w:val="0"/>
              <w:kinsoku/>
              <w:wordWrap/>
              <w:overflowPunct/>
              <w:topLinePunct w:val="0"/>
              <w:autoSpaceDE/>
              <w:autoSpaceDN/>
              <w:bidi w:val="0"/>
              <w:spacing w:line="400" w:lineRule="exact"/>
              <w:ind w:left="0" w:leftChars="0"/>
              <w:contextualSpacing/>
              <w:textAlignment w:val="auto"/>
              <w:rPr>
                <w:rFonts w:hint="eastAsia" w:ascii="宋体" w:hAnsi="宋体" w:eastAsia="宋体" w:cs="宋体"/>
                <w:color w:val="000000"/>
                <w:szCs w:val="21"/>
              </w:rPr>
            </w:pPr>
            <w:r>
              <w:rPr>
                <w:rFonts w:hint="eastAsia" w:ascii="宋体" w:hAnsi="宋体" w:eastAsia="宋体" w:cs="宋体"/>
                <w:b/>
                <w:bCs/>
                <w:color w:val="000000"/>
                <w:szCs w:val="21"/>
              </w:rPr>
              <w:t>合同编号</w:t>
            </w:r>
            <w:r>
              <w:rPr>
                <w:rFonts w:hint="eastAsia" w:ascii="宋体" w:hAnsi="宋体" w:eastAsia="宋体" w:cs="宋体"/>
                <w:color w:val="000000"/>
                <w:szCs w:val="21"/>
              </w:rPr>
              <w:t>：CGZX-***</w:t>
            </w:r>
          </w:p>
          <w:p w14:paraId="2F6BC159">
            <w:pPr>
              <w:keepNext w:val="0"/>
              <w:keepLines w:val="0"/>
              <w:pageBreakBefore w:val="0"/>
              <w:kinsoku/>
              <w:wordWrap/>
              <w:overflowPunct/>
              <w:topLinePunct w:val="0"/>
              <w:autoSpaceDE/>
              <w:autoSpaceDN/>
              <w:bidi w:val="0"/>
              <w:spacing w:line="400" w:lineRule="exact"/>
              <w:ind w:left="0" w:leftChars="0"/>
              <w:contextualSpacing/>
              <w:textAlignment w:val="auto"/>
              <w:rPr>
                <w:rFonts w:hint="eastAsia" w:ascii="宋体" w:hAnsi="宋体" w:eastAsia="宋体" w:cs="宋体"/>
                <w:color w:val="000000"/>
                <w:szCs w:val="21"/>
              </w:rPr>
            </w:pPr>
            <w:r>
              <w:rPr>
                <w:rFonts w:hint="eastAsia" w:ascii="宋体" w:hAnsi="宋体" w:eastAsia="宋体" w:cs="宋体"/>
                <w:b/>
                <w:bCs/>
                <w:color w:val="000000"/>
                <w:szCs w:val="21"/>
              </w:rPr>
              <w:t>签订地点</w:t>
            </w:r>
            <w:r>
              <w:rPr>
                <w:rFonts w:hint="eastAsia" w:ascii="宋体" w:hAnsi="宋体" w:eastAsia="宋体" w:cs="宋体"/>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b/>
                <w:bCs/>
                <w:szCs w:val="21"/>
              </w:rPr>
              <w:t>采购人（以下简称甲方）</w:t>
            </w:r>
            <w:r>
              <w:rPr>
                <w:rFonts w:hint="eastAsia" w:ascii="宋体" w:hAnsi="宋体" w:eastAsia="宋体" w:cs="宋体"/>
                <w:szCs w:val="21"/>
              </w:rPr>
              <w:t>：四川省人民医院</w:t>
            </w:r>
          </w:p>
          <w:p w14:paraId="2FDD4CAB">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b/>
                <w:bCs/>
                <w:szCs w:val="21"/>
              </w:rPr>
              <w:t>地址</w:t>
            </w:r>
            <w:r>
              <w:rPr>
                <w:rFonts w:hint="eastAsia" w:ascii="宋体" w:hAnsi="宋体" w:eastAsia="宋体" w:cs="宋体"/>
                <w:szCs w:val="21"/>
              </w:rPr>
              <w:t>：四川省成都市一环路西二段32号</w:t>
            </w:r>
          </w:p>
          <w:p w14:paraId="57D306C0">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b/>
                <w:bCs/>
                <w:szCs w:val="21"/>
              </w:rPr>
              <w:t>项目联系人</w:t>
            </w:r>
            <w:r>
              <w:rPr>
                <w:rFonts w:hint="eastAsia" w:ascii="宋体" w:hAnsi="宋体" w:eastAsia="宋体" w:cs="宋体"/>
                <w:szCs w:val="21"/>
              </w:rPr>
              <w:t xml:space="preserve">：*** </w:t>
            </w:r>
            <w:r>
              <w:rPr>
                <w:rFonts w:hint="eastAsia" w:ascii="宋体" w:hAnsi="宋体" w:eastAsia="宋体" w:cs="宋体"/>
                <w:b/>
                <w:bCs/>
                <w:szCs w:val="21"/>
              </w:rPr>
              <w:t>电话</w:t>
            </w:r>
            <w:r>
              <w:rPr>
                <w:rFonts w:hint="eastAsia" w:ascii="宋体" w:hAnsi="宋体" w:eastAsia="宋体" w:cs="宋体"/>
                <w:szCs w:val="21"/>
              </w:rPr>
              <w:t>：***</w:t>
            </w:r>
          </w:p>
          <w:p w14:paraId="55B6CA4B">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b/>
                <w:bCs/>
                <w:szCs w:val="21"/>
              </w:rPr>
              <w:t>电子邮件：</w:t>
            </w:r>
            <w:r>
              <w:rPr>
                <w:rFonts w:hint="eastAsia" w:ascii="宋体" w:hAnsi="宋体" w:eastAsia="宋体" w:cs="宋体"/>
                <w:szCs w:val="21"/>
              </w:rPr>
              <w:t>***</w:t>
            </w:r>
          </w:p>
        </w:tc>
        <w:tc>
          <w:tcPr>
            <w:tcW w:w="5242" w:type="dxa"/>
          </w:tcPr>
          <w:p w14:paraId="607B7137">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t>供应商（以下简称乙方）：***</w:t>
            </w:r>
          </w:p>
          <w:p w14:paraId="7AB3403D">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t>地址：***</w:t>
            </w:r>
          </w:p>
          <w:p w14:paraId="49B46EA1">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t>移动电话：***</w:t>
            </w:r>
          </w:p>
          <w:p w14:paraId="2A04E3BE">
            <w:pPr>
              <w:keepNext w:val="0"/>
              <w:keepLines w:val="0"/>
              <w:pageBreakBefore w:val="0"/>
              <w:kinsoku/>
              <w:wordWrap/>
              <w:overflowPunct/>
              <w:topLinePunct w:val="0"/>
              <w:autoSpaceDE/>
              <w:autoSpaceDN/>
              <w:bidi w:val="0"/>
              <w:spacing w:line="400" w:lineRule="exact"/>
              <w:ind w:left="0" w:leftChars="0"/>
              <w:contextualSpacing/>
              <w:textAlignment w:val="auto"/>
              <w:rPr>
                <w:rFonts w:hint="eastAsia" w:ascii="宋体" w:hAnsi="宋体" w:eastAsia="宋体" w:cs="宋体"/>
                <w:b/>
                <w:bCs/>
                <w:szCs w:val="21"/>
              </w:rPr>
            </w:pPr>
            <w:r>
              <w:rPr>
                <w:rFonts w:hint="eastAsia" w:ascii="宋体" w:hAnsi="宋体" w:eastAsia="宋体" w:cs="宋体"/>
                <w:b/>
                <w:bCs/>
                <w:szCs w:val="21"/>
              </w:rPr>
              <w:t>联系人：***</w:t>
            </w:r>
          </w:p>
          <w:p w14:paraId="18A1ADEB">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Cs/>
                <w:szCs w:val="21"/>
              </w:rPr>
            </w:pPr>
            <w:r>
              <w:rPr>
                <w:rFonts w:hint="eastAsia" w:ascii="宋体" w:hAnsi="宋体" w:eastAsia="宋体" w:cs="宋体"/>
                <w:b/>
                <w:bCs/>
                <w:szCs w:val="21"/>
              </w:rPr>
              <w:t>电子邮件：</w:t>
            </w:r>
            <w:r>
              <w:rPr>
                <w:rFonts w:hint="eastAsia" w:ascii="宋体" w:hAnsi="宋体" w:eastAsia="宋体" w:cs="宋体"/>
                <w:szCs w:val="21"/>
              </w:rPr>
              <w:t>***</w:t>
            </w:r>
          </w:p>
        </w:tc>
      </w:tr>
    </w:tbl>
    <w:p w14:paraId="5F2EEB2D">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color w:val="000000"/>
          <w:szCs w:val="21"/>
        </w:rPr>
      </w:pPr>
    </w:p>
    <w:p w14:paraId="2600F949">
      <w:pPr>
        <w:keepNext w:val="0"/>
        <w:keepLines w:val="0"/>
        <w:pageBreakBefore w:val="0"/>
        <w:kinsoku/>
        <w:wordWrap/>
        <w:overflowPunct/>
        <w:topLinePunct w:val="0"/>
        <w:autoSpaceDE/>
        <w:autoSpaceDN/>
        <w:bidi w:val="0"/>
        <w:adjustRightInd w:val="0"/>
        <w:spacing w:line="400" w:lineRule="exact"/>
        <w:ind w:left="0" w:leftChars="0" w:firstLine="420" w:firstLineChars="200"/>
        <w:contextualSpacing/>
        <w:jc w:val="left"/>
        <w:textAlignment w:val="auto"/>
        <w:rPr>
          <w:rFonts w:hint="eastAsia" w:ascii="宋体" w:hAnsi="宋体" w:eastAsia="宋体" w:cs="宋体"/>
          <w:b/>
          <w:szCs w:val="21"/>
        </w:rPr>
      </w:pPr>
      <w:r>
        <w:rPr>
          <w:rFonts w:hint="eastAsia" w:ascii="宋体" w:hAnsi="宋体" w:eastAsia="宋体" w:cs="宋体"/>
          <w:color w:val="000000"/>
          <w:szCs w:val="21"/>
        </w:rPr>
        <w:t>根据《中华人民共和国民法典》及甲方发布的***项目（项目编号</w:t>
      </w:r>
      <w:permStart w:id="0" w:edGrp="everyone"/>
      <w:r>
        <w:rPr>
          <w:rFonts w:hint="eastAsia" w:ascii="宋体" w:hAnsi="宋体" w:eastAsia="宋体" w:cs="宋体"/>
          <w:color w:val="000000"/>
          <w:szCs w:val="21"/>
        </w:rPr>
        <w:t>：</w:t>
      </w:r>
      <w:r>
        <w:rPr>
          <w:rFonts w:hint="eastAsia" w:ascii="宋体" w:hAnsi="宋体" w:eastAsia="宋体" w:cs="宋体"/>
          <w:szCs w:val="21"/>
        </w:rPr>
        <w:t>***</w:t>
      </w:r>
      <w:permEnd w:id="0"/>
      <w:r>
        <w:rPr>
          <w:rFonts w:hint="eastAsia" w:ascii="宋体" w:hAnsi="宋体" w:eastAsia="宋体" w:cs="宋体"/>
          <w:color w:val="000000"/>
          <w:szCs w:val="21"/>
        </w:rPr>
        <w:t>）《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0E683A7E">
      <w:pPr>
        <w:keepNext w:val="0"/>
        <w:keepLines w:val="0"/>
        <w:pageBreakBefore w:val="0"/>
        <w:kinsoku/>
        <w:wordWrap/>
        <w:overflowPunct/>
        <w:topLinePunct w:val="0"/>
        <w:autoSpaceDE/>
        <w:autoSpaceDN/>
        <w:bidi w:val="0"/>
        <w:spacing w:line="400" w:lineRule="exact"/>
        <w:ind w:left="0" w:leftChars="0"/>
        <w:contextualSpacing/>
        <w:jc w:val="left"/>
        <w:textAlignment w:val="auto"/>
        <w:rPr>
          <w:rFonts w:hint="eastAsia" w:ascii="宋体" w:hAnsi="宋体" w:eastAsia="宋体" w:cs="宋体"/>
          <w:b/>
          <w:szCs w:val="21"/>
        </w:rPr>
      </w:pPr>
    </w:p>
    <w:p w14:paraId="4F98A680">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合同标的</w:t>
      </w:r>
    </w:p>
    <w:p w14:paraId="2E385537">
      <w:pPr>
        <w:pStyle w:val="9"/>
        <w:keepNext w:val="0"/>
        <w:keepLines w:val="0"/>
        <w:pageBreakBefore w:val="0"/>
        <w:numPr>
          <w:ilvl w:val="0"/>
          <w:numId w:val="12"/>
        </w:numPr>
        <w:kinsoku/>
        <w:wordWrap/>
        <w:overflowPunct/>
        <w:topLinePunct w:val="0"/>
        <w:autoSpaceDE/>
        <w:autoSpaceDN/>
        <w:bidi w:val="0"/>
        <w:spacing w:after="0" w:line="400" w:lineRule="exact"/>
        <w:ind w:left="210" w:leftChars="0" w:hanging="210" w:hangingChars="100"/>
        <w:contextualSpacing/>
        <w:jc w:val="left"/>
        <w:textAlignment w:val="auto"/>
        <w:rPr>
          <w:rFonts w:hint="eastAsia" w:ascii="宋体" w:hAnsi="宋体" w:eastAsia="宋体" w:cs="宋体"/>
          <w:szCs w:val="21"/>
        </w:rPr>
      </w:pPr>
      <w:r>
        <w:rPr>
          <w:rFonts w:hint="eastAsia" w:ascii="宋体" w:hAnsi="宋体" w:eastAsia="宋体" w:cs="宋体"/>
          <w:szCs w:val="21"/>
        </w:rPr>
        <w:t>标的名称：</w:t>
      </w:r>
      <w:permStart w:id="1" w:edGrp="everyone"/>
      <w:r>
        <w:rPr>
          <w:rFonts w:hint="eastAsia" w:ascii="宋体" w:hAnsi="宋体" w:eastAsia="宋体" w:cs="宋体"/>
          <w:szCs w:val="21"/>
        </w:rPr>
        <w:t>***</w:t>
      </w:r>
      <w:permEnd w:id="1"/>
      <w:r>
        <w:rPr>
          <w:rFonts w:hint="eastAsia" w:ascii="宋体" w:hAnsi="宋体" w:eastAsia="宋体" w:cs="宋体"/>
          <w:szCs w:val="21"/>
        </w:rPr>
        <w:t>。</w:t>
      </w:r>
    </w:p>
    <w:p w14:paraId="4229FB38">
      <w:pPr>
        <w:pStyle w:val="9"/>
        <w:keepNext w:val="0"/>
        <w:keepLines w:val="0"/>
        <w:pageBreakBefore w:val="0"/>
        <w:numPr>
          <w:ilvl w:val="0"/>
          <w:numId w:val="12"/>
        </w:numPr>
        <w:kinsoku/>
        <w:wordWrap/>
        <w:overflowPunct/>
        <w:topLinePunct w:val="0"/>
        <w:autoSpaceDE/>
        <w:autoSpaceDN/>
        <w:bidi w:val="0"/>
        <w:spacing w:after="0" w:line="400" w:lineRule="exact"/>
        <w:ind w:left="210" w:leftChars="0" w:hanging="210" w:hangingChars="100"/>
        <w:contextualSpacing/>
        <w:jc w:val="left"/>
        <w:textAlignment w:val="auto"/>
        <w:rPr>
          <w:rFonts w:hint="eastAsia" w:ascii="宋体" w:hAnsi="宋体" w:eastAsia="宋体" w:cs="宋体"/>
          <w:szCs w:val="21"/>
        </w:rPr>
      </w:pPr>
      <w:r>
        <w:rPr>
          <w:rFonts w:hint="eastAsia" w:ascii="宋体" w:hAnsi="宋体" w:eastAsia="宋体" w:cs="宋体"/>
          <w:szCs w:val="21"/>
        </w:rPr>
        <w:t>乙方向甲方提供服务的主要内容：***。</w:t>
      </w:r>
    </w:p>
    <w:p w14:paraId="5F975DD2">
      <w:pPr>
        <w:pStyle w:val="9"/>
        <w:keepNext w:val="0"/>
        <w:keepLines w:val="0"/>
        <w:pageBreakBefore w:val="0"/>
        <w:numPr>
          <w:ilvl w:val="0"/>
          <w:numId w:val="12"/>
        </w:numPr>
        <w:kinsoku/>
        <w:wordWrap/>
        <w:overflowPunct/>
        <w:topLinePunct w:val="0"/>
        <w:autoSpaceDE/>
        <w:autoSpaceDN/>
        <w:bidi w:val="0"/>
        <w:spacing w:after="0" w:line="400" w:lineRule="exact"/>
        <w:ind w:left="210" w:leftChars="0" w:hanging="210" w:hangingChars="100"/>
        <w:contextualSpacing/>
        <w:jc w:val="left"/>
        <w:textAlignment w:val="auto"/>
        <w:rPr>
          <w:rFonts w:hint="eastAsia" w:ascii="宋体" w:hAnsi="宋体" w:eastAsia="宋体" w:cs="宋体"/>
          <w:szCs w:val="21"/>
        </w:rPr>
      </w:pPr>
      <w:r>
        <w:rPr>
          <w:rFonts w:hint="eastAsia" w:ascii="宋体" w:hAnsi="宋体" w:eastAsia="宋体" w:cs="宋体"/>
          <w:szCs w:val="21"/>
        </w:rPr>
        <w:t>服务分项明细：</w:t>
      </w:r>
      <w:r>
        <w:rPr>
          <w:rFonts w:hint="eastAsia" w:ascii="宋体" w:hAnsi="宋体" w:eastAsia="宋体" w:cs="宋体"/>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序号</w:t>
            </w:r>
          </w:p>
        </w:tc>
        <w:tc>
          <w:tcPr>
            <w:tcW w:w="2977" w:type="dxa"/>
            <w:vAlign w:val="center"/>
          </w:tcPr>
          <w:p w14:paraId="42032E31">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分项服务名称</w:t>
            </w:r>
          </w:p>
        </w:tc>
        <w:tc>
          <w:tcPr>
            <w:tcW w:w="3686" w:type="dxa"/>
            <w:vAlign w:val="center"/>
          </w:tcPr>
          <w:p w14:paraId="0F0FDBF4">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具体内容</w:t>
            </w:r>
          </w:p>
        </w:tc>
        <w:tc>
          <w:tcPr>
            <w:tcW w:w="963" w:type="dxa"/>
            <w:vAlign w:val="center"/>
          </w:tcPr>
          <w:p w14:paraId="6E75E46C">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分项价格（万元）</w:t>
            </w:r>
          </w:p>
        </w:tc>
        <w:tc>
          <w:tcPr>
            <w:tcW w:w="2016" w:type="dxa"/>
          </w:tcPr>
          <w:p w14:paraId="3BC8F9B2">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1</w:t>
            </w:r>
          </w:p>
        </w:tc>
        <w:tc>
          <w:tcPr>
            <w:tcW w:w="2977" w:type="dxa"/>
            <w:vAlign w:val="center"/>
          </w:tcPr>
          <w:p w14:paraId="629F7C51">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3686" w:type="dxa"/>
            <w:vAlign w:val="center"/>
          </w:tcPr>
          <w:p w14:paraId="1B711F72">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963" w:type="dxa"/>
            <w:vAlign w:val="center"/>
          </w:tcPr>
          <w:p w14:paraId="5DD02118">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p>
        </w:tc>
        <w:tc>
          <w:tcPr>
            <w:tcW w:w="2016" w:type="dxa"/>
          </w:tcPr>
          <w:p w14:paraId="149276E7">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2</w:t>
            </w:r>
          </w:p>
        </w:tc>
        <w:tc>
          <w:tcPr>
            <w:tcW w:w="2977" w:type="dxa"/>
            <w:vAlign w:val="center"/>
          </w:tcPr>
          <w:p w14:paraId="0E44D544">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3686" w:type="dxa"/>
            <w:vAlign w:val="center"/>
          </w:tcPr>
          <w:p w14:paraId="01B65D9C">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963" w:type="dxa"/>
            <w:vAlign w:val="center"/>
          </w:tcPr>
          <w:p w14:paraId="4C31DD39">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p>
        </w:tc>
        <w:tc>
          <w:tcPr>
            <w:tcW w:w="2016" w:type="dxa"/>
          </w:tcPr>
          <w:p w14:paraId="3000AC5A">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3</w:t>
            </w:r>
          </w:p>
        </w:tc>
        <w:tc>
          <w:tcPr>
            <w:tcW w:w="2977" w:type="dxa"/>
            <w:vAlign w:val="center"/>
          </w:tcPr>
          <w:p w14:paraId="71D5F885">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3686" w:type="dxa"/>
            <w:vAlign w:val="center"/>
          </w:tcPr>
          <w:p w14:paraId="38AC0A57">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963" w:type="dxa"/>
            <w:vAlign w:val="center"/>
          </w:tcPr>
          <w:p w14:paraId="3B158765">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p>
        </w:tc>
        <w:tc>
          <w:tcPr>
            <w:tcW w:w="2016" w:type="dxa"/>
          </w:tcPr>
          <w:p w14:paraId="43F7F4B9">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r>
              <w:rPr>
                <w:rFonts w:hint="eastAsia" w:ascii="宋体" w:hAnsi="宋体" w:eastAsia="宋体" w:cs="宋体"/>
                <w:color w:val="000000"/>
                <w:szCs w:val="21"/>
              </w:rPr>
              <w:t>…</w:t>
            </w:r>
          </w:p>
        </w:tc>
        <w:tc>
          <w:tcPr>
            <w:tcW w:w="2977" w:type="dxa"/>
            <w:vAlign w:val="center"/>
          </w:tcPr>
          <w:p w14:paraId="492CFE5D">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3686" w:type="dxa"/>
            <w:vAlign w:val="center"/>
          </w:tcPr>
          <w:p w14:paraId="5E27032F">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c>
          <w:tcPr>
            <w:tcW w:w="963" w:type="dxa"/>
            <w:vAlign w:val="center"/>
          </w:tcPr>
          <w:p w14:paraId="19B21445">
            <w:pPr>
              <w:pStyle w:val="29"/>
              <w:keepNext w:val="0"/>
              <w:keepLines w:val="0"/>
              <w:pageBreakBefore w:val="0"/>
              <w:kinsoku/>
              <w:wordWrap/>
              <w:overflowPunct/>
              <w:topLinePunct w:val="0"/>
              <w:autoSpaceDE/>
              <w:autoSpaceDN/>
              <w:bidi w:val="0"/>
              <w:spacing w:line="400" w:lineRule="exact"/>
              <w:ind w:left="0" w:leftChars="0" w:firstLine="0" w:firstLineChars="0"/>
              <w:jc w:val="center"/>
              <w:textAlignment w:val="auto"/>
              <w:rPr>
                <w:rFonts w:hint="eastAsia" w:ascii="宋体" w:hAnsi="宋体" w:eastAsia="宋体" w:cs="宋体"/>
                <w:color w:val="000000"/>
                <w:szCs w:val="21"/>
              </w:rPr>
            </w:pPr>
          </w:p>
        </w:tc>
        <w:tc>
          <w:tcPr>
            <w:tcW w:w="2016" w:type="dxa"/>
          </w:tcPr>
          <w:p w14:paraId="5FC047A6">
            <w:pPr>
              <w:pStyle w:val="29"/>
              <w:keepNext w:val="0"/>
              <w:keepLines w:val="0"/>
              <w:pageBreakBefore w:val="0"/>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color w:val="000000"/>
                <w:szCs w:val="21"/>
              </w:rPr>
            </w:pPr>
          </w:p>
        </w:tc>
      </w:tr>
    </w:tbl>
    <w:p w14:paraId="2D35C912">
      <w:pPr>
        <w:pStyle w:val="29"/>
        <w:keepNext w:val="0"/>
        <w:keepLines w:val="0"/>
        <w:pageBreakBefore w:val="0"/>
        <w:numPr>
          <w:ilvl w:val="0"/>
          <w:numId w:val="11"/>
        </w:numPr>
        <w:kinsoku/>
        <w:wordWrap/>
        <w:overflowPunct/>
        <w:topLinePunct w:val="0"/>
        <w:autoSpaceDE/>
        <w:autoSpaceDN/>
        <w:bidi w:val="0"/>
        <w:spacing w:line="400" w:lineRule="exact"/>
        <w:ind w:left="0" w:leftChars="0" w:firstLineChars="0"/>
        <w:jc w:val="left"/>
        <w:textAlignment w:val="auto"/>
        <w:rPr>
          <w:rFonts w:hint="eastAsia" w:ascii="宋体" w:hAnsi="宋体" w:eastAsia="宋体" w:cs="宋体"/>
          <w:b/>
          <w:szCs w:val="21"/>
        </w:rPr>
      </w:pPr>
      <w:r>
        <w:rPr>
          <w:rFonts w:hint="eastAsia" w:ascii="宋体" w:hAnsi="宋体" w:eastAsia="宋体" w:cs="宋体"/>
          <w:b/>
          <w:szCs w:val="21"/>
        </w:rPr>
        <w:t>合同价款</w:t>
      </w:r>
    </w:p>
    <w:p w14:paraId="036F89BD">
      <w:pPr>
        <w:keepNext w:val="0"/>
        <w:keepLines w:val="0"/>
        <w:pageBreakBefore w:val="0"/>
        <w:kinsoku/>
        <w:wordWrap/>
        <w:overflowPunct/>
        <w:topLinePunct w:val="0"/>
        <w:autoSpaceDE/>
        <w:autoSpaceDN/>
        <w:bidi w:val="0"/>
        <w:spacing w:line="400" w:lineRule="exact"/>
        <w:ind w:left="0" w:leftChars="0" w:firstLine="480"/>
        <w:contextualSpacing/>
        <w:jc w:val="left"/>
        <w:textAlignment w:val="auto"/>
        <w:rPr>
          <w:rFonts w:hint="eastAsia" w:ascii="宋体" w:hAnsi="宋体" w:eastAsia="宋体" w:cs="宋体"/>
          <w:szCs w:val="21"/>
        </w:rPr>
      </w:pPr>
      <w:bookmarkStart w:id="92" w:name="OLE_LINK2"/>
      <w:bookmarkStart w:id="93" w:name="OLE_LINK1"/>
      <w:r>
        <w:rPr>
          <w:rFonts w:hint="eastAsia" w:ascii="宋体" w:hAnsi="宋体" w:eastAsia="宋体" w:cs="宋体"/>
          <w:color w:val="000000"/>
          <w:szCs w:val="21"/>
        </w:rPr>
        <w:sym w:font="Wingdings 2" w:char="F052"/>
      </w:r>
      <w:r>
        <w:rPr>
          <w:rFonts w:hint="eastAsia" w:ascii="宋体" w:hAnsi="宋体" w:eastAsia="宋体" w:cs="宋体"/>
          <w:szCs w:val="21"/>
        </w:rPr>
        <w:t>全包服务</w:t>
      </w:r>
    </w:p>
    <w:p w14:paraId="6903D519">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szCs w:val="21"/>
        </w:rPr>
      </w:pPr>
      <w:r>
        <w:rPr>
          <w:rFonts w:hint="eastAsia" w:ascii="宋体" w:hAnsi="宋体" w:eastAsia="宋体" w:cs="宋体"/>
          <w:szCs w:val="21"/>
        </w:rPr>
        <w:t>合同总价（含税）为人民币大写：*** 圆整，即RMB *** 元，该合同总价已包括本合同标的所涉及的所有相关费用（包括但不限于技术服务、差旅交通、原材料、备品备件及税费等在内的全部含税费用）。本合同执行期间合同总价不变，甲方无须另向乙方支付本合同规定之外的其他任何费用。</w:t>
      </w:r>
    </w:p>
    <w:p w14:paraId="53131E2F">
      <w:pPr>
        <w:keepNext w:val="0"/>
        <w:keepLines w:val="0"/>
        <w:pageBreakBefore w:val="0"/>
        <w:kinsoku/>
        <w:wordWrap/>
        <w:overflowPunct/>
        <w:topLinePunct w:val="0"/>
        <w:autoSpaceDE/>
        <w:autoSpaceDN/>
        <w:bidi w:val="0"/>
        <w:spacing w:line="400" w:lineRule="exact"/>
        <w:ind w:left="0" w:leftChars="0" w:firstLine="480"/>
        <w:contextualSpacing/>
        <w:jc w:val="left"/>
        <w:textAlignment w:val="auto"/>
        <w:rPr>
          <w:rFonts w:hint="eastAsia" w:ascii="宋体" w:hAnsi="宋体" w:eastAsia="宋体" w:cs="宋体"/>
        </w:rPr>
      </w:pPr>
      <w:r>
        <w:rPr>
          <w:rFonts w:hint="eastAsia" w:ascii="宋体" w:hAnsi="宋体" w:eastAsia="宋体" w:cs="宋体"/>
          <w:color w:val="000000"/>
          <w:szCs w:val="21"/>
          <w:shd w:val="clear" w:color="auto" w:fill="FFFFFF"/>
        </w:rPr>
        <w:sym w:font="Wingdings" w:char="F0A8"/>
      </w:r>
      <w:r>
        <w:rPr>
          <w:rFonts w:hint="eastAsia" w:ascii="宋体" w:hAnsi="宋体" w:eastAsia="宋体" w:cs="宋体"/>
        </w:rPr>
        <w:t>半包服务</w:t>
      </w:r>
    </w:p>
    <w:p w14:paraId="1F79E5D1">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szCs w:val="21"/>
        </w:rPr>
      </w:pPr>
      <w:r>
        <w:rPr>
          <w:rFonts w:hint="eastAsia" w:ascii="宋体" w:hAnsi="宋体" w:eastAsia="宋体" w:cs="宋体"/>
          <w:szCs w:val="21"/>
        </w:rPr>
        <w:t>1.本合同固定部分价款为</w:t>
      </w:r>
      <w:bookmarkStart w:id="94" w:name="OLE_LINK28"/>
      <w:r>
        <w:rPr>
          <w:rFonts w:hint="eastAsia" w:ascii="宋体" w:hAnsi="宋体" w:eastAsia="宋体" w:cs="宋体"/>
          <w:szCs w:val="21"/>
        </w:rPr>
        <w:t>人民币大写：*** 圆整，即RMB *** 元</w:t>
      </w:r>
      <w:bookmarkEnd w:id="94"/>
      <w:r>
        <w:rPr>
          <w:rFonts w:hint="eastAsia" w:ascii="宋体" w:hAnsi="宋体" w:eastAsia="宋体" w:cs="宋体"/>
          <w:szCs w:val="21"/>
        </w:rPr>
        <w:t>，该部分价款已包括***及税费在内的全部含税费用。本合同执行期间该部分合同价款不变，甲方无须向乙方支付本合同规定之外的其他任何费用。</w:t>
      </w:r>
    </w:p>
    <w:p w14:paraId="22723641">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szCs w:val="21"/>
        </w:rPr>
      </w:pPr>
      <w:r>
        <w:rPr>
          <w:rFonts w:hint="eastAsia" w:ascii="宋体" w:hAnsi="宋体" w:eastAsia="宋体" w:cs="宋体"/>
          <w:szCs w:val="21"/>
        </w:rPr>
        <w:t>2.本合同按实结算部分支付总额不超过人民币大写：*** 圆整，即RMB *** 元，依据本合同单价进行结算，结算依据及标准为：***，结算单价详见附件1《结算单价清单》。</w:t>
      </w:r>
      <w:r>
        <w:rPr>
          <w:rFonts w:hint="eastAsia" w:ascii="宋体" w:hAnsi="宋体" w:eastAsia="宋体" w:cs="宋体"/>
          <w:i/>
          <w:iCs/>
          <w:szCs w:val="21"/>
          <w:highlight w:val="yellow"/>
        </w:rPr>
        <w:t>&lt;根据项目实际情况编制结算依据、标准等必要内容&gt;</w:t>
      </w:r>
    </w:p>
    <w:p w14:paraId="12981F5A">
      <w:pPr>
        <w:keepNext w:val="0"/>
        <w:keepLines w:val="0"/>
        <w:pageBreakBefore w:val="0"/>
        <w:kinsoku/>
        <w:wordWrap/>
        <w:overflowPunct/>
        <w:topLinePunct w:val="0"/>
        <w:autoSpaceDE/>
        <w:autoSpaceDN/>
        <w:bidi w:val="0"/>
        <w:spacing w:line="400" w:lineRule="exact"/>
        <w:ind w:left="0" w:leftChars="0" w:firstLine="480"/>
        <w:contextualSpacing/>
        <w:jc w:val="left"/>
        <w:textAlignment w:val="auto"/>
        <w:rPr>
          <w:rFonts w:hint="eastAsia" w:ascii="宋体" w:hAnsi="宋体" w:eastAsia="宋体" w:cs="宋体"/>
        </w:rPr>
      </w:pPr>
      <w:r>
        <w:rPr>
          <w:rFonts w:hint="eastAsia" w:ascii="宋体" w:hAnsi="宋体" w:eastAsia="宋体" w:cs="宋体"/>
          <w:color w:val="000000"/>
          <w:szCs w:val="21"/>
          <w:shd w:val="clear" w:color="auto" w:fill="FFFFFF"/>
        </w:rPr>
        <w:sym w:font="Wingdings" w:char="F0A8"/>
      </w:r>
      <w:r>
        <w:rPr>
          <w:rFonts w:hint="eastAsia" w:ascii="宋体" w:hAnsi="宋体" w:eastAsia="宋体" w:cs="宋体"/>
        </w:rPr>
        <w:t>按实结算</w:t>
      </w:r>
    </w:p>
    <w:p w14:paraId="70F77AF6">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szCs w:val="21"/>
        </w:rPr>
      </w:pPr>
      <w:r>
        <w:rPr>
          <w:rFonts w:hint="eastAsia" w:ascii="宋体" w:hAnsi="宋体" w:eastAsia="宋体" w:cs="宋体"/>
          <w:szCs w:val="21"/>
        </w:rPr>
        <w:t>本合同支付总额不超过人民币大写：*** 圆整，即RMB *** 元，依据本合同单价进行结算，结算单价详见附件1《结算单价清单》。</w:t>
      </w:r>
    </w:p>
    <w:bookmarkEnd w:id="92"/>
    <w:bookmarkEnd w:id="93"/>
    <w:p w14:paraId="61352334">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jc w:val="left"/>
        <w:textAlignment w:val="auto"/>
        <w:rPr>
          <w:rFonts w:hint="eastAsia" w:ascii="宋体" w:hAnsi="宋体" w:eastAsia="宋体" w:cs="宋体"/>
          <w:b/>
          <w:szCs w:val="21"/>
        </w:rPr>
      </w:pPr>
      <w:r>
        <w:rPr>
          <w:rFonts w:hint="eastAsia" w:ascii="宋体" w:hAnsi="宋体" w:eastAsia="宋体" w:cs="宋体"/>
          <w:b/>
          <w:szCs w:val="21"/>
        </w:rPr>
        <w:t>服务期限</w:t>
      </w:r>
      <w:r>
        <w:rPr>
          <w:rFonts w:hint="eastAsia" w:ascii="宋体" w:hAnsi="宋体" w:eastAsia="宋体" w:cs="宋体"/>
          <w:i/>
          <w:iCs/>
          <w:szCs w:val="21"/>
          <w:highlight w:val="yellow"/>
        </w:rPr>
        <w:t>&lt;根据项目实际情况选择&gt;</w:t>
      </w:r>
    </w:p>
    <w:p w14:paraId="27DB179C">
      <w:pPr>
        <w:pStyle w:val="29"/>
        <w:keepNext w:val="0"/>
        <w:keepLines w:val="0"/>
        <w:pageBreakBefore w:val="0"/>
        <w:kinsoku/>
        <w:wordWrap/>
        <w:overflowPunct/>
        <w:topLinePunct w:val="0"/>
        <w:autoSpaceDE/>
        <w:autoSpaceDN/>
        <w:bidi w:val="0"/>
        <w:spacing w:line="400" w:lineRule="exact"/>
        <w:ind w:left="0" w:leftChars="0" w:firstLine="315" w:firstLineChars="150"/>
        <w:jc w:val="left"/>
        <w:textAlignment w:val="auto"/>
        <w:rPr>
          <w:rFonts w:hint="eastAsia" w:ascii="宋体" w:hAnsi="宋体" w:eastAsia="宋体" w:cs="宋体"/>
          <w:b/>
          <w:szCs w:val="21"/>
        </w:rPr>
      </w:pPr>
      <w:r>
        <w:rPr>
          <w:rFonts w:hint="eastAsia" w:ascii="宋体" w:hAnsi="宋体" w:eastAsia="宋体" w:cs="宋体"/>
          <w:color w:val="000000"/>
          <w:szCs w:val="21"/>
        </w:rPr>
        <w:sym w:font="Wingdings 2" w:char="F052"/>
      </w:r>
      <w:r>
        <w:rPr>
          <w:rFonts w:hint="eastAsia" w:ascii="宋体" w:hAnsi="宋体" w:eastAsia="宋体" w:cs="宋体"/>
          <w:bCs/>
          <w:szCs w:val="21"/>
        </w:rPr>
        <w:t>本项目服务期为</w:t>
      </w:r>
      <w:r>
        <w:rPr>
          <w:rFonts w:hint="eastAsia" w:ascii="宋体" w:hAnsi="宋体" w:eastAsia="宋体" w:cs="宋体"/>
          <w:bCs/>
          <w:szCs w:val="21"/>
          <w:u w:val="single"/>
        </w:rPr>
        <w:t>叁</w:t>
      </w:r>
      <w:r>
        <w:rPr>
          <w:rFonts w:hint="eastAsia" w:ascii="宋体" w:hAnsi="宋体" w:eastAsia="宋体" w:cs="宋体"/>
          <w:bCs/>
          <w:szCs w:val="21"/>
        </w:rPr>
        <w:t>年（自202*年**月**日到202*年**月**日），合同一年一签，每年服务费为人民币 *** 元（大写：*** 圆整）。本合同为第***期，服务期为自202*年***月***日至202*年**月**日</w:t>
      </w:r>
      <w:r>
        <w:rPr>
          <w:rFonts w:hint="eastAsia" w:ascii="宋体" w:hAnsi="宋体" w:eastAsia="宋体" w:cs="宋体"/>
          <w:bCs/>
          <w:szCs w:val="21"/>
          <w:u w:val="single"/>
        </w:rPr>
        <w:t>，经甲方考核合格后续签下一年合同</w:t>
      </w:r>
      <w:bookmarkStart w:id="95" w:name="OLE_LINK29"/>
      <w:r>
        <w:rPr>
          <w:rFonts w:hint="eastAsia" w:ascii="宋体" w:hAnsi="宋体" w:eastAsia="宋体" w:cs="宋体"/>
          <w:bCs/>
          <w:szCs w:val="21"/>
        </w:rPr>
        <w:t>，考核标准详见附件</w:t>
      </w:r>
      <w:r>
        <w:rPr>
          <w:rFonts w:hint="eastAsia" w:ascii="宋体" w:hAnsi="宋体" w:eastAsia="宋体" w:cs="宋体"/>
          <w:bCs/>
          <w:szCs w:val="21"/>
          <w:u w:val="single"/>
        </w:rPr>
        <w:t>2</w:t>
      </w:r>
      <w:r>
        <w:rPr>
          <w:rFonts w:hint="eastAsia" w:ascii="宋体" w:hAnsi="宋体" w:eastAsia="宋体" w:cs="宋体"/>
          <w:bCs/>
          <w:szCs w:val="21"/>
        </w:rPr>
        <w:t>《考核标准》</w:t>
      </w:r>
      <w:bookmarkEnd w:id="95"/>
      <w:r>
        <w:rPr>
          <w:rFonts w:hint="eastAsia" w:ascii="宋体" w:hAnsi="宋体" w:eastAsia="宋体" w:cs="宋体"/>
          <w:bCs/>
          <w:szCs w:val="21"/>
        </w:rPr>
        <w:t>。</w:t>
      </w:r>
    </w:p>
    <w:p w14:paraId="1B257405">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服务方案</w:t>
      </w:r>
    </w:p>
    <w:p w14:paraId="06E0AE13">
      <w:pPr>
        <w:keepNext w:val="0"/>
        <w:keepLines w:val="0"/>
        <w:pageBreakBefore w:val="0"/>
        <w:kinsoku/>
        <w:wordWrap/>
        <w:overflowPunct/>
        <w:topLinePunct w:val="0"/>
        <w:autoSpaceDE/>
        <w:autoSpaceDN/>
        <w:bidi w:val="0"/>
        <w:spacing w:line="400" w:lineRule="exact"/>
        <w:ind w:left="0" w:leftChars="0" w:firstLine="420" w:firstLineChars="200"/>
        <w:contextualSpacing/>
        <w:jc w:val="left"/>
        <w:textAlignment w:val="auto"/>
        <w:rPr>
          <w:rFonts w:hint="eastAsia" w:ascii="宋体" w:hAnsi="宋体" w:eastAsia="宋体" w:cs="宋体"/>
          <w:szCs w:val="21"/>
        </w:rPr>
      </w:pPr>
      <w:r>
        <w:rPr>
          <w:rFonts w:hint="eastAsia" w:ascii="宋体" w:hAnsi="宋体" w:eastAsia="宋体" w:cs="宋体"/>
          <w:bCs/>
          <w:szCs w:val="21"/>
        </w:rPr>
        <w:t>乙方应严格按照本合同服务方案和甲方要求提供服务，服务方案详见附件3《服务方案》。</w:t>
      </w:r>
    </w:p>
    <w:p w14:paraId="7482C29A">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验收</w:t>
      </w:r>
    </w:p>
    <w:p w14:paraId="57707485">
      <w:pPr>
        <w:pStyle w:val="29"/>
        <w:keepNext w:val="0"/>
        <w:keepLines w:val="0"/>
        <w:pageBreakBefore w:val="0"/>
        <w:numPr>
          <w:ilvl w:val="0"/>
          <w:numId w:val="13"/>
        </w:numPr>
        <w:kinsoku/>
        <w:wordWrap/>
        <w:overflowPunct/>
        <w:topLinePunct w:val="0"/>
        <w:autoSpaceDE/>
        <w:autoSpaceDN/>
        <w:bidi w:val="0"/>
        <w:spacing w:line="400" w:lineRule="exact"/>
        <w:ind w:left="0" w:leftChars="0" w:firstLine="0" w:firstLineChars="0"/>
        <w:contextualSpacing/>
        <w:textAlignment w:val="auto"/>
        <w:rPr>
          <w:rFonts w:hint="eastAsia" w:ascii="宋体" w:hAnsi="宋体" w:eastAsia="宋体" w:cs="宋体"/>
          <w:szCs w:val="21"/>
        </w:rPr>
      </w:pPr>
      <w:r>
        <w:rPr>
          <w:rFonts w:hint="eastAsia" w:ascii="宋体" w:hAnsi="宋体" w:eastAsia="宋体" w:cs="宋体"/>
          <w:szCs w:val="21"/>
        </w:rPr>
        <w:t>甲、乙双方确定，按照本合同约定的验收方案对乙方按本合同约定所提供的服务进行验收。</w:t>
      </w:r>
    </w:p>
    <w:p w14:paraId="103305C9">
      <w:pPr>
        <w:pStyle w:val="29"/>
        <w:keepNext w:val="0"/>
        <w:keepLines w:val="0"/>
        <w:pageBreakBefore w:val="0"/>
        <w:numPr>
          <w:ilvl w:val="0"/>
          <w:numId w:val="13"/>
        </w:numPr>
        <w:kinsoku/>
        <w:wordWrap/>
        <w:overflowPunct/>
        <w:topLinePunct w:val="0"/>
        <w:autoSpaceDE/>
        <w:autoSpaceDN/>
        <w:bidi w:val="0"/>
        <w:spacing w:line="400" w:lineRule="exact"/>
        <w:ind w:left="0" w:leftChars="0" w:firstLine="0" w:firstLineChars="0"/>
        <w:contextualSpacing/>
        <w:textAlignment w:val="auto"/>
        <w:rPr>
          <w:rFonts w:hint="eastAsia" w:ascii="宋体" w:hAnsi="宋体" w:eastAsia="宋体" w:cs="宋体"/>
          <w:szCs w:val="21"/>
        </w:rPr>
      </w:pPr>
      <w:r>
        <w:rPr>
          <w:rFonts w:hint="eastAsia" w:ascii="宋体" w:hAnsi="宋体" w:eastAsia="宋体" w:cs="宋体"/>
          <w:szCs w:val="21"/>
        </w:rPr>
        <w:t>验收方案：</w:t>
      </w:r>
    </w:p>
    <w:p w14:paraId="10719FFA">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验收主体：甲方</w:t>
      </w:r>
    </w:p>
    <w:p w14:paraId="7212F6E2">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验收组织方式：自行验收</w:t>
      </w:r>
    </w:p>
    <w:p w14:paraId="5C963DBA">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验收程序：</w:t>
      </w:r>
      <w:r>
        <w:rPr>
          <w:rFonts w:hint="eastAsia" w:ascii="宋体" w:hAnsi="宋体" w:eastAsia="宋体" w:cs="宋体"/>
        </w:rPr>
        <w:sym w:font="Wingdings 2" w:char="F052"/>
      </w:r>
      <w:r>
        <w:rPr>
          <w:rFonts w:hint="eastAsia" w:ascii="宋体" w:hAnsi="宋体" w:eastAsia="宋体" w:cs="宋体"/>
          <w:color w:val="000000"/>
          <w:szCs w:val="21"/>
        </w:rPr>
        <w:t xml:space="preserve">一次性验收   </w:t>
      </w:r>
      <w:r>
        <w:rPr>
          <w:rFonts w:hint="eastAsia" w:ascii="宋体" w:hAnsi="宋体" w:eastAsia="宋体" w:cs="宋体"/>
        </w:rPr>
        <w:sym w:font="Wingdings" w:char="F0A8"/>
      </w:r>
      <w:r>
        <w:rPr>
          <w:rFonts w:hint="eastAsia" w:ascii="宋体" w:hAnsi="宋体" w:eastAsia="宋体" w:cs="宋体"/>
          <w:color w:val="000000"/>
          <w:szCs w:val="21"/>
        </w:rPr>
        <w:t>分段/分期验收</w:t>
      </w:r>
    </w:p>
    <w:p w14:paraId="0ACAEB8E">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验收方式：</w:t>
      </w:r>
      <w:r>
        <w:rPr>
          <w:rFonts w:hint="eastAsia" w:ascii="宋体" w:hAnsi="宋体" w:eastAsia="宋体" w:cs="宋体"/>
          <w:color w:val="000000"/>
        </w:rPr>
        <w:sym w:font="Wingdings 2" w:char="F052"/>
      </w:r>
      <w:r>
        <w:rPr>
          <w:rFonts w:hint="eastAsia" w:ascii="宋体" w:hAnsi="宋体" w:eastAsia="宋体" w:cs="宋体"/>
          <w:color w:val="000000"/>
        </w:rPr>
        <w:t>现场整体验收</w:t>
      </w:r>
      <w:r>
        <w:rPr>
          <w:rFonts w:hint="eastAsia" w:ascii="宋体" w:hAnsi="宋体" w:eastAsia="宋体" w:cs="宋体"/>
          <w:color w:val="000000"/>
          <w:kern w:val="0"/>
          <w:szCs w:val="21"/>
          <w:shd w:val="clear" w:color="auto" w:fill="FFFFFF"/>
        </w:rPr>
        <w:t xml:space="preserve">   </w:t>
      </w:r>
      <w:r>
        <w:rPr>
          <w:rFonts w:hint="eastAsia" w:ascii="宋体" w:hAnsi="宋体" w:eastAsia="宋体" w:cs="宋体"/>
          <w:color w:val="000000"/>
          <w:shd w:val="clear" w:color="auto" w:fill="FFFFFF"/>
        </w:rPr>
        <w:sym w:font="Wingdings" w:char="F0A8"/>
      </w:r>
      <w:r>
        <w:rPr>
          <w:rFonts w:hint="eastAsia" w:ascii="宋体" w:hAnsi="宋体" w:eastAsia="宋体" w:cs="宋体"/>
          <w:color w:val="000000"/>
          <w:shd w:val="clear" w:color="auto" w:fill="FFFFFF"/>
        </w:rPr>
        <w:t>考核验收</w:t>
      </w:r>
      <w:r>
        <w:rPr>
          <w:rFonts w:hint="eastAsia" w:ascii="宋体" w:hAnsi="宋体" w:eastAsia="宋体" w:cs="宋体"/>
          <w:color w:val="000000"/>
          <w:kern w:val="0"/>
          <w:szCs w:val="21"/>
          <w:shd w:val="clear" w:color="auto" w:fill="FFFFFF"/>
        </w:rPr>
        <w:t xml:space="preserve">   </w:t>
      </w:r>
      <w:r>
        <w:rPr>
          <w:rFonts w:hint="eastAsia" w:ascii="宋体" w:hAnsi="宋体" w:eastAsia="宋体" w:cs="宋体"/>
          <w:color w:val="000000"/>
          <w:shd w:val="clear" w:color="auto" w:fill="FFFFFF"/>
        </w:rPr>
        <w:sym w:font="Wingdings" w:char="F0A8"/>
      </w:r>
      <w:r>
        <w:rPr>
          <w:rFonts w:hint="eastAsia" w:ascii="宋体" w:hAnsi="宋体" w:eastAsia="宋体" w:cs="宋体"/>
          <w:color w:val="000000"/>
          <w:shd w:val="clear" w:color="auto" w:fill="FFFFFF"/>
        </w:rPr>
        <w:t>其它验收方式：</w:t>
      </w:r>
      <w:r>
        <w:rPr>
          <w:rFonts w:hint="eastAsia" w:ascii="宋体" w:hAnsi="宋体" w:eastAsia="宋体" w:cs="宋体"/>
          <w:color w:val="000000"/>
          <w:u w:val="single"/>
          <w:shd w:val="clear" w:color="auto" w:fill="FFFFFF"/>
        </w:rPr>
        <w:t>***</w:t>
      </w:r>
    </w:p>
    <w:p w14:paraId="25BB580A">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履约验收内容：按照甲方的采购文件要求及乙方响应文件响应情况，由乙方向甲方提供的</w:t>
      </w:r>
      <w:r>
        <w:rPr>
          <w:rFonts w:hint="eastAsia" w:ascii="宋体" w:hAnsi="宋体" w:eastAsia="宋体" w:cs="宋体"/>
          <w:szCs w:val="21"/>
          <w:u w:val="single"/>
        </w:rPr>
        <w:t>全部服务</w:t>
      </w:r>
      <w:r>
        <w:rPr>
          <w:rFonts w:hint="eastAsia" w:ascii="宋体" w:hAnsi="宋体" w:eastAsia="宋体" w:cs="宋体"/>
          <w:szCs w:val="21"/>
        </w:rPr>
        <w:t>的履约情况。</w:t>
      </w:r>
    </w:p>
    <w:p w14:paraId="1F2D4CFA">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履约验收时间：</w:t>
      </w:r>
    </w:p>
    <w:p w14:paraId="27EEE864">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2" w:char="F052"/>
      </w:r>
      <w:r>
        <w:rPr>
          <w:rFonts w:hint="eastAsia" w:ascii="宋体" w:hAnsi="宋体" w:eastAsia="宋体" w:cs="宋体"/>
          <w:color w:val="000000"/>
          <w:szCs w:val="21"/>
        </w:rPr>
        <w:t>服务期满且乙方完成所有服务内容后X日内通知甲方验收，甲方接乙方通知后X日内组织验收</w:t>
      </w:r>
    </w:p>
    <w:p w14:paraId="13560871">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乙方完成每一阶段或轮次服务内容后X日内通知甲方验收，甲方接乙方通知后X日内组织验收</w:t>
      </w:r>
    </w:p>
    <w:p w14:paraId="668E8ECC">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甲方完成考核后X日内组织验收</w:t>
      </w:r>
    </w:p>
    <w:p w14:paraId="06090759">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shd w:val="clear" w:color="auto" w:fill="FFFFFF"/>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 xml:space="preserve">其它验收时间：            </w:t>
      </w:r>
    </w:p>
    <w:p w14:paraId="0A943DA8">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 xml:space="preserve">是否邀请本项目的其他供应商： </w:t>
      </w:r>
      <w:r>
        <w:rPr>
          <w:rFonts w:hint="eastAsia" w:ascii="宋体" w:hAnsi="宋体" w:eastAsia="宋体" w:cs="宋体"/>
          <w:kern w:val="0"/>
          <w:shd w:val="clear" w:color="auto" w:fill="FFFFFF"/>
        </w:rPr>
        <w:sym w:font="Wingdings" w:char="F0A8"/>
      </w:r>
      <w:r>
        <w:rPr>
          <w:rFonts w:hint="eastAsia" w:ascii="宋体" w:hAnsi="宋体" w:eastAsia="宋体" w:cs="宋体"/>
          <w:szCs w:val="21"/>
          <w:shd w:val="clear" w:color="auto" w:fill="FFFFFF"/>
        </w:rPr>
        <w:t xml:space="preserve">是   </w:t>
      </w:r>
      <w:r>
        <w:rPr>
          <w:rFonts w:hint="eastAsia" w:ascii="宋体" w:hAnsi="宋体" w:eastAsia="宋体" w:cs="宋体"/>
          <w:kern w:val="0"/>
        </w:rPr>
        <w:sym w:font="Wingdings 2" w:char="F052"/>
      </w:r>
      <w:r>
        <w:rPr>
          <w:rFonts w:hint="eastAsia" w:ascii="宋体" w:hAnsi="宋体" w:eastAsia="宋体" w:cs="宋体"/>
          <w:szCs w:val="21"/>
          <w:shd w:val="clear" w:color="auto" w:fill="FFFFFF"/>
        </w:rPr>
        <w:t>否</w:t>
      </w:r>
    </w:p>
    <w:p w14:paraId="740E083B">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 xml:space="preserve">是否邀请专家： </w:t>
      </w:r>
      <w:r>
        <w:rPr>
          <w:rFonts w:hint="eastAsia" w:ascii="宋体" w:hAnsi="宋体" w:eastAsia="宋体" w:cs="宋体"/>
          <w:kern w:val="0"/>
          <w:shd w:val="clear" w:color="auto" w:fill="FFFFFF"/>
        </w:rPr>
        <w:sym w:font="Wingdings" w:char="F0A8"/>
      </w:r>
      <w:r>
        <w:rPr>
          <w:rFonts w:hint="eastAsia" w:ascii="宋体" w:hAnsi="宋体" w:eastAsia="宋体" w:cs="宋体"/>
          <w:szCs w:val="21"/>
          <w:shd w:val="clear" w:color="auto" w:fill="FFFFFF"/>
        </w:rPr>
        <w:t xml:space="preserve">是   </w:t>
      </w:r>
      <w:r>
        <w:rPr>
          <w:rFonts w:hint="eastAsia" w:ascii="宋体" w:hAnsi="宋体" w:eastAsia="宋体" w:cs="宋体"/>
          <w:kern w:val="0"/>
        </w:rPr>
        <w:sym w:font="Wingdings 2" w:char="F052"/>
      </w:r>
      <w:r>
        <w:rPr>
          <w:rFonts w:hint="eastAsia" w:ascii="宋体" w:hAnsi="宋体" w:eastAsia="宋体" w:cs="宋体"/>
          <w:szCs w:val="21"/>
          <w:shd w:val="clear" w:color="auto" w:fill="FFFFFF"/>
        </w:rPr>
        <w:t>否</w:t>
      </w:r>
    </w:p>
    <w:p w14:paraId="595EB419">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 xml:space="preserve">是否邀请服务对象： </w:t>
      </w:r>
      <w:r>
        <w:rPr>
          <w:rFonts w:hint="eastAsia" w:ascii="宋体" w:hAnsi="宋体" w:eastAsia="宋体" w:cs="宋体"/>
          <w:kern w:val="0"/>
          <w:shd w:val="clear" w:color="auto" w:fill="FFFFFF"/>
        </w:rPr>
        <w:sym w:font="Wingdings" w:char="F0A8"/>
      </w:r>
      <w:r>
        <w:rPr>
          <w:rFonts w:hint="eastAsia" w:ascii="宋体" w:hAnsi="宋体" w:eastAsia="宋体" w:cs="宋体"/>
          <w:szCs w:val="21"/>
          <w:shd w:val="clear" w:color="auto" w:fill="FFFFFF"/>
        </w:rPr>
        <w:t xml:space="preserve">是   </w:t>
      </w:r>
      <w:r>
        <w:rPr>
          <w:rFonts w:hint="eastAsia" w:ascii="宋体" w:hAnsi="宋体" w:eastAsia="宋体" w:cs="宋体"/>
          <w:kern w:val="0"/>
        </w:rPr>
        <w:sym w:font="Wingdings 2" w:char="F052"/>
      </w:r>
      <w:r>
        <w:rPr>
          <w:rFonts w:hint="eastAsia" w:ascii="宋体" w:hAnsi="宋体" w:eastAsia="宋体" w:cs="宋体"/>
          <w:szCs w:val="21"/>
          <w:shd w:val="clear" w:color="auto" w:fill="FFFFFF"/>
        </w:rPr>
        <w:t>否</w:t>
      </w:r>
    </w:p>
    <w:p w14:paraId="212FF5E1">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是否邀请第三方检测机构：</w:t>
      </w:r>
      <w:r>
        <w:rPr>
          <w:rFonts w:hint="eastAsia" w:ascii="宋体" w:hAnsi="宋体" w:eastAsia="宋体" w:cs="宋体"/>
          <w:kern w:val="0"/>
          <w:shd w:val="clear" w:color="auto" w:fill="FFFFFF"/>
        </w:rPr>
        <w:t xml:space="preserve"> </w:t>
      </w:r>
      <w:r>
        <w:rPr>
          <w:rFonts w:hint="eastAsia" w:ascii="宋体" w:hAnsi="宋体" w:eastAsia="宋体" w:cs="宋体"/>
          <w:kern w:val="0"/>
          <w:shd w:val="clear" w:color="auto" w:fill="FFFFFF"/>
        </w:rPr>
        <w:sym w:font="Wingdings" w:char="F0A8"/>
      </w:r>
      <w:r>
        <w:rPr>
          <w:rFonts w:hint="eastAsia" w:ascii="宋体" w:hAnsi="宋体" w:eastAsia="宋体" w:cs="宋体"/>
          <w:szCs w:val="21"/>
          <w:shd w:val="clear" w:color="auto" w:fill="FFFFFF"/>
        </w:rPr>
        <w:t xml:space="preserve">是   </w:t>
      </w:r>
      <w:r>
        <w:rPr>
          <w:rFonts w:hint="eastAsia" w:ascii="宋体" w:hAnsi="宋体" w:eastAsia="宋体" w:cs="宋体"/>
          <w:kern w:val="0"/>
        </w:rPr>
        <w:sym w:font="Wingdings 2" w:char="F052"/>
      </w:r>
      <w:r>
        <w:rPr>
          <w:rFonts w:hint="eastAsia" w:ascii="宋体" w:hAnsi="宋体" w:eastAsia="宋体" w:cs="宋体"/>
          <w:szCs w:val="21"/>
          <w:shd w:val="clear" w:color="auto" w:fill="FFFFFF"/>
        </w:rPr>
        <w:t>否</w:t>
      </w:r>
    </w:p>
    <w:p w14:paraId="47F88790">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验收标准：</w:t>
      </w:r>
    </w:p>
    <w:p w14:paraId="24757C73">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bookmarkStart w:id="96" w:name="OLE_LINK4"/>
      <w:r>
        <w:rPr>
          <w:rFonts w:hint="eastAsia" w:ascii="宋体" w:hAnsi="宋体" w:eastAsia="宋体" w:cs="宋体"/>
          <w:szCs w:val="21"/>
          <w:shd w:val="clear" w:color="auto" w:fill="FFFFFF"/>
        </w:rPr>
        <w:t>国家相关法律法规、行业标准、技术规范。</w:t>
      </w:r>
    </w:p>
    <w:p w14:paraId="4A341926">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甲方采购文件相关技术、服务要求、乙方响应文件相关响应内容。</w:t>
      </w:r>
    </w:p>
    <w:p w14:paraId="4BB5AAAF">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如本项目验收方式为考核验收，则考核结果须为合格。</w:t>
      </w:r>
    </w:p>
    <w:bookmarkEnd w:id="96"/>
    <w:p w14:paraId="2BFFECC6">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如验收时，甲方与乙方认为本项目验收标准中的技术指标、质量要求等内容存在相互抵触或对其理解存在异议，应按照其中更严格的要求、标准等进行验收。</w:t>
      </w:r>
    </w:p>
    <w:p w14:paraId="142B41FF">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参照《财政部关于进一步加强政府采购需求和履约验收管理的指导意见》（财库〔2016〕205号）的要求进行验收。</w:t>
      </w:r>
    </w:p>
    <w:p w14:paraId="5A8F93D9">
      <w:pPr>
        <w:pStyle w:val="16"/>
        <w:keepNext w:val="0"/>
        <w:keepLines w:val="0"/>
        <w:pageBreakBefore w:val="0"/>
        <w:numPr>
          <w:ilvl w:val="0"/>
          <w:numId w:val="15"/>
        </w:numPr>
        <w:kinsoku/>
        <w:wordWrap/>
        <w:overflowPunct/>
        <w:topLinePunct w:val="0"/>
        <w:autoSpaceDE/>
        <w:autoSpaceDN/>
        <w:bidi w:val="0"/>
        <w:spacing w:before="0" w:after="0"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其它标准：</w:t>
      </w:r>
      <w:r>
        <w:rPr>
          <w:rFonts w:hint="eastAsia" w:ascii="宋体" w:hAnsi="宋体" w:eastAsia="宋体" w:cs="宋体"/>
          <w:szCs w:val="21"/>
          <w:u w:val="single"/>
        </w:rPr>
        <w:t>无。</w:t>
      </w:r>
    </w:p>
    <w:p w14:paraId="5FCD4D1B">
      <w:pPr>
        <w:pStyle w:val="29"/>
        <w:keepNext w:val="0"/>
        <w:keepLines w:val="0"/>
        <w:pageBreakBefore w:val="0"/>
        <w:numPr>
          <w:ilvl w:val="0"/>
          <w:numId w:val="14"/>
        </w:numPr>
        <w:kinsoku/>
        <w:wordWrap/>
        <w:overflowPunct/>
        <w:topLinePunct w:val="0"/>
        <w:autoSpaceDE/>
        <w:autoSpaceDN/>
        <w:bidi w:val="0"/>
        <w:spacing w:line="400" w:lineRule="exact"/>
        <w:ind w:left="0" w:leftChars="0" w:firstLineChars="0"/>
        <w:contextualSpacing/>
        <w:textAlignment w:val="auto"/>
        <w:rPr>
          <w:rFonts w:hint="eastAsia" w:ascii="宋体" w:hAnsi="宋体" w:eastAsia="宋体" w:cs="宋体"/>
          <w:szCs w:val="21"/>
        </w:rPr>
      </w:pPr>
      <w:r>
        <w:rPr>
          <w:rFonts w:hint="eastAsia" w:ascii="宋体" w:hAnsi="宋体" w:eastAsia="宋体" w:cs="宋体"/>
          <w:szCs w:val="21"/>
        </w:rPr>
        <w:t>其它验收要求：</w:t>
      </w:r>
      <w:r>
        <w:rPr>
          <w:rFonts w:hint="eastAsia" w:ascii="宋体" w:hAnsi="宋体" w:eastAsia="宋体" w:cs="宋体"/>
          <w:color w:val="000000"/>
          <w:kern w:val="0"/>
          <w:szCs w:val="21"/>
          <w:u w:val="single"/>
        </w:rPr>
        <w:t>无</w:t>
      </w:r>
      <w:r>
        <w:rPr>
          <w:rFonts w:hint="eastAsia" w:ascii="宋体" w:hAnsi="宋体" w:eastAsia="宋体" w:cs="宋体"/>
          <w:i/>
          <w:iCs/>
          <w:color w:val="000000"/>
          <w:kern w:val="0"/>
          <w:szCs w:val="21"/>
          <w:highlight w:val="yellow"/>
        </w:rPr>
        <w:t>&lt;如有请填写</w:t>
      </w:r>
      <w:r>
        <w:rPr>
          <w:rFonts w:hint="eastAsia" w:ascii="宋体" w:hAnsi="宋体" w:eastAsia="宋体" w:cs="宋体"/>
          <w:i/>
          <w:iCs/>
          <w:color w:val="000000"/>
          <w:kern w:val="0"/>
          <w:szCs w:val="21"/>
        </w:rPr>
        <w:t>&gt;</w:t>
      </w:r>
    </w:p>
    <w:p w14:paraId="6213DBF3">
      <w:pPr>
        <w:pStyle w:val="29"/>
        <w:keepNext w:val="0"/>
        <w:keepLines w:val="0"/>
        <w:pageBreakBefore w:val="0"/>
        <w:numPr>
          <w:ilvl w:val="0"/>
          <w:numId w:val="13"/>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10%的违约金给甲方，违约金不能弥补甲方损失的，乙方应全额赔偿。</w:t>
      </w:r>
    </w:p>
    <w:p w14:paraId="2EE9DCA2">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付款方式</w:t>
      </w:r>
    </w:p>
    <w:p w14:paraId="5CC20725">
      <w:pPr>
        <w:pStyle w:val="9"/>
        <w:keepNext w:val="0"/>
        <w:keepLines w:val="0"/>
        <w:pageBreakBefore w:val="0"/>
        <w:numPr>
          <w:ilvl w:val="0"/>
          <w:numId w:val="16"/>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履约保证金：</w:t>
      </w:r>
    </w:p>
    <w:p w14:paraId="1A98FD8C">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2" w:char="F052"/>
      </w:r>
      <w:r>
        <w:rPr>
          <w:rFonts w:hint="eastAsia" w:ascii="宋体" w:hAnsi="宋体" w:eastAsia="宋体" w:cs="宋体"/>
          <w:color w:val="000000"/>
          <w:szCs w:val="21"/>
        </w:rPr>
        <w:t>乙方在合同签订生效之日起的</w:t>
      </w:r>
      <w:r>
        <w:rPr>
          <w:rFonts w:hint="eastAsia" w:ascii="宋体" w:hAnsi="宋体" w:eastAsia="宋体" w:cs="宋体"/>
          <w:color w:val="000000"/>
          <w:szCs w:val="21"/>
          <w:u w:val="single"/>
        </w:rPr>
        <w:t>***</w:t>
      </w:r>
      <w:r>
        <w:rPr>
          <w:rFonts w:hint="eastAsia" w:ascii="宋体" w:hAnsi="宋体" w:eastAsia="宋体" w:cs="宋体"/>
          <w:color w:val="000000"/>
          <w:szCs w:val="21"/>
        </w:rPr>
        <w:t>个工作日内，按合同总价</w:t>
      </w:r>
      <w:r>
        <w:rPr>
          <w:rFonts w:hint="eastAsia" w:ascii="宋体" w:hAnsi="宋体" w:eastAsia="宋体" w:cs="宋体"/>
          <w:color w:val="000000"/>
          <w:szCs w:val="21"/>
          <w:u w:val="single"/>
        </w:rPr>
        <w:t>***</w:t>
      </w:r>
      <w:r>
        <w:rPr>
          <w:rFonts w:hint="eastAsia" w:ascii="宋体" w:hAnsi="宋体" w:eastAsia="宋体" w:cs="宋体"/>
          <w:color w:val="000000"/>
          <w:szCs w:val="21"/>
        </w:rPr>
        <w:t>%支付履约保证金；本合同服务期满且验收合格后，甲方接到乙方付款申请后</w:t>
      </w:r>
      <w:r>
        <w:rPr>
          <w:rFonts w:hint="eastAsia" w:ascii="宋体" w:hAnsi="宋体" w:eastAsia="宋体" w:cs="宋体"/>
          <w:color w:val="000000"/>
          <w:szCs w:val="21"/>
          <w:u w:val="single"/>
        </w:rPr>
        <w:t>30</w:t>
      </w:r>
      <w:r>
        <w:rPr>
          <w:rFonts w:hint="eastAsia" w:ascii="宋体" w:hAnsi="宋体" w:eastAsia="宋体" w:cs="宋体"/>
          <w:color w:val="000000"/>
          <w:szCs w:val="21"/>
        </w:rPr>
        <w:t>个工作日内，甲方一次性无息退还乙方的履约保证金；经验收后乙方履约不合格的，履约保证金不予退还。</w:t>
      </w:r>
    </w:p>
    <w:p w14:paraId="7A4394EF">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本合同不涉及履约保证金。</w:t>
      </w:r>
    </w:p>
    <w:p w14:paraId="0DB5940E">
      <w:pPr>
        <w:pStyle w:val="9"/>
        <w:keepNext w:val="0"/>
        <w:keepLines w:val="0"/>
        <w:pageBreakBefore w:val="0"/>
        <w:numPr>
          <w:ilvl w:val="0"/>
          <w:numId w:val="16"/>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本合同价款采用以下方式支付，以人民币结算：</w:t>
      </w:r>
    </w:p>
    <w:p w14:paraId="09FDA0E6">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2" w:char="F052"/>
      </w:r>
      <w:r>
        <w:rPr>
          <w:rFonts w:hint="eastAsia" w:ascii="宋体" w:hAnsi="宋体" w:eastAsia="宋体" w:cs="宋体"/>
          <w:color w:val="000000"/>
          <w:szCs w:val="21"/>
        </w:rPr>
        <w:t>一次性支付：</w:t>
      </w:r>
    </w:p>
    <w:p w14:paraId="621259CA">
      <w:pPr>
        <w:pStyle w:val="16"/>
        <w:keepNext w:val="0"/>
        <w:keepLines w:val="0"/>
        <w:pageBreakBefore w:val="0"/>
        <w:kinsoku/>
        <w:wordWrap/>
        <w:overflowPunct/>
        <w:topLinePunct w:val="0"/>
        <w:autoSpaceDE/>
        <w:autoSpaceDN/>
        <w:bidi w:val="0"/>
        <w:spacing w:before="0" w:after="0" w:line="400" w:lineRule="exact"/>
        <w:ind w:left="0" w:leftChars="0" w:firstLineChars="200"/>
        <w:contextualSpacing/>
        <w:textAlignment w:val="auto"/>
        <w:rPr>
          <w:rFonts w:hint="eastAsia" w:ascii="宋体" w:hAnsi="宋体" w:eastAsia="宋体" w:cs="宋体"/>
          <w:color w:val="000000"/>
          <w:szCs w:val="21"/>
        </w:rPr>
      </w:pPr>
      <w:r>
        <w:rPr>
          <w:rFonts w:hint="eastAsia" w:ascii="宋体" w:hAnsi="宋体" w:eastAsia="宋体" w:cs="宋体"/>
          <w:szCs w:val="21"/>
        </w:rPr>
        <w:t>本合同服务期满且经甲方验收合格后</w:t>
      </w:r>
      <w:r>
        <w:rPr>
          <w:rFonts w:hint="eastAsia" w:ascii="宋体" w:hAnsi="宋体" w:eastAsia="宋体" w:cs="宋体"/>
          <w:szCs w:val="21"/>
          <w:u w:val="single"/>
        </w:rPr>
        <w:t>5</w:t>
      </w:r>
      <w:r>
        <w:rPr>
          <w:rFonts w:hint="eastAsia" w:ascii="宋体" w:hAnsi="宋体" w:eastAsia="宋体" w:cs="宋体"/>
          <w:szCs w:val="21"/>
        </w:rPr>
        <w:t>日内</w:t>
      </w:r>
      <w:r>
        <w:rPr>
          <w:rFonts w:hint="eastAsia" w:ascii="宋体" w:hAnsi="宋体" w:eastAsia="宋体" w:cs="宋体"/>
          <w:color w:val="000000"/>
          <w:szCs w:val="21"/>
        </w:rPr>
        <w:t>，乙方须向甲方提供合法有效票据及其他相关请款资料，甲方自收到乙方请款资料后</w:t>
      </w:r>
      <w:r>
        <w:rPr>
          <w:rFonts w:hint="eastAsia" w:ascii="宋体" w:hAnsi="宋体" w:eastAsia="宋体" w:cs="宋体"/>
          <w:color w:val="000000"/>
          <w:szCs w:val="21"/>
          <w:u w:val="single"/>
        </w:rPr>
        <w:t>55</w:t>
      </w:r>
      <w:r>
        <w:rPr>
          <w:rFonts w:hint="eastAsia" w:ascii="宋体" w:hAnsi="宋体" w:eastAsia="宋体" w:cs="宋体"/>
          <w:color w:val="000000"/>
          <w:szCs w:val="21"/>
        </w:rPr>
        <w:t>日内支付合同总价100%的金额给乙方。</w:t>
      </w:r>
    </w:p>
    <w:p w14:paraId="750B8A19">
      <w:pPr>
        <w:pStyle w:val="16"/>
        <w:keepNext w:val="0"/>
        <w:keepLines w:val="0"/>
        <w:pageBreakBefore w:val="0"/>
        <w:kinsoku/>
        <w:wordWrap/>
        <w:overflowPunct/>
        <w:topLinePunct w:val="0"/>
        <w:autoSpaceDE/>
        <w:autoSpaceDN/>
        <w:bidi w:val="0"/>
        <w:spacing w:before="0" w:after="0" w:line="400" w:lineRule="exact"/>
        <w:ind w:left="0" w:leftChars="0" w:firstLine="0" w:firstLineChars="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sym w:font="Wingdings" w:char="F0A8"/>
      </w:r>
      <w:r>
        <w:rPr>
          <w:rFonts w:hint="eastAsia" w:ascii="宋体" w:hAnsi="宋体" w:eastAsia="宋体" w:cs="宋体"/>
          <w:color w:val="000000"/>
          <w:szCs w:val="21"/>
        </w:rPr>
        <w:t>分阶段支付，支付期限、方式及额度如下：</w:t>
      </w:r>
    </w:p>
    <w:p w14:paraId="56BDDA9D">
      <w:pPr>
        <w:pStyle w:val="16"/>
        <w:keepNext w:val="0"/>
        <w:keepLines w:val="0"/>
        <w:pageBreakBefore w:val="0"/>
        <w:kinsoku/>
        <w:wordWrap/>
        <w:overflowPunct/>
        <w:topLinePunct w:val="0"/>
        <w:autoSpaceDE/>
        <w:autoSpaceDN/>
        <w:bidi w:val="0"/>
        <w:spacing w:before="0" w:after="0" w:line="400" w:lineRule="exact"/>
        <w:ind w:left="0" w:leftChars="0" w:firstLineChars="20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（1）</w:t>
      </w:r>
      <w:bookmarkStart w:id="97" w:name="OLE_LINK30"/>
      <w:r>
        <w:rPr>
          <w:rFonts w:hint="eastAsia" w:ascii="宋体" w:hAnsi="宋体" w:eastAsia="宋体" w:cs="宋体"/>
          <w:szCs w:val="21"/>
        </w:rPr>
        <w:t>固定部分价款</w:t>
      </w:r>
      <w:bookmarkEnd w:id="97"/>
      <w:r>
        <w:rPr>
          <w:rFonts w:hint="eastAsia" w:ascii="宋体" w:hAnsi="宋体" w:eastAsia="宋体" w:cs="宋体"/>
          <w:color w:val="000000"/>
          <w:szCs w:val="21"/>
        </w:rPr>
        <w:t>：</w:t>
      </w:r>
      <w:r>
        <w:rPr>
          <w:rFonts w:hint="eastAsia" w:ascii="宋体" w:hAnsi="宋体" w:eastAsia="宋体" w:cs="宋体"/>
          <w:szCs w:val="21"/>
        </w:rPr>
        <w:t>本合同服务期满且经甲方验收合格后5日内</w:t>
      </w:r>
      <w:r>
        <w:rPr>
          <w:rFonts w:hint="eastAsia" w:ascii="宋体" w:hAnsi="宋体" w:eastAsia="宋体" w:cs="宋体"/>
          <w:color w:val="000000"/>
          <w:szCs w:val="21"/>
        </w:rPr>
        <w:t>，乙方须向甲方提供合法有效票据及其他相关请款资料，甲方自收到乙方请款资料后55日内向乙方支付本合同</w:t>
      </w:r>
      <w:r>
        <w:rPr>
          <w:rFonts w:hint="eastAsia" w:ascii="宋体" w:hAnsi="宋体" w:eastAsia="宋体" w:cs="宋体"/>
          <w:color w:val="000000"/>
          <w:szCs w:val="21"/>
          <w:u w:val="single"/>
        </w:rPr>
        <w:t>第二条</w:t>
      </w:r>
      <w:r>
        <w:rPr>
          <w:rFonts w:hint="eastAsia" w:ascii="宋体" w:hAnsi="宋体" w:eastAsia="宋体" w:cs="宋体"/>
          <w:color w:val="000000"/>
          <w:szCs w:val="21"/>
        </w:rPr>
        <w:t>写明的全部</w:t>
      </w:r>
      <w:r>
        <w:rPr>
          <w:rFonts w:hint="eastAsia" w:ascii="宋体" w:hAnsi="宋体" w:eastAsia="宋体" w:cs="宋体"/>
          <w:szCs w:val="21"/>
        </w:rPr>
        <w:t>固定部分价款</w:t>
      </w:r>
      <w:r>
        <w:rPr>
          <w:rFonts w:hint="eastAsia" w:ascii="宋体" w:hAnsi="宋体" w:eastAsia="宋体" w:cs="宋体"/>
          <w:color w:val="000000"/>
          <w:szCs w:val="21"/>
        </w:rPr>
        <w:t>。</w:t>
      </w:r>
    </w:p>
    <w:p w14:paraId="4C3983EC">
      <w:pPr>
        <w:pStyle w:val="16"/>
        <w:keepNext w:val="0"/>
        <w:keepLines w:val="0"/>
        <w:pageBreakBefore w:val="0"/>
        <w:kinsoku/>
        <w:wordWrap/>
        <w:overflowPunct/>
        <w:topLinePunct w:val="0"/>
        <w:autoSpaceDE/>
        <w:autoSpaceDN/>
        <w:bidi w:val="0"/>
        <w:spacing w:before="0" w:after="0" w:line="400" w:lineRule="exact"/>
        <w:ind w:left="0" w:leftChars="0" w:firstLineChars="200"/>
        <w:contextualSpacing/>
        <w:textAlignment w:val="auto"/>
        <w:rPr>
          <w:rFonts w:hint="eastAsia" w:ascii="宋体" w:hAnsi="宋体" w:eastAsia="宋体" w:cs="宋体"/>
          <w:color w:val="000000"/>
          <w:szCs w:val="21"/>
        </w:rPr>
      </w:pPr>
      <w:r>
        <w:rPr>
          <w:rFonts w:hint="eastAsia" w:ascii="宋体" w:hAnsi="宋体" w:eastAsia="宋体" w:cs="宋体"/>
          <w:color w:val="000000"/>
          <w:szCs w:val="21"/>
        </w:rPr>
        <w:t>（2）按实结算部分：每</w:t>
      </w:r>
      <w:r>
        <w:rPr>
          <w:rFonts w:hint="eastAsia" w:ascii="宋体" w:hAnsi="宋体" w:eastAsia="宋体" w:cs="宋体"/>
          <w:color w:val="000000"/>
          <w:szCs w:val="21"/>
          <w:u w:val="single"/>
        </w:rPr>
        <w:t>XX</w:t>
      </w:r>
      <w:r>
        <w:rPr>
          <w:rFonts w:hint="eastAsia" w:ascii="宋体" w:hAnsi="宋体" w:eastAsia="宋体" w:cs="宋体"/>
          <w:i/>
          <w:iCs/>
          <w:szCs w:val="21"/>
          <w:highlight w:val="yellow"/>
        </w:rPr>
        <w:t>&lt;约定按固定周期支付的（如每季度），可根据项目具体情况编制本条款&gt;</w:t>
      </w:r>
      <w:r>
        <w:rPr>
          <w:rFonts w:hint="eastAsia" w:ascii="宋体" w:hAnsi="宋体" w:eastAsia="宋体" w:cs="宋体"/>
          <w:color w:val="000000"/>
          <w:szCs w:val="21"/>
        </w:rPr>
        <w:t>结算一次费用，结算单价以</w:t>
      </w:r>
      <w:r>
        <w:rPr>
          <w:rFonts w:hint="eastAsia" w:ascii="宋体" w:hAnsi="宋体" w:eastAsia="宋体" w:cs="宋体"/>
          <w:szCs w:val="21"/>
        </w:rPr>
        <w:t>《结算单价清单》</w:t>
      </w:r>
      <w:r>
        <w:rPr>
          <w:rFonts w:hint="eastAsia" w:ascii="宋体" w:hAnsi="宋体" w:eastAsia="宋体" w:cs="宋体"/>
          <w:color w:val="000000"/>
          <w:szCs w:val="21"/>
        </w:rPr>
        <w:t>为准。</w:t>
      </w:r>
      <w:r>
        <w:rPr>
          <w:rFonts w:hint="eastAsia" w:ascii="宋体" w:hAnsi="宋体" w:eastAsia="宋体" w:cs="宋体"/>
          <w:lang w:bidi="ar"/>
        </w:rPr>
        <w:t>结算前，乙方须向甲方提供结算费用清单进行确认，并在确认后 5 日内按清单金额向甲方提供合法有效票据及其他相关请款资料，甲方接到乙方请款资料后的</w:t>
      </w:r>
      <w:r>
        <w:rPr>
          <w:rFonts w:hint="eastAsia" w:ascii="宋体" w:hAnsi="宋体" w:eastAsia="宋体" w:cs="宋体"/>
          <w:u w:val="single"/>
          <w:lang w:bidi="ar"/>
        </w:rPr>
        <w:t>55</w:t>
      </w:r>
      <w:r>
        <w:rPr>
          <w:rFonts w:hint="eastAsia" w:ascii="宋体" w:hAnsi="宋体" w:eastAsia="宋体" w:cs="宋体"/>
          <w:lang w:bidi="ar"/>
        </w:rPr>
        <w:t>日内，向乙方全额支付上述结算费用。</w:t>
      </w:r>
    </w:p>
    <w:p w14:paraId="5586C7FB">
      <w:pPr>
        <w:pStyle w:val="9"/>
        <w:keepNext w:val="0"/>
        <w:keepLines w:val="0"/>
        <w:pageBreakBefore w:val="0"/>
        <w:numPr>
          <w:ilvl w:val="0"/>
          <w:numId w:val="16"/>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甲方付款前，乙方需</w:t>
      </w:r>
      <w:r>
        <w:rPr>
          <w:rFonts w:hint="eastAsia" w:ascii="宋体" w:hAnsi="宋体" w:eastAsia="宋体" w:cs="宋体"/>
          <w:lang w:bidi="ar"/>
        </w:rPr>
        <w:t>提供合法有效票据及其他相关请款资料</w:t>
      </w:r>
      <w:r>
        <w:rPr>
          <w:rFonts w:hint="eastAsia" w:ascii="宋体" w:hAnsi="宋体" w:eastAsia="宋体" w:cs="宋体"/>
          <w:szCs w:val="21"/>
        </w:rPr>
        <w:t>，否则甲方有权拒绝支付且不承担任何违约责任，且乙方不得因此停止服务。</w:t>
      </w:r>
    </w:p>
    <w:p w14:paraId="2EB2BA75">
      <w:pPr>
        <w:pStyle w:val="9"/>
        <w:keepNext w:val="0"/>
        <w:keepLines w:val="0"/>
        <w:pageBreakBefore w:val="0"/>
        <w:numPr>
          <w:ilvl w:val="0"/>
          <w:numId w:val="16"/>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乙方开票信息应与合同预留账户信息一致。如有变更，乙方应当在变更后3日内通知甲方。否则，由此造成的损失由乙方自行承担。</w:t>
      </w:r>
    </w:p>
    <w:p w14:paraId="19A7DEEB">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双方权利与义务</w:t>
      </w:r>
    </w:p>
    <w:p w14:paraId="581F8AA0">
      <w:pPr>
        <w:pStyle w:val="9"/>
        <w:keepNext w:val="0"/>
        <w:keepLines w:val="0"/>
        <w:pageBreakBefore w:val="0"/>
        <w:numPr>
          <w:ilvl w:val="0"/>
          <w:numId w:val="17"/>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甲方权利与义务</w:t>
      </w:r>
    </w:p>
    <w:p w14:paraId="4D16113D">
      <w:pPr>
        <w:pStyle w:val="29"/>
        <w:keepNext w:val="0"/>
        <w:keepLines w:val="0"/>
        <w:pageBreakBefore w:val="0"/>
        <w:numPr>
          <w:ilvl w:val="0"/>
          <w:numId w:val="18"/>
        </w:numPr>
        <w:kinsoku/>
        <w:wordWrap/>
        <w:overflowPunct/>
        <w:topLinePunct w:val="0"/>
        <w:autoSpaceDE/>
        <w:autoSpaceDN/>
        <w:bidi w:val="0"/>
        <w:adjustRightInd w:val="0"/>
        <w:spacing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按合同约定向乙方支付费用。</w:t>
      </w:r>
    </w:p>
    <w:p w14:paraId="62A02753">
      <w:pPr>
        <w:pStyle w:val="29"/>
        <w:keepNext w:val="0"/>
        <w:keepLines w:val="0"/>
        <w:pageBreakBefore w:val="0"/>
        <w:numPr>
          <w:ilvl w:val="0"/>
          <w:numId w:val="18"/>
        </w:numPr>
        <w:kinsoku/>
        <w:wordWrap/>
        <w:overflowPunct/>
        <w:topLinePunct w:val="0"/>
        <w:autoSpaceDE/>
        <w:autoSpaceDN/>
        <w:bidi w:val="0"/>
        <w:adjustRightInd w:val="0"/>
        <w:spacing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保证乙方实施服务所必须的外部条件如电源、水源的正常供应及开启、关闭等。</w:t>
      </w:r>
    </w:p>
    <w:p w14:paraId="35119703">
      <w:pPr>
        <w:pStyle w:val="29"/>
        <w:keepNext w:val="0"/>
        <w:keepLines w:val="0"/>
        <w:pageBreakBefore w:val="0"/>
        <w:numPr>
          <w:ilvl w:val="0"/>
          <w:numId w:val="18"/>
        </w:numPr>
        <w:kinsoku/>
        <w:wordWrap/>
        <w:overflowPunct/>
        <w:topLinePunct w:val="0"/>
        <w:autoSpaceDE/>
        <w:autoSpaceDN/>
        <w:bidi w:val="0"/>
        <w:adjustRightInd w:val="0"/>
        <w:spacing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对于乙方在提供服务期间所提供的信息，甲方应予保密，未经乙方书面同意，甲方不得擅自使用或透露给第三方。</w:t>
      </w:r>
    </w:p>
    <w:p w14:paraId="7EDB0B3A">
      <w:pPr>
        <w:pStyle w:val="29"/>
        <w:keepNext w:val="0"/>
        <w:keepLines w:val="0"/>
        <w:pageBreakBefore w:val="0"/>
        <w:numPr>
          <w:ilvl w:val="0"/>
          <w:numId w:val="18"/>
        </w:numPr>
        <w:kinsoku/>
        <w:wordWrap/>
        <w:overflowPunct/>
        <w:topLinePunct w:val="0"/>
        <w:autoSpaceDE/>
        <w:autoSpaceDN/>
        <w:bidi w:val="0"/>
        <w:adjustRightInd w:val="0"/>
        <w:spacing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甲方对服务人员不满意的，有权要求乙方在7日内更换相关服务人员。</w:t>
      </w:r>
    </w:p>
    <w:p w14:paraId="344AB8AA">
      <w:pPr>
        <w:pStyle w:val="9"/>
        <w:keepNext w:val="0"/>
        <w:keepLines w:val="0"/>
        <w:pageBreakBefore w:val="0"/>
        <w:numPr>
          <w:ilvl w:val="0"/>
          <w:numId w:val="17"/>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乙方权利与义务</w:t>
      </w:r>
    </w:p>
    <w:p w14:paraId="319B30B1">
      <w:pPr>
        <w:pStyle w:val="9"/>
        <w:keepNext w:val="0"/>
        <w:keepLines w:val="0"/>
        <w:pageBreakBefore w:val="0"/>
        <w:numPr>
          <w:ilvl w:val="0"/>
          <w:numId w:val="19"/>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按本合同约定向甲方提供服务。</w:t>
      </w:r>
    </w:p>
    <w:p w14:paraId="29A7D576">
      <w:pPr>
        <w:pStyle w:val="9"/>
        <w:keepNext w:val="0"/>
        <w:keepLines w:val="0"/>
        <w:pageBreakBefore w:val="0"/>
        <w:numPr>
          <w:ilvl w:val="0"/>
          <w:numId w:val="19"/>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乙方应保证提供的服务人员具备相应的服务能力和服务资质（如涉及）。</w:t>
      </w:r>
    </w:p>
    <w:p w14:paraId="26B4DD92">
      <w:pPr>
        <w:pStyle w:val="9"/>
        <w:keepNext w:val="0"/>
        <w:keepLines w:val="0"/>
        <w:pageBreakBefore w:val="0"/>
        <w:numPr>
          <w:ilvl w:val="0"/>
          <w:numId w:val="19"/>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如服务涉及更换备品备件、材料等，乙方应保证服务中更换的备品备件、材料达到本项目采购文件及乙方响应文件中的技术要求和质量标准，符合或优于国家（行业）标准，并保证所更换的备品备件、原材料在正确安装及正常使用和保养条件下，于其使用寿命期内性能满足甲方需求。</w:t>
      </w:r>
    </w:p>
    <w:p w14:paraId="03A4EB61">
      <w:pPr>
        <w:pStyle w:val="9"/>
        <w:keepNext w:val="0"/>
        <w:keepLines w:val="0"/>
        <w:pageBreakBefore w:val="0"/>
        <w:numPr>
          <w:ilvl w:val="0"/>
          <w:numId w:val="19"/>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如服务涉及计算机软件产品的，乙方须承诺在服务中设备安装的软件已获得软件厂商的正规授权。</w:t>
      </w:r>
    </w:p>
    <w:p w14:paraId="68E6AAB3">
      <w:pPr>
        <w:pStyle w:val="9"/>
        <w:keepNext w:val="0"/>
        <w:keepLines w:val="0"/>
        <w:pageBreakBefore w:val="0"/>
        <w:numPr>
          <w:ilvl w:val="0"/>
          <w:numId w:val="19"/>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乙方对在按本合同约定向甲方提供服务过程中所获得的所有数据、商业秘密或其它技术及经营信息负有保密的义务，不得向任何第三方透露或泄露。</w:t>
      </w:r>
    </w:p>
    <w:p w14:paraId="742F7349">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违约责任</w:t>
      </w:r>
      <w:r>
        <w:rPr>
          <w:rFonts w:hint="eastAsia" w:ascii="宋体" w:hAnsi="宋体" w:eastAsia="宋体" w:cs="宋体"/>
          <w:bCs/>
          <w:i/>
          <w:iCs/>
          <w:szCs w:val="21"/>
          <w:highlight w:val="yellow"/>
        </w:rPr>
        <w:t>&lt;本条款中违约金比例可根据项目实际情况确定，如合同无固定总金额的，请按实际需求调整表述&gt;</w:t>
      </w:r>
    </w:p>
    <w:p w14:paraId="5B66A4B0">
      <w:pPr>
        <w:pStyle w:val="9"/>
        <w:keepNext w:val="0"/>
        <w:keepLines w:val="0"/>
        <w:pageBreakBefore w:val="0"/>
        <w:numPr>
          <w:ilvl w:val="0"/>
          <w:numId w:val="20"/>
        </w:numPr>
        <w:kinsoku/>
        <w:wordWrap/>
        <w:overflowPunct/>
        <w:topLinePunct w:val="0"/>
        <w:autoSpaceDE/>
        <w:autoSpaceDN/>
        <w:bidi w:val="0"/>
        <w:spacing w:after="0" w:line="400" w:lineRule="exact"/>
        <w:ind w:left="0" w:leftChars="0" w:hanging="227"/>
        <w:contextualSpacing/>
        <w:jc w:val="left"/>
        <w:textAlignment w:val="auto"/>
        <w:rPr>
          <w:rFonts w:hint="eastAsia" w:ascii="宋体" w:hAnsi="宋体" w:eastAsia="宋体" w:cs="宋体"/>
          <w:szCs w:val="21"/>
        </w:rPr>
      </w:pPr>
      <w:r>
        <w:rPr>
          <w:rFonts w:hint="eastAsia" w:ascii="宋体" w:hAnsi="宋体" w:eastAsia="宋体" w:cs="宋体"/>
          <w:szCs w:val="21"/>
        </w:rPr>
        <w:t>甲方违约责任：甲方无正当理由拒绝乙方按本合同约定提供服务的，甲方应偿付合同总金额的</w:t>
      </w:r>
      <w:r>
        <w:rPr>
          <w:rFonts w:hint="eastAsia" w:ascii="宋体" w:hAnsi="宋体" w:eastAsia="宋体" w:cs="宋体"/>
          <w:szCs w:val="21"/>
          <w:u w:val="single"/>
        </w:rPr>
        <w:t>10%</w:t>
      </w:r>
      <w:r>
        <w:rPr>
          <w:rFonts w:hint="eastAsia" w:ascii="宋体" w:hAnsi="宋体" w:eastAsia="宋体" w:cs="宋体"/>
          <w:szCs w:val="21"/>
        </w:rPr>
        <w:t>作为违约金。</w:t>
      </w:r>
    </w:p>
    <w:p w14:paraId="0BC8E6CE">
      <w:pPr>
        <w:pStyle w:val="29"/>
        <w:keepNext w:val="0"/>
        <w:keepLines w:val="0"/>
        <w:pageBreakBefore w:val="0"/>
        <w:numPr>
          <w:ilvl w:val="0"/>
          <w:numId w:val="20"/>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乙方违约责任：</w:t>
      </w:r>
    </w:p>
    <w:p w14:paraId="354B31C5">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bookmarkStart w:id="98" w:name="OLE_LINK17"/>
      <w:bookmarkStart w:id="99" w:name="OLE_LINK18"/>
      <w:r>
        <w:rPr>
          <w:rFonts w:hint="eastAsia" w:ascii="宋体" w:hAnsi="宋体" w:eastAsia="宋体" w:cs="宋体"/>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因乙方在服务中更换的备品备件或原材料在质保期内并在正常使用情况下出现质量原因导致甲方或第三方财产或人身损害的，由乙方承担赔偿责任。</w:t>
      </w:r>
    </w:p>
    <w:p w14:paraId="2E725C36">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在本合同的履行中，如乙方提供的服务存在设计、工艺或材料缺陷（包括潜在缺陷），乙方应当对由于上述缺陷造成的损失负责。</w:t>
      </w:r>
    </w:p>
    <w:p w14:paraId="74485C68">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在本合同履行中，如乙方未按本合同约定及时向甲方提供服务，每发生一次，乙方应按</w:t>
      </w:r>
      <w:r>
        <w:rPr>
          <w:rFonts w:hint="eastAsia" w:ascii="宋体" w:hAnsi="宋体" w:eastAsia="宋体" w:cs="宋体"/>
          <w:szCs w:val="21"/>
          <w:u w:val="single"/>
        </w:rPr>
        <w:t>合同总金额</w:t>
      </w:r>
      <w:r>
        <w:rPr>
          <w:rFonts w:hint="eastAsia" w:ascii="宋体" w:hAnsi="宋体" w:eastAsia="宋体" w:cs="宋体"/>
          <w:szCs w:val="21"/>
        </w:rPr>
        <w:t>的</w:t>
      </w:r>
      <w:r>
        <w:rPr>
          <w:rFonts w:hint="eastAsia" w:ascii="宋体" w:hAnsi="宋体" w:eastAsia="宋体" w:cs="宋体"/>
          <w:szCs w:val="21"/>
          <w:u w:val="single"/>
          <w:lang w:val="en-US" w:eastAsia="zh-CN"/>
        </w:rPr>
        <w:t>3</w:t>
      </w:r>
      <w:r>
        <w:rPr>
          <w:rFonts w:hint="eastAsia" w:ascii="宋体" w:hAnsi="宋体" w:eastAsia="宋体" w:cs="宋体"/>
          <w:szCs w:val="21"/>
        </w:rPr>
        <w:t>‰向甲方支付违约金。甲方可采取必要的补救措施，但由此而产生的风险责任和费用将由乙方负担，甲方根据合同规定对乙方行使的其他权利不受影响。</w:t>
      </w:r>
    </w:p>
    <w:p w14:paraId="170DE4FD">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乙方在提供服务过程中侵犯他人知识产权，甲方有权单方解除合同，并要求乙方赔偿所造成的损失，同时甲方有权要求对方按照</w:t>
      </w:r>
      <w:r>
        <w:rPr>
          <w:rFonts w:hint="eastAsia" w:ascii="宋体" w:hAnsi="宋体" w:eastAsia="宋体" w:cs="宋体"/>
          <w:szCs w:val="21"/>
          <w:u w:val="single"/>
        </w:rPr>
        <w:t>合同总金额</w:t>
      </w:r>
      <w:r>
        <w:rPr>
          <w:rFonts w:hint="eastAsia" w:ascii="宋体" w:hAnsi="宋体" w:eastAsia="宋体" w:cs="宋体"/>
          <w:szCs w:val="21"/>
        </w:rPr>
        <w:t>的</w:t>
      </w:r>
      <w:r>
        <w:rPr>
          <w:rFonts w:hint="eastAsia" w:ascii="宋体" w:hAnsi="宋体" w:eastAsia="宋体" w:cs="宋体"/>
          <w:szCs w:val="21"/>
          <w:u w:val="single"/>
        </w:rPr>
        <w:t>10</w:t>
      </w:r>
      <w:r>
        <w:rPr>
          <w:rFonts w:hint="eastAsia" w:ascii="宋体" w:hAnsi="宋体" w:eastAsia="宋体" w:cs="宋体"/>
          <w:szCs w:val="21"/>
        </w:rPr>
        <w:t>%支付违约金。</w:t>
      </w:r>
    </w:p>
    <w:p w14:paraId="0B168445">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乙方违反保密义务，甲方有权单方解除合同，乙方应按甲方实际损失向甲方进行赔偿并向甲方支付</w:t>
      </w:r>
      <w:r>
        <w:rPr>
          <w:rFonts w:hint="eastAsia" w:ascii="宋体" w:hAnsi="宋体" w:eastAsia="宋体" w:cs="宋体"/>
          <w:szCs w:val="21"/>
          <w:u w:val="single"/>
        </w:rPr>
        <w:t>合同总金额</w:t>
      </w:r>
      <w:r>
        <w:rPr>
          <w:rFonts w:hint="eastAsia" w:ascii="宋体" w:hAnsi="宋体" w:eastAsia="宋体" w:cs="宋体"/>
          <w:szCs w:val="21"/>
        </w:rPr>
        <w:t>的</w:t>
      </w:r>
      <w:r>
        <w:rPr>
          <w:rFonts w:hint="eastAsia" w:ascii="宋体" w:hAnsi="宋体" w:eastAsia="宋体" w:cs="宋体"/>
          <w:szCs w:val="21"/>
          <w:u w:val="single"/>
        </w:rPr>
        <w:t>10</w:t>
      </w:r>
      <w:r>
        <w:rPr>
          <w:rFonts w:hint="eastAsia" w:ascii="宋体" w:hAnsi="宋体" w:eastAsia="宋体" w:cs="宋体"/>
          <w:szCs w:val="21"/>
        </w:rPr>
        <w:t>%作为违约金。</w:t>
      </w:r>
    </w:p>
    <w:bookmarkEnd w:id="98"/>
    <w:bookmarkEnd w:id="99"/>
    <w:p w14:paraId="79DD140B">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乙方偿付的违约金不足以弥补甲方损失的，还应按甲方损失尚未弥补的部分，支付赔偿金给甲方。</w:t>
      </w:r>
    </w:p>
    <w:p w14:paraId="3156E70D">
      <w:pPr>
        <w:pStyle w:val="9"/>
        <w:keepNext w:val="0"/>
        <w:keepLines w:val="0"/>
        <w:pageBreakBefore w:val="0"/>
        <w:numPr>
          <w:ilvl w:val="0"/>
          <w:numId w:val="21"/>
        </w:numPr>
        <w:kinsoku/>
        <w:wordWrap/>
        <w:overflowPunct/>
        <w:topLinePunct w:val="0"/>
        <w:autoSpaceDE/>
        <w:autoSpaceDN/>
        <w:bidi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keepNext w:val="0"/>
        <w:keepLines w:val="0"/>
        <w:pageBreakBefore w:val="0"/>
        <w:numPr>
          <w:ilvl w:val="0"/>
          <w:numId w:val="21"/>
        </w:numPr>
        <w:kinsoku/>
        <w:wordWrap/>
        <w:overflowPunct/>
        <w:topLinePunct w:val="0"/>
        <w:autoSpaceDE/>
        <w:autoSpaceDN/>
        <w:bidi w:val="0"/>
        <w:snapToGrid w:val="0"/>
        <w:spacing w:after="0" w:line="400" w:lineRule="exact"/>
        <w:ind w:left="525" w:leftChars="0" w:hanging="525" w:hangingChars="250"/>
        <w:contextualSpacing/>
        <w:jc w:val="left"/>
        <w:textAlignment w:val="auto"/>
        <w:rPr>
          <w:rFonts w:hint="eastAsia" w:ascii="宋体" w:hAnsi="宋体" w:eastAsia="宋体" w:cs="宋体"/>
          <w:szCs w:val="21"/>
        </w:rPr>
      </w:pPr>
      <w:r>
        <w:rPr>
          <w:rFonts w:hint="eastAsia" w:ascii="宋体" w:hAnsi="宋体" w:eastAsia="宋体" w:cs="宋体"/>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keepNext w:val="0"/>
        <w:keepLines w:val="0"/>
        <w:pageBreakBefore w:val="0"/>
        <w:kinsoku/>
        <w:wordWrap/>
        <w:overflowPunct/>
        <w:topLinePunct w:val="0"/>
        <w:autoSpaceDE/>
        <w:autoSpaceDN/>
        <w:bidi w:val="0"/>
        <w:spacing w:after="0" w:line="400" w:lineRule="exact"/>
        <w:ind w:left="0" w:leftChars="0"/>
        <w:contextualSpacing/>
        <w:jc w:val="left"/>
        <w:textAlignment w:val="auto"/>
        <w:rPr>
          <w:rFonts w:hint="eastAsia" w:ascii="宋体" w:hAnsi="宋体" w:eastAsia="宋体" w:cs="宋体"/>
          <w:szCs w:val="21"/>
        </w:rPr>
      </w:pPr>
      <w:r>
        <w:rPr>
          <w:rFonts w:hint="eastAsia" w:ascii="宋体" w:hAnsi="宋体" w:eastAsia="宋体" w:cs="宋体"/>
          <w:szCs w:val="21"/>
        </w:rPr>
        <w:t>3.本合同履行中如有任何一方违约，那么守约方为保障自己合法权益而产生的律师费、诉讼费、差旅费、公告费等，均由违约方承担。</w:t>
      </w:r>
    </w:p>
    <w:p w14:paraId="754D0209">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不可抗力</w:t>
      </w:r>
    </w:p>
    <w:p w14:paraId="26541785">
      <w:pPr>
        <w:pStyle w:val="29"/>
        <w:keepNext w:val="0"/>
        <w:keepLines w:val="0"/>
        <w:pageBreakBefore w:val="0"/>
        <w:kinsoku/>
        <w:wordWrap/>
        <w:overflowPunct/>
        <w:topLinePunct w:val="0"/>
        <w:autoSpaceDE/>
        <w:autoSpaceDN/>
        <w:bidi w:val="0"/>
        <w:snapToGrid w:val="0"/>
        <w:spacing w:line="400" w:lineRule="exact"/>
        <w:ind w:left="0" w:leftChars="0"/>
        <w:textAlignment w:val="auto"/>
        <w:rPr>
          <w:rFonts w:hint="eastAsia" w:ascii="宋体" w:hAnsi="宋体" w:eastAsia="宋体" w:cs="宋体"/>
          <w:bCs/>
          <w:szCs w:val="21"/>
        </w:rPr>
      </w:pPr>
      <w:r>
        <w:rPr>
          <w:rFonts w:hint="eastAsia" w:ascii="宋体" w:hAnsi="宋体" w:eastAsia="宋体" w:cs="宋体"/>
          <w:bCs/>
          <w:szCs w:val="21"/>
        </w:rPr>
        <w:t>如果遇到自然灾害和灾难及其他不可抗力事件而影响合同履行时，乙方应在三个工作日内以书面形式通知甲方。若不可抗力原因影响本合同执行时间超过</w:t>
      </w:r>
      <w:r>
        <w:rPr>
          <w:rFonts w:hint="eastAsia" w:ascii="宋体" w:hAnsi="宋体" w:eastAsia="宋体" w:cs="宋体"/>
          <w:bCs/>
          <w:szCs w:val="21"/>
          <w:lang w:val="en-US" w:eastAsia="zh-CN"/>
        </w:rPr>
        <w:t>30</w:t>
      </w:r>
      <w:r>
        <w:rPr>
          <w:rFonts w:hint="eastAsia" w:ascii="宋体" w:hAnsi="宋体" w:eastAsia="宋体" w:cs="宋体"/>
          <w:bCs/>
          <w:szCs w:val="21"/>
        </w:rPr>
        <w:t>日，甲方有权解除合同，双方互不承担违约责任。</w:t>
      </w:r>
    </w:p>
    <w:p w14:paraId="031713B9">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合同终止及解除</w:t>
      </w:r>
    </w:p>
    <w:p w14:paraId="275C61D9">
      <w:pPr>
        <w:pStyle w:val="29"/>
        <w:keepNext w:val="0"/>
        <w:keepLines w:val="0"/>
        <w:pageBreakBefore w:val="0"/>
        <w:numPr>
          <w:ilvl w:val="0"/>
          <w:numId w:val="22"/>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keepNext w:val="0"/>
        <w:keepLines w:val="0"/>
        <w:pageBreakBefore w:val="0"/>
        <w:numPr>
          <w:ilvl w:val="0"/>
          <w:numId w:val="22"/>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在甲、乙任何一方有严重违约行为时，另一方有权单方解除合同。</w:t>
      </w:r>
    </w:p>
    <w:p w14:paraId="2BA7B89E">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争议解决办法</w:t>
      </w:r>
    </w:p>
    <w:p w14:paraId="5C6244A3">
      <w:pPr>
        <w:pStyle w:val="29"/>
        <w:keepNext w:val="0"/>
        <w:keepLines w:val="0"/>
        <w:pageBreakBefore w:val="0"/>
        <w:numPr>
          <w:ilvl w:val="0"/>
          <w:numId w:val="23"/>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因服务质量问题发生争议，由质量技术监督部门或其指定的质量鉴定机构进行质量鉴定，结果符合标准的，鉴定费由甲方承担；不符合标准的，鉴定费由乙方承担。</w:t>
      </w:r>
    </w:p>
    <w:p w14:paraId="40F006BE">
      <w:pPr>
        <w:pStyle w:val="29"/>
        <w:keepNext w:val="0"/>
        <w:keepLines w:val="0"/>
        <w:pageBreakBefore w:val="0"/>
        <w:numPr>
          <w:ilvl w:val="0"/>
          <w:numId w:val="23"/>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合同履行期间,若双方发生争议，可协商或由有关部门调解解决，协商或调解不成的，任何一方均有权向甲方所在地具有管辖权的人民法院起诉。</w:t>
      </w:r>
    </w:p>
    <w:p w14:paraId="533F8595">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送达（送达地址是司法机关、执法机关和仲裁机关将法律文书送达给当事人的收件地址）</w:t>
      </w:r>
    </w:p>
    <w:p w14:paraId="46F487CF">
      <w:pPr>
        <w:pStyle w:val="34"/>
        <w:keepNext w:val="0"/>
        <w:keepLines w:val="0"/>
        <w:pageBreakBefore w:val="0"/>
        <w:numPr>
          <w:ilvl w:val="0"/>
          <w:numId w:val="24"/>
        </w:numPr>
        <w:kinsoku/>
        <w:wordWrap/>
        <w:overflowPunct/>
        <w:topLinePunct w:val="0"/>
        <w:autoSpaceDE/>
        <w:autoSpaceDN/>
        <w:bidi w:val="0"/>
        <w:spacing w:line="400" w:lineRule="exact"/>
        <w:ind w:left="0" w:leftChars="0" w:firstLine="0"/>
        <w:textAlignment w:val="auto"/>
        <w:rPr>
          <w:rFonts w:hint="eastAsia" w:ascii="宋体" w:hAnsi="宋体" w:eastAsia="宋体" w:cs="宋体"/>
          <w:color w:val="auto"/>
        </w:rPr>
      </w:pPr>
      <w:r>
        <w:rPr>
          <w:rFonts w:hint="eastAsia" w:ascii="宋体" w:hAnsi="宋体" w:eastAsia="宋体" w:cs="宋体"/>
          <w:color w:val="auto"/>
        </w:rPr>
        <w:t>甲方送达地址：四川省成都市青羊区一环路西二段32号。</w:t>
      </w:r>
    </w:p>
    <w:p w14:paraId="2E0AF282">
      <w:pPr>
        <w:pStyle w:val="34"/>
        <w:keepNext w:val="0"/>
        <w:keepLines w:val="0"/>
        <w:pageBreakBefore w:val="0"/>
        <w:numPr>
          <w:ilvl w:val="0"/>
          <w:numId w:val="24"/>
        </w:numPr>
        <w:kinsoku/>
        <w:wordWrap/>
        <w:overflowPunct/>
        <w:topLinePunct w:val="0"/>
        <w:autoSpaceDE/>
        <w:autoSpaceDN/>
        <w:bidi w:val="0"/>
        <w:spacing w:line="400" w:lineRule="exact"/>
        <w:ind w:left="0" w:leftChars="0" w:firstLine="0"/>
        <w:textAlignment w:val="auto"/>
        <w:rPr>
          <w:rFonts w:hint="eastAsia" w:ascii="宋体" w:hAnsi="宋体" w:eastAsia="宋体" w:cs="宋体"/>
          <w:color w:val="auto"/>
        </w:rPr>
      </w:pPr>
      <w:r>
        <w:rPr>
          <w:rFonts w:hint="eastAsia" w:ascii="宋体" w:hAnsi="宋体" w:eastAsia="宋体" w:cs="宋体"/>
          <w:color w:val="auto"/>
        </w:rPr>
        <w:t>乙方送达地址：***</w:t>
      </w:r>
    </w:p>
    <w:p w14:paraId="750624B0">
      <w:pPr>
        <w:pStyle w:val="34"/>
        <w:keepNext w:val="0"/>
        <w:keepLines w:val="0"/>
        <w:pageBreakBefore w:val="0"/>
        <w:numPr>
          <w:ilvl w:val="0"/>
          <w:numId w:val="24"/>
        </w:numPr>
        <w:kinsoku/>
        <w:wordWrap/>
        <w:overflowPunct/>
        <w:topLinePunct w:val="0"/>
        <w:autoSpaceDE/>
        <w:autoSpaceDN/>
        <w:bidi w:val="0"/>
        <w:spacing w:line="400" w:lineRule="exact"/>
        <w:ind w:left="0" w:leftChars="0" w:firstLine="0"/>
        <w:textAlignment w:val="auto"/>
        <w:rPr>
          <w:rFonts w:hint="eastAsia" w:ascii="宋体" w:hAnsi="宋体" w:eastAsia="宋体" w:cs="宋体"/>
          <w:color w:val="auto"/>
        </w:rPr>
      </w:pPr>
      <w:r>
        <w:rPr>
          <w:rFonts w:hint="eastAsia" w:ascii="宋体" w:hAnsi="宋体" w:eastAsia="宋体" w:cs="宋体"/>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其他</w:t>
      </w:r>
    </w:p>
    <w:p w14:paraId="162904B6">
      <w:pPr>
        <w:pStyle w:val="29"/>
        <w:keepNext w:val="0"/>
        <w:keepLines w:val="0"/>
        <w:pageBreakBefore w:val="0"/>
        <w:numPr>
          <w:ilvl w:val="0"/>
          <w:numId w:val="25"/>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如有未尽事宜，由双方依法订立补充合同。补充合同及本合同附件均为本合同的组成部分，与本合同具有同等法律效力。</w:t>
      </w:r>
    </w:p>
    <w:p w14:paraId="3EA6778F">
      <w:pPr>
        <w:pStyle w:val="29"/>
        <w:keepNext w:val="0"/>
        <w:keepLines w:val="0"/>
        <w:pageBreakBefore w:val="0"/>
        <w:numPr>
          <w:ilvl w:val="0"/>
          <w:numId w:val="25"/>
        </w:numPr>
        <w:kinsoku/>
        <w:wordWrap/>
        <w:overflowPunct/>
        <w:topLinePunct w:val="0"/>
        <w:autoSpaceDE/>
        <w:autoSpaceDN/>
        <w:bidi w:val="0"/>
        <w:spacing w:line="400" w:lineRule="exact"/>
        <w:ind w:left="0" w:leftChars="0" w:firstLine="0" w:firstLineChars="0"/>
        <w:textAlignment w:val="auto"/>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lang w:val="en-US" w:eastAsia="zh-CN"/>
        </w:rPr>
        <w:t>五</w:t>
      </w:r>
      <w:r>
        <w:rPr>
          <w:rFonts w:hint="eastAsia" w:ascii="宋体" w:hAnsi="宋体" w:eastAsia="宋体" w:cs="宋体"/>
          <w:szCs w:val="21"/>
        </w:rPr>
        <w:t>份，自双方签字且盖章之日起生效。甲方</w:t>
      </w:r>
      <w:r>
        <w:rPr>
          <w:rFonts w:hint="eastAsia" w:ascii="宋体" w:hAnsi="宋体" w:eastAsia="宋体" w:cs="宋体"/>
          <w:szCs w:val="21"/>
          <w:lang w:val="en-US" w:eastAsia="zh-CN"/>
        </w:rPr>
        <w:t>四</w:t>
      </w:r>
      <w:r>
        <w:rPr>
          <w:rFonts w:hint="eastAsia" w:ascii="宋体" w:hAnsi="宋体" w:eastAsia="宋体" w:cs="宋体"/>
          <w:szCs w:val="21"/>
        </w:rPr>
        <w:t>份，乙方一份。</w:t>
      </w:r>
    </w:p>
    <w:p w14:paraId="134580B1">
      <w:pPr>
        <w:pStyle w:val="29"/>
        <w:keepNext w:val="0"/>
        <w:keepLines w:val="0"/>
        <w:pageBreakBefore w:val="0"/>
        <w:numPr>
          <w:ilvl w:val="0"/>
          <w:numId w:val="11"/>
        </w:numPr>
        <w:kinsoku/>
        <w:wordWrap/>
        <w:overflowPunct/>
        <w:topLinePunct w:val="0"/>
        <w:autoSpaceDE/>
        <w:autoSpaceDN/>
        <w:bidi w:val="0"/>
        <w:spacing w:line="400" w:lineRule="exact"/>
        <w:ind w:left="0" w:leftChars="0" w:firstLine="0" w:firstLineChars="0"/>
        <w:contextualSpacing/>
        <w:jc w:val="left"/>
        <w:textAlignment w:val="auto"/>
        <w:rPr>
          <w:rFonts w:hint="eastAsia" w:ascii="宋体" w:hAnsi="宋体" w:eastAsia="宋体" w:cs="宋体"/>
          <w:b/>
          <w:szCs w:val="21"/>
        </w:rPr>
      </w:pPr>
      <w:r>
        <w:rPr>
          <w:rFonts w:hint="eastAsia" w:ascii="宋体" w:hAnsi="宋体" w:eastAsia="宋体" w:cs="宋体"/>
          <w:b/>
          <w:szCs w:val="21"/>
        </w:rPr>
        <w:t>合同附件</w:t>
      </w:r>
    </w:p>
    <w:p w14:paraId="6C66D4AC">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本合同为</w:t>
      </w:r>
      <w:r>
        <w:rPr>
          <w:rFonts w:hint="eastAsia" w:ascii="宋体" w:hAnsi="宋体" w:eastAsia="宋体" w:cs="宋体"/>
          <w:szCs w:val="21"/>
          <w:u w:val="single"/>
        </w:rPr>
        <w:t>有</w:t>
      </w:r>
      <w:r>
        <w:rPr>
          <w:rFonts w:hint="eastAsia" w:ascii="宋体" w:hAnsi="宋体" w:eastAsia="宋体" w:cs="宋体"/>
          <w:szCs w:val="21"/>
        </w:rPr>
        <w:t>附件合同，附件如下：</w:t>
      </w:r>
      <w:r>
        <w:rPr>
          <w:rFonts w:hint="eastAsia" w:ascii="宋体" w:hAnsi="宋体" w:eastAsia="宋体" w:cs="宋体"/>
          <w:i/>
          <w:iCs/>
          <w:szCs w:val="21"/>
          <w:highlight w:val="yellow"/>
        </w:rPr>
        <w:t>&lt;根据项目实际情况编制&gt;</w:t>
      </w:r>
    </w:p>
    <w:p w14:paraId="3FF9CA8A">
      <w:pPr>
        <w:keepNext w:val="0"/>
        <w:keepLines w:val="0"/>
        <w:pageBreakBefore w:val="0"/>
        <w:kinsoku/>
        <w:wordWrap/>
        <w:overflowPunct/>
        <w:topLinePunct w:val="0"/>
        <w:autoSpaceDE/>
        <w:autoSpaceDN/>
        <w:bidi w:val="0"/>
        <w:spacing w:line="400" w:lineRule="exact"/>
        <w:ind w:left="0" w:leftChars="0"/>
        <w:jc w:val="left"/>
        <w:textAlignment w:val="auto"/>
        <w:outlineLvl w:val="0"/>
        <w:rPr>
          <w:rFonts w:hint="eastAsia" w:ascii="宋体" w:hAnsi="宋体" w:eastAsia="宋体" w:cs="宋体"/>
          <w:szCs w:val="21"/>
        </w:rPr>
      </w:pPr>
      <w:r>
        <w:rPr>
          <w:rFonts w:hint="eastAsia" w:ascii="宋体" w:hAnsi="宋体" w:eastAsia="宋体" w:cs="宋体"/>
          <w:szCs w:val="21"/>
        </w:rPr>
        <w:t>附件1《</w:t>
      </w:r>
      <w:bookmarkStart w:id="100" w:name="OLE_LINK32"/>
      <w:r>
        <w:rPr>
          <w:rFonts w:hint="eastAsia" w:ascii="宋体" w:hAnsi="宋体" w:eastAsia="宋体" w:cs="宋体"/>
          <w:szCs w:val="21"/>
        </w:rPr>
        <w:t>结算单价清单</w:t>
      </w:r>
      <w:bookmarkEnd w:id="100"/>
      <w:r>
        <w:rPr>
          <w:rFonts w:hint="eastAsia" w:ascii="宋体" w:hAnsi="宋体" w:eastAsia="宋体" w:cs="宋体"/>
          <w:szCs w:val="21"/>
        </w:rPr>
        <w:t>》</w:t>
      </w:r>
    </w:p>
    <w:p w14:paraId="6CDBD3F1">
      <w:pPr>
        <w:keepNext w:val="0"/>
        <w:keepLines w:val="0"/>
        <w:pageBreakBefore w:val="0"/>
        <w:kinsoku/>
        <w:wordWrap/>
        <w:overflowPunct/>
        <w:topLinePunct w:val="0"/>
        <w:autoSpaceDE/>
        <w:autoSpaceDN/>
        <w:bidi w:val="0"/>
        <w:spacing w:line="400" w:lineRule="exact"/>
        <w:ind w:left="0" w:leftChars="0"/>
        <w:jc w:val="left"/>
        <w:textAlignment w:val="auto"/>
        <w:outlineLvl w:val="0"/>
        <w:rPr>
          <w:rFonts w:hint="eastAsia" w:ascii="宋体" w:hAnsi="宋体" w:eastAsia="宋体" w:cs="宋体"/>
          <w:szCs w:val="21"/>
        </w:rPr>
      </w:pPr>
      <w:r>
        <w:rPr>
          <w:rFonts w:hint="eastAsia" w:ascii="宋体" w:hAnsi="宋体" w:eastAsia="宋体" w:cs="宋体"/>
          <w:szCs w:val="21"/>
        </w:rPr>
        <w:t>附件2《考核标准》</w:t>
      </w:r>
    </w:p>
    <w:p w14:paraId="485EAD27">
      <w:pPr>
        <w:keepNext w:val="0"/>
        <w:keepLines w:val="0"/>
        <w:pageBreakBefore w:val="0"/>
        <w:kinsoku/>
        <w:wordWrap/>
        <w:overflowPunct/>
        <w:topLinePunct w:val="0"/>
        <w:autoSpaceDE/>
        <w:autoSpaceDN/>
        <w:bidi w:val="0"/>
        <w:spacing w:line="400" w:lineRule="exact"/>
        <w:ind w:left="0" w:leftChars="0"/>
        <w:jc w:val="left"/>
        <w:textAlignment w:val="auto"/>
        <w:outlineLvl w:val="0"/>
        <w:rPr>
          <w:rFonts w:hint="eastAsia" w:ascii="宋体" w:hAnsi="宋体" w:eastAsia="宋体" w:cs="宋体"/>
          <w:szCs w:val="21"/>
        </w:rPr>
      </w:pPr>
      <w:r>
        <w:rPr>
          <w:rFonts w:hint="eastAsia" w:ascii="宋体" w:hAnsi="宋体" w:eastAsia="宋体" w:cs="宋体"/>
          <w:szCs w:val="21"/>
        </w:rPr>
        <w:t>附件3《服务方案》</w:t>
      </w:r>
    </w:p>
    <w:p w14:paraId="73257A85">
      <w:pPr>
        <w:keepNext w:val="0"/>
        <w:keepLines w:val="0"/>
        <w:pageBreakBefore w:val="0"/>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 w:val="18"/>
          <w:szCs w:val="18"/>
        </w:rPr>
        <w:t>以下无正文</w:t>
      </w:r>
      <w:r>
        <w:rPr>
          <w:rFonts w:hint="eastAsia" w:ascii="宋体" w:hAnsi="宋体" w:eastAsia="宋体" w:cs="宋体"/>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签订时间：</w:t>
            </w:r>
            <w:r>
              <w:rPr>
                <w:rFonts w:hint="eastAsia" w:ascii="宋体" w:hAnsi="宋体" w:eastAsia="宋体" w:cs="宋体"/>
              </w:rPr>
              <w:t>202*</w:t>
            </w:r>
            <w:r>
              <w:rPr>
                <w:rFonts w:hint="eastAsia" w:ascii="宋体" w:hAnsi="宋体" w:eastAsia="宋体" w:cs="宋体"/>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甲方：四川省人民医院（盖章）</w:t>
            </w:r>
          </w:p>
          <w:p w14:paraId="1BF2641A">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法定代表人（授权代表签字）：</w:t>
            </w:r>
          </w:p>
          <w:p w14:paraId="3CF6E833">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地    址：四川省成都市一环路西二段32号</w:t>
            </w:r>
          </w:p>
          <w:p w14:paraId="6736D38D">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开户银行：建设银行成都青羊支行</w:t>
            </w:r>
          </w:p>
          <w:p w14:paraId="3D5EBF0F">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账号：5100 1446 4360 5037 4282</w:t>
            </w:r>
          </w:p>
        </w:tc>
        <w:tc>
          <w:tcPr>
            <w:tcW w:w="5247" w:type="dxa"/>
          </w:tcPr>
          <w:p w14:paraId="76D47F6F">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乙方：</w:t>
            </w:r>
            <w:permStart w:id="2" w:edGrp="everyone"/>
            <w:r>
              <w:rPr>
                <w:rFonts w:hint="eastAsia" w:ascii="宋体" w:hAnsi="宋体" w:eastAsia="宋体" w:cs="宋体"/>
                <w:szCs w:val="21"/>
              </w:rPr>
              <w:t>***</w:t>
            </w:r>
            <w:permEnd w:id="2"/>
            <w:r>
              <w:rPr>
                <w:rFonts w:hint="eastAsia" w:ascii="宋体" w:hAnsi="宋体" w:eastAsia="宋体" w:cs="宋体"/>
                <w:szCs w:val="21"/>
              </w:rPr>
              <w:t>（盖章）</w:t>
            </w:r>
          </w:p>
          <w:p w14:paraId="5129AF1F">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法定代表人（授权代表签字）：</w:t>
            </w:r>
          </w:p>
          <w:p w14:paraId="47302462">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地址：</w:t>
            </w:r>
            <w:permStart w:id="3" w:edGrp="everyone"/>
            <w:r>
              <w:rPr>
                <w:rFonts w:hint="eastAsia" w:ascii="宋体" w:hAnsi="宋体" w:eastAsia="宋体" w:cs="宋体"/>
                <w:szCs w:val="21"/>
              </w:rPr>
              <w:t>***</w:t>
            </w:r>
            <w:permEnd w:id="3"/>
          </w:p>
          <w:p w14:paraId="1CF0A190">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szCs w:val="21"/>
              </w:rPr>
            </w:pPr>
            <w:r>
              <w:rPr>
                <w:rFonts w:hint="eastAsia" w:ascii="宋体" w:hAnsi="宋体" w:eastAsia="宋体" w:cs="宋体"/>
                <w:szCs w:val="21"/>
              </w:rPr>
              <w:t>开户银行：</w:t>
            </w:r>
            <w:permStart w:id="4" w:edGrp="everyone"/>
            <w:r>
              <w:rPr>
                <w:rFonts w:hint="eastAsia" w:ascii="宋体" w:hAnsi="宋体" w:eastAsia="宋体" w:cs="宋体"/>
                <w:szCs w:val="21"/>
              </w:rPr>
              <w:t>***</w:t>
            </w:r>
          </w:p>
          <w:permEnd w:id="4"/>
          <w:p w14:paraId="5672E29C">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rPr>
            </w:pPr>
            <w:r>
              <w:rPr>
                <w:rFonts w:hint="eastAsia" w:ascii="宋体" w:hAnsi="宋体" w:eastAsia="宋体" w:cs="宋体"/>
                <w:szCs w:val="21"/>
              </w:rPr>
              <w:t>账号：</w:t>
            </w:r>
            <w:permStart w:id="5" w:edGrp="everyone"/>
            <w:r>
              <w:rPr>
                <w:rFonts w:hint="eastAsia" w:ascii="宋体" w:hAnsi="宋体" w:eastAsia="宋体" w:cs="宋体"/>
                <w:szCs w:val="21"/>
              </w:rPr>
              <w:t>***</w:t>
            </w:r>
            <w:permEnd w:id="5"/>
          </w:p>
        </w:tc>
      </w:tr>
    </w:tbl>
    <w:p w14:paraId="00536653">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br w:type="page"/>
      </w:r>
    </w:p>
    <w:p w14:paraId="7B4B943E">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b/>
          <w:bCs/>
          <w:szCs w:val="21"/>
        </w:rPr>
      </w:pPr>
      <w:r>
        <w:rPr>
          <w:rFonts w:hint="eastAsia" w:ascii="宋体" w:hAnsi="宋体" w:eastAsia="宋体" w:cs="宋体"/>
          <w:b/>
          <w:bCs/>
          <w:szCs w:val="21"/>
        </w:rPr>
        <w:t>附件1：结算单价清单（人民币：元）</w:t>
      </w:r>
      <w:r>
        <w:rPr>
          <w:rFonts w:hint="eastAsia" w:ascii="宋体" w:hAnsi="宋体" w:eastAsia="宋体" w:cs="宋体"/>
          <w:b/>
          <w:bCs/>
          <w:i/>
          <w:iCs/>
          <w:szCs w:val="21"/>
          <w:highlight w:val="yellow"/>
        </w:rPr>
        <w:t>&lt;根据项目实际情况编制&gt;</w:t>
      </w:r>
    </w:p>
    <w:p w14:paraId="1D831279">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8F2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86880DA">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序号</w:t>
            </w:r>
          </w:p>
        </w:tc>
        <w:tc>
          <w:tcPr>
            <w:tcW w:w="3686" w:type="dxa"/>
            <w:vAlign w:val="center"/>
          </w:tcPr>
          <w:p w14:paraId="6C23FD50">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结算项目名称</w:t>
            </w:r>
          </w:p>
        </w:tc>
        <w:tc>
          <w:tcPr>
            <w:tcW w:w="3402" w:type="dxa"/>
            <w:vAlign w:val="center"/>
          </w:tcPr>
          <w:p w14:paraId="3BB9E943">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i/>
                <w:iCs/>
                <w:szCs w:val="21"/>
              </w:rPr>
            </w:pPr>
            <w:r>
              <w:rPr>
                <w:rFonts w:hint="eastAsia" w:ascii="宋体" w:hAnsi="宋体" w:eastAsia="宋体" w:cs="宋体"/>
                <w:b/>
                <w:bCs/>
                <w:szCs w:val="21"/>
              </w:rPr>
              <w:t>项目信息</w:t>
            </w:r>
            <w:r>
              <w:rPr>
                <w:rFonts w:hint="eastAsia" w:ascii="宋体" w:hAnsi="宋体" w:eastAsia="宋体" w:cs="宋体"/>
                <w:b/>
                <w:bCs/>
                <w:i/>
                <w:iCs/>
                <w:szCs w:val="21"/>
                <w:highlight w:val="yellow"/>
              </w:rPr>
              <w:t>&lt;生产厂商、品牌、型号规格等&gt;</w:t>
            </w:r>
          </w:p>
        </w:tc>
        <w:tc>
          <w:tcPr>
            <w:tcW w:w="992" w:type="dxa"/>
            <w:vAlign w:val="center"/>
          </w:tcPr>
          <w:p w14:paraId="66368B46">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结算单位</w:t>
            </w:r>
            <w:r>
              <w:rPr>
                <w:rFonts w:hint="eastAsia" w:ascii="宋体" w:hAnsi="宋体" w:eastAsia="宋体" w:cs="宋体"/>
                <w:b/>
                <w:bCs/>
                <w:i/>
                <w:iCs/>
                <w:szCs w:val="21"/>
                <w:highlight w:val="yellow"/>
              </w:rPr>
              <w:t>&lt;指货物的单位&gt;</w:t>
            </w:r>
          </w:p>
        </w:tc>
        <w:tc>
          <w:tcPr>
            <w:tcW w:w="986" w:type="dxa"/>
            <w:vAlign w:val="center"/>
          </w:tcPr>
          <w:p w14:paraId="5589F7C3">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b/>
                <w:bCs/>
                <w:szCs w:val="21"/>
              </w:rPr>
            </w:pPr>
            <w:r>
              <w:rPr>
                <w:rFonts w:hint="eastAsia" w:ascii="宋体" w:hAnsi="宋体" w:eastAsia="宋体" w:cs="宋体"/>
                <w:b/>
                <w:bCs/>
                <w:szCs w:val="21"/>
              </w:rPr>
              <w:t>结算单价</w:t>
            </w:r>
          </w:p>
        </w:tc>
      </w:tr>
      <w:tr w14:paraId="273CF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5AC9F2E">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1</w:t>
            </w:r>
          </w:p>
        </w:tc>
        <w:tc>
          <w:tcPr>
            <w:tcW w:w="3686" w:type="dxa"/>
            <w:vAlign w:val="center"/>
          </w:tcPr>
          <w:p w14:paraId="4A635D96">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3402" w:type="dxa"/>
            <w:vAlign w:val="center"/>
          </w:tcPr>
          <w:p w14:paraId="610A0DF8">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992" w:type="dxa"/>
            <w:vAlign w:val="center"/>
          </w:tcPr>
          <w:p w14:paraId="59C6D210">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c>
          <w:tcPr>
            <w:tcW w:w="986" w:type="dxa"/>
            <w:vAlign w:val="center"/>
          </w:tcPr>
          <w:p w14:paraId="3B758A07">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r>
      <w:tr w14:paraId="09DD6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B6FD72">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2</w:t>
            </w:r>
          </w:p>
        </w:tc>
        <w:tc>
          <w:tcPr>
            <w:tcW w:w="3686" w:type="dxa"/>
            <w:vAlign w:val="center"/>
          </w:tcPr>
          <w:p w14:paraId="2C25F4E1">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3402" w:type="dxa"/>
            <w:vAlign w:val="center"/>
          </w:tcPr>
          <w:p w14:paraId="473015E2">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992" w:type="dxa"/>
            <w:vAlign w:val="center"/>
          </w:tcPr>
          <w:p w14:paraId="1AC45725">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c>
          <w:tcPr>
            <w:tcW w:w="986" w:type="dxa"/>
            <w:vAlign w:val="center"/>
          </w:tcPr>
          <w:p w14:paraId="794FEA53">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r>
      <w:tr w14:paraId="090B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0CFABB85">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r>
              <w:rPr>
                <w:rFonts w:hint="eastAsia" w:ascii="宋体" w:hAnsi="宋体" w:eastAsia="宋体" w:cs="宋体"/>
                <w:szCs w:val="21"/>
              </w:rPr>
              <w:t>…</w:t>
            </w:r>
          </w:p>
        </w:tc>
        <w:tc>
          <w:tcPr>
            <w:tcW w:w="3686" w:type="dxa"/>
            <w:vAlign w:val="center"/>
          </w:tcPr>
          <w:p w14:paraId="09F89178">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3402" w:type="dxa"/>
            <w:vAlign w:val="center"/>
          </w:tcPr>
          <w:p w14:paraId="1FF16C42">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szCs w:val="21"/>
              </w:rPr>
            </w:pPr>
          </w:p>
        </w:tc>
        <w:tc>
          <w:tcPr>
            <w:tcW w:w="992" w:type="dxa"/>
            <w:vAlign w:val="center"/>
          </w:tcPr>
          <w:p w14:paraId="0BD2D448">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c>
          <w:tcPr>
            <w:tcW w:w="986" w:type="dxa"/>
            <w:vAlign w:val="center"/>
          </w:tcPr>
          <w:p w14:paraId="32267964">
            <w:pPr>
              <w:keepNext w:val="0"/>
              <w:keepLines w:val="0"/>
              <w:pageBreakBefore w:val="0"/>
              <w:widowControl/>
              <w:kinsoku/>
              <w:wordWrap/>
              <w:overflowPunct/>
              <w:topLinePunct w:val="0"/>
              <w:autoSpaceDE/>
              <w:autoSpaceDN/>
              <w:bidi w:val="0"/>
              <w:spacing w:line="400" w:lineRule="exact"/>
              <w:ind w:left="0" w:leftChars="0"/>
              <w:jc w:val="center"/>
              <w:textAlignment w:val="auto"/>
              <w:rPr>
                <w:rFonts w:hint="eastAsia" w:ascii="宋体" w:hAnsi="宋体" w:eastAsia="宋体" w:cs="宋体"/>
                <w:szCs w:val="21"/>
              </w:rPr>
            </w:pPr>
          </w:p>
        </w:tc>
      </w:tr>
    </w:tbl>
    <w:p w14:paraId="4333764E">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br w:type="page"/>
      </w:r>
    </w:p>
    <w:p w14:paraId="6BEFDD75">
      <w:pPr>
        <w:keepNext w:val="0"/>
        <w:keepLines w:val="0"/>
        <w:pageBreakBefore w:val="0"/>
        <w:widowControl/>
        <w:kinsoku/>
        <w:wordWrap/>
        <w:overflowPunct/>
        <w:topLinePunct w:val="0"/>
        <w:autoSpaceDE/>
        <w:autoSpaceDN/>
        <w:bidi w:val="0"/>
        <w:spacing w:line="400" w:lineRule="exact"/>
        <w:ind w:left="0" w:leftChars="0"/>
        <w:jc w:val="left"/>
        <w:textAlignment w:val="auto"/>
        <w:rPr>
          <w:rFonts w:hint="eastAsia" w:ascii="宋体" w:hAnsi="宋体" w:eastAsia="宋体" w:cs="宋体"/>
          <w:b/>
          <w:bCs/>
          <w:szCs w:val="21"/>
        </w:rPr>
      </w:pPr>
      <w:r>
        <w:rPr>
          <w:rFonts w:hint="eastAsia" w:ascii="宋体" w:hAnsi="宋体" w:eastAsia="宋体" w:cs="宋体"/>
          <w:b/>
          <w:bCs/>
          <w:szCs w:val="21"/>
        </w:rPr>
        <w:t>附件2：考核标准</w:t>
      </w:r>
    </w:p>
    <w:p w14:paraId="6C0FC75D">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p>
    <w:p w14:paraId="01FC3DB7">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rPr>
        <w:t>***</w:t>
      </w:r>
    </w:p>
    <w:p w14:paraId="2EED2368">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rPr>
        <w:br w:type="page"/>
      </w:r>
    </w:p>
    <w:p w14:paraId="692BA005">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Cs w:val="21"/>
        </w:rPr>
      </w:pPr>
      <w:r>
        <w:rPr>
          <w:rFonts w:hint="eastAsia" w:ascii="宋体" w:hAnsi="宋体" w:eastAsia="宋体" w:cs="宋体"/>
          <w:b/>
          <w:bCs/>
          <w:szCs w:val="21"/>
        </w:rPr>
        <w:t>附件3：服务方案</w:t>
      </w:r>
    </w:p>
    <w:p w14:paraId="49A6C9EA">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p>
    <w:p w14:paraId="1E9CF7A4">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rPr>
      </w:pPr>
      <w:r>
        <w:rPr>
          <w:rFonts w:hint="eastAsia" w:ascii="宋体" w:hAnsi="宋体" w:eastAsia="宋体" w:cs="宋体"/>
        </w:rPr>
        <w:t>***</w:t>
      </w:r>
    </w:p>
    <w:p w14:paraId="0CA01D3C">
      <w:pPr>
        <w:keepNext w:val="0"/>
        <w:keepLines w:val="0"/>
        <w:pageBreakBefore w:val="0"/>
        <w:kinsoku/>
        <w:wordWrap/>
        <w:overflowPunct/>
        <w:topLinePunct w:val="0"/>
        <w:autoSpaceDE/>
        <w:autoSpaceDN/>
        <w:bidi w:val="0"/>
        <w:spacing w:line="400" w:lineRule="exact"/>
        <w:ind w:left="0" w:leftChars="0"/>
        <w:textAlignment w:val="auto"/>
        <w:rPr>
          <w:rFonts w:hint="eastAsia" w:ascii="宋体" w:hAnsi="宋体" w:eastAsia="宋体" w:cs="宋体"/>
          <w:b/>
          <w:bCs/>
          <w:sz w:val="44"/>
          <w:szCs w:val="52"/>
        </w:rPr>
      </w:pPr>
      <w:r>
        <w:rPr>
          <w:rFonts w:hint="eastAsia" w:ascii="宋体" w:hAnsi="宋体" w:eastAsia="宋体" w:cs="宋体"/>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0759192-BA2A-4C5F-894F-212BE2E5284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BE77D88-D0A1-4C70-8D6F-04E8510A6B2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EC565E0-3005-460A-9DD5-6B18EB3A2C6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Alibaba PuHuiTi 2.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roman"/>
    <w:pitch w:val="default"/>
    <w:sig w:usb0="E00006FF" w:usb1="420024FF" w:usb2="02000000" w:usb3="00000000" w:csb0="2000019F" w:csb1="00000000"/>
    <w:embedRegular r:id="rId4" w:fontKey="{22253A51-D858-4F2C-B98B-621ADAC92B45}"/>
  </w:font>
  <w:font w:name="Segoe UI Symbol">
    <w:panose1 w:val="020B0502040204020203"/>
    <w:charset w:val="00"/>
    <w:family w:val="swiss"/>
    <w:pitch w:val="default"/>
    <w:sig w:usb0="800001E3" w:usb1="1200FFEF" w:usb2="00040000" w:usb3="04000000" w:csb0="00000001" w:csb1="40000000"/>
    <w:embedRegular r:id="rId5" w:fontKey="{A5D68898-191D-4936-AAE6-8B6A0DBC2BE9}"/>
  </w:font>
  <w:font w:name="微软雅黑">
    <w:panose1 w:val="020B0503020204020204"/>
    <w:charset w:val="86"/>
    <w:family w:val="auto"/>
    <w:pitch w:val="default"/>
    <w:sig w:usb0="80000287" w:usb1="2ACF3C50" w:usb2="00000016" w:usb3="00000000" w:csb0="0004001F" w:csb1="00000000"/>
    <w:embedRegular r:id="rId6" w:fontKey="{88CF42D8-E34E-4345-97DD-115B14667CC1}"/>
  </w:font>
  <w:font w:name="Wingdings 2">
    <w:altName w:val="Wingdings"/>
    <w:panose1 w:val="05020102010507070707"/>
    <w:charset w:val="4D"/>
    <w:family w:val="decorative"/>
    <w:pitch w:val="default"/>
    <w:sig w:usb0="00000000" w:usb1="00000000" w:usb2="00000000" w:usb3="00000000" w:csb0="80000001" w:csb1="00000000"/>
    <w:embedRegular r:id="rId7" w:fontKey="{A74792A0-AAFA-4326-AB72-BB80C458DF8E}"/>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E8AA2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48 </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3E8AA27">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 xml:space="preserve">48 </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none" w:color="auto" w:sz="0"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Bdr>
        <w:bottom w:val="single" w:color="auto" w:sz="4"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4">
    <w:nsid w:val="3A69C7D9"/>
    <w:multiLevelType w:val="singleLevel"/>
    <w:tmpl w:val="3A69C7D9"/>
    <w:lvl w:ilvl="0" w:tentative="0">
      <w:start w:val="1"/>
      <w:numFmt w:val="decimal"/>
      <w:lvlText w:val="(%1)"/>
      <w:lvlJc w:val="left"/>
      <w:pPr>
        <w:ind w:left="425" w:hanging="425"/>
      </w:pPr>
      <w:rPr>
        <w:rFonts w:hint="default"/>
      </w:rPr>
    </w:lvl>
  </w:abstractNum>
  <w:abstractNum w:abstractNumId="15">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6">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7">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0">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1">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3"/>
  </w:num>
  <w:num w:numId="2">
    <w:abstractNumId w:val="3"/>
  </w:num>
  <w:num w:numId="3">
    <w:abstractNumId w:val="15"/>
  </w:num>
  <w:num w:numId="4">
    <w:abstractNumId w:val="24"/>
  </w:num>
  <w:num w:numId="5">
    <w:abstractNumId w:val="19"/>
  </w:num>
  <w:num w:numId="6">
    <w:abstractNumId w:val="14"/>
  </w:num>
  <w:num w:numId="7">
    <w:abstractNumId w:val="2"/>
  </w:num>
  <w:num w:numId="8">
    <w:abstractNumId w:val="1"/>
  </w:num>
  <w:num w:numId="9">
    <w:abstractNumId w:val="0"/>
  </w:num>
  <w:num w:numId="10">
    <w:abstractNumId w:val="4"/>
  </w:num>
  <w:num w:numId="11">
    <w:abstractNumId w:val="11"/>
  </w:num>
  <w:num w:numId="12">
    <w:abstractNumId w:val="20"/>
  </w:num>
  <w:num w:numId="13">
    <w:abstractNumId w:val="23"/>
  </w:num>
  <w:num w:numId="14">
    <w:abstractNumId w:val="17"/>
  </w:num>
  <w:num w:numId="15">
    <w:abstractNumId w:val="8"/>
  </w:num>
  <w:num w:numId="16">
    <w:abstractNumId w:val="6"/>
  </w:num>
  <w:num w:numId="17">
    <w:abstractNumId w:val="21"/>
  </w:num>
  <w:num w:numId="18">
    <w:abstractNumId w:val="16"/>
  </w:num>
  <w:num w:numId="19">
    <w:abstractNumId w:val="7"/>
  </w:num>
  <w:num w:numId="20">
    <w:abstractNumId w:val="10"/>
  </w:num>
  <w:num w:numId="21">
    <w:abstractNumId w:val="22"/>
  </w:num>
  <w:num w:numId="22">
    <w:abstractNumId w:val="5"/>
  </w:num>
  <w:num w:numId="23">
    <w:abstractNumId w:val="18"/>
  </w:num>
  <w:num w:numId="24">
    <w:abstractNumId w:val="9"/>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E13064"/>
    <w:rsid w:val="06687B06"/>
    <w:rsid w:val="078A573C"/>
    <w:rsid w:val="093A3733"/>
    <w:rsid w:val="095F1E02"/>
    <w:rsid w:val="0B4508AE"/>
    <w:rsid w:val="0CF161C9"/>
    <w:rsid w:val="0E0B7FF0"/>
    <w:rsid w:val="0F602234"/>
    <w:rsid w:val="107567D9"/>
    <w:rsid w:val="117A5014"/>
    <w:rsid w:val="127F05A0"/>
    <w:rsid w:val="12EB5F75"/>
    <w:rsid w:val="136D78F8"/>
    <w:rsid w:val="152956B8"/>
    <w:rsid w:val="15CC4977"/>
    <w:rsid w:val="162A4F7D"/>
    <w:rsid w:val="16A82A66"/>
    <w:rsid w:val="185B5C9A"/>
    <w:rsid w:val="1994787E"/>
    <w:rsid w:val="1B754A9E"/>
    <w:rsid w:val="1DD000AF"/>
    <w:rsid w:val="1E09745A"/>
    <w:rsid w:val="1E176351"/>
    <w:rsid w:val="1F1C6D8B"/>
    <w:rsid w:val="2064456E"/>
    <w:rsid w:val="22935D1D"/>
    <w:rsid w:val="23D4489F"/>
    <w:rsid w:val="262001B9"/>
    <w:rsid w:val="27B760C2"/>
    <w:rsid w:val="27B87AF9"/>
    <w:rsid w:val="27E80EA9"/>
    <w:rsid w:val="280414A1"/>
    <w:rsid w:val="28570368"/>
    <w:rsid w:val="29C5318E"/>
    <w:rsid w:val="2B4F4779"/>
    <w:rsid w:val="2B502F98"/>
    <w:rsid w:val="2BF0147B"/>
    <w:rsid w:val="2C9A0A9E"/>
    <w:rsid w:val="2DA70D65"/>
    <w:rsid w:val="317F026E"/>
    <w:rsid w:val="3427766B"/>
    <w:rsid w:val="343706EB"/>
    <w:rsid w:val="346C4839"/>
    <w:rsid w:val="351A08D0"/>
    <w:rsid w:val="35DA2C85"/>
    <w:rsid w:val="36334CE5"/>
    <w:rsid w:val="3A551407"/>
    <w:rsid w:val="3B033C36"/>
    <w:rsid w:val="3B416B42"/>
    <w:rsid w:val="3C410359"/>
    <w:rsid w:val="3E5D4E8E"/>
    <w:rsid w:val="3FE25336"/>
    <w:rsid w:val="41076015"/>
    <w:rsid w:val="42075FF8"/>
    <w:rsid w:val="42842020"/>
    <w:rsid w:val="449A6F2F"/>
    <w:rsid w:val="468567BB"/>
    <w:rsid w:val="46BF543F"/>
    <w:rsid w:val="4782487D"/>
    <w:rsid w:val="4B22062E"/>
    <w:rsid w:val="4B31068E"/>
    <w:rsid w:val="4BA55220"/>
    <w:rsid w:val="4BAD0151"/>
    <w:rsid w:val="4C184E09"/>
    <w:rsid w:val="4C3F0C75"/>
    <w:rsid w:val="4C8F75A2"/>
    <w:rsid w:val="4DAD4403"/>
    <w:rsid w:val="4E8C008E"/>
    <w:rsid w:val="4FEF758C"/>
    <w:rsid w:val="50771A9C"/>
    <w:rsid w:val="51C47F6D"/>
    <w:rsid w:val="53132832"/>
    <w:rsid w:val="5455382C"/>
    <w:rsid w:val="54575D03"/>
    <w:rsid w:val="5D0A3490"/>
    <w:rsid w:val="5D7E0D39"/>
    <w:rsid w:val="5E9D3F29"/>
    <w:rsid w:val="5EF739C2"/>
    <w:rsid w:val="60384CD1"/>
    <w:rsid w:val="60655808"/>
    <w:rsid w:val="60F86CEE"/>
    <w:rsid w:val="62006EE4"/>
    <w:rsid w:val="62E862F2"/>
    <w:rsid w:val="63A9427A"/>
    <w:rsid w:val="63CD4CE2"/>
    <w:rsid w:val="63D462B1"/>
    <w:rsid w:val="641A3596"/>
    <w:rsid w:val="64D96647"/>
    <w:rsid w:val="655B51E5"/>
    <w:rsid w:val="65E40ADA"/>
    <w:rsid w:val="66330B86"/>
    <w:rsid w:val="66E22203"/>
    <w:rsid w:val="68B812C9"/>
    <w:rsid w:val="69D50CF4"/>
    <w:rsid w:val="6B1C1E0E"/>
    <w:rsid w:val="6C487AFD"/>
    <w:rsid w:val="6CB24363"/>
    <w:rsid w:val="6EA93466"/>
    <w:rsid w:val="6FCF0795"/>
    <w:rsid w:val="71381023"/>
    <w:rsid w:val="72164644"/>
    <w:rsid w:val="7234451A"/>
    <w:rsid w:val="72932C57"/>
    <w:rsid w:val="73714961"/>
    <w:rsid w:val="74FC6F38"/>
    <w:rsid w:val="754D1D92"/>
    <w:rsid w:val="758350A9"/>
    <w:rsid w:val="79687E1D"/>
    <w:rsid w:val="7B560FD7"/>
    <w:rsid w:val="7B5F74F8"/>
    <w:rsid w:val="7B690630"/>
    <w:rsid w:val="7C5123F4"/>
    <w:rsid w:val="7D040AB6"/>
    <w:rsid w:val="7D3A55D5"/>
    <w:rsid w:val="7D4119E6"/>
    <w:rsid w:val="7DAF162B"/>
    <w:rsid w:val="7DC42B41"/>
    <w:rsid w:val="7ED40319"/>
    <w:rsid w:val="7F0F5AB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character" w:customStyle="1" w:styleId="41">
    <w:name w:val="font21"/>
    <w:basedOn w:val="20"/>
    <w:qFormat/>
    <w:uiPriority w:val="0"/>
    <w:rPr>
      <w:rFonts w:hint="default" w:ascii="Alibaba PuHuiTi 2.0" w:hAnsi="Alibaba PuHuiTi 2.0" w:eastAsia="Alibaba PuHuiTi 2.0" w:cs="Alibaba PuHuiTi 2.0"/>
      <w:color w:val="000000"/>
      <w:sz w:val="20"/>
      <w:szCs w:val="20"/>
      <w:u w:val="none"/>
    </w:rPr>
  </w:style>
  <w:style w:type="character" w:customStyle="1" w:styleId="42">
    <w:name w:val="font31"/>
    <w:basedOn w:val="20"/>
    <w:qFormat/>
    <w:uiPriority w:val="0"/>
    <w:rPr>
      <w:rFonts w:hint="eastAsia" w:ascii="宋体" w:hAnsi="宋体" w:eastAsia="宋体" w:cs="宋体"/>
      <w:color w:val="000000"/>
      <w:sz w:val="20"/>
      <w:szCs w:val="20"/>
      <w:u w:val="none"/>
    </w:rPr>
  </w:style>
  <w:style w:type="paragraph" w:customStyle="1" w:styleId="43">
    <w:name w:val="sht标题1"/>
    <w:basedOn w:val="1"/>
    <w:next w:val="2"/>
    <w:qFormat/>
    <w:uiPriority w:val="0"/>
    <w:pPr>
      <w:jc w:val="center"/>
    </w:pPr>
    <w:rPr>
      <w:rFonts w:eastAsia="黑体"/>
      <w:b/>
      <w:sz w:val="52"/>
      <w:szCs w:val="24"/>
    </w:rPr>
  </w:style>
  <w:style w:type="character" w:customStyle="1" w:styleId="44">
    <w:name w:val="font11"/>
    <w:basedOn w:val="20"/>
    <w:qFormat/>
    <w:uiPriority w:val="0"/>
    <w:rPr>
      <w:rFonts w:hint="default" w:ascii="Alibaba PuHuiTi 2.0" w:hAnsi="Alibaba PuHuiTi 2.0" w:eastAsia="Alibaba PuHuiTi 2.0" w:cs="Alibaba PuHuiTi 2.0"/>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1344</Words>
  <Characters>1471</Characters>
  <Lines>72</Lines>
  <Paragraphs>20</Paragraphs>
  <TotalTime>3</TotalTime>
  <ScaleCrop>false</ScaleCrop>
  <LinksUpToDate>false</LinksUpToDate>
  <CharactersWithSpaces>1543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DENG</cp:lastModifiedBy>
  <dcterms:modified xsi:type="dcterms:W3CDTF">2026-07-15T02:14:05Z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eyJoZGlkIjoiMTg3OTBlMTJhZTliYjA3NDQ0MDEzN2E5YmUzNWUyYzYiLCJ1c2VySWQiOiI2NDE5ODgzNDAifQ==</vt:lpwstr>
  </property>
</Properties>
</file>