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3D7B17">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四川省人民医院云胶片服务</w:t>
      </w:r>
    </w:p>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4"/>
        <w:numPr>
          <w:ilvl w:val="0"/>
          <w:numId w:val="0"/>
        </w:numPr>
        <w:ind w:left="0" w:leftChars="0" w:firstLine="0" w:firstLineChars="0"/>
        <w:rPr>
          <w:rFonts w:ascii="Times New Roman" w:hAnsi="Times New Roman" w:cs="Times New Roman"/>
        </w:rPr>
      </w:pPr>
      <w:bookmarkStart w:id="0" w:name="_Toc471310326"/>
      <w:bookmarkStart w:id="1" w:name="_Toc20358"/>
      <w:bookmarkStart w:id="2" w:name="_Toc1907"/>
      <w:bookmarkStart w:id="3" w:name="_Toc62832406"/>
      <w:bookmarkStart w:id="4" w:name="_Toc3240"/>
      <w:bookmarkStart w:id="5" w:name="_Toc21919"/>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四川省人民医院云胶片服务采购项目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b w:val="0"/>
                <w:bCs w:val="0"/>
                <w:sz w:val="22"/>
              </w:rPr>
            </w:pPr>
            <w:r>
              <w:rPr>
                <w:rFonts w:hint="eastAsia" w:ascii="仿宋" w:hAnsi="仿宋" w:eastAsia="仿宋" w:cs="仿宋"/>
                <w:b w:val="0"/>
                <w:bCs w:val="0"/>
                <w:sz w:val="22"/>
              </w:rPr>
              <w:t>CGZX-YXX20260571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人民币</w:t>
            </w:r>
            <w:r>
              <w:rPr>
                <w:rFonts w:hint="eastAsia" w:ascii="仿宋" w:hAnsi="仿宋" w:eastAsia="仿宋" w:cs="仿宋"/>
                <w:sz w:val="22"/>
                <w:u w:val="none"/>
                <w:lang w:val="en-US" w:eastAsia="zh-CN"/>
              </w:rPr>
              <w:t>332万</w:t>
            </w:r>
            <w:r>
              <w:rPr>
                <w:rFonts w:hint="eastAsia" w:ascii="仿宋" w:hAnsi="仿宋" w:eastAsia="仿宋" w:cs="仿宋"/>
                <w:sz w:val="22"/>
                <w:u w:val="none"/>
              </w:rPr>
              <w:t>元</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3"/>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3"/>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3"/>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交款金额：合同支付上限</w:t>
            </w:r>
            <w:r>
              <w:rPr>
                <w:rFonts w:hint="eastAsia" w:ascii="Times New Roman" w:hAnsi="Times New Roman" w:eastAsia="仿宋" w:cs="Times New Roman"/>
                <w:sz w:val="22"/>
                <w:szCs w:val="22"/>
                <w:lang w:val="en-US" w:eastAsia="zh-CN"/>
              </w:rPr>
              <w:t>的10%（逾期未缴纳履约保证金，视为自动放弃中标资格。）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王</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4"/>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4"/>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3"/>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4"/>
        <w:numPr>
          <w:ilvl w:val="0"/>
          <w:numId w:val="0"/>
        </w:numPr>
        <w:ind w:left="0" w:leftChars="0" w:firstLine="0" w:firstLineChars="0"/>
        <w:rPr>
          <w:rFonts w:ascii="Times New Roman" w:hAnsi="Times New Roman" w:cs="Times New Roman"/>
        </w:rPr>
      </w:pPr>
      <w:bookmarkStart w:id="12" w:name="_Toc12668"/>
      <w:bookmarkStart w:id="13" w:name="_Toc398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本项目拟确定一名供应商采购四川省人民医院患者云胶片服务。</w:t>
      </w:r>
    </w:p>
    <w:p w14:paraId="075D7778">
      <w:pPr>
        <w:pStyle w:val="5"/>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63"/>
        <w:gridCol w:w="2241"/>
        <w:gridCol w:w="3613"/>
        <w:gridCol w:w="782"/>
        <w:gridCol w:w="799"/>
        <w:gridCol w:w="1650"/>
      </w:tblGrid>
      <w:tr w14:paraId="2DA16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5A65773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93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50FEDDD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品名</w:t>
            </w:r>
          </w:p>
        </w:tc>
        <w:tc>
          <w:tcPr>
            <w:tcW w:w="312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1D2FDB6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详细描述</w:t>
            </w:r>
          </w:p>
        </w:tc>
        <w:tc>
          <w:tcPr>
            <w:tcW w:w="67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37EEF74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w:t>
            </w:r>
          </w:p>
        </w:tc>
        <w:tc>
          <w:tcPr>
            <w:tcW w:w="69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4654F72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单位</w:t>
            </w:r>
          </w:p>
        </w:tc>
        <w:tc>
          <w:tcPr>
            <w:tcW w:w="142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48B2621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限高单价（元）</w:t>
            </w:r>
          </w:p>
        </w:tc>
      </w:tr>
      <w:tr w14:paraId="7E682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1FEC02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935" w:type="dxa"/>
            <w:tcBorders>
              <w:top w:val="nil"/>
              <w:left w:val="nil"/>
              <w:bottom w:val="single" w:color="auto" w:sz="6" w:space="0"/>
              <w:right w:val="single" w:color="auto" w:sz="6" w:space="0"/>
            </w:tcBorders>
            <w:shd w:val="clear" w:color="auto" w:fill="auto"/>
            <w:tcMar>
              <w:left w:w="105" w:type="dxa"/>
              <w:right w:w="105" w:type="dxa"/>
            </w:tcMar>
            <w:vAlign w:val="center"/>
          </w:tcPr>
          <w:p w14:paraId="08FCFF8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患者云胶片服务</w:t>
            </w:r>
          </w:p>
        </w:tc>
        <w:tc>
          <w:tcPr>
            <w:tcW w:w="3120" w:type="dxa"/>
            <w:tcBorders>
              <w:top w:val="nil"/>
              <w:left w:val="nil"/>
              <w:bottom w:val="single" w:color="auto" w:sz="6" w:space="0"/>
              <w:right w:val="single" w:color="auto" w:sz="6" w:space="0"/>
            </w:tcBorders>
            <w:shd w:val="clear" w:color="auto" w:fill="auto"/>
            <w:tcMar>
              <w:left w:w="105" w:type="dxa"/>
              <w:right w:w="105" w:type="dxa"/>
            </w:tcMar>
            <w:vAlign w:val="center"/>
          </w:tcPr>
          <w:p w14:paraId="05FA6A9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left"/>
              <w:textAlignment w:val="auto"/>
              <w:rPr>
                <w:rFonts w:hint="eastAsia" w:ascii="仿宋" w:hAnsi="仿宋" w:eastAsia="仿宋" w:cs="仿宋"/>
                <w:sz w:val="24"/>
                <w:szCs w:val="24"/>
              </w:rPr>
            </w:pPr>
            <w:r>
              <w:rPr>
                <w:rFonts w:hint="eastAsia" w:ascii="仿宋" w:hAnsi="仿宋" w:eastAsia="仿宋" w:cs="仿宋"/>
                <w:sz w:val="24"/>
                <w:szCs w:val="24"/>
              </w:rPr>
              <w:t>建立患者检查影像胶片云端查询系统，为患者提供报告打印、胶片打印、胶片影像排版、影像资料拷贝、云胶片调阅下载等相关服务。</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0BC4742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90" w:type="dxa"/>
            <w:tcBorders>
              <w:top w:val="nil"/>
              <w:left w:val="nil"/>
              <w:bottom w:val="single" w:color="auto" w:sz="6" w:space="0"/>
              <w:right w:val="single" w:color="auto" w:sz="6" w:space="0"/>
            </w:tcBorders>
            <w:shd w:val="clear" w:color="auto" w:fill="auto"/>
            <w:tcMar>
              <w:left w:w="105" w:type="dxa"/>
              <w:right w:w="105" w:type="dxa"/>
            </w:tcMar>
            <w:vAlign w:val="center"/>
          </w:tcPr>
          <w:p w14:paraId="26C11BD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例次</w:t>
            </w:r>
          </w:p>
        </w:tc>
        <w:tc>
          <w:tcPr>
            <w:tcW w:w="1425" w:type="dxa"/>
            <w:tcBorders>
              <w:top w:val="nil"/>
              <w:left w:val="nil"/>
              <w:bottom w:val="single" w:color="auto" w:sz="6" w:space="0"/>
              <w:right w:val="single" w:color="auto" w:sz="6" w:space="0"/>
            </w:tcBorders>
            <w:shd w:val="clear" w:color="auto" w:fill="auto"/>
            <w:tcMar>
              <w:left w:w="105" w:type="dxa"/>
              <w:right w:w="105" w:type="dxa"/>
            </w:tcMar>
            <w:vAlign w:val="center"/>
          </w:tcPr>
          <w:p w14:paraId="1ED6D37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3.8</w:t>
            </w:r>
          </w:p>
        </w:tc>
      </w:tr>
    </w:tbl>
    <w:p w14:paraId="1EF3D072">
      <w:pPr>
        <w:pStyle w:val="5"/>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备注：本项目例次为上传的报告数量，一次检查多个部位只有一份报告的，多个影像及对应的报告为一例次检查。</w:t>
      </w:r>
    </w:p>
    <w:p w14:paraId="6F659206">
      <w:pPr>
        <w:pStyle w:val="5"/>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2135546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88" w:lineRule="auto"/>
        <w:ind w:left="0"/>
        <w:textAlignment w:val="auto"/>
        <w:rPr>
          <w:rFonts w:hint="eastAsia" w:ascii="仿宋" w:hAnsi="仿宋" w:eastAsia="仿宋" w:cs="仿宋"/>
          <w:sz w:val="24"/>
          <w:szCs w:val="24"/>
        </w:rPr>
      </w:pPr>
      <w:r>
        <w:rPr>
          <w:rFonts w:hint="eastAsia" w:ascii="仿宋" w:hAnsi="仿宋" w:eastAsia="仿宋" w:cs="仿宋"/>
          <w:kern w:val="2"/>
          <w:sz w:val="24"/>
          <w:szCs w:val="24"/>
        </w:rPr>
        <w:t>本项目实施期间，凡涉及与东软集团股份有限公司（以下简称“东软”）既有系统对接，所产生的费用由采购人承担；其余非东软系统对接产生的费用，则由</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供应商承担，涵盖设备、包装、运输、安装、调试、税费及可能衍生的各项支出，均包含在本次采购费用中，采购人不再支付</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金额以外的任何款项。对接过程中，</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供应商应与</w:t>
      </w:r>
      <w:r>
        <w:rPr>
          <w:rFonts w:hint="eastAsia" w:ascii="仿宋" w:hAnsi="仿宋" w:eastAsia="仿宋" w:cs="仿宋"/>
          <w:kern w:val="2"/>
          <w:sz w:val="24"/>
          <w:szCs w:val="24"/>
          <w:lang w:val="en-US" w:eastAsia="zh-CN"/>
        </w:rPr>
        <w:t>除“</w:t>
      </w:r>
      <w:r>
        <w:rPr>
          <w:rFonts w:hint="eastAsia" w:ascii="仿宋" w:hAnsi="仿宋" w:eastAsia="仿宋" w:cs="仿宋"/>
          <w:sz w:val="24"/>
          <w:szCs w:val="24"/>
        </w:rPr>
        <w:t>东软集团股份有限公司</w:t>
      </w:r>
      <w:r>
        <w:rPr>
          <w:rFonts w:hint="eastAsia" w:ascii="仿宋" w:hAnsi="仿宋" w:eastAsia="仿宋" w:cs="仿宋"/>
          <w:kern w:val="2"/>
          <w:sz w:val="24"/>
          <w:szCs w:val="24"/>
          <w:lang w:val="en-US" w:eastAsia="zh-CN"/>
        </w:rPr>
        <w:t>”外</w:t>
      </w:r>
      <w:r>
        <w:rPr>
          <w:rFonts w:hint="eastAsia" w:ascii="仿宋" w:hAnsi="仿宋" w:eastAsia="仿宋" w:cs="仿宋"/>
          <w:kern w:val="2"/>
          <w:sz w:val="24"/>
          <w:szCs w:val="24"/>
        </w:rPr>
        <w:t>采购人现有软件供应商友</w:t>
      </w:r>
      <w:r>
        <w:rPr>
          <w:rFonts w:hint="eastAsia" w:ascii="仿宋" w:hAnsi="仿宋" w:eastAsia="仿宋" w:cs="仿宋"/>
          <w:kern w:val="2"/>
          <w:sz w:val="24"/>
          <w:szCs w:val="24"/>
          <w:u w:val="none"/>
        </w:rPr>
        <w:t>好协商，并于协商前向采购人提交接口方案清单，对接所产生费用的限高价为本项目合同总价的10%。</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76"/>
        <w:gridCol w:w="1803"/>
        <w:gridCol w:w="3826"/>
        <w:gridCol w:w="3543"/>
      </w:tblGrid>
      <w:tr w14:paraId="34859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115B00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803"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6CD4016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软硬件</w:t>
            </w:r>
          </w:p>
        </w:tc>
        <w:tc>
          <w:tcPr>
            <w:tcW w:w="3826"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4A7F3AC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生产厂商（全称）</w:t>
            </w:r>
          </w:p>
        </w:tc>
        <w:tc>
          <w:tcPr>
            <w:tcW w:w="3542"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19963DE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对接描述</w:t>
            </w:r>
          </w:p>
        </w:tc>
      </w:tr>
      <w:tr w14:paraId="191E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94611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0BEA34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放射PACS系统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76F6ED9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2780449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1962F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AE19EA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3A58C20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口腔PACS系统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412F8B5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3B5C86B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7E63E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A27796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3</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3831AFA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核医学PACS系统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2FCD8EF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北京天思英弘信息技术有限公司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07FC553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56356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3F65EF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4</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01FEB4A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病理系统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5630F25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宁波江丰生物信息技术有限公司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59B89AF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3A55A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C4EB4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5</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3472B1D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内窥镜系统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15732C8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四川深蓝鸟科技有限公司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33373D8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54E74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7A749C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6</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161D9F9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超声系统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43C0993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成都试金石软件开发有限责任公司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497D0ED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实现患者报告、影像数据的标准化采集</w:t>
            </w:r>
          </w:p>
        </w:tc>
      </w:tr>
      <w:tr w14:paraId="4E8A7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B52729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7</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178A8D7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微信公众号</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7B051DF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296E214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实现患者云影像查看入口跳转</w:t>
            </w:r>
          </w:p>
        </w:tc>
      </w:tr>
      <w:tr w14:paraId="32EF7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676"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A0F12F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8</w:t>
            </w:r>
          </w:p>
        </w:tc>
        <w:tc>
          <w:tcPr>
            <w:tcW w:w="1803" w:type="dxa"/>
            <w:tcBorders>
              <w:top w:val="nil"/>
              <w:left w:val="nil"/>
              <w:bottom w:val="single" w:color="auto" w:sz="6" w:space="0"/>
              <w:right w:val="single" w:color="auto" w:sz="6" w:space="0"/>
            </w:tcBorders>
            <w:shd w:val="clear" w:color="auto" w:fill="auto"/>
            <w:tcMar>
              <w:left w:w="105" w:type="dxa"/>
              <w:right w:w="105" w:type="dxa"/>
            </w:tcMar>
            <w:vAlign w:val="center"/>
          </w:tcPr>
          <w:p w14:paraId="1F3B0F9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云端胶片系统</w:t>
            </w:r>
          </w:p>
        </w:tc>
        <w:tc>
          <w:tcPr>
            <w:tcW w:w="3826" w:type="dxa"/>
            <w:tcBorders>
              <w:top w:val="nil"/>
              <w:left w:val="nil"/>
              <w:bottom w:val="single" w:color="auto" w:sz="6" w:space="0"/>
              <w:right w:val="single" w:color="auto" w:sz="6" w:space="0"/>
            </w:tcBorders>
            <w:shd w:val="clear" w:color="auto" w:fill="auto"/>
            <w:tcMar>
              <w:left w:w="105" w:type="dxa"/>
              <w:right w:w="105" w:type="dxa"/>
            </w:tcMar>
            <w:vAlign w:val="center"/>
          </w:tcPr>
          <w:p w14:paraId="7D82D6D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四川省爱康科技发展有限公司</w:t>
            </w:r>
          </w:p>
        </w:tc>
        <w:tc>
          <w:tcPr>
            <w:tcW w:w="3542" w:type="dxa"/>
            <w:tcBorders>
              <w:top w:val="nil"/>
              <w:left w:val="nil"/>
              <w:bottom w:val="single" w:color="auto" w:sz="6" w:space="0"/>
              <w:right w:val="single" w:color="auto" w:sz="6" w:space="0"/>
            </w:tcBorders>
            <w:shd w:val="clear" w:color="auto" w:fill="auto"/>
            <w:tcMar>
              <w:left w:w="105" w:type="dxa"/>
              <w:right w:w="105" w:type="dxa"/>
            </w:tcMar>
            <w:vAlign w:val="center"/>
          </w:tcPr>
          <w:p w14:paraId="561145F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患者历史云胶片信息查看（24年-26年5月）</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p w14:paraId="65C91AC7">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服务期内需提供以下软件、硬件、网络、云存储服务。</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870"/>
        <w:gridCol w:w="1659"/>
        <w:gridCol w:w="1843"/>
        <w:gridCol w:w="5476"/>
      </w:tblGrid>
      <w:tr w14:paraId="0BD7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shd w:val="clear" w:color="auto" w:fill="auto"/>
            <w:tcMar>
              <w:left w:w="105" w:type="dxa"/>
              <w:right w:w="105" w:type="dxa"/>
            </w:tcMar>
            <w:vAlign w:val="center"/>
          </w:tcPr>
          <w:p w14:paraId="6D3BB05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659" w:type="dxa"/>
            <w:shd w:val="clear" w:color="auto" w:fill="auto"/>
            <w:tcMar>
              <w:left w:w="105" w:type="dxa"/>
              <w:right w:w="105" w:type="dxa"/>
            </w:tcMar>
            <w:vAlign w:val="center"/>
          </w:tcPr>
          <w:p w14:paraId="2671793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系统</w:t>
            </w:r>
          </w:p>
        </w:tc>
        <w:tc>
          <w:tcPr>
            <w:tcW w:w="1843" w:type="dxa"/>
            <w:shd w:val="clear" w:color="auto" w:fill="auto"/>
            <w:tcMar>
              <w:left w:w="105" w:type="dxa"/>
              <w:right w:w="105" w:type="dxa"/>
            </w:tcMar>
            <w:vAlign w:val="center"/>
          </w:tcPr>
          <w:p w14:paraId="0FA8B8A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模块</w:t>
            </w:r>
          </w:p>
        </w:tc>
        <w:tc>
          <w:tcPr>
            <w:tcW w:w="5475" w:type="dxa"/>
            <w:shd w:val="clear" w:color="auto" w:fill="auto"/>
            <w:tcMar>
              <w:left w:w="105" w:type="dxa"/>
              <w:right w:w="105" w:type="dxa"/>
            </w:tcMar>
            <w:vAlign w:val="center"/>
          </w:tcPr>
          <w:p w14:paraId="15C0BDB0">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0A9F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restart"/>
            <w:shd w:val="clear" w:color="auto" w:fill="auto"/>
            <w:tcMar>
              <w:left w:w="105" w:type="dxa"/>
              <w:right w:w="105" w:type="dxa"/>
            </w:tcMar>
            <w:vAlign w:val="center"/>
          </w:tcPr>
          <w:p w14:paraId="45B35E1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659" w:type="dxa"/>
            <w:vMerge w:val="restart"/>
            <w:shd w:val="clear" w:color="auto" w:fill="auto"/>
            <w:tcMar>
              <w:left w:w="105" w:type="dxa"/>
              <w:right w:w="105" w:type="dxa"/>
            </w:tcMar>
            <w:vAlign w:val="center"/>
          </w:tcPr>
          <w:p w14:paraId="7D2F5A0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一站式病人影像服务中心</w:t>
            </w:r>
          </w:p>
        </w:tc>
        <w:tc>
          <w:tcPr>
            <w:tcW w:w="1843" w:type="dxa"/>
            <w:vMerge w:val="restart"/>
            <w:shd w:val="clear" w:color="auto" w:fill="auto"/>
            <w:tcMar>
              <w:left w:w="105" w:type="dxa"/>
              <w:right w:w="105" w:type="dxa"/>
            </w:tcMar>
            <w:vAlign w:val="center"/>
          </w:tcPr>
          <w:p w14:paraId="2DDC114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475" w:type="dxa"/>
            <w:shd w:val="clear" w:color="auto" w:fill="auto"/>
            <w:tcMar>
              <w:left w:w="105" w:type="dxa"/>
              <w:right w:w="105" w:type="dxa"/>
            </w:tcMar>
            <w:vAlign w:val="top"/>
          </w:tcPr>
          <w:p w14:paraId="3E30C03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1.1 系统软件支持各种通用的协议：TCP/IP、HTTP、HTTPS、DICOM3.0等</w:t>
            </w:r>
          </w:p>
        </w:tc>
      </w:tr>
      <w:tr w14:paraId="455B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6BF7384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09A779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64BF0C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05FCD2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▲1.2 Token认证：提供统一的产品授权管理，保证数据传输安全性</w:t>
            </w:r>
          </w:p>
        </w:tc>
      </w:tr>
      <w:tr w14:paraId="02F9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AB5374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00C4C4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C149FD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A03708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1.3 支持OCR识别匹配电子胶片，胶片识别率&gt;=92%</w:t>
            </w:r>
          </w:p>
        </w:tc>
      </w:tr>
      <w:tr w14:paraId="5937E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A5CEA8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255984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8CC4E2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FBE0C0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★1.4 支持自助终端报告以及胶片打印，输入类型支持：取片单，就诊卡，门诊卡</w:t>
            </w:r>
          </w:p>
        </w:tc>
      </w:tr>
      <w:tr w14:paraId="5CE8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CC4908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1A3E7D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B38598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601E58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bookmarkStart w:id="15" w:name="OLE_LINK1"/>
            <w:bookmarkEnd w:id="15"/>
            <w:r>
              <w:rPr>
                <w:rFonts w:hint="eastAsia" w:ascii="仿宋" w:hAnsi="仿宋" w:eastAsia="仿宋" w:cs="仿宋"/>
                <w:sz w:val="24"/>
                <w:szCs w:val="24"/>
              </w:rPr>
              <w:t>▲1.5 支持胶片管理功能：自动出片、自动删除、自动匹配、手工匹配、解除匹配、胶片打印、纸质打印等操作</w:t>
            </w:r>
          </w:p>
        </w:tc>
      </w:tr>
      <w:tr w14:paraId="6A85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1A548A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C782F2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48D9E0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3A6492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▲1.6 护士工作站：胶片打印，报告打印，设备出片率统计，胶片打印统计，胶片匹配率统计</w:t>
            </w:r>
          </w:p>
        </w:tc>
      </w:tr>
      <w:tr w14:paraId="058D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450ACCC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C8E570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64037A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95C497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1.7 支持磁盘管理，保证系统正常运行</w:t>
            </w:r>
          </w:p>
        </w:tc>
      </w:tr>
      <w:tr w14:paraId="7640F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97FCE5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E9E1EF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FEA028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5A1A7C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1.8 数据检索：支持用户根据关键患者信息以及检查信息进行检索，并支持浏览检查胶片</w:t>
            </w:r>
          </w:p>
        </w:tc>
      </w:tr>
      <w:tr w14:paraId="62F8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6E9B354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FDE847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DF1B52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A138FA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1.9 数据统计：可以针对不同设备的出片量统计，且可以输出为excel文件并打印</w:t>
            </w:r>
          </w:p>
        </w:tc>
      </w:tr>
      <w:tr w14:paraId="44DF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1D9E58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DA5BC6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12B9E1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C936F0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1.10 数据调阅审计：可查询调阅人信息，调阅设备信息、调阅时间等</w:t>
            </w:r>
          </w:p>
        </w:tc>
      </w:tr>
      <w:tr w14:paraId="48D0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6F1BAB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B57A49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FA4843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8ECA07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1.11 平台支持对运行中的软硬件系统和运行产生的业务数据进行健康检查和预警</w:t>
            </w:r>
          </w:p>
        </w:tc>
      </w:tr>
      <w:tr w14:paraId="1C0E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B9E807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BAF65B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A784C3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413F38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★1.12为有需要的患者提供影像资料U盘拷贝服务（提供承诺函）</w:t>
            </w:r>
          </w:p>
        </w:tc>
      </w:tr>
      <w:tr w14:paraId="674E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restart"/>
            <w:shd w:val="clear" w:color="auto" w:fill="auto"/>
            <w:tcMar>
              <w:left w:w="105" w:type="dxa"/>
              <w:right w:w="105" w:type="dxa"/>
            </w:tcMar>
            <w:vAlign w:val="center"/>
          </w:tcPr>
          <w:p w14:paraId="21E974F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659" w:type="dxa"/>
            <w:vMerge w:val="restart"/>
            <w:shd w:val="clear" w:color="auto" w:fill="auto"/>
            <w:tcMar>
              <w:left w:w="105" w:type="dxa"/>
              <w:right w:w="105" w:type="dxa"/>
            </w:tcMar>
            <w:vAlign w:val="center"/>
          </w:tcPr>
          <w:p w14:paraId="0FEBAA5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物理胶片打印服务</w:t>
            </w:r>
          </w:p>
        </w:tc>
        <w:tc>
          <w:tcPr>
            <w:tcW w:w="1843" w:type="dxa"/>
            <w:vMerge w:val="restart"/>
            <w:shd w:val="clear" w:color="auto" w:fill="auto"/>
            <w:tcMar>
              <w:left w:w="105" w:type="dxa"/>
              <w:right w:w="105" w:type="dxa"/>
            </w:tcMar>
            <w:vAlign w:val="center"/>
          </w:tcPr>
          <w:p w14:paraId="4A35BB3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475" w:type="dxa"/>
            <w:shd w:val="clear" w:color="auto" w:fill="auto"/>
            <w:tcMar>
              <w:left w:w="105" w:type="dxa"/>
              <w:right w:w="105" w:type="dxa"/>
            </w:tcMar>
            <w:vAlign w:val="top"/>
          </w:tcPr>
          <w:p w14:paraId="65EAFE0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★2.1提供≥7套塑料胶片自助打印机，并提供打印耗材（提供承诺函）</w:t>
            </w:r>
          </w:p>
        </w:tc>
      </w:tr>
      <w:tr w14:paraId="6732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853819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0D2E45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A0DEEB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B69153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 为需要物理胶片的患者提供物理胶片影像排片服务,并提供胶片耗材（提供承诺函）</w:t>
            </w:r>
          </w:p>
        </w:tc>
      </w:tr>
      <w:tr w14:paraId="5D4E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244969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747DC6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0D1F16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80B525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2.3 胶片类型：医用干式热敏胶片，直接用于干式热敏相机成像液，以蓝色聚酯片基为支持体、双面分别涂布成像层和保护层、不含对光敏感的卤化银成分</w:t>
            </w:r>
          </w:p>
        </w:tc>
      </w:tr>
      <w:tr w14:paraId="6CB9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0CFBD2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FCBD01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408CFA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28FEF15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2.4 本底灰雾度≦0.35</w:t>
            </w:r>
          </w:p>
        </w:tc>
      </w:tr>
      <w:tr w14:paraId="2FD9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3E607D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9FD9F8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8FEC20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725C54F">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2.5 最高密度:最大打印密度≧2.6</w:t>
            </w:r>
          </w:p>
        </w:tc>
      </w:tr>
      <w:tr w14:paraId="54EA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6800693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E89EAB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BD1942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A95B57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2.6 灰阶：≧12bits</w:t>
            </w:r>
          </w:p>
        </w:tc>
      </w:tr>
      <w:tr w14:paraId="7FE39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F688BD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07F61A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EFF2D3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2A76E0D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2.7 分辨率：≧320dpi</w:t>
            </w:r>
          </w:p>
        </w:tc>
      </w:tr>
      <w:tr w14:paraId="73144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7E72DD0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03D385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2A869B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073EE50">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2.8 多功能自助取片机主机：CPU：1.8G双核及以上，内存：4G及以上，硬盘：64G及以上</w:t>
            </w:r>
          </w:p>
        </w:tc>
      </w:tr>
      <w:tr w14:paraId="6B72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7E4CB09">
            <w:pPr>
              <w:keepNext w:val="0"/>
              <w:keepLines w:val="0"/>
              <w:pageBreakBefore w:val="0"/>
              <w:widowControl/>
              <w:suppressLineNumbers w:val="0"/>
              <w:kinsoku/>
              <w:wordWrap/>
              <w:overflowPunct/>
              <w:topLinePunct w:val="0"/>
              <w:bidi w:val="0"/>
              <w:adjustRightInd w:val="0"/>
              <w:snapToGrid w:val="0"/>
              <w:spacing w:beforeAutospacing="0" w:afterAutospacing="0" w:line="240" w:lineRule="auto"/>
              <w:ind w:left="0"/>
              <w:jc w:val="left"/>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069CE6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5BECA3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348500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▲2.9 触摸屏（病人信息告知，及触摸操作左右分屏）：尺寸：≥27英寸16：9，分辨率≥1920*1080，控制卡：USB接口（电容触控）</w:t>
            </w:r>
          </w:p>
        </w:tc>
      </w:tr>
      <w:tr w14:paraId="672C7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5A116E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F5A318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FE0992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DF6D43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2.10 报告打印机：激光打印机</w:t>
            </w:r>
          </w:p>
        </w:tc>
      </w:tr>
      <w:tr w14:paraId="4AD3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1CDE2B0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582C0F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F21E0A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10FAF2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2.11 输入设备：条码扫描仪；支持选配多功能读卡器、身份证识别模块</w:t>
            </w:r>
          </w:p>
        </w:tc>
      </w:tr>
      <w:tr w14:paraId="5FCE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C7022C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AB1635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6E2A0E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F57251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2.12 信息录入：条形码、二维码扫描、身份证(支持选配)、就诊卡读取(支持选配)</w:t>
            </w:r>
          </w:p>
        </w:tc>
      </w:tr>
      <w:tr w14:paraId="2A9B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48F4C47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BE83F8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2FDB45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E935C0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2.13 喇叭：≥8Ω、≥5W，具有语音提示功能</w:t>
            </w:r>
          </w:p>
        </w:tc>
      </w:tr>
      <w:tr w14:paraId="5787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128C623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2E0368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86FCB8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8ADCFC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2.14 机柜外壳：标准全新材料冷轧钢板体，壳体边缘光滑不割手，喷沙纹，颗粒感均匀，喷粉手感磨砂</w:t>
            </w:r>
          </w:p>
        </w:tc>
      </w:tr>
      <w:tr w14:paraId="1545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33D69E4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54557A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7C6591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321191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▲2.15 胶片打印机：直接热敏成像（干式打印，明室操作）</w:t>
            </w:r>
          </w:p>
        </w:tc>
      </w:tr>
      <w:tr w14:paraId="01C9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60C42C3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7FAFA2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5FE196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80BBA1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2.16 空间分辨率：≥320dpi（12.6像素/mm）</w:t>
            </w:r>
          </w:p>
        </w:tc>
      </w:tr>
      <w:tr w14:paraId="7054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4FB80D1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4A877D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BD65A4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44B720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▲2.17 打印速度不低于：35cm×43cm（14″×17″）约60张/小时，20cm×25cm（8″×10″） 约80张/小时</w:t>
            </w:r>
          </w:p>
        </w:tc>
      </w:tr>
      <w:tr w14:paraId="37E0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43925E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BD100E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AC3D8C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2E35D3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2.18 灰阶对比：14比特（16384灰度等级）</w:t>
            </w:r>
          </w:p>
        </w:tc>
      </w:tr>
      <w:tr w14:paraId="021F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4C96D4C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336AF1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BFE400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3830F8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2.19 胶片输入：2个耗材供片盒，每个可至少容纳100张胶片，片槽最大支持4个</w:t>
            </w:r>
          </w:p>
        </w:tc>
      </w:tr>
      <w:tr w14:paraId="6501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0763B1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6828BA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275701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8DC93AF">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2.20 支持14×17英寸、11×14英寸、10×12英寸、8×10英寸等不同规格的胶片</w:t>
            </w:r>
          </w:p>
        </w:tc>
      </w:tr>
      <w:tr w14:paraId="202B5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74819D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9B8D5E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827F4B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72B6FF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2.21 接口：10/100/1000 Base-T 以太网（RJ-45）</w:t>
            </w:r>
          </w:p>
        </w:tc>
      </w:tr>
      <w:tr w14:paraId="7443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39FEA8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3A3A92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11F54C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B2EF46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2.22 网络协议: TCP/IP</w:t>
            </w:r>
          </w:p>
        </w:tc>
      </w:tr>
      <w:tr w14:paraId="3B01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704CF87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9C886C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F90FC8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DB1483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2.23 图像格式：DICOM</w:t>
            </w:r>
          </w:p>
        </w:tc>
      </w:tr>
      <w:tr w14:paraId="17C4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44D36A2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2BE0B8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F51AD2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1A2862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2.24 图像质量: 使用内置密度计自动校准</w:t>
            </w:r>
          </w:p>
        </w:tc>
      </w:tr>
      <w:tr w14:paraId="4EDB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56E2E7C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443941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EF56E6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4B3122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2.25 图像控制: 对比度、灰度、极性、旋转、饱和度、比例缩放</w:t>
            </w:r>
          </w:p>
        </w:tc>
      </w:tr>
      <w:tr w14:paraId="30ED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A1F10C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7E6808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FCC244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0FCE00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2.26 冷启动时间：小于10分钟</w:t>
            </w:r>
          </w:p>
        </w:tc>
      </w:tr>
      <w:tr w14:paraId="105C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28A693D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623C2F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09A3EB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457B4A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2.27 控制面板: 大背景光LCD显示屏，显示联机、警报、故障和状态</w:t>
            </w:r>
          </w:p>
        </w:tc>
      </w:tr>
      <w:tr w14:paraId="76E0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68706A8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D7AF38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2936F5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E43917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2.28 自助管理软件拥有同品牌管理软件（该软件拥有软件产品证书）</w:t>
            </w:r>
          </w:p>
        </w:tc>
      </w:tr>
      <w:tr w14:paraId="08A5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686750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1230B9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7C6B1E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B2E6AF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2.29 按键开关: 电源和菜单导航按钮</w:t>
            </w:r>
          </w:p>
        </w:tc>
      </w:tr>
      <w:tr w14:paraId="08B1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AD1F2D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4B6A40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8CC1B7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26A82DE">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2.30 电源：通用输入100-242V~50/60Hz 600W打印，75W空闲</w:t>
            </w:r>
          </w:p>
        </w:tc>
      </w:tr>
      <w:tr w14:paraId="47AE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71F8F40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4F338E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A780D3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0B0C44E">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2.31 信息保存：接收、存储病人个人图像、报告任务，进行有效的归档、传输和备份</w:t>
            </w:r>
          </w:p>
        </w:tc>
      </w:tr>
      <w:tr w14:paraId="5881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center"/>
          </w:tcPr>
          <w:p w14:paraId="0ACA238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14EB08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5750B5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F8CE91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2.32 OCR点对点识别方案：每个设备的每种排版方式均设计一个配比方案，保证识别准确率。</w:t>
            </w:r>
          </w:p>
        </w:tc>
      </w:tr>
      <w:tr w14:paraId="1248E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restart"/>
            <w:shd w:val="clear" w:color="auto" w:fill="auto"/>
            <w:tcMar>
              <w:left w:w="105" w:type="dxa"/>
              <w:right w:w="105" w:type="dxa"/>
            </w:tcMar>
            <w:vAlign w:val="center"/>
          </w:tcPr>
          <w:p w14:paraId="540A975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3</w:t>
            </w:r>
          </w:p>
        </w:tc>
        <w:tc>
          <w:tcPr>
            <w:tcW w:w="1659" w:type="dxa"/>
            <w:vMerge w:val="restart"/>
            <w:shd w:val="clear" w:color="auto" w:fill="auto"/>
            <w:tcMar>
              <w:left w:w="105" w:type="dxa"/>
              <w:right w:w="105" w:type="dxa"/>
            </w:tcMar>
            <w:vAlign w:val="center"/>
          </w:tcPr>
          <w:p w14:paraId="3E3C7F9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自助报告打印服务</w:t>
            </w:r>
          </w:p>
        </w:tc>
        <w:tc>
          <w:tcPr>
            <w:tcW w:w="1843" w:type="dxa"/>
            <w:vMerge w:val="restart"/>
            <w:shd w:val="clear" w:color="auto" w:fill="auto"/>
            <w:tcMar>
              <w:left w:w="105" w:type="dxa"/>
              <w:right w:w="105" w:type="dxa"/>
            </w:tcMar>
            <w:vAlign w:val="center"/>
          </w:tcPr>
          <w:p w14:paraId="5A4013B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5475" w:type="dxa"/>
            <w:shd w:val="clear" w:color="auto" w:fill="auto"/>
            <w:tcMar>
              <w:left w:w="105" w:type="dxa"/>
              <w:right w:w="105" w:type="dxa"/>
            </w:tcMar>
            <w:vAlign w:val="top"/>
          </w:tcPr>
          <w:p w14:paraId="19C551F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★3.1提供≥5套自助报告打印设备，并提供墨盒纸张等打印耗材（提供承诺函）</w:t>
            </w:r>
          </w:p>
        </w:tc>
      </w:tr>
      <w:tr w14:paraId="585A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0019A3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A293BF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D7B535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39A973F">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3.2 病人自助报告打印设备配置：满足A4规格纸质报告自助打印输出，配置≥19英寸触摸屏，激光多线扫描枪、工控机及A4规格商用打印机。</w:t>
            </w:r>
          </w:p>
        </w:tc>
      </w:tr>
      <w:tr w14:paraId="363C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37980C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72CD77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8B5F3B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93CE69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3.3 病人自助报告打印设备内置电脑：CPU:1.8G四核及以上，内存8G及以上、256G及以上固态硬盘。触摸屏：配置≥19英寸触摸屏，分辨率1280X1024及以上；内置激光多线扫描枪。</w:t>
            </w:r>
          </w:p>
        </w:tc>
      </w:tr>
      <w:tr w14:paraId="2241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9B895C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4B858C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686F28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1FF553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3.4 内置打印机：首页输出≤8.5S；每分钟打印量≥30页；分辨率≥600*600dpi；纸张尺寸A4幅面；纸盒容量≥250张。</w:t>
            </w:r>
          </w:p>
        </w:tc>
      </w:tr>
      <w:tr w14:paraId="56A5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restart"/>
            <w:shd w:val="clear" w:color="auto" w:fill="auto"/>
            <w:tcMar>
              <w:left w:w="105" w:type="dxa"/>
              <w:right w:w="105" w:type="dxa"/>
            </w:tcMar>
            <w:vAlign w:val="center"/>
          </w:tcPr>
          <w:p w14:paraId="6B9BAE4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4</w:t>
            </w:r>
          </w:p>
        </w:tc>
        <w:tc>
          <w:tcPr>
            <w:tcW w:w="1659" w:type="dxa"/>
            <w:vMerge w:val="restart"/>
            <w:shd w:val="clear" w:color="auto" w:fill="auto"/>
            <w:tcMar>
              <w:left w:w="105" w:type="dxa"/>
              <w:right w:w="105" w:type="dxa"/>
            </w:tcMar>
            <w:vAlign w:val="center"/>
          </w:tcPr>
          <w:p w14:paraId="7796A1A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云胶片服务及云资源</w:t>
            </w:r>
          </w:p>
        </w:tc>
        <w:tc>
          <w:tcPr>
            <w:tcW w:w="1843" w:type="dxa"/>
            <w:vMerge w:val="restart"/>
            <w:shd w:val="clear" w:color="auto" w:fill="auto"/>
            <w:tcMar>
              <w:left w:w="105" w:type="dxa"/>
              <w:right w:w="105" w:type="dxa"/>
            </w:tcMar>
            <w:vAlign w:val="top"/>
          </w:tcPr>
          <w:p w14:paraId="3BC20217">
            <w:pPr>
              <w:keepNext w:val="0"/>
              <w:keepLines w:val="0"/>
              <w:pageBreakBefore w:val="0"/>
              <w:widowControl/>
              <w:suppressLineNumbers w:val="0"/>
              <w:kinsoku/>
              <w:wordWrap/>
              <w:overflowPunct/>
              <w:topLinePunct w:val="0"/>
              <w:bidi w:val="0"/>
              <w:adjustRightInd w:val="0"/>
              <w:snapToGrid w:val="0"/>
              <w:spacing w:beforeAutospacing="0" w:afterAutospacing="0" w:line="240" w:lineRule="auto"/>
              <w:ind w:left="0"/>
              <w:jc w:val="left"/>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E88BF2F">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 云胶片服务，具备二类医疗器械注册证书（提供复印件加盖供应商公章）</w:t>
            </w:r>
          </w:p>
        </w:tc>
      </w:tr>
      <w:tr w14:paraId="57D3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060931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D46623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4C9D81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212BA7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 云胶片服务，具备信息安全三级等保，并通过测评报告（提供复印件加盖供应商公章）</w:t>
            </w:r>
          </w:p>
        </w:tc>
      </w:tr>
      <w:tr w14:paraId="4564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A540B4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087355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9C2BA0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2CDAA66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▲4.3云胶片服务，实现操作系统、数据库、芯片的信创适配（提供复印件加盖供应商公章）</w:t>
            </w:r>
          </w:p>
        </w:tc>
      </w:tr>
      <w:tr w14:paraId="4A6A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15C944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CFBD52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7C8556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1097D2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4.4 具备云影像前置服务管理系统，实现影像加密、脱敏等安全策略，生成影像上传情况报表</w:t>
            </w:r>
          </w:p>
        </w:tc>
      </w:tr>
      <w:tr w14:paraId="26BF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B99D61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22CFA2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CB27BF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121A52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★4.5 云资源：</w:t>
            </w:r>
            <w:r>
              <w:rPr>
                <w:rFonts w:hint="eastAsia" w:ascii="仿宋" w:hAnsi="仿宋" w:eastAsia="仿宋" w:cs="仿宋"/>
                <w:sz w:val="24"/>
                <w:szCs w:val="24"/>
                <w:lang w:val="en-US" w:eastAsia="zh-CN"/>
              </w:rPr>
              <w:t>供应商</w:t>
            </w:r>
            <w:r>
              <w:rPr>
                <w:rFonts w:hint="eastAsia" w:ascii="仿宋" w:hAnsi="仿宋" w:eastAsia="仿宋" w:cs="仿宋"/>
                <w:sz w:val="24"/>
                <w:szCs w:val="24"/>
              </w:rPr>
              <w:t>提供签约期内国有三大运营商的云主机服务，提供医疗机构产生的所有原始影像检查数据的云存储和浏览、查阅、下载等服务，存储期限为患者自检查之日起门诊15年，住院30年。（提供承诺函）</w:t>
            </w:r>
          </w:p>
        </w:tc>
      </w:tr>
      <w:tr w14:paraId="70D7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298F43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345D8B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5E20FB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D1A495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▲4.6 支持病人报告短信提醒服务，支持短信连接方式实现病人电子胶片及报告的浏览，支持提供影像检查报告二维码浏览、微信小程序等对云影像数据的浏览方式，并承担短信费用。（提供承诺函）</w:t>
            </w:r>
          </w:p>
        </w:tc>
      </w:tr>
      <w:tr w14:paraId="226B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03FE5B7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8B1957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111E69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B8412D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▲4.7 </w:t>
            </w:r>
            <w:r>
              <w:rPr>
                <w:rFonts w:hint="eastAsia" w:ascii="仿宋" w:hAnsi="仿宋" w:eastAsia="仿宋" w:cs="仿宋"/>
                <w:sz w:val="24"/>
                <w:szCs w:val="24"/>
                <w:lang w:val="en-US" w:eastAsia="zh-CN"/>
              </w:rPr>
              <w:t>响应</w:t>
            </w:r>
            <w:r>
              <w:rPr>
                <w:rFonts w:hint="eastAsia" w:ascii="仿宋" w:hAnsi="仿宋" w:eastAsia="仿宋" w:cs="仿宋"/>
                <w:sz w:val="24"/>
                <w:szCs w:val="24"/>
              </w:rPr>
              <w:t>产品需根据医院需求实现与我院放射PACS系统、口腔PACS等系统对接，实现影像数据的标准化采集，并支持在影像检查报告上生成二维码，并承担相关接口费。（提供承诺函）</w:t>
            </w:r>
          </w:p>
        </w:tc>
      </w:tr>
      <w:tr w14:paraId="63C4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BE9684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4CEA63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6AF439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04EB13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4.8 云胶片影像浏览器支持手机移动端、平板电脑，PC端等多终端适配</w:t>
            </w:r>
          </w:p>
        </w:tc>
      </w:tr>
      <w:tr w14:paraId="4FA0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3B8A36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326E0D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DF5CB3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D65D46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4.9 支持移动终端对DICOM影像的调阅与下载，支持放大缩小、测量、窗宽窗位调整、动态播放等功能；支持电子胶片的无级缩放，并支持对电子胶片中医生感兴趣的单幅关键影像通过双击实现快捷缩放等功能（提供操作视频进行功能演示）</w:t>
            </w:r>
          </w:p>
        </w:tc>
      </w:tr>
      <w:tr w14:paraId="48C4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B3FCF5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86FC06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E0F262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2128E1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▲4.10 支持高性能影像调阅，调阅千幅CT图像的首屏时间&lt;3s（提供符合CMA的检测报告复印件并加盖供应商公章）</w:t>
            </w:r>
          </w:p>
        </w:tc>
      </w:tr>
      <w:tr w14:paraId="721B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296CA5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B356C2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6C8F2A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C11F846">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▲4.11 支持三维重建(VR)、多平面重建(MPR)耗时&lt;2s（提供符合CMA的检测报告复印件并加盖供应商公章）</w:t>
            </w:r>
          </w:p>
        </w:tc>
      </w:tr>
      <w:tr w14:paraId="2FF6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48303F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574C9A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2E97C6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0C21DCE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▲4.12 支持 DICOM3.0数据无损压缩算法，压缩比例大于2:1（提供符合CMA的检测报告复印件并加盖供应商公章）</w:t>
            </w:r>
          </w:p>
        </w:tc>
      </w:tr>
      <w:tr w14:paraId="4E49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6D1423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4191B3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5BBC5D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C8CC12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▲4.13 长度测量允差在士0.5mm 以内、角度测量允差在士0.5%以内、面积测量允差在士1%以内（提供符合CMA的检测报告复印件并加盖供应商公章）</w:t>
            </w:r>
          </w:p>
        </w:tc>
      </w:tr>
      <w:tr w14:paraId="7F21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5331F0E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EFBBC9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C9D3B2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7E6D9E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4.14 云胶片界面支持检查报告、电子胶片和DICOM影像浏览入口的分别排列，方便不同浏览者的使用；支持在电子胶片浏览界面中通过左右滑动，实现对历史检查报告及电子胶片的连续快捷浏览等功能（提供操作视频进行功能演示）</w:t>
            </w:r>
          </w:p>
        </w:tc>
      </w:tr>
      <w:tr w14:paraId="4B8F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87FEAA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C35097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51CEAC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A80D37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4.15 支持安全验证功能，通过手机号或身份证号作为初始验证码快捷登录，患者可自行开启高级验证，将登录验证方式变更为预留手机号结合登入密码与实时验证码的方式，登录密码可以根据患者意愿自行修改，完成安全验证后才可浏览数据（提供操作视频进行功能演示）</w:t>
            </w:r>
          </w:p>
        </w:tc>
      </w:tr>
      <w:tr w14:paraId="0A98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0053063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2FD3CD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2AB765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45A103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4.16 支持影像数据按照医院要求时间上传云服务，上传时间不大于20分钟。（提供承诺函）</w:t>
            </w:r>
          </w:p>
        </w:tc>
      </w:tr>
      <w:tr w14:paraId="4A51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7E99D3C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66062B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52A7AC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AFC7D3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4.17 具有影像及报告上传统计列表及查询功能，确保云端数据与本地数据的一致性，提供维护功能，方便医院对云端数据的维护，包括但不限于上传、下载、修改、校对、查询统计等功能</w:t>
            </w:r>
          </w:p>
        </w:tc>
      </w:tr>
      <w:tr w14:paraId="1EB3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78F34D4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7D574C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CEF8F7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BACB92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4.18 数据审计：具有归档审计、调阅审计及系统操作审计功能，医院可登录后台查看本院审计记录。</w:t>
            </w:r>
          </w:p>
        </w:tc>
      </w:tr>
      <w:tr w14:paraId="3707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13E10D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7E46D6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F52BB1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530C35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4.19 默认向所有病人提供电子化服务，需要胶片的病人可以到服务中心申请打印胶片。</w:t>
            </w:r>
          </w:p>
        </w:tc>
      </w:tr>
      <w:tr w14:paraId="54EE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F9FA23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402C27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095C72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05A06AE">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4.20 支持管理工作站对云影像数据的更新，后台需保持原有记录</w:t>
            </w:r>
          </w:p>
        </w:tc>
      </w:tr>
      <w:tr w14:paraId="4EB4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748EB6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A2B08F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24444D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9CC40B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4.21 支持临时报告方案，审核后再上传报告。</w:t>
            </w:r>
          </w:p>
        </w:tc>
      </w:tr>
      <w:tr w14:paraId="2A8C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063CAD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7AA620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2914C7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432C36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4.22 按需打印：选择要打印或拍片的任务，生成电子胶片。</w:t>
            </w:r>
          </w:p>
        </w:tc>
      </w:tr>
      <w:tr w14:paraId="5EE3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7FD5DA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DD51FFF">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D099A62">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C64117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4.23 实现电子胶片和检查记录匹配，可以重置匹配。</w:t>
            </w:r>
          </w:p>
        </w:tc>
      </w:tr>
      <w:tr w14:paraId="7A862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D853F0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4F390C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59CC55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1A6FD6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4.24 提供影像管理工作站页面方式，可查询本院已上传的影像检查。</w:t>
            </w:r>
          </w:p>
        </w:tc>
      </w:tr>
      <w:tr w14:paraId="7EAC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0EC088B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011925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441F0AC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8AA2940">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4.25 支持报告、电子胶片浏览， 影像浏览、影像统计功能。</w:t>
            </w:r>
          </w:p>
        </w:tc>
      </w:tr>
      <w:tr w14:paraId="6667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515A2E9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AC8952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7E6F7B4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93428C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4.26 患者反馈：支持患者通过页面提交意见、400电话等方式，建立医患反馈渠道，改善用户体验和医患关系</w:t>
            </w:r>
          </w:p>
        </w:tc>
      </w:tr>
      <w:tr w14:paraId="3089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1A96C98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5FC7CD8">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178FFB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9EA168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4.27 患者分享：分享检查结果时可设置有效期、历史检查查看权限，并生成新的验证码，以保证个人的信息安全功能（提供操作视频进行功能演示）</w:t>
            </w:r>
          </w:p>
        </w:tc>
      </w:tr>
      <w:tr w14:paraId="104B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CBA8E1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0CA0DF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4E79CF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1782966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▲4.28 智能解读：根据检查报告关键词，提供相关的网络知识解读（提供功能截图）。</w:t>
            </w:r>
          </w:p>
        </w:tc>
      </w:tr>
      <w:tr w14:paraId="45D6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B80532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DD65E4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5081A13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6F5CF53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4.29 云胶片界面支持检查数据归档列表，支持按检查医院、检查类型和检查日期罗列显示历史检查记录，并可以通过关键词搜索不同医院的历史检查数据等功能（提供操作视频进行功能演示）</w:t>
            </w:r>
          </w:p>
        </w:tc>
      </w:tr>
      <w:tr w14:paraId="5EB7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5CD4A3A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AADF7A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4DA864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4100AC0">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4.30 电子报告水印：支持设置电子报告查看时是否添加水印</w:t>
            </w:r>
          </w:p>
        </w:tc>
      </w:tr>
      <w:tr w14:paraId="5B97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0FBC7C50">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6E518E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FC3F3A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24454D9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★4.31 支持患者历史云胶片信息查看（24年-26年5月）</w:t>
            </w:r>
          </w:p>
        </w:tc>
      </w:tr>
      <w:tr w14:paraId="7BA5B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0D04F15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2A856C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294AEA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2049DE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★4.32 实现医院微信公众号对云影像数据的浏览接口</w:t>
            </w:r>
          </w:p>
        </w:tc>
      </w:tr>
      <w:tr w14:paraId="7B9C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724E41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482D62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6FA6C7B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80FC3B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★4.32 </w:t>
            </w:r>
            <w:r>
              <w:rPr>
                <w:rFonts w:hint="eastAsia" w:ascii="仿宋" w:hAnsi="仿宋" w:eastAsia="仿宋" w:cs="仿宋"/>
                <w:sz w:val="24"/>
                <w:szCs w:val="24"/>
                <w:lang w:val="en-US" w:eastAsia="zh-CN"/>
              </w:rPr>
              <w:t>供应商必须保证所提供的产品具有独立的知识产权,提供跨平台/多平台移动医学影像处理软件计算机软件著作权登记证复印件,保证采购人在使用供应商所提供的产品时不受任何版权等方面的侵权困扰，如出现类似纠纷，供应商应对由此产生的后果负全部责任，并赔偿采购单位由此而造成的全部损失。</w:t>
            </w:r>
          </w:p>
        </w:tc>
      </w:tr>
      <w:tr w14:paraId="5DDF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restart"/>
            <w:shd w:val="clear" w:color="auto" w:fill="auto"/>
            <w:tcMar>
              <w:left w:w="105" w:type="dxa"/>
              <w:right w:w="105" w:type="dxa"/>
            </w:tcMar>
            <w:vAlign w:val="center"/>
          </w:tcPr>
          <w:p w14:paraId="17F00BA0">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5</w:t>
            </w:r>
          </w:p>
        </w:tc>
        <w:tc>
          <w:tcPr>
            <w:tcW w:w="1659" w:type="dxa"/>
            <w:vMerge w:val="restart"/>
            <w:shd w:val="clear" w:color="auto" w:fill="auto"/>
            <w:tcMar>
              <w:left w:w="105" w:type="dxa"/>
              <w:right w:w="105" w:type="dxa"/>
            </w:tcMar>
            <w:vAlign w:val="center"/>
          </w:tcPr>
          <w:p w14:paraId="7044608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硬件</w:t>
            </w:r>
          </w:p>
        </w:tc>
        <w:tc>
          <w:tcPr>
            <w:tcW w:w="1843" w:type="dxa"/>
            <w:shd w:val="clear" w:color="auto" w:fill="auto"/>
            <w:tcMar>
              <w:left w:w="105" w:type="dxa"/>
              <w:right w:w="105" w:type="dxa"/>
            </w:tcMar>
            <w:vAlign w:val="center"/>
          </w:tcPr>
          <w:p w14:paraId="460EFEE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★5.1影像集成服务平台服务器1套</w:t>
            </w:r>
          </w:p>
        </w:tc>
        <w:tc>
          <w:tcPr>
            <w:tcW w:w="5475" w:type="dxa"/>
            <w:shd w:val="clear" w:color="auto" w:fill="auto"/>
            <w:tcMar>
              <w:left w:w="105" w:type="dxa"/>
              <w:right w:w="105" w:type="dxa"/>
            </w:tcMar>
            <w:vAlign w:val="top"/>
          </w:tcPr>
          <w:p w14:paraId="5C51314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★5.1.1 性能不低于10C 2.4GHz*2，64G DDR4，2.4T SAS*4,千兆网卡，双电源，导轨</w:t>
            </w:r>
          </w:p>
        </w:tc>
      </w:tr>
      <w:tr w14:paraId="3A05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96CCFA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E008AA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shd w:val="clear" w:color="auto" w:fill="auto"/>
            <w:tcMar>
              <w:left w:w="105" w:type="dxa"/>
              <w:right w:w="105" w:type="dxa"/>
            </w:tcMar>
            <w:vAlign w:val="center"/>
          </w:tcPr>
          <w:p w14:paraId="3EDDE619">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★5.2前置影像服务器1套</w:t>
            </w:r>
          </w:p>
        </w:tc>
        <w:tc>
          <w:tcPr>
            <w:tcW w:w="5475" w:type="dxa"/>
            <w:shd w:val="clear" w:color="auto" w:fill="auto"/>
            <w:tcMar>
              <w:left w:w="105" w:type="dxa"/>
              <w:right w:w="105" w:type="dxa"/>
            </w:tcMar>
            <w:vAlign w:val="top"/>
          </w:tcPr>
          <w:p w14:paraId="0A82220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★5.2.1 性能不低于6C 1.9GHz，16G DDR4，1.2T SAS*2,千兆网卡，双电源，导轨</w:t>
            </w:r>
          </w:p>
        </w:tc>
      </w:tr>
      <w:tr w14:paraId="1C55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D4C840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F88118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restart"/>
            <w:shd w:val="clear" w:color="auto" w:fill="auto"/>
            <w:tcMar>
              <w:left w:w="105" w:type="dxa"/>
              <w:right w:w="105" w:type="dxa"/>
            </w:tcMar>
            <w:vAlign w:val="center"/>
          </w:tcPr>
          <w:p w14:paraId="0F7B8CD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5.3网闸1套</w:t>
            </w:r>
          </w:p>
        </w:tc>
        <w:tc>
          <w:tcPr>
            <w:tcW w:w="5475" w:type="dxa"/>
            <w:shd w:val="clear" w:color="auto" w:fill="auto"/>
            <w:tcMar>
              <w:left w:w="105" w:type="dxa"/>
              <w:right w:w="105" w:type="dxa"/>
            </w:tcMar>
            <w:vAlign w:val="top"/>
          </w:tcPr>
          <w:p w14:paraId="0BA74CAC">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▲5.3.1 1U机架式设备，内、外网各配置6个10/100/1000M Base-TX网络接口(包含1个管理口，1个HA口)，配备液晶面板，可显示内、外网主机工作状态及配置信息，提供HA工作状态监控灯，系统吞吐量不小于850Mbps, 并发连接数不小于1.2万，提供设备彩页加盖供应商公章</w:t>
            </w:r>
          </w:p>
        </w:tc>
      </w:tr>
      <w:tr w14:paraId="1738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4DC8E2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6425D5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016E248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6F3427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jc w:val="left"/>
              <w:textAlignment w:val="auto"/>
              <w:rPr>
                <w:rFonts w:hint="eastAsia" w:ascii="仿宋" w:hAnsi="仿宋" w:eastAsia="仿宋" w:cs="仿宋"/>
                <w:sz w:val="24"/>
                <w:szCs w:val="24"/>
              </w:rPr>
            </w:pPr>
            <w:r>
              <w:rPr>
                <w:rFonts w:hint="eastAsia" w:ascii="仿宋" w:hAnsi="仿宋" w:eastAsia="仿宋" w:cs="仿宋"/>
                <w:sz w:val="24"/>
                <w:szCs w:val="24"/>
              </w:rPr>
              <w:t>▲5.3.2 系统支持多操作系统（≥三操作系统，即系统A,系统B,备份系统），当A系统故障时，B系统可以根据备份系统实时备份的配置信息无缝接管，解决A系统配置信息手动备份效率不高，准确性差的问题，提供具备国家认可的第三方权威机构检测报告复印件并加盖供应商公章</w:t>
            </w:r>
          </w:p>
        </w:tc>
      </w:tr>
      <w:tr w14:paraId="1176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258632B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D81404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3E3D0E5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01A5DB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Style w:val="21"/>
                <w:rFonts w:hint="eastAsia" w:ascii="仿宋" w:hAnsi="仿宋" w:eastAsia="仿宋" w:cs="仿宋"/>
                <w:sz w:val="24"/>
                <w:szCs w:val="24"/>
              </w:rPr>
              <w:t xml:space="preserve">5.3.3 </w:t>
            </w:r>
            <w:r>
              <w:rPr>
                <w:rFonts w:hint="eastAsia" w:ascii="仿宋" w:hAnsi="仿宋" w:eastAsia="仿宋" w:cs="仿宋"/>
                <w:sz w:val="24"/>
                <w:szCs w:val="24"/>
              </w:rPr>
              <w:t>包括文件交换、FTP访问、数据库传输（数据库访问）、数据库同步模块、邮件传输（邮件访问）、安全浏览、安全通道（安全传输）、消息模块（消息传输）</w:t>
            </w:r>
          </w:p>
        </w:tc>
      </w:tr>
      <w:tr w14:paraId="07BB7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788611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0DF9D8C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E23E37E">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73270C0D">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Style w:val="21"/>
                <w:rFonts w:hint="eastAsia" w:ascii="仿宋" w:hAnsi="仿宋" w:eastAsia="仿宋" w:cs="仿宋"/>
                <w:sz w:val="24"/>
                <w:szCs w:val="24"/>
              </w:rPr>
              <w:t xml:space="preserve">5.3.4 </w:t>
            </w:r>
            <w:r>
              <w:rPr>
                <w:rFonts w:hint="eastAsia" w:ascii="仿宋" w:hAnsi="仿宋" w:eastAsia="仿宋" w:cs="仿宋"/>
                <w:sz w:val="24"/>
                <w:szCs w:val="24"/>
              </w:rPr>
              <w:t>支持CIFS(SAMBA)和NFS,FTP,SFTP文件共享的多设备集群负载；默认开启智能调度算法，自动根据设备负载状态分配传输任务；传输文件实时监控,进行共享文件统计；支持文件传送优先级设置功能；传输文件支持临时文件，无需定期删除。</w:t>
            </w:r>
          </w:p>
          <w:p w14:paraId="17648F7B">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firstLine="360"/>
              <w:jc w:val="left"/>
              <w:textAlignment w:val="auto"/>
              <w:rPr>
                <w:rFonts w:hint="eastAsia" w:ascii="仿宋" w:hAnsi="仿宋" w:eastAsia="仿宋" w:cs="仿宋"/>
                <w:sz w:val="24"/>
                <w:szCs w:val="24"/>
              </w:rPr>
            </w:pPr>
            <w:r>
              <w:rPr>
                <w:rFonts w:hint="eastAsia" w:ascii="仿宋" w:hAnsi="仿宋" w:eastAsia="仿宋" w:cs="仿宋"/>
                <w:sz w:val="24"/>
                <w:szCs w:val="24"/>
              </w:rPr>
              <w:t>支持文件格式特征过滤；并能提供具备图形化界面的文件类型判断工具以帮助用户识别不常见文件类型</w:t>
            </w:r>
          </w:p>
        </w:tc>
      </w:tr>
      <w:tr w14:paraId="7228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E59ADC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DEA0EE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1948800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98589C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▲5.3.5 支持对访问网闸的服务器、终端设备的进程进行安全检查，确保合规的服务器、终端设备才能通过系统传输数据，提供国家认可的第三方检测机构的出具的检测报告并加盖供应商公章</w:t>
            </w:r>
          </w:p>
        </w:tc>
      </w:tr>
      <w:tr w14:paraId="7C40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7062E2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583197A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top"/>
          </w:tcPr>
          <w:p w14:paraId="2123E47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A50F575">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5.3.6 支持数据容错处理，当数据同步失败时，用户可以查询、恢复、删除未能正常传输的数据</w:t>
            </w:r>
          </w:p>
        </w:tc>
      </w:tr>
      <w:tr w14:paraId="0EA15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1B0619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403FF3D">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restart"/>
            <w:shd w:val="clear" w:color="auto" w:fill="auto"/>
            <w:tcMar>
              <w:left w:w="105" w:type="dxa"/>
              <w:right w:w="105" w:type="dxa"/>
            </w:tcMar>
            <w:vAlign w:val="center"/>
          </w:tcPr>
          <w:p w14:paraId="537A09C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5.4≥27英寸大屏触摸式多功能阅片设备3套</w:t>
            </w:r>
          </w:p>
        </w:tc>
        <w:tc>
          <w:tcPr>
            <w:tcW w:w="5475" w:type="dxa"/>
            <w:shd w:val="clear" w:color="auto" w:fill="auto"/>
            <w:tcMar>
              <w:left w:w="105" w:type="dxa"/>
              <w:right w:w="105" w:type="dxa"/>
            </w:tcMar>
            <w:vAlign w:val="top"/>
          </w:tcPr>
          <w:p w14:paraId="48EEA64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▲5.4.1 适用于院内外如门诊、急诊、手术室、病房、读片室、外出义诊多种需要进行影像浏览的应用场景，可浏览云胶片（扫码浏览电子报告、电子胶片及DICOM影像）和传统塑料胶片（替代传统看片箱），至少支持音视屏互动进行线上会议、远程医疗援助、MDT应用。（提供公开发布的产品彩页或者说明书或者技术白皮书）</w:t>
            </w:r>
          </w:p>
        </w:tc>
      </w:tr>
      <w:tr w14:paraId="4EBA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FDC2CB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732ADA6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center"/>
          </w:tcPr>
          <w:p w14:paraId="68E4B9A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5A8CED92">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▲5.4.2 ≥27寸多点触摸式彩色显示器，显示分辨率不小于：1920×1080（2MP），色温不小于：8000K，亮度触摸式连续可调，调节范围：350cd/m2～1300cd/m2，误差±10%，对比度不小于：1000：1，支持横/竖屏转换，自带片夹装置，用于浏览传统胶片，提供国家认可的第三方检测机构出具的检测报告。</w:t>
            </w:r>
          </w:p>
        </w:tc>
      </w:tr>
      <w:tr w14:paraId="271C3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B4BD66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66ACEC1B">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center"/>
          </w:tcPr>
          <w:p w14:paraId="1A2FFC1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4AB5A6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5.4.3 产品性能：≥4G内存，≥32G存储</w:t>
            </w:r>
          </w:p>
        </w:tc>
      </w:tr>
      <w:tr w14:paraId="6D042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4F4E8A4C">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424163A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center"/>
          </w:tcPr>
          <w:p w14:paraId="0398F11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BBCA9E8">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5.4.4 产品内置摄像头，像素不低于800万，支持快速扫描识别二维码。</w:t>
            </w:r>
          </w:p>
        </w:tc>
      </w:tr>
      <w:tr w14:paraId="78C0A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39483E39">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02938C7">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center"/>
          </w:tcPr>
          <w:p w14:paraId="13AAD51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35FECD43">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5.4.5 产品支持含物联网，WIFI，有线接入的多种上网方式，配置物联网卡并提供合同期内不限量的使用流量，单独提供承诺函</w:t>
            </w:r>
          </w:p>
        </w:tc>
      </w:tr>
      <w:tr w14:paraId="0E41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220DD51">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341842D3">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vMerge w:val="continue"/>
            <w:shd w:val="clear" w:color="auto" w:fill="auto"/>
            <w:tcMar>
              <w:left w:w="105" w:type="dxa"/>
              <w:right w:w="105" w:type="dxa"/>
            </w:tcMar>
            <w:vAlign w:val="center"/>
          </w:tcPr>
          <w:p w14:paraId="4E73FCF5">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5475" w:type="dxa"/>
            <w:shd w:val="clear" w:color="auto" w:fill="auto"/>
            <w:tcMar>
              <w:left w:w="105" w:type="dxa"/>
              <w:right w:w="105" w:type="dxa"/>
            </w:tcMar>
            <w:vAlign w:val="top"/>
          </w:tcPr>
          <w:p w14:paraId="472EFC1F">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5.4.6 提供配套移动支架，金属材质，高度可自由升降调节，显示器俯仰角度可调节，万向耐磨脚轮带刹车定位，360度自由移动</w:t>
            </w:r>
          </w:p>
        </w:tc>
      </w:tr>
      <w:tr w14:paraId="2D12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652DEC46">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1DBA2B6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shd w:val="clear" w:color="auto" w:fill="auto"/>
            <w:tcMar>
              <w:left w:w="105" w:type="dxa"/>
              <w:right w:w="105" w:type="dxa"/>
            </w:tcMar>
            <w:vAlign w:val="center"/>
          </w:tcPr>
          <w:p w14:paraId="7544BB67">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★5.5 宣教显示器≥6台</w:t>
            </w:r>
          </w:p>
        </w:tc>
        <w:tc>
          <w:tcPr>
            <w:tcW w:w="5475" w:type="dxa"/>
            <w:shd w:val="clear" w:color="auto" w:fill="auto"/>
            <w:tcMar>
              <w:left w:w="105" w:type="dxa"/>
              <w:right w:w="105" w:type="dxa"/>
            </w:tcMar>
            <w:vAlign w:val="top"/>
          </w:tcPr>
          <w:p w14:paraId="51BB13E1">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★5.5.1 提供≥42英寸宣教显示器≥5台，≥55英寸宣教显示器≥1台</w:t>
            </w:r>
          </w:p>
        </w:tc>
      </w:tr>
      <w:tr w14:paraId="4FE37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67" w:hRule="atLeast"/>
        </w:trPr>
        <w:tc>
          <w:tcPr>
            <w:tcW w:w="870" w:type="dxa"/>
            <w:vMerge w:val="continue"/>
            <w:shd w:val="clear" w:color="auto" w:fill="auto"/>
            <w:tcMar>
              <w:left w:w="105" w:type="dxa"/>
              <w:right w:w="105" w:type="dxa"/>
            </w:tcMar>
            <w:vAlign w:val="top"/>
          </w:tcPr>
          <w:p w14:paraId="55545D04">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659" w:type="dxa"/>
            <w:vMerge w:val="continue"/>
            <w:shd w:val="clear" w:color="auto" w:fill="auto"/>
            <w:tcMar>
              <w:left w:w="105" w:type="dxa"/>
              <w:right w:w="105" w:type="dxa"/>
            </w:tcMar>
            <w:vAlign w:val="center"/>
          </w:tcPr>
          <w:p w14:paraId="2503E2FA">
            <w:pPr>
              <w:keepNext w:val="0"/>
              <w:keepLines w:val="0"/>
              <w:pageBreakBefore w:val="0"/>
              <w:kinsoku/>
              <w:wordWrap/>
              <w:overflowPunct/>
              <w:topLinePunct w:val="0"/>
              <w:bidi w:val="0"/>
              <w:adjustRightInd w:val="0"/>
              <w:snapToGrid w:val="0"/>
              <w:spacing w:beforeAutospacing="0" w:afterAutospacing="0" w:line="240" w:lineRule="auto"/>
              <w:ind w:left="0"/>
              <w:textAlignment w:val="auto"/>
              <w:rPr>
                <w:rFonts w:hint="eastAsia" w:ascii="仿宋" w:hAnsi="仿宋" w:eastAsia="仿宋" w:cs="仿宋"/>
                <w:sz w:val="24"/>
                <w:szCs w:val="24"/>
              </w:rPr>
            </w:pPr>
          </w:p>
        </w:tc>
        <w:tc>
          <w:tcPr>
            <w:tcW w:w="1843" w:type="dxa"/>
            <w:shd w:val="clear" w:color="auto" w:fill="auto"/>
            <w:tcMar>
              <w:left w:w="105" w:type="dxa"/>
              <w:right w:w="105" w:type="dxa"/>
            </w:tcMar>
            <w:vAlign w:val="center"/>
          </w:tcPr>
          <w:p w14:paraId="5C88C0D4">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★5.6 网络专线2条</w:t>
            </w:r>
          </w:p>
        </w:tc>
        <w:tc>
          <w:tcPr>
            <w:tcW w:w="5475" w:type="dxa"/>
            <w:shd w:val="clear" w:color="auto" w:fill="auto"/>
            <w:tcMar>
              <w:left w:w="105" w:type="dxa"/>
              <w:right w:w="105" w:type="dxa"/>
            </w:tcMar>
            <w:vAlign w:val="top"/>
          </w:tcPr>
          <w:p w14:paraId="47D8D08A">
            <w:pPr>
              <w:pStyle w:val="14"/>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jc w:val="left"/>
              <w:textAlignment w:val="auto"/>
              <w:rPr>
                <w:rFonts w:hint="eastAsia" w:ascii="仿宋" w:hAnsi="仿宋" w:eastAsia="仿宋" w:cs="仿宋"/>
                <w:sz w:val="24"/>
                <w:szCs w:val="24"/>
              </w:rPr>
            </w:pPr>
            <w:r>
              <w:rPr>
                <w:rFonts w:hint="eastAsia" w:ascii="仿宋" w:hAnsi="仿宋" w:eastAsia="仿宋" w:cs="仿宋"/>
                <w:sz w:val="24"/>
                <w:szCs w:val="24"/>
              </w:rPr>
              <w:t>★5.6.1 300网络链路2条（一主一备），上下行一致，固定IP</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1个</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91"/>
        <w:gridCol w:w="915"/>
        <w:gridCol w:w="5996"/>
        <w:gridCol w:w="2246"/>
      </w:tblGrid>
      <w:tr w14:paraId="58A2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top"/>
          </w:tcPr>
          <w:p w14:paraId="5EB28D2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0" w:type="auto"/>
            <w:shd w:val="clear" w:color="auto" w:fill="auto"/>
            <w:tcMar>
              <w:left w:w="105" w:type="dxa"/>
              <w:right w:w="105" w:type="dxa"/>
            </w:tcMar>
            <w:vAlign w:val="top"/>
          </w:tcPr>
          <w:p w14:paraId="277858A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both"/>
              <w:textAlignment w:val="auto"/>
              <w:rPr>
                <w:rFonts w:hint="eastAsia" w:ascii="仿宋" w:hAnsi="仿宋" w:eastAsia="仿宋" w:cs="仿宋"/>
                <w:sz w:val="24"/>
                <w:szCs w:val="24"/>
              </w:rPr>
            </w:pPr>
            <w:r>
              <w:rPr>
                <w:rStyle w:val="21"/>
                <w:rFonts w:hint="eastAsia" w:ascii="仿宋" w:hAnsi="仿宋" w:eastAsia="仿宋" w:cs="仿宋"/>
                <w:sz w:val="24"/>
                <w:szCs w:val="24"/>
              </w:rPr>
              <w:t>服务类型</w:t>
            </w:r>
          </w:p>
        </w:tc>
        <w:tc>
          <w:tcPr>
            <w:tcW w:w="5996" w:type="dxa"/>
            <w:shd w:val="clear" w:color="auto" w:fill="auto"/>
            <w:tcMar>
              <w:left w:w="105" w:type="dxa"/>
              <w:right w:w="105" w:type="dxa"/>
            </w:tcMar>
            <w:vAlign w:val="top"/>
          </w:tcPr>
          <w:p w14:paraId="10C8DC5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服务内容</w:t>
            </w:r>
          </w:p>
        </w:tc>
        <w:tc>
          <w:tcPr>
            <w:tcW w:w="2246" w:type="dxa"/>
            <w:shd w:val="clear" w:color="auto" w:fill="auto"/>
            <w:tcMar>
              <w:left w:w="105" w:type="dxa"/>
              <w:right w:w="105" w:type="dxa"/>
            </w:tcMar>
            <w:vAlign w:val="top"/>
          </w:tcPr>
          <w:p w14:paraId="3117795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服务期</w:t>
            </w:r>
          </w:p>
        </w:tc>
      </w:tr>
      <w:tr w14:paraId="5D48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center"/>
          </w:tcPr>
          <w:p w14:paraId="6F7292E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0" w:type="auto"/>
            <w:shd w:val="clear" w:color="auto" w:fill="auto"/>
            <w:tcMar>
              <w:left w:w="105" w:type="dxa"/>
              <w:right w:w="105" w:type="dxa"/>
            </w:tcMar>
            <w:vAlign w:val="center"/>
          </w:tcPr>
          <w:p w14:paraId="2DB012E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基本服务</w:t>
            </w:r>
          </w:p>
        </w:tc>
        <w:tc>
          <w:tcPr>
            <w:tcW w:w="5996" w:type="dxa"/>
            <w:shd w:val="clear" w:color="auto" w:fill="auto"/>
            <w:tcMar>
              <w:left w:w="105" w:type="dxa"/>
              <w:right w:w="105" w:type="dxa"/>
            </w:tcMar>
            <w:vAlign w:val="top"/>
          </w:tcPr>
          <w:p w14:paraId="706E56B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基本服务至少满足以下内容：</w:t>
            </w:r>
          </w:p>
          <w:p w14:paraId="0E51B12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1、稳定性：</w:t>
            </w:r>
            <w:r>
              <w:rPr>
                <w:rFonts w:hint="eastAsia" w:ascii="仿宋" w:hAnsi="仿宋" w:eastAsia="仿宋" w:cs="仿宋"/>
                <w:sz w:val="24"/>
                <w:szCs w:val="24"/>
              </w:rPr>
              <w:t>服务期内需保障业务稳定，不无故出现崩溃或宕机现象；</w:t>
            </w:r>
          </w:p>
          <w:p w14:paraId="3CF62AD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2、安全性：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0455507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3、数据质量：</w:t>
            </w:r>
            <w:r>
              <w:rPr>
                <w:rFonts w:hint="eastAsia" w:ascii="仿宋" w:hAnsi="仿宋" w:eastAsia="仿宋" w:cs="仿宋"/>
                <w:sz w:val="24"/>
                <w:szCs w:val="24"/>
              </w:rPr>
              <w:t>供应商收到异议后，</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3FC7BEA6">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55F5D2E1">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shd w:val="clear"/>
              </w:rPr>
              <w:t>5、备件供应：</w:t>
            </w:r>
            <w:r>
              <w:rPr>
                <w:rFonts w:hint="eastAsia" w:ascii="仿宋" w:hAnsi="仿宋" w:eastAsia="仿宋" w:cs="仿宋"/>
                <w:color w:val="auto"/>
                <w:sz w:val="24"/>
                <w:szCs w:val="24"/>
                <w:shd w:val="clear"/>
              </w:rPr>
              <w:t>服务期内设备故障并经排查，明确2小时内无法恢复，应当在4小时内提供相同类型和性能的可用机器恢复业务工作，直至故障排除；</w:t>
            </w:r>
          </w:p>
          <w:p w14:paraId="28563205">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6、定期巡检：</w:t>
            </w:r>
            <w:r>
              <w:rPr>
                <w:rFonts w:hint="eastAsia" w:ascii="仿宋" w:hAnsi="仿宋" w:eastAsia="仿宋" w:cs="仿宋"/>
                <w:sz w:val="24"/>
                <w:szCs w:val="24"/>
              </w:rPr>
              <w:t>服务期内每月提供至少1次软硬件服务期巡检报告；</w:t>
            </w:r>
          </w:p>
          <w:p w14:paraId="6460A3B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7、培训服务：</w:t>
            </w:r>
            <w:r>
              <w:rPr>
                <w:rFonts w:hint="eastAsia" w:ascii="仿宋" w:hAnsi="仿宋" w:eastAsia="仿宋" w:cs="仿宋"/>
                <w:sz w:val="24"/>
                <w:szCs w:val="24"/>
              </w:rPr>
              <w:t>每年提供≥2次培训服务，并提交培训方案和签到表；</w:t>
            </w:r>
          </w:p>
          <w:p w14:paraId="74221F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sz w:val="24"/>
                <w:szCs w:val="24"/>
              </w:rPr>
              <w:t>8、文档服务：</w:t>
            </w:r>
          </w:p>
          <w:p w14:paraId="117DD14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上线运行之日提交本次采购内容的《四川省人民医院应用系统档案》。服务期满后需提交本次采购内容的运维记录签字扫描版本。</w:t>
            </w:r>
          </w:p>
          <w:p w14:paraId="44F0ECC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textAlignment w:val="auto"/>
              <w:rPr>
                <w:rFonts w:hint="eastAsia" w:ascii="仿宋" w:hAnsi="仿宋" w:eastAsia="仿宋" w:cs="仿宋"/>
                <w:color w:val="auto"/>
                <w:sz w:val="24"/>
                <w:szCs w:val="24"/>
                <w:u w:val="none"/>
              </w:rPr>
            </w:pPr>
            <w:r>
              <w:rPr>
                <w:rStyle w:val="21"/>
                <w:rFonts w:hint="eastAsia" w:ascii="仿宋" w:hAnsi="仿宋" w:eastAsia="仿宋" w:cs="仿宋"/>
                <w:sz w:val="24"/>
                <w:szCs w:val="24"/>
              </w:rPr>
              <w:t>9、人</w:t>
            </w:r>
            <w:r>
              <w:rPr>
                <w:rStyle w:val="21"/>
                <w:rFonts w:hint="eastAsia" w:ascii="仿宋" w:hAnsi="仿宋" w:eastAsia="仿宋" w:cs="仿宋"/>
                <w:color w:val="auto"/>
                <w:sz w:val="24"/>
                <w:szCs w:val="24"/>
                <w:u w:val="none"/>
              </w:rPr>
              <w:t>员服务：</w:t>
            </w:r>
          </w:p>
          <w:p w14:paraId="0821708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u w:val="none"/>
              </w:rPr>
              <w:t>提供7人驻场，其中医助人员5人、维护工程师2人，驻场期间纳入医院统一管理。工作时间：工作日7:30-18:00,周末</w:t>
            </w:r>
            <w:r>
              <w:rPr>
                <w:rFonts w:hint="eastAsia" w:ascii="仿宋" w:hAnsi="仿宋" w:eastAsia="仿宋" w:cs="仿宋"/>
                <w:sz w:val="24"/>
                <w:szCs w:val="24"/>
              </w:rPr>
              <w:t>及节假日 8：00-16：30，工作时间按规定统一着装，佩戴工牌。提供线上运营维护人员6人，24小时在线电话专人接听，为患者提供线上服务。</w:t>
            </w:r>
          </w:p>
          <w:p w14:paraId="3E66E55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10、其他：</w:t>
            </w:r>
          </w:p>
          <w:p w14:paraId="51EB66C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textAlignment w:val="auto"/>
              <w:rPr>
                <w:rFonts w:hint="eastAsia" w:ascii="仿宋" w:hAnsi="仿宋" w:eastAsia="仿宋" w:cs="仿宋"/>
                <w:sz w:val="24"/>
                <w:szCs w:val="24"/>
                <w:u w:val="none"/>
              </w:rPr>
            </w:pPr>
            <w:r>
              <w:rPr>
                <w:rFonts w:hint="eastAsia" w:ascii="仿宋" w:hAnsi="仿宋" w:eastAsia="仿宋" w:cs="仿宋"/>
                <w:sz w:val="24"/>
                <w:szCs w:val="24"/>
                <w:u w:val="none"/>
              </w:rPr>
              <w:t>1）从合同签订生效之日起，采购人</w:t>
            </w:r>
            <w:r>
              <w:rPr>
                <w:rStyle w:val="21"/>
                <w:rFonts w:hint="eastAsia" w:ascii="仿宋" w:hAnsi="仿宋" w:eastAsia="仿宋" w:cs="仿宋"/>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sz w:val="24"/>
                <w:szCs w:val="24"/>
                <w:u w:val="none"/>
              </w:rPr>
              <w:t>四川省人民</w:t>
            </w:r>
            <w:r>
              <w:rPr>
                <w:rStyle w:val="21"/>
                <w:rFonts w:hint="eastAsia" w:ascii="仿宋" w:hAnsi="仿宋" w:eastAsia="仿宋" w:cs="仿宋"/>
                <w:sz w:val="24"/>
                <w:szCs w:val="24"/>
                <w:u w:val="none"/>
                <w:shd w:val="clear"/>
              </w:rPr>
              <w:t>医院供应商考核</w:t>
            </w:r>
            <w:r>
              <w:rPr>
                <w:rFonts w:hint="eastAsia" w:ascii="仿宋" w:hAnsi="仿宋" w:eastAsia="仿宋" w:cs="仿宋"/>
                <w:sz w:val="24"/>
                <w:szCs w:val="24"/>
                <w:u w:val="none"/>
                <w:shd w:val="clear"/>
              </w:rPr>
              <w:t>指标对供应商行为进行评价考核，考核结果关联最终付款金额和履约保证金</w:t>
            </w:r>
            <w:r>
              <w:rPr>
                <w:rFonts w:hint="eastAsia" w:ascii="仿宋" w:hAnsi="仿宋" w:eastAsia="仿宋" w:cs="仿宋"/>
                <w:color w:val="000000"/>
                <w:sz w:val="24"/>
                <w:szCs w:val="24"/>
                <w:u w:val="none"/>
                <w:shd w:val="clear"/>
              </w:rPr>
              <w:t>（如有履约保证金）</w:t>
            </w:r>
            <w:r>
              <w:rPr>
                <w:rFonts w:hint="eastAsia" w:ascii="仿宋" w:hAnsi="仿宋" w:eastAsia="仿宋" w:cs="仿宋"/>
                <w:sz w:val="24"/>
                <w:szCs w:val="24"/>
                <w:u w:val="none"/>
                <w:shd w:val="clear"/>
              </w:rPr>
              <w:t>。</w:t>
            </w:r>
          </w:p>
          <w:p w14:paraId="636E198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成交</w:t>
            </w:r>
            <w:r>
              <w:rPr>
                <w:rFonts w:hint="eastAsia" w:ascii="仿宋" w:hAnsi="仿宋" w:eastAsia="仿宋" w:cs="仿宋"/>
                <w:sz w:val="24"/>
                <w:szCs w:val="24"/>
              </w:rPr>
              <w:t>供应商应当与本项目相关的第三方保持有痕的沟通，明确项目的具体要求和功能等方面的细节。采购人负责组织、监督和验收，以确保项目的顺利完成。</w:t>
            </w:r>
          </w:p>
          <w:p w14:paraId="6D0C8BC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textAlignment w:val="auto"/>
              <w:rPr>
                <w:rFonts w:hint="eastAsia" w:ascii="仿宋" w:hAnsi="仿宋" w:eastAsia="仿宋" w:cs="仿宋"/>
                <w:sz w:val="24"/>
                <w:szCs w:val="24"/>
              </w:rPr>
            </w:pPr>
            <w:r>
              <w:rPr>
                <w:rFonts w:hint="eastAsia" w:ascii="仿宋" w:hAnsi="仿宋" w:eastAsia="仿宋" w:cs="仿宋"/>
                <w:sz w:val="24"/>
                <w:szCs w:val="24"/>
              </w:rPr>
              <w:t>3）如涉及因本项目开发的系统原因造成采购人的经济损失，由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p>
        </w:tc>
        <w:tc>
          <w:tcPr>
            <w:tcW w:w="2246" w:type="dxa"/>
            <w:shd w:val="clear" w:color="auto" w:fill="auto"/>
            <w:tcMar>
              <w:left w:w="105" w:type="dxa"/>
              <w:right w:w="105" w:type="dxa"/>
            </w:tcMar>
            <w:vAlign w:val="center"/>
          </w:tcPr>
          <w:p w14:paraId="4E0EA28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rPr>
              <w:t>2026年6月1日至2027年5月31日</w:t>
            </w:r>
            <w:r>
              <w:rPr>
                <w:rFonts w:hint="eastAsia" w:ascii="仿宋" w:hAnsi="仿宋" w:eastAsia="仿宋" w:cs="仿宋"/>
                <w:sz w:val="24"/>
                <w:szCs w:val="24"/>
                <w:lang w:eastAsia="zh-CN"/>
              </w:rPr>
              <w:t>（如合同签订生效之日晚于2026年6月1日，则服务期为合同签订生效之日起一年）</w:t>
            </w:r>
          </w:p>
        </w:tc>
      </w:tr>
      <w:tr w14:paraId="1FB0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c>
          <w:tcPr>
            <w:tcW w:w="0" w:type="auto"/>
            <w:shd w:val="clear" w:color="auto" w:fill="auto"/>
            <w:tcMar>
              <w:left w:w="105" w:type="dxa"/>
              <w:right w:w="105" w:type="dxa"/>
            </w:tcMar>
            <w:vAlign w:val="center"/>
          </w:tcPr>
          <w:p w14:paraId="5DFBF07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2</w:t>
            </w:r>
          </w:p>
        </w:tc>
        <w:tc>
          <w:tcPr>
            <w:tcW w:w="0" w:type="auto"/>
            <w:shd w:val="clear" w:color="auto" w:fill="auto"/>
            <w:tcMar>
              <w:left w:w="105" w:type="dxa"/>
              <w:right w:w="105" w:type="dxa"/>
            </w:tcMar>
            <w:vAlign w:val="center"/>
          </w:tcPr>
          <w:p w14:paraId="1095B3D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质保服务</w:t>
            </w:r>
          </w:p>
        </w:tc>
        <w:tc>
          <w:tcPr>
            <w:tcW w:w="5996" w:type="dxa"/>
            <w:shd w:val="clear" w:color="auto" w:fill="auto"/>
            <w:tcMar>
              <w:left w:w="105" w:type="dxa"/>
              <w:right w:w="105" w:type="dxa"/>
            </w:tcMar>
            <w:vAlign w:val="center"/>
          </w:tcPr>
          <w:p w14:paraId="550A4F9D">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textAlignment w:val="auto"/>
              <w:rPr>
                <w:rFonts w:hint="eastAsia" w:ascii="仿宋" w:hAnsi="仿宋" w:eastAsia="仿宋" w:cs="仿宋"/>
                <w:color w:val="auto"/>
                <w:sz w:val="24"/>
                <w:szCs w:val="24"/>
              </w:rPr>
            </w:pPr>
            <w:r>
              <w:rPr>
                <w:rFonts w:hint="eastAsia" w:ascii="仿宋" w:hAnsi="仿宋" w:eastAsia="仿宋" w:cs="仿宋"/>
                <w:color w:val="auto"/>
                <w:sz w:val="24"/>
                <w:szCs w:val="24"/>
                <w:shd w:val="clear"/>
              </w:rPr>
              <w:t>本项目系服务采购项目，在服务过程中，需确保软硬件、网络及云存储正常运行，并针对打印耗材和塑料胶片提供 7×24 小时不间断的补给服务。</w:t>
            </w:r>
          </w:p>
        </w:tc>
        <w:tc>
          <w:tcPr>
            <w:tcW w:w="2246" w:type="dxa"/>
            <w:shd w:val="clear" w:color="auto" w:fill="auto"/>
            <w:tcMar>
              <w:left w:w="105" w:type="dxa"/>
              <w:right w:w="105" w:type="dxa"/>
            </w:tcMar>
            <w:vAlign w:val="top"/>
          </w:tcPr>
          <w:p w14:paraId="4ABDC7B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firstLine="36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shd w:val="clear"/>
              </w:rPr>
              <w:t>2026年6月1日至2027年5月31日</w:t>
            </w:r>
            <w:r>
              <w:rPr>
                <w:rFonts w:hint="eastAsia" w:ascii="仿宋" w:hAnsi="仿宋" w:eastAsia="仿宋" w:cs="仿宋"/>
                <w:color w:val="auto"/>
                <w:sz w:val="24"/>
                <w:szCs w:val="24"/>
                <w:shd w:val="clear"/>
                <w:lang w:eastAsia="zh-CN"/>
              </w:rPr>
              <w:t>（如合同签订生效之日晚于2026年6月1日，则服务期为合同签订生效之日起一年）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30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四川省人民医院（包括所有院区）</w:t>
      </w:r>
      <w:r>
        <w:rPr>
          <w:rFonts w:hint="eastAsia" w:ascii="仿宋" w:hAnsi="仿宋" w:eastAsia="仿宋" w:cs="仿宋"/>
          <w:sz w:val="24"/>
          <w:szCs w:val="24"/>
          <w:highlight w:val="none"/>
        </w:rPr>
        <w:t>。</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6" w:name="_Toc18622"/>
      <w:bookmarkEnd w:id="16"/>
      <w:bookmarkStart w:id="17" w:name="_Toc153964904"/>
      <w:bookmarkEnd w:id="17"/>
      <w:r>
        <w:rPr>
          <w:rFonts w:hint="eastAsia" w:ascii="仿宋" w:hAnsi="仿宋" w:eastAsia="仿宋" w:cs="仿宋"/>
          <w:sz w:val="24"/>
          <w:szCs w:val="24"/>
          <w:lang w:val="en-US" w:eastAsia="zh-CN"/>
        </w:rPr>
        <w:t>项目验收后，每三个月结算一次，每三个月服务完成后，供应商须根据本项目成交单价及实际服务情况向采购人提供结算费用清单进行确认，并在确认后5日内按确认金额向采购人提供合法有效票据及其他相关请款资料，采购人于接到上述票据及资料后的55日内支付相应价款（如有因考核等原因产生的扣款，应在支付前予以扣除），服务期内结算总金额不超过332万元。</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（6）履约验收时间：本项目包含的所有软硬件功能上线运行并具备验收条件后10个工作日组织验收。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知识产权：由采购人、供应商双方共同开发的项目：采购人、供应商双方共同研发的该系统软件产品，知识产权归采购人、供应商双方共同拥有，软件所有数据归采购人所有。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39F87A4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1.拟投入本项目的技术服务人员</w:t>
      </w:r>
    </w:p>
    <w:p w14:paraId="32ED23A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（1）具有计算机技术与软件专业技术资格中级职称；</w:t>
      </w:r>
    </w:p>
    <w:p w14:paraId="6CF76B8B">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（2）具有计算机技术与软件专业技术资格高级或以上职称；</w:t>
      </w:r>
    </w:p>
    <w:p w14:paraId="6CF8714D">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注：同一人具备多项证书的不重复计分。供应商需提供有效期内相关证书证明材料并加盖供应商公章。</w:t>
      </w:r>
    </w:p>
    <w:p w14:paraId="2CE14F3F">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2.项目实施方案</w:t>
      </w:r>
    </w:p>
    <w:p w14:paraId="3BE1919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（1）供应商具有完善的项目技术方案，包括但不限于1）项目需求分析；2）系统架构设计方案；3）功能模块详解方案；4）系统对接方案。</w:t>
      </w:r>
    </w:p>
    <w:p w14:paraId="6211D02C">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（2）供应商具有完善的系统实施方案，包括但不限于1）项目进度计划；2）质量保障措施；3）系统故障、应急处理方案；4）测试验收方案。</w:t>
      </w:r>
    </w:p>
    <w:p w14:paraId="41710909">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（3）供应商具有完善的售后服务方案，包括但不限于1）售后服务体系；2）售后服务人员安排及联系方式；3）售后响应时间及措施；4）人员培训方案。</w:t>
      </w:r>
    </w:p>
    <w:p w14:paraId="09DE84D7">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3.业绩</w:t>
      </w:r>
    </w:p>
    <w:p w14:paraId="460BE55A">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供应商提供2023年1月1日（含）以来类似云胶片系统服务类项目的业绩证明。</w:t>
      </w:r>
    </w:p>
    <w:p w14:paraId="73FCAFF2">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注：提供中标通知书、采购合同关键页（合同首页、建设内容、金额、签字盖章页）材料复印件，并加盖供应商公章，缺项或不提供的不得分。</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4"/>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9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0"/>
        <w:gridCol w:w="1600"/>
        <w:gridCol w:w="44"/>
        <w:gridCol w:w="6474"/>
        <w:gridCol w:w="90"/>
        <w:gridCol w:w="660"/>
        <w:gridCol w:w="90"/>
      </w:tblGrid>
      <w:tr w14:paraId="4D55D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272B69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四川省人民医院供应商考核</w:t>
            </w:r>
          </w:p>
        </w:tc>
      </w:tr>
      <w:tr w14:paraId="1664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BB0FB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both"/>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供应商</w:t>
            </w:r>
          </w:p>
        </w:tc>
        <w:tc>
          <w:tcPr>
            <w:tcW w:w="0" w:type="auto"/>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1E2AF0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198CB4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合同名</w:t>
            </w:r>
          </w:p>
        </w:tc>
        <w:tc>
          <w:tcPr>
            <w:tcW w:w="0" w:type="auto"/>
            <w:gridSpan w:val="2"/>
            <w:tcBorders>
              <w:top w:val="nil"/>
              <w:left w:val="nil"/>
              <w:bottom w:val="single" w:color="auto" w:sz="6" w:space="0"/>
              <w:right w:val="single" w:color="auto" w:sz="6" w:space="0"/>
            </w:tcBorders>
            <w:shd w:val="clear" w:color="auto" w:fill="auto"/>
            <w:tcMar>
              <w:left w:w="105" w:type="dxa"/>
              <w:right w:w="105" w:type="dxa"/>
            </w:tcMar>
            <w:vAlign w:val="top"/>
          </w:tcPr>
          <w:p w14:paraId="1ADB959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2F18D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Height w:val="450" w:hRule="atLeast"/>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D2652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指标类别</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00D47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指标</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301FA46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考核内容</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37226C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扣分</w:t>
            </w:r>
          </w:p>
        </w:tc>
      </w:tr>
      <w:tr w14:paraId="416B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8AA728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性能质</w:t>
            </w:r>
          </w:p>
          <w:p w14:paraId="305E65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量评价</w:t>
            </w:r>
          </w:p>
          <w:p w14:paraId="465A7E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 </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03E980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稳定性</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D844C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07295A0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EDC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CC98A98">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768D09C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安全性</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0DA14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露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5738A25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3F1E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9171A6E">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1D1B27A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用户满意度</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1023AA1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263BF2D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E1F0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Height w:val="675" w:hRule="atLeast"/>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634B90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使用支</w:t>
            </w:r>
          </w:p>
          <w:p w14:paraId="7E53BD7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7B154C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考勤</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B81AA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204626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1467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0293531">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021F50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响应速度</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A7EA5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0E7EAE7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295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4646716">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2FD6EFC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备件供应</w:t>
            </w:r>
          </w:p>
          <w:p w14:paraId="728C3CB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（本项仅涉</w:t>
            </w:r>
          </w:p>
          <w:p w14:paraId="4611FE4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06549F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E29F1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31D3D5E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656D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76F758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845C0A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定期巡检</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CA9353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58DE1B4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6DCD9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E8E2652">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59AD7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培训服务</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E745A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2201B2D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1A98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363706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81A84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技术文档</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6EAAD6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top"/>
          </w:tcPr>
          <w:p w14:paraId="66CB9EC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018A3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Height w:val="870" w:hRule="atLeast"/>
        </w:trPr>
        <w:tc>
          <w:tcPr>
            <w:tcW w:w="0" w:type="auto"/>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E4C7D1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违规违</w:t>
            </w:r>
          </w:p>
          <w:p w14:paraId="706A73F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5FCC47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廉洁从业</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F186B8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3FEF3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一票否决</w:t>
            </w:r>
          </w:p>
        </w:tc>
      </w:tr>
      <w:tr w14:paraId="04349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8761E3A">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3507D0E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安全规范</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4B4D3A7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45CA6D2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192B1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1CEFFCB">
            <w:pPr>
              <w:keepNext w:val="0"/>
              <w:keepLines w:val="0"/>
              <w:pageBreakBefore w:val="0"/>
              <w:kinsoku/>
              <w:wordWrap/>
              <w:overflowPunct/>
              <w:topLinePunct w:val="0"/>
              <w:autoSpaceDE/>
              <w:autoSpaceDN/>
              <w:bidi w:val="0"/>
              <w:adjustRightInd w:val="0"/>
              <w:snapToGrid w:val="0"/>
              <w:spacing w:beforeAutospacing="0" w:afterAutospacing="0" w:line="240" w:lineRule="auto"/>
              <w:ind w:firstLine="0"/>
              <w:textAlignment w:val="auto"/>
              <w:rPr>
                <w:rFonts w:hint="eastAsia" w:ascii="仿宋" w:hAnsi="仿宋" w:eastAsia="仿宋" w:cs="仿宋"/>
                <w:sz w:val="24"/>
                <w:szCs w:val="24"/>
              </w:rPr>
            </w:pPr>
          </w:p>
        </w:tc>
        <w:tc>
          <w:tcPr>
            <w:tcW w:w="0" w:type="auto"/>
            <w:tcBorders>
              <w:top w:val="nil"/>
              <w:left w:val="nil"/>
              <w:bottom w:val="single" w:color="auto" w:sz="6" w:space="0"/>
              <w:right w:val="single" w:color="auto" w:sz="6" w:space="0"/>
            </w:tcBorders>
            <w:shd w:val="clear" w:color="auto" w:fill="auto"/>
            <w:tcMar>
              <w:left w:w="105" w:type="dxa"/>
              <w:right w:w="105" w:type="dxa"/>
            </w:tcMar>
            <w:vAlign w:val="center"/>
          </w:tcPr>
          <w:p w14:paraId="2BCE8D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color w:val="000000"/>
                <w:sz w:val="24"/>
                <w:szCs w:val="24"/>
              </w:rPr>
              <w:t>其他违纪违规</w:t>
            </w:r>
          </w:p>
        </w:tc>
        <w:tc>
          <w:tcPr>
            <w:tcW w:w="7509"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5085D0A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其他不利于医院信息化建设相关行为，视情节严重程度，经采购人讨论酌情扣分</w:t>
            </w:r>
          </w:p>
        </w:tc>
        <w:tc>
          <w:tcPr>
            <w:tcW w:w="750" w:type="dxa"/>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2B16C97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4E822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AC43E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0" w:type="auto"/>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63B139B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r w14:paraId="58ED4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gridAfter w:val="1"/>
          <w:wAfter w:w="90" w:type="dxa"/>
        </w:trPr>
        <w:tc>
          <w:tcPr>
            <w:tcW w:w="0" w:type="auto"/>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1167E3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0" w:type="auto"/>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089F27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w:t>
            </w:r>
          </w:p>
          <w:p w14:paraId="486E750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277D1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0" w:type="auto"/>
            <w:tcBorders>
              <w:top w:val="nil"/>
              <w:left w:val="nil"/>
              <w:bottom w:val="nil"/>
              <w:right w:val="nil"/>
            </w:tcBorders>
            <w:shd w:val="clear" w:color="auto" w:fill="auto"/>
            <w:vAlign w:val="center"/>
          </w:tcPr>
          <w:p w14:paraId="6F246BC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54A5C5E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095A966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0" w:type="auto"/>
            <w:tcBorders>
              <w:top w:val="nil"/>
              <w:left w:val="nil"/>
              <w:bottom w:val="nil"/>
              <w:right w:val="nil"/>
            </w:tcBorders>
            <w:shd w:val="clear" w:color="auto" w:fill="auto"/>
            <w:vAlign w:val="center"/>
          </w:tcPr>
          <w:p w14:paraId="767D37C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90" w:type="dxa"/>
            <w:tcBorders>
              <w:top w:val="nil"/>
              <w:left w:val="nil"/>
              <w:bottom w:val="nil"/>
              <w:right w:val="nil"/>
            </w:tcBorders>
            <w:shd w:val="clear" w:color="auto" w:fill="auto"/>
            <w:vAlign w:val="center"/>
          </w:tcPr>
          <w:p w14:paraId="04B2AD5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c>
          <w:tcPr>
            <w:tcW w:w="750" w:type="dxa"/>
            <w:gridSpan w:val="2"/>
            <w:tcBorders>
              <w:top w:val="nil"/>
              <w:left w:val="nil"/>
              <w:bottom w:val="nil"/>
              <w:right w:val="nil"/>
            </w:tcBorders>
            <w:shd w:val="clear" w:color="auto" w:fill="auto"/>
            <w:vAlign w:val="center"/>
          </w:tcPr>
          <w:p w14:paraId="4616905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firstLine="0"/>
              <w:jc w:val="left"/>
              <w:textAlignment w:val="auto"/>
              <w:rPr>
                <w:rFonts w:hint="eastAsia" w:ascii="仿宋" w:hAnsi="仿宋" w:eastAsia="仿宋" w:cs="仿宋"/>
                <w:sz w:val="24"/>
                <w:szCs w:val="24"/>
              </w:rPr>
            </w:pPr>
          </w:p>
        </w:tc>
      </w:tr>
    </w:tbl>
    <w:p w14:paraId="2B23D4E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3B4C3F0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1.服务期内，采购人可按照本项目采购需求内容对应的考核指标对供应商进行考核，具体指标以采购人要求为准；</w:t>
      </w:r>
    </w:p>
    <w:p w14:paraId="1716CFA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rPr>
        <w:t>2.考核关联最终付款金额，具体计算规则如下：</w:t>
      </w:r>
    </w:p>
    <w:p w14:paraId="5FEEF858">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lang w:eastAsia="zh-CN"/>
        </w:rPr>
      </w:pPr>
      <w:r>
        <w:rPr>
          <w:rStyle w:val="21"/>
          <w:rFonts w:hint="eastAsia" w:ascii="仿宋" w:hAnsi="仿宋" w:eastAsia="仿宋" w:cs="仿宋"/>
          <w:b w:val="0"/>
          <w:bCs/>
          <w:color w:val="000000"/>
          <w:kern w:val="2"/>
          <w:sz w:val="24"/>
          <w:szCs w:val="24"/>
          <w:lang w:val="en-US" w:eastAsia="zh-CN"/>
        </w:rPr>
        <w:t>1）</w:t>
      </w:r>
      <w:r>
        <w:rPr>
          <w:rStyle w:val="21"/>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=服务期汇总考核扣分之和÷服务期内考核次数</w:t>
      </w:r>
      <w:r>
        <w:rPr>
          <w:rFonts w:hint="eastAsia" w:ascii="仿宋" w:hAnsi="仿宋" w:eastAsia="仿宋" w:cs="仿宋"/>
          <w:color w:val="000000"/>
          <w:kern w:val="2"/>
          <w:sz w:val="24"/>
          <w:szCs w:val="24"/>
          <w:lang w:eastAsia="zh-CN"/>
        </w:rPr>
        <w:t>；</w:t>
      </w:r>
    </w:p>
    <w:p w14:paraId="6D5D015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rPr>
        <w:t>2）0分&lt;</w:t>
      </w:r>
      <w:r>
        <w:rPr>
          <w:rStyle w:val="21"/>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≤3分，将</w:t>
      </w:r>
      <w:r>
        <w:rPr>
          <w:rFonts w:hint="eastAsia" w:ascii="仿宋" w:hAnsi="仿宋" w:eastAsia="仿宋" w:cs="仿宋"/>
          <w:color w:val="000000"/>
          <w:kern w:val="2"/>
          <w:sz w:val="24"/>
          <w:szCs w:val="24"/>
          <w:u w:val="none"/>
        </w:rPr>
        <w:t>对供应商进行诫勉谈话；</w:t>
      </w:r>
    </w:p>
    <w:p w14:paraId="30E621E9">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扣除合同支付上限金额5%费用，扣完为止；</w:t>
      </w:r>
    </w:p>
    <w:p w14:paraId="7F512BD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w:t>
      </w:r>
      <w:r>
        <w:rPr>
          <w:rFonts w:hint="eastAsia" w:ascii="仿宋" w:hAnsi="仿宋" w:eastAsia="仿宋" w:cs="仿宋"/>
          <w:color w:val="000000"/>
          <w:kern w:val="2"/>
          <w:sz w:val="24"/>
          <w:szCs w:val="24"/>
          <w:u w:val="none"/>
        </w:rPr>
        <w:t>扣除合同支付上限金额10%费用，扣完为止；</w:t>
      </w:r>
    </w:p>
    <w:p w14:paraId="07B35E01">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lang w:val="en-US" w:eastAsia="zh-CN"/>
        </w:rPr>
        <w:t>5</w:t>
      </w:r>
      <w:r>
        <w:rPr>
          <w:rFonts w:hint="eastAsia" w:ascii="仿宋" w:hAnsi="仿宋" w:eastAsia="仿宋" w:cs="仿宋"/>
          <w:color w:val="000000"/>
          <w:kern w:val="2"/>
          <w:sz w:val="24"/>
          <w:szCs w:val="24"/>
          <w:u w:val="none"/>
        </w:rPr>
        <w:t>）10分&lt;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，视为</w:t>
      </w:r>
      <w:r>
        <w:rPr>
          <w:rStyle w:val="21"/>
          <w:rFonts w:hint="eastAsia" w:ascii="仿宋" w:hAnsi="仿宋" w:eastAsia="仿宋" w:cs="仿宋"/>
          <w:color w:val="000000"/>
          <w:kern w:val="2"/>
          <w:sz w:val="24"/>
          <w:szCs w:val="24"/>
          <w:u w:val="none"/>
        </w:rPr>
        <w:t>不合格</w:t>
      </w:r>
      <w:r>
        <w:rPr>
          <w:rFonts w:hint="eastAsia" w:ascii="仿宋" w:hAnsi="仿宋" w:eastAsia="仿宋" w:cs="仿宋"/>
          <w:color w:val="000000"/>
          <w:kern w:val="2"/>
          <w:sz w:val="24"/>
          <w:szCs w:val="24"/>
          <w:u w:val="none"/>
        </w:rPr>
        <w:t>，终止合同，合同待支付金额</w:t>
      </w:r>
      <w:r>
        <w:rPr>
          <w:rFonts w:hint="eastAsia" w:ascii="仿宋" w:hAnsi="仿宋" w:eastAsia="仿宋" w:cs="仿宋"/>
          <w:color w:val="000000"/>
          <w:kern w:val="2"/>
          <w:sz w:val="24"/>
          <w:szCs w:val="24"/>
          <w:u w:val="none"/>
          <w:lang w:val="en-US" w:eastAsia="zh-CN"/>
        </w:rPr>
        <w:t>不予支付，</w:t>
      </w:r>
      <w:r>
        <w:rPr>
          <w:rFonts w:hint="eastAsia" w:ascii="仿宋" w:hAnsi="仿宋" w:eastAsia="仿宋" w:cs="仿宋"/>
          <w:color w:val="000000"/>
          <w:kern w:val="2"/>
          <w:sz w:val="24"/>
          <w:szCs w:val="24"/>
          <w:u w:val="none"/>
        </w:rPr>
        <w:t>履约保证金（如有履约保证金）不予退还；</w:t>
      </w:r>
    </w:p>
    <w:p w14:paraId="5C45A92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2"/>
          <w:sz w:val="24"/>
          <w:szCs w:val="24"/>
          <w:u w:val="none"/>
        </w:rPr>
        <w:t>3.供应商出现一票否决时，将对其违法违纪的相关情况汇报院纪委，同时按供应商违约情况取消本次合作，扣除所有剩余款项，履约保证金不予退还</w:t>
      </w:r>
      <w:r>
        <w:rPr>
          <w:rFonts w:hint="eastAsia" w:ascii="仿宋" w:hAnsi="仿宋" w:eastAsia="仿宋" w:cs="仿宋"/>
          <w:color w:val="000000"/>
          <w:kern w:val="2"/>
          <w:sz w:val="24"/>
          <w:szCs w:val="24"/>
        </w:rPr>
        <w:t>（如本项目要求缴纳履约保证金），并保留后续追究供应商责任的权利。</w:t>
      </w:r>
    </w:p>
    <w:p w14:paraId="585D51E7">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right="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rPr>
        <w:t>4.如合同待支付金额或履约保证金中无款可扣且考核后出现扣款情况，</w:t>
      </w:r>
      <w:r>
        <w:rPr>
          <w:rFonts w:hint="eastAsia" w:ascii="仿宋" w:hAnsi="仿宋" w:eastAsia="仿宋" w:cs="仿宋"/>
          <w:kern w:val="2"/>
          <w:sz w:val="24"/>
          <w:szCs w:val="24"/>
          <w:lang w:val="en-US" w:eastAsia="zh-CN"/>
        </w:rPr>
        <w:t>供应商</w:t>
      </w:r>
      <w:r>
        <w:rPr>
          <w:rFonts w:hint="eastAsia" w:ascii="仿宋" w:hAnsi="仿宋" w:eastAsia="仿宋" w:cs="仿宋"/>
          <w:kern w:val="2"/>
          <w:sz w:val="24"/>
          <w:szCs w:val="24"/>
        </w:rPr>
        <w:t>承诺在得到</w:t>
      </w:r>
      <w:r>
        <w:rPr>
          <w:rFonts w:hint="eastAsia" w:ascii="仿宋" w:hAnsi="仿宋" w:eastAsia="仿宋" w:cs="仿宋"/>
          <w:kern w:val="2"/>
          <w:sz w:val="24"/>
          <w:szCs w:val="24"/>
          <w:lang w:val="en-US" w:eastAsia="zh-CN"/>
        </w:rPr>
        <w:t>采购人</w:t>
      </w:r>
      <w:r>
        <w:rPr>
          <w:rFonts w:hint="eastAsia" w:ascii="仿宋" w:hAnsi="仿宋" w:eastAsia="仿宋" w:cs="仿宋"/>
          <w:kern w:val="2"/>
          <w:sz w:val="24"/>
          <w:szCs w:val="24"/>
        </w:rPr>
        <w:t>考核结果后的10日内向甲方缴纳对应的扣款金额。</w:t>
      </w:r>
      <w:r>
        <w:rPr>
          <w:rFonts w:hint="eastAsia" w:ascii="仿宋" w:hAnsi="仿宋" w:eastAsia="仿宋" w:cs="仿宋"/>
          <w:b/>
          <w:bCs/>
          <w:kern w:val="2"/>
          <w:sz w:val="24"/>
          <w:szCs w:val="24"/>
          <w:lang w:val="en-US" w:eastAsia="zh-CN"/>
        </w:rPr>
        <w:t>（提供承诺函）</w:t>
      </w:r>
    </w:p>
    <w:p w14:paraId="427DCB9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rPr>
        <w:t>5.</w:t>
      </w:r>
      <w:r>
        <w:rPr>
          <w:rFonts w:hint="eastAsia" w:ascii="仿宋" w:hAnsi="仿宋" w:eastAsia="仿宋" w:cs="仿宋"/>
          <w:color w:val="000000"/>
          <w:kern w:val="2"/>
          <w:sz w:val="24"/>
          <w:szCs w:val="24"/>
        </w:rPr>
        <w:t>本考核指标最终解释权归四川省医学科学院·四川省人民医院。</w:t>
      </w:r>
    </w:p>
    <w:p w14:paraId="279DCE1C">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r>
        <w:rPr>
          <w:rFonts w:hint="eastAsia" w:ascii="仿宋" w:hAnsi="仿宋" w:eastAsia="仿宋" w:cs="仿宋"/>
          <w:sz w:val="24"/>
          <w:szCs w:val="24"/>
          <w:lang w:val="en-US" w:eastAsia="zh-CN"/>
        </w:rPr>
        <w:t>带</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的条款为重要技术参数条款。</w:t>
      </w:r>
      <w:bookmarkStart w:id="98" w:name="_GoBack"/>
      <w:bookmarkEnd w:id="98"/>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4"/>
        <w:numPr>
          <w:ilvl w:val="0"/>
          <w:numId w:val="0"/>
        </w:numPr>
        <w:ind w:left="0" w:leftChars="0" w:firstLine="0" w:firstLineChars="0"/>
        <w:rPr>
          <w:rFonts w:ascii="Times New Roman" w:hAnsi="Times New Roman" w:cs="Times New Roman"/>
        </w:rPr>
      </w:pPr>
      <w:bookmarkStart w:id="18" w:name="_Toc28789"/>
      <w:bookmarkStart w:id="19" w:name="_Toc13768"/>
      <w:bookmarkStart w:id="20"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8"/>
      <w:bookmarkEnd w:id="19"/>
      <w:bookmarkEnd w:id="20"/>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900"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900"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40分</w:t>
            </w:r>
          </w:p>
        </w:tc>
        <w:tc>
          <w:tcPr>
            <w:tcW w:w="4900" w:type="dxa"/>
            <w:tcBorders>
              <w:top w:val="single" w:color="auto" w:sz="4" w:space="0"/>
              <w:left w:val="single" w:color="auto" w:sz="4" w:space="0"/>
              <w:bottom w:val="single" w:color="auto" w:sz="4" w:space="0"/>
              <w:right w:val="single" w:color="auto" w:sz="4" w:space="0"/>
            </w:tcBorders>
            <w:vAlign w:val="center"/>
          </w:tcPr>
          <w:p w14:paraId="3AC51D8F">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带“★”的为实质性要求，不允许有负偏离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不作为评审要求</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b w:val="0"/>
                <w:color w:val="000000" w:themeColor="text1"/>
                <w:sz w:val="24"/>
                <w:szCs w:val="24"/>
                <w:lang w:val="en-US" w:eastAsia="zh-CN"/>
                <w14:textFill>
                  <w14:solidFill>
                    <w14:schemeClr w14:val="tx1"/>
                  </w14:solidFill>
                </w14:textFill>
              </w:rPr>
              <w:t>的参数条款为重要技术参数条款，作为重要评分因素；</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参数条款</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b w:val="0"/>
                <w:color w:val="000000" w:themeColor="text1"/>
                <w:sz w:val="24"/>
                <w:szCs w:val="24"/>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lang w:eastAsia="zh-CN"/>
                <w14:textFill>
                  <w14:solidFill>
                    <w14:schemeClr w14:val="tx1"/>
                  </w14:solidFill>
                </w14:textFill>
              </w:rPr>
              <w:t>。</w:t>
            </w:r>
          </w:p>
          <w:p w14:paraId="524D03F0">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供应商响应文件</w:t>
            </w:r>
            <w:r>
              <w:rPr>
                <w:rFonts w:hint="eastAsia" w:ascii="仿宋" w:hAnsi="仿宋" w:eastAsia="仿宋" w:cs="仿宋"/>
                <w:color w:val="000000" w:themeColor="text1"/>
                <w:sz w:val="24"/>
                <w:szCs w:val="24"/>
                <w14:textFill>
                  <w14:solidFill>
                    <w14:schemeClr w14:val="tx1"/>
                  </w14:solidFill>
                </w14:textFill>
              </w:rPr>
              <w:t>完全符合</w:t>
            </w:r>
            <w:r>
              <w:rPr>
                <w:rFonts w:hint="eastAsia" w:ascii="仿宋" w:hAnsi="仿宋" w:eastAsia="仿宋" w:cs="仿宋"/>
                <w:color w:val="000000" w:themeColor="text1"/>
                <w:sz w:val="24"/>
                <w:szCs w:val="24"/>
                <w:lang w:val="en-US" w:eastAsia="zh-CN"/>
                <w14:textFill>
                  <w14:solidFill>
                    <w14:schemeClr w14:val="tx1"/>
                  </w14:solidFill>
                </w14:textFill>
              </w:rPr>
              <w:t>谈判</w:t>
            </w:r>
            <w:r>
              <w:rPr>
                <w:rFonts w:hint="eastAsia" w:ascii="仿宋" w:hAnsi="仿宋" w:eastAsia="仿宋" w:cs="仿宋"/>
                <w:color w:val="000000" w:themeColor="text1"/>
                <w:sz w:val="24"/>
                <w:szCs w:val="24"/>
                <w14:textFill>
                  <w14:solidFill>
                    <w14:schemeClr w14:val="tx1"/>
                  </w14:solidFill>
                </w14:textFill>
              </w:rPr>
              <w:t>文件</w:t>
            </w:r>
            <w:r>
              <w:rPr>
                <w:rFonts w:hint="eastAsia" w:ascii="仿宋" w:hAnsi="仿宋" w:eastAsia="仿宋" w:cs="仿宋"/>
                <w:color w:val="000000" w:themeColor="text1"/>
                <w:sz w:val="24"/>
                <w:szCs w:val="24"/>
                <w:lang w:val="en-US" w:eastAsia="zh-CN"/>
                <w14:textFill>
                  <w14:solidFill>
                    <w14:schemeClr w14:val="tx1"/>
                  </w14:solidFill>
                </w14:textFill>
              </w:rPr>
              <w:t>三、</w:t>
            </w:r>
            <w:r>
              <w:rPr>
                <w:rFonts w:hint="eastAsia" w:ascii="仿宋" w:hAnsi="仿宋" w:eastAsia="仿宋" w:cs="仿宋"/>
                <w:color w:val="000000" w:themeColor="text1"/>
                <w:sz w:val="24"/>
                <w:szCs w:val="24"/>
                <w14:textFill>
                  <w14:solidFill>
                    <w14:schemeClr w14:val="tx1"/>
                  </w14:solidFill>
                </w14:textFill>
              </w:rPr>
              <w:t>技术、服务要求</w:t>
            </w:r>
            <w:r>
              <w:rPr>
                <w:rFonts w:hint="eastAsia" w:ascii="仿宋" w:hAnsi="仿宋" w:eastAsia="仿宋" w:cs="仿宋"/>
                <w:color w:val="000000" w:themeColor="text1"/>
                <w:sz w:val="24"/>
                <w:szCs w:val="24"/>
                <w:lang w:val="en-US" w:eastAsia="zh-CN"/>
                <w14:textFill>
                  <w14:solidFill>
                    <w14:schemeClr w14:val="tx1"/>
                  </w14:solidFill>
                </w14:textFill>
              </w:rPr>
              <w:t xml:space="preserve"> 技术要求</w:t>
            </w:r>
            <w:r>
              <w:rPr>
                <w:rFonts w:hint="eastAsia" w:ascii="仿宋" w:hAnsi="仿宋" w:eastAsia="仿宋" w:cs="仿宋"/>
                <w:color w:val="000000" w:themeColor="text1"/>
                <w:sz w:val="24"/>
                <w:szCs w:val="24"/>
                <w14:textFill>
                  <w14:solidFill>
                    <w14:schemeClr w14:val="tx1"/>
                  </w14:solidFill>
                </w14:textFill>
              </w:rPr>
              <w:t>的得</w:t>
            </w:r>
            <w:r>
              <w:rPr>
                <w:rFonts w:hint="eastAsia" w:ascii="仿宋" w:hAnsi="仿宋" w:eastAsia="仿宋" w:cs="仿宋"/>
                <w:color w:val="000000" w:themeColor="text1"/>
                <w:sz w:val="24"/>
                <w:szCs w:val="24"/>
                <w:lang w:val="en-US" w:eastAsia="zh-CN"/>
                <w14:textFill>
                  <w14:solidFill>
                    <w14:schemeClr w14:val="tx1"/>
                  </w14:solidFill>
                </w14:textFill>
              </w:rPr>
              <w:t>40</w:t>
            </w:r>
            <w:r>
              <w:rPr>
                <w:rFonts w:hint="eastAsia" w:ascii="仿宋" w:hAnsi="仿宋" w:eastAsia="仿宋" w:cs="仿宋"/>
                <w:color w:val="000000" w:themeColor="text1"/>
                <w:sz w:val="24"/>
                <w:szCs w:val="24"/>
                <w14:textFill>
                  <w14:solidFill>
                    <w14:schemeClr w14:val="tx1"/>
                  </w14:solidFill>
                </w14:textFill>
              </w:rPr>
              <w:t>分。</w:t>
            </w:r>
          </w:p>
          <w:p w14:paraId="67015CF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的响应得分规则如下：</w:t>
            </w:r>
          </w:p>
          <w:p w14:paraId="101C900E">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重要技术参数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的数量÷</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000000" w:themeColor="text1"/>
                <w:sz w:val="24"/>
                <w:szCs w:val="24"/>
                <w:lang w:eastAsia="zh-CN"/>
                <w14:textFill>
                  <w14:solidFill>
                    <w14:schemeClr w14:val="tx1"/>
                  </w14:solidFill>
                </w14:textFill>
              </w:rPr>
              <w:t>分。</w:t>
            </w:r>
          </w:p>
          <w:p w14:paraId="59783B64">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响应得分=（供应商满足</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的数量÷</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val="en-US" w:eastAsia="zh-CN"/>
                <w14:textFill>
                  <w14:solidFill>
                    <w14:schemeClr w14:val="tx1"/>
                  </w14:solidFill>
                </w14:textFill>
              </w:rPr>
              <w:t>的</w:t>
            </w:r>
            <w:r>
              <w:rPr>
                <w:rFonts w:hint="eastAsia" w:ascii="仿宋" w:hAnsi="仿宋" w:eastAsia="仿宋" w:cs="仿宋"/>
                <w:color w:val="000000" w:themeColor="text1"/>
                <w:sz w:val="24"/>
                <w:szCs w:val="24"/>
                <w:lang w:eastAsia="zh-CN"/>
                <w14:textFill>
                  <w14:solidFill>
                    <w14:schemeClr w14:val="tx1"/>
                  </w14:solidFill>
                </w14:textFill>
              </w:rPr>
              <w:t>总数量）×</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分。</w:t>
            </w:r>
          </w:p>
          <w:p w14:paraId="00A9991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注：①得分保留小数点后两位小数，四舍五入。</w:t>
            </w:r>
          </w:p>
          <w:p w14:paraId="7916F1AA">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②项数以不能再拆分的最小项为一项。</w:t>
            </w:r>
          </w:p>
          <w:p w14:paraId="2AADB7B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技术服务人员8%</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8分</w:t>
            </w:r>
          </w:p>
        </w:tc>
        <w:tc>
          <w:tcPr>
            <w:tcW w:w="4900" w:type="dxa"/>
            <w:tcBorders>
              <w:top w:val="single" w:color="auto" w:sz="4" w:space="0"/>
              <w:left w:val="single" w:color="auto" w:sz="4" w:space="0"/>
              <w:bottom w:val="single" w:color="auto" w:sz="4" w:space="0"/>
              <w:right w:val="single" w:color="auto" w:sz="4" w:space="0"/>
            </w:tcBorders>
            <w:vAlign w:val="center"/>
          </w:tcPr>
          <w:p w14:paraId="12C710E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拟投入本项目的技术服务人员：</w:t>
            </w:r>
          </w:p>
          <w:p w14:paraId="16E086F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（1）具有计算机技术与软件专业技术资格高级或以上职称的每有一个得2分，本项最多得4分；</w:t>
            </w:r>
          </w:p>
          <w:p w14:paraId="0480CD2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（2）具有计算机技术与软件专业技术资格中级职称的每有一个得1分，本项最多得4分；</w:t>
            </w:r>
          </w:p>
          <w:p w14:paraId="0D4C840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注：同一人具备多项证书的不重复计分。供应商</w:t>
            </w:r>
            <w:r>
              <w:rPr>
                <w:rFonts w:hint="eastAsia" w:ascii="仿宋" w:hAnsi="仿宋" w:eastAsia="仿宋" w:cs="仿宋"/>
                <w:sz w:val="24"/>
                <w:szCs w:val="24"/>
                <w:highlight w:val="none"/>
                <w:lang w:val="en-US" w:eastAsia="zh-CN"/>
              </w:rPr>
              <w:t>需</w:t>
            </w:r>
            <w:r>
              <w:rPr>
                <w:rFonts w:hint="eastAsia" w:ascii="仿宋" w:hAnsi="仿宋" w:eastAsia="仿宋" w:cs="仿宋"/>
                <w:sz w:val="24"/>
                <w:szCs w:val="24"/>
                <w:highlight w:val="none"/>
              </w:rPr>
              <w:t>提供</w:t>
            </w:r>
            <w:r>
              <w:rPr>
                <w:rFonts w:hint="eastAsia" w:ascii="仿宋" w:hAnsi="仿宋" w:eastAsia="仿宋" w:cs="仿宋"/>
                <w:sz w:val="24"/>
                <w:szCs w:val="24"/>
                <w:highlight w:val="none"/>
                <w:lang w:val="en-US" w:eastAsia="zh-CN"/>
              </w:rPr>
              <w:t>有效期内</w:t>
            </w:r>
            <w:r>
              <w:rPr>
                <w:rFonts w:hint="eastAsia" w:ascii="仿宋" w:hAnsi="仿宋" w:eastAsia="仿宋" w:cs="仿宋"/>
                <w:sz w:val="24"/>
                <w:szCs w:val="24"/>
                <w:highlight w:val="none"/>
              </w:rPr>
              <w:t>相关证书证明材料并加盖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公章。</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项目实施方案12%</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12分</w:t>
            </w:r>
          </w:p>
        </w:tc>
        <w:tc>
          <w:tcPr>
            <w:tcW w:w="4900" w:type="dxa"/>
            <w:tcBorders>
              <w:top w:val="single" w:color="auto" w:sz="4" w:space="0"/>
              <w:left w:val="single" w:color="auto" w:sz="4" w:space="0"/>
              <w:bottom w:val="single" w:color="auto" w:sz="4" w:space="0"/>
              <w:right w:val="single" w:color="auto" w:sz="4" w:space="0"/>
            </w:tcBorders>
            <w:vAlign w:val="center"/>
          </w:tcPr>
          <w:p w14:paraId="414A311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供应商具有完善的项目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技术</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项目需求分析；</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）系统架构设计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）功能模块详解</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6CF8950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系统实施</w:t>
            </w:r>
            <w:r>
              <w:rPr>
                <w:rFonts w:hint="eastAsia" w:ascii="仿宋" w:hAnsi="仿宋" w:eastAsia="仿宋" w:cs="仿宋"/>
                <w:color w:val="000000" w:themeColor="text1"/>
                <w:sz w:val="24"/>
                <w:szCs w:val="24"/>
                <w:highlight w:val="none"/>
                <w14:textFill>
                  <w14:solidFill>
                    <w14:schemeClr w14:val="tx1"/>
                  </w14:solidFill>
                </w14:textFill>
              </w:rPr>
              <w:t>方案，包括但不限于（1）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项目进度计划；（2）质量保障措施；（3）系统</w:t>
            </w:r>
            <w:r>
              <w:rPr>
                <w:rFonts w:hint="eastAsia" w:ascii="仿宋" w:hAnsi="仿宋" w:eastAsia="仿宋" w:cs="仿宋"/>
                <w:color w:val="000000" w:themeColor="text1"/>
                <w:sz w:val="24"/>
                <w:szCs w:val="24"/>
                <w:highlight w:val="none"/>
                <w14:textFill>
                  <w14:solidFill>
                    <w14:schemeClr w14:val="tx1"/>
                  </w14:solidFill>
                </w14:textFill>
              </w:rPr>
              <w:t>故障</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应急</w:t>
            </w:r>
            <w:r>
              <w:rPr>
                <w:rFonts w:hint="eastAsia" w:ascii="仿宋" w:hAnsi="仿宋" w:eastAsia="仿宋" w:cs="仿宋"/>
                <w:color w:val="000000" w:themeColor="text1"/>
                <w:sz w:val="24"/>
                <w:szCs w:val="24"/>
                <w:highlight w:val="none"/>
                <w14:textFill>
                  <w14:solidFill>
                    <w14:schemeClr w14:val="tx1"/>
                  </w14:solidFill>
                </w14:textFill>
              </w:rPr>
              <w:t>处理</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）测试验收</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20E9786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供应商具有完善的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，包括但不限于（1）</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售后服务体系；（2）售后服务人员安排及联系方式；</w:t>
            </w: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售后响应时间及措施；（4）</w:t>
            </w:r>
            <w:r>
              <w:rPr>
                <w:rFonts w:hint="eastAsia" w:ascii="仿宋" w:hAnsi="仿宋" w:eastAsia="仿宋" w:cs="仿宋"/>
                <w:color w:val="000000" w:themeColor="text1"/>
                <w:sz w:val="24"/>
                <w:szCs w:val="24"/>
                <w:highlight w:val="none"/>
                <w14:textFill>
                  <w14:solidFill>
                    <w14:schemeClr w14:val="tx1"/>
                  </w14:solidFill>
                </w14:textFill>
              </w:rPr>
              <w:t>人员培训</w:t>
            </w:r>
            <w:r>
              <w:rPr>
                <w:rFonts w:hint="eastAsia" w:ascii="仿宋" w:hAnsi="仿宋" w:eastAsia="仿宋" w:cs="仿宋"/>
                <w:color w:val="000000" w:themeColor="text1"/>
                <w:sz w:val="24"/>
                <w:szCs w:val="24"/>
                <w:highlight w:val="none"/>
                <w:lang w:val="en-US" w:eastAsia="zh-CN"/>
                <w14:textFill>
                  <w14:solidFill>
                    <w14:schemeClr w14:val="tx1"/>
                  </w14:solidFill>
                </w14:textFill>
              </w:rPr>
              <w:t>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 xml:space="preserve">分，每有一处内容存在缺陷扣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5F94F3F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color w:val="000000" w:themeColor="text1"/>
                <w:sz w:val="24"/>
                <w:szCs w:val="24"/>
                <w:highlight w:val="none"/>
                <w14:textFill>
                  <w14:solidFill>
                    <w14:schemeClr w14:val="tx1"/>
                  </w14:solidFill>
                </w14:textFill>
              </w:rPr>
              <w:t>缺陷是指：内容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不一致</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地点名称错误、</w:t>
            </w:r>
            <w:r>
              <w:rPr>
                <w:rFonts w:hint="eastAsia" w:ascii="仿宋" w:hAnsi="仿宋" w:eastAsia="仿宋" w:cs="仿宋"/>
                <w:color w:val="000000" w:themeColor="text1"/>
                <w:sz w:val="24"/>
                <w:szCs w:val="24"/>
                <w:highlight w:val="none"/>
                <w14:textFill>
                  <w14:solidFill>
                    <w14:schemeClr w14:val="tx1"/>
                  </w14:solidFill>
                </w14:textFill>
              </w:rPr>
              <w:t>内容与本项目实际需求不符、不符合相关规范及标准</w:t>
            </w:r>
            <w:r>
              <w:rPr>
                <w:rFonts w:hint="eastAsia" w:ascii="仿宋" w:hAnsi="仿宋" w:eastAsia="仿宋" w:cs="仿宋"/>
                <w:color w:val="000000" w:themeColor="text1"/>
                <w:sz w:val="24"/>
                <w:szCs w:val="24"/>
                <w:highlight w:val="none"/>
                <w:lang w:eastAsia="zh-CN"/>
                <w14:textFill>
                  <w14:solidFill>
                    <w14:schemeClr w14:val="tx1"/>
                  </w14:solidFill>
                </w14:textFill>
              </w:rPr>
              <w:t>。</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top w:val="single" w:color="auto" w:sz="4" w:space="0"/>
              <w:left w:val="single" w:color="auto" w:sz="4" w:space="0"/>
              <w:bottom w:val="single" w:color="auto" w:sz="4" w:space="0"/>
              <w:right w:val="single" w:color="auto" w:sz="4" w:space="0"/>
            </w:tcBorders>
            <w:vAlign w:val="center"/>
          </w:tcPr>
          <w:p w14:paraId="529303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6E95E8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900" w:type="dxa"/>
            <w:tcBorders>
              <w:top w:val="single" w:color="auto" w:sz="4" w:space="0"/>
              <w:left w:val="single" w:color="auto" w:sz="4" w:space="0"/>
              <w:bottom w:val="single" w:color="auto" w:sz="4" w:space="0"/>
              <w:right w:val="single" w:color="auto" w:sz="4" w:space="0"/>
            </w:tcBorders>
            <w:vAlign w:val="center"/>
          </w:tcPr>
          <w:p w14:paraId="4F66B8E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w:t>
            </w:r>
            <w:r>
              <w:rPr>
                <w:rFonts w:hint="eastAsia" w:ascii="仿宋" w:hAnsi="仿宋" w:eastAsia="仿宋" w:cs="仿宋"/>
                <w:color w:val="000000" w:themeColor="text1"/>
                <w:sz w:val="24"/>
                <w:szCs w:val="24"/>
                <w:highlight w:val="none"/>
                <w14:textFill>
                  <w14:solidFill>
                    <w14:schemeClr w14:val="tx1"/>
                  </w14:solidFill>
                </w14:textFill>
              </w:rPr>
              <w:t>类似</w:t>
            </w:r>
            <w:r>
              <w:rPr>
                <w:rFonts w:hint="eastAsia" w:ascii="仿宋" w:hAnsi="仿宋" w:eastAsia="仿宋" w:cs="仿宋"/>
                <w:i w:val="0"/>
                <w:iCs w:val="0"/>
                <w:caps w:val="0"/>
                <w:color w:val="000000" w:themeColor="text1"/>
                <w:spacing w:val="0"/>
                <w:sz w:val="24"/>
                <w:szCs w:val="24"/>
                <w:highlight w:val="none"/>
                <w:shd w:val="clear"/>
                <w14:textFill>
                  <w14:solidFill>
                    <w14:schemeClr w14:val="tx1"/>
                  </w14:solidFill>
                </w14:textFill>
              </w:rPr>
              <w:t>云胶片</w:t>
            </w:r>
            <w:r>
              <w:rPr>
                <w:rFonts w:hint="eastAsia" w:ascii="仿宋" w:hAnsi="仿宋" w:eastAsia="仿宋" w:cs="仿宋"/>
                <w:i w:val="0"/>
                <w:iCs w:val="0"/>
                <w:caps w:val="0"/>
                <w:color w:val="000000" w:themeColor="text1"/>
                <w:spacing w:val="0"/>
                <w:sz w:val="24"/>
                <w:szCs w:val="24"/>
                <w:highlight w:val="none"/>
                <w:shd w:val="clear"/>
                <w:lang w:val="en-US" w:eastAsia="zh-CN"/>
                <w14:textFill>
                  <w14:solidFill>
                    <w14:schemeClr w14:val="tx1"/>
                  </w14:solidFill>
                </w14:textFill>
              </w:rPr>
              <w:t>系统服务类</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96F692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注：提供中标通知书、采购合同关键页（合同首页、建设内容、金额、签字盖章页）材料复印件，并加盖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75DD339C">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4"/>
        <w:numPr>
          <w:ilvl w:val="0"/>
          <w:numId w:val="0"/>
        </w:numPr>
        <w:ind w:left="0" w:leftChars="0" w:firstLine="0" w:firstLineChars="0"/>
        <w:rPr>
          <w:rFonts w:ascii="Times New Roman" w:hAnsi="Times New Roman" w:cs="Times New Roman"/>
        </w:rPr>
      </w:pPr>
      <w:bookmarkStart w:id="21" w:name="_Toc28171"/>
      <w:bookmarkStart w:id="22" w:name="_Toc22827"/>
      <w:bookmarkStart w:id="23"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5913"/>
      <w:bookmarkStart w:id="25" w:name="_Toc4960"/>
      <w:bookmarkStart w:id="26" w:name="_Toc29819"/>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9428"/>
      <w:bookmarkStart w:id="28" w:name="_Toc30609"/>
      <w:bookmarkStart w:id="29" w:name="_Toc19851"/>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9041"/>
      <w:bookmarkStart w:id="31" w:name="_Toc1544"/>
      <w:bookmarkStart w:id="32" w:name="_Toc32352"/>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1472"/>
      <w:bookmarkStart w:id="34" w:name="_Toc24097"/>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24859"/>
      <w:bookmarkStart w:id="36" w:name="_Toc32749"/>
      <w:bookmarkStart w:id="37" w:name="_Toc1690"/>
      <w:bookmarkStart w:id="38" w:name="_Toc17163"/>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6803"/>
      <w:bookmarkStart w:id="40" w:name="_Toc24123"/>
      <w:bookmarkStart w:id="41" w:name="_Toc17905"/>
      <w:bookmarkStart w:id="42" w:name="_Toc3558"/>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135"/>
      <w:bookmarkStart w:id="44" w:name="_Toc27526"/>
      <w:bookmarkStart w:id="45" w:name="_Toc5996"/>
      <w:bookmarkStart w:id="46" w:name="_Toc2989"/>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19987"/>
      <w:bookmarkStart w:id="48" w:name="_Toc5056"/>
      <w:bookmarkStart w:id="49" w:name="_Toc7233"/>
      <w:bookmarkStart w:id="50" w:name="_Toc2031"/>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3023"/>
      <w:bookmarkStart w:id="52" w:name="_Toc6482"/>
      <w:bookmarkStart w:id="53" w:name="_Toc21519"/>
      <w:bookmarkStart w:id="54" w:name="_Toc14829"/>
      <w:bookmarkStart w:id="55" w:name="_Toc16029"/>
      <w:bookmarkStart w:id="56"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5"/>
        <w:ind w:firstLine="0"/>
      </w:pPr>
      <w:r>
        <w:t>承诺函</w:t>
      </w:r>
      <w:bookmarkEnd w:id="51"/>
      <w:bookmarkEnd w:id="52"/>
      <w:bookmarkEnd w:id="53"/>
      <w:bookmarkEnd w:id="54"/>
      <w:bookmarkEnd w:id="55"/>
      <w:bookmarkEnd w:id="56"/>
    </w:p>
    <w:p w14:paraId="023F6D54">
      <w:pPr>
        <w:pStyle w:val="3"/>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3"/>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30971"/>
      <w:bookmarkStart w:id="58" w:name="_Toc4305"/>
      <w:bookmarkStart w:id="59" w:name="_Toc31838"/>
      <w:bookmarkStart w:id="60" w:name="_Toc17857"/>
      <w:bookmarkStart w:id="61" w:name="_Toc22676"/>
      <w:r>
        <w:rPr>
          <w:rFonts w:ascii="Times New Roman" w:hAnsi="Times New Roman" w:cs="Times New Roman"/>
        </w:rPr>
        <w:br w:type="page"/>
      </w:r>
    </w:p>
    <w:p w14:paraId="72845348">
      <w:pPr>
        <w:pStyle w:val="5"/>
        <w:ind w:firstLine="0"/>
      </w:pPr>
      <w:r>
        <w:t>具有独立承担民事责任的能力</w:t>
      </w:r>
      <w:bookmarkEnd w:id="57"/>
      <w:bookmarkEnd w:id="58"/>
      <w:bookmarkEnd w:id="59"/>
      <w:bookmarkEnd w:id="60"/>
      <w:bookmarkEnd w:id="61"/>
    </w:p>
    <w:p w14:paraId="597BE704">
      <w:pPr>
        <w:pStyle w:val="3"/>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5"/>
        <w:ind w:firstLine="0"/>
        <w:rPr>
          <w:rStyle w:val="32"/>
          <w:szCs w:val="28"/>
        </w:rPr>
      </w:pPr>
      <w:r>
        <w:rPr>
          <w:bCs/>
        </w:rPr>
        <w:br w:type="page"/>
      </w:r>
      <w:bookmarkStart w:id="62" w:name="_Toc15613"/>
      <w:bookmarkStart w:id="63" w:name="_Toc27186"/>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706"/>
      <w:bookmarkStart w:id="66" w:name="_Toc25357"/>
      <w:bookmarkStart w:id="67" w:name="_Toc13904"/>
    </w:p>
    <w:p w14:paraId="76B8A196">
      <w:pPr>
        <w:pStyle w:val="5"/>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5"/>
        <w:ind w:firstLine="0"/>
        <w:rPr>
          <w:szCs w:val="32"/>
        </w:rPr>
      </w:pPr>
      <w:r>
        <w:rPr>
          <w:szCs w:val="32"/>
        </w:rPr>
        <w:br w:type="page"/>
      </w:r>
      <w:bookmarkStart w:id="70" w:name="_Toc27661"/>
      <w:bookmarkStart w:id="71" w:name="_Toc15526"/>
      <w:bookmarkStart w:id="72" w:name="_Toc25638"/>
      <w:bookmarkStart w:id="73" w:name="_Toc12015"/>
      <w:bookmarkStart w:id="74" w:name="_Toc11351"/>
      <w:bookmarkStart w:id="75" w:name="_Toc20589"/>
      <w:r>
        <w:rPr>
          <w:rStyle w:val="40"/>
          <w:b/>
        </w:rPr>
        <w:t>法定代表人身份证明书</w:t>
      </w:r>
      <w:bookmarkEnd w:id="70"/>
      <w:bookmarkEnd w:id="71"/>
      <w:bookmarkEnd w:id="72"/>
      <w:bookmarkEnd w:id="73"/>
      <w:bookmarkEnd w:id="74"/>
      <w:bookmarkEnd w:id="75"/>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3"/>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3"/>
        <w:snapToGrid w:val="0"/>
        <w:spacing w:after="0" w:line="500" w:lineRule="exact"/>
        <w:ind w:firstLine="480" w:firstLineChars="200"/>
        <w:rPr>
          <w:rFonts w:ascii="Times New Roman" w:hAnsi="Times New Roman" w:eastAsia="仿宋" w:cs="Times New Roman"/>
          <w:sz w:val="24"/>
        </w:rPr>
      </w:pPr>
    </w:p>
    <w:p w14:paraId="069582C9">
      <w:pPr>
        <w:pStyle w:val="3"/>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3"/>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3"/>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5"/>
        <w:ind w:firstLine="0"/>
        <w:rPr>
          <w:szCs w:val="32"/>
        </w:rPr>
      </w:pPr>
      <w:r>
        <w:rPr>
          <w:szCs w:val="32"/>
        </w:rPr>
        <w:br w:type="page"/>
      </w:r>
      <w:bookmarkStart w:id="76" w:name="_Toc26969"/>
      <w:bookmarkStart w:id="77" w:name="_Toc23967"/>
      <w:bookmarkStart w:id="78" w:name="_Toc2041"/>
      <w:bookmarkStart w:id="79" w:name="_Toc16435"/>
      <w:bookmarkStart w:id="80" w:name="_Toc1074"/>
      <w:bookmarkStart w:id="81" w:name="_Toc12967"/>
      <w:r>
        <w:rPr>
          <w:rStyle w:val="40"/>
          <w:b/>
        </w:rPr>
        <w:t>采购需求偏离表</w:t>
      </w:r>
      <w:bookmarkEnd w:id="76"/>
      <w:bookmarkEnd w:id="77"/>
      <w:bookmarkEnd w:id="78"/>
      <w:bookmarkEnd w:id="79"/>
      <w:bookmarkEnd w:id="80"/>
      <w:bookmarkEnd w:id="81"/>
    </w:p>
    <w:p w14:paraId="5B84959E">
      <w:pPr>
        <w:pStyle w:val="3"/>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5"/>
        <w:ind w:firstLine="0"/>
        <w:rPr>
          <w:bCs/>
          <w:szCs w:val="32"/>
        </w:rPr>
      </w:pPr>
      <w:r>
        <w:rPr>
          <w:szCs w:val="32"/>
        </w:rPr>
        <w:br w:type="page"/>
      </w:r>
      <w:bookmarkStart w:id="82" w:name="_Toc21082"/>
      <w:bookmarkStart w:id="83" w:name="_Toc28634"/>
      <w:bookmarkStart w:id="84" w:name="_Toc1369"/>
      <w:bookmarkStart w:id="85" w:name="_Toc31686"/>
      <w:bookmarkStart w:id="86" w:name="_Toc26839"/>
      <w:bookmarkStart w:id="87" w:name="_Toc24806"/>
      <w:r>
        <w:rPr>
          <w:rStyle w:val="40"/>
          <w:b/>
        </w:rPr>
        <w:t>评分需要提供的证明材料</w:t>
      </w:r>
      <w:bookmarkEnd w:id="82"/>
      <w:bookmarkEnd w:id="83"/>
      <w:bookmarkEnd w:id="84"/>
      <w:bookmarkEnd w:id="85"/>
      <w:bookmarkEnd w:id="86"/>
      <w:bookmarkEnd w:id="87"/>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2605"/>
      <w:bookmarkStart w:id="89" w:name="_Toc3871"/>
      <w:bookmarkStart w:id="90" w:name="_Toc24494"/>
    </w:p>
    <w:p w14:paraId="1483D64D">
      <w:pPr>
        <w:pStyle w:val="5"/>
        <w:ind w:firstLine="0"/>
        <w:rPr>
          <w:highlight w:val="none"/>
        </w:rPr>
      </w:pPr>
      <w:bookmarkStart w:id="91" w:name="_Toc15065"/>
      <w:r>
        <w:rPr>
          <w:highlight w:val="none"/>
        </w:rPr>
        <w:t>报价单</w:t>
      </w:r>
      <w:bookmarkEnd w:id="91"/>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3"/>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3"/>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3"/>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3"/>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1154"/>
        <w:gridCol w:w="3526"/>
        <w:gridCol w:w="934"/>
        <w:gridCol w:w="1042"/>
        <w:gridCol w:w="1388"/>
        <w:gridCol w:w="831"/>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17A2EF30">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59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kern w:val="0"/>
                <w:szCs w:val="21"/>
                <w:lang w:val="zh-TW" w:eastAsia="zh-TW"/>
              </w:rPr>
            </w:pPr>
            <w:r>
              <w:rPr>
                <w:rStyle w:val="21"/>
                <w:rFonts w:hint="eastAsia" w:ascii="仿宋" w:hAnsi="仿宋" w:eastAsia="仿宋" w:cs="仿宋"/>
                <w:sz w:val="24"/>
                <w:szCs w:val="24"/>
              </w:rPr>
              <w:t>品名</w:t>
            </w:r>
          </w:p>
        </w:tc>
        <w:tc>
          <w:tcPr>
            <w:tcW w:w="1824" w:type="pct"/>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kern w:val="0"/>
                <w:szCs w:val="21"/>
                <w:lang w:val="zh-TW" w:eastAsia="zh-TW"/>
              </w:rPr>
            </w:pPr>
            <w:r>
              <w:rPr>
                <w:rStyle w:val="21"/>
                <w:rFonts w:hint="eastAsia" w:ascii="仿宋" w:hAnsi="仿宋" w:eastAsia="仿宋" w:cs="仿宋"/>
                <w:sz w:val="24"/>
                <w:szCs w:val="24"/>
              </w:rPr>
              <w:t>详细描述</w:t>
            </w:r>
          </w:p>
        </w:tc>
        <w:tc>
          <w:tcPr>
            <w:tcW w:w="483"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hint="eastAsia" w:ascii="Times New Roman" w:hAnsi="Times New Roman" w:eastAsia="仿宋" w:cs="Times New Roman"/>
                <w:kern w:val="0"/>
                <w:szCs w:val="21"/>
                <w:lang w:val="en-US" w:eastAsia="zh-CN"/>
              </w:rPr>
            </w:pPr>
            <w:r>
              <w:rPr>
                <w:rStyle w:val="21"/>
                <w:rFonts w:hint="eastAsia" w:ascii="仿宋" w:hAnsi="仿宋" w:eastAsia="仿宋" w:cs="仿宋"/>
                <w:sz w:val="24"/>
                <w:szCs w:val="24"/>
              </w:rPr>
              <w:t>数量</w:t>
            </w:r>
          </w:p>
        </w:tc>
        <w:tc>
          <w:tcPr>
            <w:tcW w:w="53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hint="eastAsia" w:ascii="Times New Roman" w:hAnsi="Times New Roman" w:eastAsia="仿宋" w:cs="Times New Roman"/>
                <w:kern w:val="0"/>
                <w:szCs w:val="21"/>
                <w:lang w:val="en-US" w:eastAsia="zh-CN"/>
              </w:rPr>
            </w:pPr>
            <w:r>
              <w:rPr>
                <w:rStyle w:val="21"/>
                <w:rFonts w:hint="eastAsia" w:ascii="仿宋" w:hAnsi="仿宋" w:eastAsia="仿宋" w:cs="仿宋"/>
                <w:sz w:val="24"/>
                <w:szCs w:val="24"/>
              </w:rPr>
              <w:t>单位</w:t>
            </w:r>
          </w:p>
        </w:tc>
        <w:tc>
          <w:tcPr>
            <w:tcW w:w="71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hint="eastAsia" w:ascii="Times New Roman" w:hAnsi="Times New Roman" w:eastAsia="仿宋" w:cs="Times New Roman"/>
                <w:kern w:val="0"/>
                <w:szCs w:val="21"/>
                <w:lang w:val="en-US" w:eastAsia="zh-CN"/>
              </w:rPr>
            </w:pPr>
            <w:r>
              <w:rPr>
                <w:rStyle w:val="21"/>
                <w:rFonts w:hint="eastAsia" w:ascii="仿宋" w:hAnsi="仿宋" w:eastAsia="仿宋" w:cs="仿宋"/>
                <w:sz w:val="24"/>
                <w:szCs w:val="24"/>
                <w:lang w:val="en-US" w:eastAsia="zh-CN"/>
              </w:rPr>
              <w:t>报价</w:t>
            </w:r>
            <w:r>
              <w:rPr>
                <w:rStyle w:val="21"/>
                <w:rFonts w:hint="eastAsia" w:ascii="仿宋" w:hAnsi="仿宋" w:eastAsia="仿宋" w:cs="仿宋"/>
                <w:sz w:val="24"/>
                <w:szCs w:val="24"/>
              </w:rPr>
              <w:t>（元）</w:t>
            </w:r>
          </w:p>
        </w:tc>
        <w:tc>
          <w:tcPr>
            <w:tcW w:w="427"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Style w:val="21"/>
                <w:rFonts w:hint="eastAsia" w:ascii="仿宋" w:hAnsi="仿宋" w:eastAsia="仿宋" w:cs="仿宋"/>
                <w:sz w:val="24"/>
                <w:szCs w:val="24"/>
                <w:lang w:val="en-US" w:eastAsia="zh-CN"/>
              </w:rPr>
            </w:pPr>
            <w:r>
              <w:rPr>
                <w:rStyle w:val="21"/>
                <w:rFonts w:hint="eastAsia" w:ascii="仿宋" w:hAnsi="仿宋" w:eastAsia="仿宋" w:cs="仿宋"/>
                <w:sz w:val="24"/>
                <w:szCs w:val="24"/>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45E5E8F7">
            <w:pPr>
              <w:pStyle w:val="3"/>
              <w:jc w:val="center"/>
              <w:rPr>
                <w:rFonts w:ascii="Times New Roman" w:hAnsi="Times New Roman" w:eastAsia="仿宋" w:cs="Times New Roman"/>
                <w:szCs w:val="21"/>
              </w:rPr>
            </w:pPr>
            <w:r>
              <w:rPr>
                <w:rFonts w:ascii="Times New Roman" w:hAnsi="Times New Roman" w:eastAsia="仿宋" w:cs="Times New Roman"/>
                <w:szCs w:val="21"/>
              </w:rPr>
              <w:t>1</w:t>
            </w:r>
          </w:p>
        </w:tc>
        <w:tc>
          <w:tcPr>
            <w:tcW w:w="597"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szCs w:val="21"/>
              </w:rPr>
            </w:pPr>
            <w:r>
              <w:rPr>
                <w:rFonts w:hint="eastAsia" w:ascii="仿宋" w:hAnsi="仿宋" w:eastAsia="仿宋" w:cs="仿宋"/>
                <w:sz w:val="24"/>
                <w:szCs w:val="24"/>
              </w:rPr>
              <w:t>患者云胶片服务</w:t>
            </w:r>
          </w:p>
        </w:tc>
        <w:tc>
          <w:tcPr>
            <w:tcW w:w="1824" w:type="pct"/>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left"/>
              <w:textAlignment w:val="auto"/>
              <w:rPr>
                <w:rFonts w:ascii="Times New Roman" w:hAnsi="Times New Roman" w:eastAsia="仿宋" w:cs="Times New Roman"/>
                <w:szCs w:val="21"/>
              </w:rPr>
            </w:pPr>
            <w:r>
              <w:rPr>
                <w:rFonts w:hint="eastAsia" w:ascii="仿宋" w:hAnsi="仿宋" w:eastAsia="仿宋" w:cs="仿宋"/>
                <w:sz w:val="24"/>
                <w:szCs w:val="24"/>
              </w:rPr>
              <w:t>建立患者检查影像胶片云端查询系统，为患者提供报告打印、胶片打印、胶片影像排版、影像资料拷贝、云胶片调阅下载等相关服务。</w:t>
            </w:r>
          </w:p>
        </w:tc>
        <w:tc>
          <w:tcPr>
            <w:tcW w:w="483"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szCs w:val="21"/>
              </w:rPr>
            </w:pPr>
            <w:r>
              <w:rPr>
                <w:rFonts w:hint="eastAsia" w:ascii="仿宋" w:hAnsi="仿宋" w:eastAsia="仿宋" w:cs="仿宋"/>
                <w:sz w:val="24"/>
                <w:szCs w:val="24"/>
              </w:rPr>
              <w:t>1</w:t>
            </w:r>
          </w:p>
        </w:tc>
        <w:tc>
          <w:tcPr>
            <w:tcW w:w="539"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szCs w:val="21"/>
              </w:rPr>
            </w:pPr>
            <w:r>
              <w:rPr>
                <w:rFonts w:hint="eastAsia" w:ascii="仿宋" w:hAnsi="仿宋" w:eastAsia="仿宋" w:cs="仿宋"/>
                <w:sz w:val="24"/>
                <w:szCs w:val="24"/>
              </w:rPr>
              <w:t>例次</w:t>
            </w:r>
          </w:p>
        </w:tc>
        <w:tc>
          <w:tcPr>
            <w:tcW w:w="71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ascii="Times New Roman" w:hAnsi="Times New Roman" w:eastAsia="仿宋" w:cs="Times New Roman"/>
                <w:szCs w:val="21"/>
              </w:rPr>
            </w:pPr>
          </w:p>
        </w:tc>
        <w:tc>
          <w:tcPr>
            <w:tcW w:w="427"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firstLine="0" w:firstLineChars="0"/>
              <w:jc w:val="center"/>
              <w:textAlignment w:val="auto"/>
              <w:rPr>
                <w:rFonts w:hint="eastAsia" w:ascii="仿宋" w:hAnsi="仿宋" w:eastAsia="仿宋" w:cs="仿宋"/>
                <w:sz w:val="24"/>
                <w:szCs w:val="24"/>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005" w:type="pct"/>
            <w:gridSpan w:val="2"/>
            <w:vAlign w:val="center"/>
          </w:tcPr>
          <w:p w14:paraId="1EEC05B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3994" w:type="pct"/>
            <w:gridSpan w:val="5"/>
            <w:vAlign w:val="center"/>
          </w:tcPr>
          <w:p w14:paraId="1CCF3910">
            <w:pPr>
              <w:spacing w:line="200" w:lineRule="exact"/>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bl>
    <w:p w14:paraId="4E9E21F8">
      <w:pPr>
        <w:pStyle w:val="3"/>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3"/>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2" w:name="_Toc14685"/>
      <w:bookmarkStart w:id="93" w:name="_Toc30002"/>
      <w:bookmarkStart w:id="94"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5"/>
        <w:ind w:firstLine="0"/>
      </w:pPr>
      <w:r>
        <w:t>供应商认为需要提供的其他材料</w:t>
      </w:r>
      <w:bookmarkEnd w:id="88"/>
      <w:bookmarkEnd w:id="89"/>
      <w:bookmarkEnd w:id="90"/>
      <w:bookmarkEnd w:id="92"/>
      <w:bookmarkEnd w:id="93"/>
      <w:bookmarkEnd w:id="94"/>
    </w:p>
    <w:p w14:paraId="29C34B71">
      <w:pPr>
        <w:pStyle w:val="3"/>
        <w:jc w:val="center"/>
        <w:rPr>
          <w:rFonts w:ascii="Times New Roman" w:hAnsi="Times New Roman" w:eastAsia="仿宋" w:cs="Times New Roman"/>
        </w:rPr>
      </w:pPr>
    </w:p>
    <w:p w14:paraId="4431E4F9">
      <w:pPr>
        <w:pStyle w:val="3"/>
        <w:jc w:val="center"/>
        <w:rPr>
          <w:rFonts w:ascii="Times New Roman" w:hAnsi="Times New Roman" w:eastAsia="仿宋" w:cs="Times New Roman"/>
        </w:rPr>
      </w:pPr>
    </w:p>
    <w:p w14:paraId="492A03C4">
      <w:pPr>
        <w:pStyle w:val="3"/>
        <w:jc w:val="center"/>
        <w:rPr>
          <w:rFonts w:ascii="Times New Roman" w:hAnsi="Times New Roman" w:eastAsia="仿宋" w:cs="Times New Roman"/>
        </w:rPr>
      </w:pPr>
    </w:p>
    <w:p w14:paraId="6BDF51D7">
      <w:pPr>
        <w:pStyle w:val="3"/>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20691"/>
      <w:bookmarkStart w:id="96" w:name="_Toc5447"/>
      <w:r>
        <w:rPr>
          <w:rFonts w:ascii="Times New Roman" w:hAnsi="Times New Roman" w:eastAsia="黑体" w:cs="Times New Roman"/>
          <w:b/>
          <w:sz w:val="36"/>
          <w:szCs w:val="32"/>
        </w:rPr>
        <w:br w:type="page"/>
      </w:r>
    </w:p>
    <w:p w14:paraId="2C1171E3">
      <w:pPr>
        <w:pStyle w:val="4"/>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3"/>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D67F61A">
      <w:pPr>
        <w:pStyle w:val="41"/>
        <w:spacing w:line="360" w:lineRule="auto"/>
        <w:rPr>
          <w:rFonts w:ascii="方正小标宋_GBK" w:hAnsi="方正小标宋_GBK" w:eastAsia="方正小标宋_GBK" w:cs="方正小标宋_GBK"/>
          <w:b w:val="0"/>
          <w:bCs/>
          <w:kern w:val="0"/>
          <w:sz w:val="44"/>
          <w:szCs w:val="44"/>
          <w:lang w:bidi="ar"/>
        </w:rPr>
      </w:pPr>
      <w:permStart w:id="0" w:edGrp="everyone"/>
      <w:permEnd w:id="0"/>
      <w:r>
        <w:rPr>
          <w:rFonts w:hint="eastAsia" w:ascii="方正小标宋_GBK" w:hAnsi="方正小标宋_GBK" w:eastAsia="方正小标宋_GBK" w:cs="方正小标宋_GBK"/>
          <w:b w:val="0"/>
          <w:bCs/>
          <w:kern w:val="0"/>
          <w:sz w:val="44"/>
          <w:szCs w:val="44"/>
          <w:lang w:bidi="ar"/>
        </w:rPr>
        <w:t>合同</w:t>
      </w:r>
    </w:p>
    <w:p w14:paraId="28592408">
      <w:pPr>
        <w:spacing w:line="360" w:lineRule="auto"/>
        <w:rPr>
          <w:sz w:val="24"/>
          <w:szCs w:val="24"/>
        </w:rPr>
        <w:sectPr>
          <w:footerReference r:id="rId9" w:type="first"/>
          <w:footerReference r:id="rId7" w:type="default"/>
          <w:footerReference r:id="rId8" w:type="even"/>
          <w:pgSz w:w="11906" w:h="16838"/>
          <w:pgMar w:top="1134" w:right="1134" w:bottom="1134" w:left="1134" w:header="0" w:footer="567" w:gutter="0"/>
          <w:pgNumType w:fmt="decimal" w:start="1"/>
          <w:cols w:space="425" w:num="1"/>
          <w:titlePg/>
          <w:docGrid w:linePitch="312" w:charSpace="0"/>
        </w:sectPr>
      </w:pP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permStart w:id="1" w:edGrp="everyone" w:colFirst="0" w:colLast="0"/>
            <w:permStart w:id="2" w:edGrp="everyone" w:colFirst="1" w:colLast="1"/>
            <w:permStart w:id="3" w:edGrp="everyone" w:colFirst="2" w:colLast="2"/>
            <w:permStart w:id="4" w:edGrp="everyone" w:colFirst="3" w:colLast="3"/>
            <w:permStart w:id="5" w:edGrp="everyone" w:colFirst="4" w:colLast="4"/>
            <w:permStart w:id="6" w:edGrp="everyone" w:colFirst="8" w:colLast="8"/>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permEnd w:id="1"/>
      <w:permEnd w:id="2"/>
      <w:permEnd w:id="3"/>
      <w:permEnd w:id="4"/>
      <w:permEnd w:id="5"/>
      <w:permEnd w:id="6"/>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w:t>
      </w:r>
      <w:permStart w:id="7" w:edGrp="everyone"/>
      <w:r>
        <w:rPr>
          <w:rFonts w:hint="eastAsia" w:ascii="宋体" w:hAnsi="宋体" w:cs="宋体"/>
          <w:color w:val="000000"/>
          <w:kern w:val="0"/>
          <w:sz w:val="24"/>
          <w:szCs w:val="24"/>
        </w:rPr>
        <w:t>人民币   元，大写人民币   。</w:t>
      </w:r>
      <w:permEnd w:id="7"/>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permStart w:id="8" w:edGrp="everyone"/>
      <w:r>
        <w:rPr>
          <w:rFonts w:hint="eastAsia"/>
          <w:sz w:val="24"/>
          <w:szCs w:val="24"/>
        </w:rPr>
        <w:t>甲方指定地点</w:t>
      </w:r>
    </w:p>
    <w:permEnd w:id="8"/>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w:t>
      </w:r>
      <w:permStart w:id="9" w:edGrp="everyone"/>
      <w:r>
        <w:rPr>
          <w:rFonts w:hint="eastAsia" w:ascii="宋体" w:hAnsi="宋体"/>
          <w:sz w:val="24"/>
          <w:szCs w:val="24"/>
        </w:rPr>
        <w:t>丙方上门安装</w:t>
      </w:r>
    </w:p>
    <w:permEnd w:id="9"/>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permStart w:id="10" w:edGrp="everyone"/>
      <w:r>
        <w:rPr>
          <w:rFonts w:hint="eastAsia"/>
          <w:sz w:val="24"/>
          <w:szCs w:val="24"/>
          <w:u w:val="single"/>
        </w:rPr>
        <w:t xml:space="preserve">   </w:t>
      </w:r>
      <w:permEnd w:id="10"/>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permStart w:id="11" w:edGrp="everyone"/>
      <w:r>
        <w:rPr>
          <w:rFonts w:hint="eastAsia"/>
          <w:sz w:val="24"/>
          <w:szCs w:val="24"/>
          <w:u w:val="single"/>
        </w:rPr>
        <w:t xml:space="preserve">   </w:t>
      </w:r>
      <w:permEnd w:id="11"/>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permStart w:id="12" w:edGrp="everyone"/>
      <w:r>
        <w:rPr>
          <w:rFonts w:hint="eastAsia"/>
          <w:sz w:val="24"/>
          <w:szCs w:val="24"/>
          <w:u w:val="single"/>
        </w:rPr>
        <w:t xml:space="preserve">  </w:t>
      </w:r>
      <w:permEnd w:id="12"/>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permStart w:id="13" w:edGrp="everyone"/>
      <w:r>
        <w:rPr>
          <w:rFonts w:hint="eastAsia"/>
          <w:sz w:val="24"/>
          <w:szCs w:val="24"/>
          <w:u w:val="single"/>
        </w:rPr>
        <w:t xml:space="preserve">    </w:t>
      </w:r>
      <w:permEnd w:id="13"/>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w:t>
      </w:r>
      <w:permStart w:id="14" w:edGrp="everyone"/>
      <w:r>
        <w:rPr>
          <w:rFonts w:hint="eastAsia" w:ascii="宋体" w:hAnsi="宋体"/>
          <w:sz w:val="24"/>
          <w:szCs w:val="24"/>
        </w:rPr>
        <w:t>***</w:t>
      </w:r>
      <w:permEnd w:id="14"/>
      <w:r>
        <w:rPr>
          <w:rFonts w:hint="eastAsia" w:ascii="宋体" w:hAnsi="宋体"/>
          <w:sz w:val="24"/>
          <w:szCs w:val="24"/>
        </w:rPr>
        <w:t>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ermStart w:id="15" w:edGrp="everyone"/>
      <w:r>
        <w:rPr>
          <w:rFonts w:hint="eastAsia"/>
          <w:sz w:val="24"/>
          <w:szCs w:val="24"/>
        </w:rPr>
        <w:t>。</w:t>
      </w:r>
      <w:permEnd w:id="15"/>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permStart w:id="16" w:edGrp="everyone"/>
      <w:r>
        <w:rPr>
          <w:rFonts w:hint="eastAsia"/>
          <w:sz w:val="24"/>
          <w:szCs w:val="24"/>
          <w:u w:val="single"/>
        </w:rPr>
        <w:t xml:space="preserve">   </w:t>
      </w:r>
      <w:permEnd w:id="16"/>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w:t>
      </w:r>
      <w:permStart w:id="17" w:edGrp="everyone"/>
      <w:r>
        <w:rPr>
          <w:rFonts w:hint="eastAsia"/>
          <w:sz w:val="24"/>
          <w:szCs w:val="24"/>
        </w:rPr>
        <w:t>甲、丙双方共同研发的该系统软件产品，知识产权归甲、丙双方共同拥有，软件所有数据归甲方所有。</w:t>
      </w:r>
      <w:permEnd w:id="17"/>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permStart w:id="18" w:edGrp="everyone"/>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ermEnd w:id="18"/>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ermStart w:id="19" w:edGrp="everyone"/>
    </w:p>
    <w:permEnd w:id="19"/>
    <w:p w14:paraId="252A229B">
      <w:pPr>
        <w:spacing w:line="360" w:lineRule="auto"/>
        <w:outlineLvl w:val="0"/>
        <w:rPr>
          <w:b/>
          <w:bCs/>
          <w:sz w:val="24"/>
          <w:szCs w:val="24"/>
        </w:rPr>
      </w:pPr>
    </w:p>
    <w:p w14:paraId="5C7E5053">
      <w:pPr>
        <w:spacing w:line="360" w:lineRule="auto"/>
        <w:outlineLvl w:val="0"/>
        <w:rPr>
          <w:b/>
          <w:bCs/>
          <w:sz w:val="24"/>
          <w:szCs w:val="24"/>
        </w:rPr>
        <w:sectPr>
          <w:type w:val="continuous"/>
          <w:pgSz w:w="11906" w:h="16838"/>
          <w:pgMar w:top="851" w:right="1134" w:bottom="851" w:left="1134" w:header="0" w:footer="567" w:gutter="0"/>
          <w:pgNumType w:fmt="decimal"/>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permStart w:id="20" w:edGrp="everyone"/>
            <w:r>
              <w:rPr>
                <w:rFonts w:hint="eastAsia" w:ascii="宋体" w:hAnsi="宋体" w:cs="宋体"/>
                <w:color w:val="000000"/>
                <w:kern w:val="0"/>
                <w:sz w:val="24"/>
                <w:szCs w:val="24"/>
              </w:rPr>
              <w:t>中国农业银行股份有限公司成都光华支行</w:t>
            </w:r>
          </w:p>
          <w:permEnd w:id="20"/>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ermStart w:id="21" w:edGrp="everyone"/>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permEnd w:id="21"/>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1AB8BC7B">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AA9AF4E-E1CD-4697-8483-4DA71EB1736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763E59-CB57-4584-9DB1-EB43522CB6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97E7246-706C-43DA-8062-BFE79E79B63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3E04383-0A39-4A58-B954-19A67B04E7E8}"/>
  </w:font>
  <w:font w:name="Segoe UI Symbol">
    <w:panose1 w:val="020B0502040204020203"/>
    <w:charset w:val="00"/>
    <w:family w:val="swiss"/>
    <w:pitch w:val="default"/>
    <w:sig w:usb0="800001E3" w:usb1="1200FFEF" w:usb2="00040000" w:usb3="04000000" w:csb0="00000001" w:csb1="40000000"/>
    <w:embedRegular r:id="rId5" w:fontKey="{EF0A3B95-DF54-4F1A-9D6D-9438DBCE4CC4}"/>
  </w:font>
  <w:font w:name="方正小标宋_GBK">
    <w:panose1 w:val="02000000000000000000"/>
    <w:charset w:val="86"/>
    <w:family w:val="script"/>
    <w:pitch w:val="default"/>
    <w:sig w:usb0="A00002BF" w:usb1="38CF7CFA" w:usb2="00082016" w:usb3="00000000" w:csb0="00040001" w:csb1="00000000"/>
    <w:embedRegular r:id="rId6" w:fontKey="{B116939D-34C7-440D-BAAF-E81FF312F5B2}"/>
  </w:font>
  <w:font w:name="Tahoma">
    <w:panose1 w:val="020B0604030504040204"/>
    <w:charset w:val="00"/>
    <w:family w:val="swiss"/>
    <w:pitch w:val="default"/>
    <w:sig w:usb0="E1002EFF" w:usb1="C000605B" w:usb2="00000029" w:usb3="00000000" w:csb0="200101FF" w:csb1="20280000"/>
    <w:embedRegular r:id="rId7" w:fontKey="{3B5DA2ED-59AA-49AC-AF1A-7679C2011216}"/>
  </w:font>
  <w:font w:name="华文中宋">
    <w:panose1 w:val="02010600040101010101"/>
    <w:charset w:val="86"/>
    <w:family w:val="auto"/>
    <w:pitch w:val="default"/>
    <w:sig w:usb0="00000287" w:usb1="080F0000" w:usb2="00000000" w:usb3="00000000" w:csb0="0004009F" w:csb1="DFD70000"/>
    <w:embedRegular r:id="rId8" w:fontKey="{3E9C720B-F027-46FA-AD31-99C09A0A879F}"/>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94117E">
                          <w:pPr>
                            <w:pStyle w:val="12"/>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94117E">
                    <w:pPr>
                      <w:pStyle w:val="12"/>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0723">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58058E33">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F751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87FB7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D87FB7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60A44">
                          <w:pPr>
                            <w:pStyle w:val="12"/>
                          </w:pPr>
                          <w:r>
                            <w:t xml:space="preserve">第 </w:t>
                          </w:r>
                          <w:r>
                            <w:fldChar w:fldCharType="begin"/>
                          </w:r>
                          <w:r>
                            <w:instrText xml:space="preserve"> PAGE  \* MERGEFORMAT </w:instrText>
                          </w:r>
                          <w:r>
                            <w:fldChar w:fldCharType="separate"/>
                          </w:r>
                          <w:r>
                            <w:t>45</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3360A44">
                    <w:pPr>
                      <w:pStyle w:val="12"/>
                    </w:pPr>
                    <w:r>
                      <w:t xml:space="preserve">第 </w:t>
                    </w:r>
                    <w:r>
                      <w:fldChar w:fldCharType="begin"/>
                    </w:r>
                    <w:r>
                      <w:instrText xml:space="preserve"> PAGE  \* MERGEFORMAT </w:instrText>
                    </w:r>
                    <w:r>
                      <w:fldChar w:fldCharType="separate"/>
                    </w:r>
                    <w:r>
                      <w:t>45</w:t>
                    </w:r>
                    <w:r>
                      <w:fldChar w:fldCharType="end"/>
                    </w:r>
                    <w:r>
                      <w:t xml:space="preserve"> 页 共 </w:t>
                    </w:r>
                    <w:r>
                      <w:rPr>
                        <w:rFonts w:hint="eastAsia"/>
                        <w:lang w:val="en-US" w:eastAsia="zh-CN"/>
                      </w:rPr>
                      <w:t>48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5"/>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4"/>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4C0DD3"/>
    <w:rsid w:val="03D1158F"/>
    <w:rsid w:val="041F679F"/>
    <w:rsid w:val="058C78B0"/>
    <w:rsid w:val="05E13064"/>
    <w:rsid w:val="05E51322"/>
    <w:rsid w:val="06897EFF"/>
    <w:rsid w:val="078A573C"/>
    <w:rsid w:val="082425D6"/>
    <w:rsid w:val="083251D0"/>
    <w:rsid w:val="08326375"/>
    <w:rsid w:val="0837398B"/>
    <w:rsid w:val="083A1BBD"/>
    <w:rsid w:val="08745B19"/>
    <w:rsid w:val="08EE39BE"/>
    <w:rsid w:val="093A3733"/>
    <w:rsid w:val="0A220AAD"/>
    <w:rsid w:val="0A5151D8"/>
    <w:rsid w:val="0A726EFC"/>
    <w:rsid w:val="0B4508AE"/>
    <w:rsid w:val="0C120997"/>
    <w:rsid w:val="0C774C9E"/>
    <w:rsid w:val="0C965124"/>
    <w:rsid w:val="0CF161C9"/>
    <w:rsid w:val="0D26294C"/>
    <w:rsid w:val="0D5C636E"/>
    <w:rsid w:val="0D7D4536"/>
    <w:rsid w:val="0DF742E8"/>
    <w:rsid w:val="0E0B7FF0"/>
    <w:rsid w:val="0E5B6625"/>
    <w:rsid w:val="0E963B01"/>
    <w:rsid w:val="0EAC189D"/>
    <w:rsid w:val="0F5D2ECD"/>
    <w:rsid w:val="0FC14BAE"/>
    <w:rsid w:val="101A497B"/>
    <w:rsid w:val="10432B4B"/>
    <w:rsid w:val="10A15B58"/>
    <w:rsid w:val="110E1F50"/>
    <w:rsid w:val="117A5014"/>
    <w:rsid w:val="11932A9F"/>
    <w:rsid w:val="127F05A0"/>
    <w:rsid w:val="1299771C"/>
    <w:rsid w:val="12BC165D"/>
    <w:rsid w:val="136D78F8"/>
    <w:rsid w:val="13806B2E"/>
    <w:rsid w:val="13AC16D1"/>
    <w:rsid w:val="14221993"/>
    <w:rsid w:val="144B0EEA"/>
    <w:rsid w:val="14A32AD4"/>
    <w:rsid w:val="15567E5A"/>
    <w:rsid w:val="15CC4977"/>
    <w:rsid w:val="16077093"/>
    <w:rsid w:val="162A4F7D"/>
    <w:rsid w:val="16A82A66"/>
    <w:rsid w:val="16DE614F"/>
    <w:rsid w:val="17233056"/>
    <w:rsid w:val="17826121"/>
    <w:rsid w:val="18316649"/>
    <w:rsid w:val="18E216F1"/>
    <w:rsid w:val="1954595C"/>
    <w:rsid w:val="1994787E"/>
    <w:rsid w:val="1A82318C"/>
    <w:rsid w:val="1B0B27A2"/>
    <w:rsid w:val="1B634D6B"/>
    <w:rsid w:val="1B642891"/>
    <w:rsid w:val="1BC9751D"/>
    <w:rsid w:val="1C625023"/>
    <w:rsid w:val="1C746B04"/>
    <w:rsid w:val="1D2821E4"/>
    <w:rsid w:val="1DC35F95"/>
    <w:rsid w:val="1DD000AF"/>
    <w:rsid w:val="1E032A6F"/>
    <w:rsid w:val="1E09745A"/>
    <w:rsid w:val="1E0D2131"/>
    <w:rsid w:val="1E114F52"/>
    <w:rsid w:val="1E176351"/>
    <w:rsid w:val="1ECD615C"/>
    <w:rsid w:val="1FE21EC2"/>
    <w:rsid w:val="1FF95C9E"/>
    <w:rsid w:val="209239FD"/>
    <w:rsid w:val="20CF13CE"/>
    <w:rsid w:val="215D225D"/>
    <w:rsid w:val="21B53E47"/>
    <w:rsid w:val="22935D1D"/>
    <w:rsid w:val="2393373D"/>
    <w:rsid w:val="23B24AE2"/>
    <w:rsid w:val="23D4489F"/>
    <w:rsid w:val="23D83E1C"/>
    <w:rsid w:val="24466FD8"/>
    <w:rsid w:val="24727DCD"/>
    <w:rsid w:val="252B6033"/>
    <w:rsid w:val="25537BFE"/>
    <w:rsid w:val="25F95EEC"/>
    <w:rsid w:val="260C1BBD"/>
    <w:rsid w:val="262001B9"/>
    <w:rsid w:val="264F486A"/>
    <w:rsid w:val="271635BC"/>
    <w:rsid w:val="27B87AF9"/>
    <w:rsid w:val="27DA0163"/>
    <w:rsid w:val="27E80EA9"/>
    <w:rsid w:val="280414A1"/>
    <w:rsid w:val="28570368"/>
    <w:rsid w:val="28A27020"/>
    <w:rsid w:val="28E14F1E"/>
    <w:rsid w:val="29C5318E"/>
    <w:rsid w:val="2A142F93"/>
    <w:rsid w:val="2B502F98"/>
    <w:rsid w:val="2BE05F64"/>
    <w:rsid w:val="2C9A0A9E"/>
    <w:rsid w:val="2D2F2FAF"/>
    <w:rsid w:val="2DA70D65"/>
    <w:rsid w:val="2DBC4548"/>
    <w:rsid w:val="2E3D31FA"/>
    <w:rsid w:val="2E693FEF"/>
    <w:rsid w:val="2E9C2616"/>
    <w:rsid w:val="2F575E37"/>
    <w:rsid w:val="2FEF6776"/>
    <w:rsid w:val="30136908"/>
    <w:rsid w:val="30E31FB7"/>
    <w:rsid w:val="31322DBE"/>
    <w:rsid w:val="32165D3B"/>
    <w:rsid w:val="325356E2"/>
    <w:rsid w:val="328A6C2A"/>
    <w:rsid w:val="332B5D17"/>
    <w:rsid w:val="333F7A14"/>
    <w:rsid w:val="3427766B"/>
    <w:rsid w:val="343706EB"/>
    <w:rsid w:val="34830DA6"/>
    <w:rsid w:val="351A08D0"/>
    <w:rsid w:val="35805CB0"/>
    <w:rsid w:val="35A41DB0"/>
    <w:rsid w:val="35BC70FA"/>
    <w:rsid w:val="36334CE5"/>
    <w:rsid w:val="3701395E"/>
    <w:rsid w:val="37920A5A"/>
    <w:rsid w:val="37BE35FD"/>
    <w:rsid w:val="380A6843"/>
    <w:rsid w:val="382B5F8F"/>
    <w:rsid w:val="391E6AEA"/>
    <w:rsid w:val="3A3F1B1E"/>
    <w:rsid w:val="3A551407"/>
    <w:rsid w:val="3B033C36"/>
    <w:rsid w:val="3B9C7486"/>
    <w:rsid w:val="3C333E8E"/>
    <w:rsid w:val="3C8A61A4"/>
    <w:rsid w:val="3CE05DC4"/>
    <w:rsid w:val="3CEE6201"/>
    <w:rsid w:val="3D385C00"/>
    <w:rsid w:val="3DBF7BA4"/>
    <w:rsid w:val="3E57579A"/>
    <w:rsid w:val="3E5D4E8E"/>
    <w:rsid w:val="3EF618CF"/>
    <w:rsid w:val="3FE25336"/>
    <w:rsid w:val="40866C82"/>
    <w:rsid w:val="40C31C84"/>
    <w:rsid w:val="41076015"/>
    <w:rsid w:val="410B71F0"/>
    <w:rsid w:val="42075FF8"/>
    <w:rsid w:val="422C3859"/>
    <w:rsid w:val="42842020"/>
    <w:rsid w:val="42876CE2"/>
    <w:rsid w:val="44150A49"/>
    <w:rsid w:val="444340B2"/>
    <w:rsid w:val="44E81B7F"/>
    <w:rsid w:val="4513485D"/>
    <w:rsid w:val="468567BB"/>
    <w:rsid w:val="4734568A"/>
    <w:rsid w:val="4782487D"/>
    <w:rsid w:val="47B71E17"/>
    <w:rsid w:val="47C36A0E"/>
    <w:rsid w:val="49A10689"/>
    <w:rsid w:val="49D56585"/>
    <w:rsid w:val="49FC25C6"/>
    <w:rsid w:val="4A475610"/>
    <w:rsid w:val="4ABD5996"/>
    <w:rsid w:val="4B31068E"/>
    <w:rsid w:val="4B410375"/>
    <w:rsid w:val="4BA55220"/>
    <w:rsid w:val="4BAD0151"/>
    <w:rsid w:val="4BCA036B"/>
    <w:rsid w:val="4BF453E8"/>
    <w:rsid w:val="4C184E09"/>
    <w:rsid w:val="4C2757BD"/>
    <w:rsid w:val="4C7E73A7"/>
    <w:rsid w:val="4C8F75A2"/>
    <w:rsid w:val="4DAD4403"/>
    <w:rsid w:val="4E6F0D56"/>
    <w:rsid w:val="4E8C008E"/>
    <w:rsid w:val="4EA312FE"/>
    <w:rsid w:val="4EDC5ADC"/>
    <w:rsid w:val="4EE002CE"/>
    <w:rsid w:val="4FEF758C"/>
    <w:rsid w:val="501A6E72"/>
    <w:rsid w:val="501C4F0D"/>
    <w:rsid w:val="50201D6B"/>
    <w:rsid w:val="50771A9C"/>
    <w:rsid w:val="51C47F6D"/>
    <w:rsid w:val="52B256B5"/>
    <w:rsid w:val="52FB52AE"/>
    <w:rsid w:val="54063F0A"/>
    <w:rsid w:val="5455382C"/>
    <w:rsid w:val="547F7727"/>
    <w:rsid w:val="55342CF9"/>
    <w:rsid w:val="554674F7"/>
    <w:rsid w:val="560662B2"/>
    <w:rsid w:val="57B45A75"/>
    <w:rsid w:val="589C07F4"/>
    <w:rsid w:val="59357973"/>
    <w:rsid w:val="59965D30"/>
    <w:rsid w:val="5A6307F6"/>
    <w:rsid w:val="5AA47FD9"/>
    <w:rsid w:val="5BA529F7"/>
    <w:rsid w:val="5C6043D4"/>
    <w:rsid w:val="5D0A3490"/>
    <w:rsid w:val="5D7E0D3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A9427A"/>
    <w:rsid w:val="63D462B1"/>
    <w:rsid w:val="63E678B4"/>
    <w:rsid w:val="63FF44D2"/>
    <w:rsid w:val="641A3596"/>
    <w:rsid w:val="64C00105"/>
    <w:rsid w:val="64C36D7E"/>
    <w:rsid w:val="64D96647"/>
    <w:rsid w:val="64F90F01"/>
    <w:rsid w:val="655B51E5"/>
    <w:rsid w:val="65E40ADA"/>
    <w:rsid w:val="66330B86"/>
    <w:rsid w:val="66E22203"/>
    <w:rsid w:val="677B6565"/>
    <w:rsid w:val="67AB0BF9"/>
    <w:rsid w:val="68B812C9"/>
    <w:rsid w:val="694A4441"/>
    <w:rsid w:val="698536CB"/>
    <w:rsid w:val="69D50CF4"/>
    <w:rsid w:val="69D73D89"/>
    <w:rsid w:val="69FF522C"/>
    <w:rsid w:val="6A535578"/>
    <w:rsid w:val="6AE34B4E"/>
    <w:rsid w:val="6BBB1173"/>
    <w:rsid w:val="6C487AFD"/>
    <w:rsid w:val="6C8664BC"/>
    <w:rsid w:val="6CB24363"/>
    <w:rsid w:val="6D3E7C18"/>
    <w:rsid w:val="6DBB3A8B"/>
    <w:rsid w:val="6EA93466"/>
    <w:rsid w:val="6EBE56B6"/>
    <w:rsid w:val="6EFF37D8"/>
    <w:rsid w:val="6F146151"/>
    <w:rsid w:val="6F276F27"/>
    <w:rsid w:val="6F7D4948"/>
    <w:rsid w:val="6F960C48"/>
    <w:rsid w:val="6FCF0795"/>
    <w:rsid w:val="6FE70C3C"/>
    <w:rsid w:val="700560CB"/>
    <w:rsid w:val="70643A4D"/>
    <w:rsid w:val="70C90342"/>
    <w:rsid w:val="70F10A19"/>
    <w:rsid w:val="71381023"/>
    <w:rsid w:val="732B6917"/>
    <w:rsid w:val="735465E8"/>
    <w:rsid w:val="73714961"/>
    <w:rsid w:val="74060F7A"/>
    <w:rsid w:val="74D27DA9"/>
    <w:rsid w:val="74D925D0"/>
    <w:rsid w:val="754825D6"/>
    <w:rsid w:val="754D1D92"/>
    <w:rsid w:val="758350A9"/>
    <w:rsid w:val="75AB44BA"/>
    <w:rsid w:val="76161308"/>
    <w:rsid w:val="76B2549B"/>
    <w:rsid w:val="76EE55AC"/>
    <w:rsid w:val="773521BD"/>
    <w:rsid w:val="77BE6726"/>
    <w:rsid w:val="77EE068E"/>
    <w:rsid w:val="782A7918"/>
    <w:rsid w:val="782C7B34"/>
    <w:rsid w:val="78412EB3"/>
    <w:rsid w:val="788B412F"/>
    <w:rsid w:val="78AA2807"/>
    <w:rsid w:val="79687E1D"/>
    <w:rsid w:val="7ABC6D03"/>
    <w:rsid w:val="7B560FD7"/>
    <w:rsid w:val="7B5F74F8"/>
    <w:rsid w:val="7B690630"/>
    <w:rsid w:val="7BC01667"/>
    <w:rsid w:val="7BD0027A"/>
    <w:rsid w:val="7C5123F4"/>
    <w:rsid w:val="7C7E6FA2"/>
    <w:rsid w:val="7D040AB6"/>
    <w:rsid w:val="7D4119E6"/>
    <w:rsid w:val="7DAF162B"/>
    <w:rsid w:val="7DB303AF"/>
    <w:rsid w:val="7DC42B41"/>
    <w:rsid w:val="7DEB7B49"/>
    <w:rsid w:val="7E5971A9"/>
    <w:rsid w:val="7F4D1F29"/>
    <w:rsid w:val="7F524A36"/>
    <w:rsid w:val="7F9433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5">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Body Text"/>
    <w:basedOn w:val="1"/>
    <w:next w:val="1"/>
    <w:qFormat/>
    <w:uiPriority w:val="0"/>
    <w:pPr>
      <w:spacing w:after="120"/>
    </w:pPr>
  </w:style>
  <w:style w:type="paragraph" w:styleId="7">
    <w:name w:val="Normal Indent"/>
    <w:basedOn w:val="1"/>
    <w:qFormat/>
    <w:uiPriority w:val="0"/>
    <w:pPr>
      <w:ind w:firstLine="420" w:firstLineChars="200"/>
    </w:pPr>
    <w:rPr>
      <w:kern w:val="0"/>
      <w:sz w:val="24"/>
      <w:szCs w:val="20"/>
    </w:rPr>
  </w:style>
  <w:style w:type="paragraph" w:styleId="8">
    <w:name w:val="annotation text"/>
    <w:basedOn w:val="1"/>
    <w:link w:val="37"/>
    <w:qFormat/>
    <w:uiPriority w:val="0"/>
    <w:pPr>
      <w:jc w:val="left"/>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8"/>
    <w:next w:val="8"/>
    <w:link w:val="38"/>
    <w:qFormat/>
    <w:uiPriority w:val="0"/>
    <w:rPr>
      <w:b/>
      <w:bCs/>
    </w:rPr>
  </w:style>
  <w:style w:type="paragraph" w:styleId="16">
    <w:name w:val="Body Text First Indent"/>
    <w:basedOn w:val="3"/>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8"/>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5"/>
    <w:qFormat/>
    <w:uiPriority w:val="0"/>
    <w:rPr>
      <w:rFonts w:ascii="Times New Roman" w:hAnsi="Times New Roman" w:eastAsia="仿宋" w:cs="Times New Roman"/>
      <w:b/>
      <w:sz w:val="32"/>
    </w:rPr>
  </w:style>
  <w:style w:type="paragraph" w:customStyle="1" w:styleId="41">
    <w:name w:val="sht标题1"/>
    <w:basedOn w:val="1"/>
    <w:next w:val="4"/>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1280</Words>
  <Characters>1361</Characters>
  <Lines>72</Lines>
  <Paragraphs>20</Paragraphs>
  <TotalTime>20</TotalTime>
  <ScaleCrop>false</ScaleCrop>
  <LinksUpToDate>false</LinksUpToDate>
  <CharactersWithSpaces>1430</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2026-05-15T00:46:24Z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