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eastAsia="zh-CN"/>
        </w:rPr>
        <w:t>四川省人民医院智慧医院天府数智助医技术服务项目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67EBE78">
      <w:pPr>
        <w:pStyle w:val="13"/>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3"/>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3240"/>
      <w:bookmarkStart w:id="3" w:name="_Toc471310326"/>
      <w:bookmarkStart w:id="4" w:name="_Toc20358"/>
      <w:bookmarkStart w:id="5" w:name="_Toc19258376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eastAsia="zh-CN"/>
              </w:rPr>
              <w:t>四川省人民医院智慧医院天府数智助医技术服务项目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hint="eastAsia" w:ascii="仿宋" w:hAnsi="仿宋" w:eastAsia="仿宋" w:cs="仿宋"/>
                <w:szCs w:val="21"/>
              </w:rPr>
            </w:pPr>
          </w:p>
        </w:tc>
        <w:tc>
          <w:tcPr>
            <w:tcW w:w="1879" w:type="dxa"/>
            <w:vAlign w:val="center"/>
          </w:tcPr>
          <w:p w14:paraId="14FB29CD">
            <w:pPr>
              <w:spacing w:line="360" w:lineRule="auto"/>
              <w:jc w:val="center"/>
              <w:rPr>
                <w:rFonts w:hint="eastAsia" w:ascii="仿宋" w:hAnsi="仿宋" w:eastAsia="仿宋" w:cs="仿宋"/>
                <w:kern w:val="0"/>
                <w:sz w:val="22"/>
              </w:rPr>
            </w:pPr>
            <w:r>
              <w:rPr>
                <w:rFonts w:hint="eastAsia" w:ascii="仿宋" w:hAnsi="仿宋" w:eastAsia="仿宋" w:cs="仿宋"/>
                <w:kern w:val="0"/>
                <w:sz w:val="22"/>
              </w:rPr>
              <w:t>项目编号</w:t>
            </w:r>
          </w:p>
        </w:tc>
        <w:tc>
          <w:tcPr>
            <w:tcW w:w="7236" w:type="dxa"/>
            <w:vAlign w:val="center"/>
          </w:tcPr>
          <w:p w14:paraId="027F4916">
            <w:pPr>
              <w:spacing w:line="360" w:lineRule="auto"/>
              <w:ind w:left="210" w:leftChars="100"/>
              <w:rPr>
                <w:rFonts w:hint="eastAsia" w:ascii="仿宋" w:hAnsi="仿宋" w:eastAsia="仿宋" w:cs="仿宋"/>
                <w:sz w:val="22"/>
              </w:rPr>
            </w:pPr>
            <w:r>
              <w:rPr>
                <w:rFonts w:hint="eastAsia" w:ascii="仿宋" w:hAnsi="仿宋" w:eastAsia="仿宋" w:cs="仿宋"/>
                <w:sz w:val="22"/>
              </w:rPr>
              <w:t>CGZX-YXX20260560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人民币</w:t>
            </w:r>
            <w:r>
              <w:rPr>
                <w:rFonts w:hint="eastAsia" w:ascii="仿宋" w:hAnsi="仿宋" w:eastAsia="仿宋" w:cs="仿宋"/>
                <w:sz w:val="22"/>
                <w:szCs w:val="22"/>
                <w:u w:val="none"/>
                <w:lang w:val="en-US" w:eastAsia="zh-CN"/>
              </w:rPr>
              <w:t>97500</w:t>
            </w:r>
            <w:r>
              <w:rPr>
                <w:rFonts w:hint="eastAsia" w:ascii="仿宋" w:hAnsi="仿宋" w:eastAsia="仿宋" w:cs="仿宋"/>
                <w:sz w:val="22"/>
                <w:szCs w:val="22"/>
                <w:u w:val="none"/>
              </w:rPr>
              <w:t>元</w:t>
            </w:r>
            <w:r>
              <w:rPr>
                <w:rFonts w:hint="eastAsia" w:ascii="仿宋" w:hAnsi="仿宋" w:eastAsia="仿宋" w:cs="仿宋"/>
                <w:sz w:val="22"/>
                <w:szCs w:val="22"/>
                <w:u w:val="none"/>
                <w:lang w:val="en-US" w:eastAsia="zh-CN"/>
              </w:rPr>
              <w:t>。</w:t>
            </w:r>
          </w:p>
          <w:p w14:paraId="03707CAA">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四川省卫生健康信息中心</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供应商地址：成都市青羊区上汪家拐街39号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ascii="Times New Roman" w:hAnsi="Times New Roman" w:eastAsia="仿宋" w:cs="Times New Roman"/>
                <w:sz w:val="22"/>
                <w:u w:color="000000"/>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9"/>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firstLine="440" w:firstLineChars="200"/>
              <w:rPr>
                <w:rFonts w:ascii="Times New Roman" w:hAnsi="Times New Roman" w:eastAsia="仿宋" w:cs="Times New Roman"/>
                <w:sz w:val="24"/>
                <w:szCs w:val="24"/>
              </w:rPr>
            </w:pP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716ADCDD">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老师028-</w:t>
            </w:r>
            <w:r>
              <w:rPr>
                <w:rFonts w:hint="eastAsia" w:ascii="仿宋" w:hAnsi="仿宋" w:eastAsia="仿宋" w:cs="仿宋"/>
                <w:sz w:val="22"/>
                <w:szCs w:val="22"/>
                <w:u w:val="none"/>
                <w:lang w:val="en-US" w:eastAsia="zh-CN"/>
              </w:rPr>
              <w:t>87393463</w:t>
            </w:r>
          </w:p>
          <w:p w14:paraId="2BA80911">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w:t>
            </w:r>
            <w:r>
              <w:rPr>
                <w:rFonts w:hint="eastAsia" w:ascii="仿宋" w:hAnsi="仿宋" w:eastAsia="仿宋" w:cs="仿宋"/>
                <w:sz w:val="22"/>
                <w:szCs w:val="22"/>
                <w:highlight w:val="none"/>
                <w:u w:val="none"/>
              </w:rPr>
              <w:t>）归口部门：</w:t>
            </w:r>
            <w:r>
              <w:rPr>
                <w:rFonts w:hint="eastAsia" w:ascii="仿宋" w:hAnsi="仿宋" w:eastAsia="仿宋" w:cs="仿宋"/>
                <w:sz w:val="22"/>
                <w:szCs w:val="22"/>
                <w:highlight w:val="none"/>
                <w:u w:val="none"/>
                <w:lang w:val="en-US" w:eastAsia="zh-CN"/>
              </w:rPr>
              <w:t>医学信息中心</w:t>
            </w:r>
          </w:p>
          <w:p w14:paraId="68709189">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万</w:t>
            </w:r>
            <w:r>
              <w:rPr>
                <w:rFonts w:hint="eastAsia" w:ascii="仿宋" w:hAnsi="仿宋" w:eastAsia="仿宋" w:cs="仿宋"/>
                <w:sz w:val="22"/>
                <w:szCs w:val="22"/>
                <w:highlight w:val="none"/>
                <w:u w:val="none"/>
              </w:rPr>
              <w:t>老师028-</w:t>
            </w:r>
            <w:r>
              <w:rPr>
                <w:rFonts w:hint="eastAsia" w:ascii="仿宋" w:hAnsi="仿宋" w:eastAsia="仿宋" w:cs="仿宋"/>
                <w:sz w:val="22"/>
                <w:szCs w:val="22"/>
                <w:highlight w:val="none"/>
                <w:u w:val="none"/>
                <w:lang w:val="en-US" w:eastAsia="zh-CN"/>
              </w:rPr>
              <w:t>87393250</w:t>
            </w:r>
          </w:p>
          <w:p w14:paraId="418C3619">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B0424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5AF46595">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192583767"/>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2583768"/>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eastAsia="zh-CN"/>
              </w:rPr>
              <w:t>无</w:t>
            </w:r>
            <w:r>
              <w:rPr>
                <w:rFonts w:hint="eastAsia" w:ascii="Times New Roman" w:hAnsi="Times New Roman" w:eastAsia="仿宋" w:cs="Times New Roman"/>
                <w:b/>
                <w:bCs/>
                <w:sz w:val="22"/>
                <w:u w:val="single"/>
                <w:lang w:val="en-US" w:eastAsia="zh-CN"/>
              </w:rPr>
              <w:t xml:space="preserve"> </w:t>
            </w:r>
          </w:p>
        </w:tc>
        <w:tc>
          <w:tcPr>
            <w:tcW w:w="6058" w:type="dxa"/>
            <w:vAlign w:val="center"/>
          </w:tcPr>
          <w:p w14:paraId="7748C337">
            <w:pPr>
              <w:jc w:val="left"/>
              <w:rPr>
                <w:rFonts w:ascii="Times New Roman" w:hAnsi="Times New Roman" w:eastAsia="仿宋" w:cs="Times New Roman"/>
                <w:bCs/>
                <w:kern w:val="0"/>
                <w:sz w:val="22"/>
              </w:rPr>
            </w:pPr>
            <w:r>
              <w:rPr>
                <w:rFonts w:ascii="Times New Roman" w:hAnsi="Times New Roman" w:eastAsia="仿宋" w:cs="Times New Roman"/>
                <w:sz w:val="22"/>
              </w:rPr>
              <w:t xml:space="preserve">提供 </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1"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20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全部</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92583769"/>
      <w:r>
        <w:rPr>
          <w:rFonts w:ascii="Times New Roman" w:hAnsi="Times New Roman" w:cs="Times New Roman"/>
        </w:rPr>
        <w:t>采购需求</w:t>
      </w:r>
      <w:bookmarkEnd w:id="12"/>
      <w:bookmarkEnd w:id="13"/>
      <w:bookmarkEnd w:id="14"/>
    </w:p>
    <w:p w14:paraId="5F1538F5">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项目简介</w:t>
      </w:r>
    </w:p>
    <w:p w14:paraId="10470DD5">
      <w:pPr>
        <w:pStyle w:val="17"/>
        <w:keepNext w:val="0"/>
        <w:keepLines w:val="0"/>
        <w:pageBreakBefore w:val="0"/>
        <w:kinsoku/>
        <w:wordWrap/>
        <w:overflowPunct/>
        <w:topLinePunct w:val="0"/>
        <w:autoSpaceDN/>
        <w:bidi w:val="0"/>
        <w:adjustRightInd w:val="0"/>
        <w:snapToGrid w:val="0"/>
        <w:spacing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本项目拟确定一名供应商提供四川省人民医院智慧医院天府数智助医技术服务。</w:t>
      </w:r>
    </w:p>
    <w:p w14:paraId="1CA8CD92">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rPr>
        <w:t>二、</w:t>
      </w:r>
      <w:r>
        <w:rPr>
          <w:rFonts w:hint="eastAsia" w:ascii="仿宋" w:hAnsi="仿宋" w:eastAsia="仿宋" w:cs="仿宋"/>
          <w:b/>
          <w:bCs/>
          <w:sz w:val="24"/>
          <w:szCs w:val="24"/>
          <w:lang w:val="en-US" w:eastAsia="zh-CN"/>
        </w:rPr>
        <w:t>采购清单</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16"/>
        <w:gridCol w:w="3294"/>
        <w:gridCol w:w="3737"/>
        <w:gridCol w:w="938"/>
        <w:gridCol w:w="959"/>
      </w:tblGrid>
      <w:tr w14:paraId="1A92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65" w:type="pct"/>
            <w:shd w:val="clear" w:color="auto" w:fill="auto"/>
            <w:tcMar>
              <w:top w:w="0" w:type="dxa"/>
              <w:left w:w="105" w:type="dxa"/>
              <w:bottom w:w="0" w:type="dxa"/>
              <w:right w:w="105" w:type="dxa"/>
            </w:tcMar>
            <w:vAlign w:val="center"/>
          </w:tcPr>
          <w:p w14:paraId="370DC17A">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序号</w:t>
            </w:r>
          </w:p>
        </w:tc>
        <w:tc>
          <w:tcPr>
            <w:tcW w:w="1672" w:type="pct"/>
            <w:shd w:val="clear" w:color="auto" w:fill="auto"/>
            <w:tcMar>
              <w:top w:w="0" w:type="dxa"/>
              <w:left w:w="105" w:type="dxa"/>
              <w:bottom w:w="0" w:type="dxa"/>
              <w:right w:w="105" w:type="dxa"/>
            </w:tcMar>
            <w:vAlign w:val="center"/>
          </w:tcPr>
          <w:p w14:paraId="57E012D1">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品名</w:t>
            </w:r>
          </w:p>
        </w:tc>
        <w:tc>
          <w:tcPr>
            <w:tcW w:w="1897" w:type="pct"/>
            <w:shd w:val="clear" w:color="auto" w:fill="auto"/>
            <w:tcMar>
              <w:top w:w="0" w:type="dxa"/>
              <w:left w:w="105" w:type="dxa"/>
              <w:bottom w:w="0" w:type="dxa"/>
              <w:right w:w="105" w:type="dxa"/>
            </w:tcMar>
            <w:vAlign w:val="center"/>
          </w:tcPr>
          <w:p w14:paraId="5130F70D">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详细描述</w:t>
            </w:r>
          </w:p>
        </w:tc>
        <w:tc>
          <w:tcPr>
            <w:tcW w:w="476" w:type="pct"/>
            <w:shd w:val="clear" w:color="auto" w:fill="auto"/>
            <w:tcMar>
              <w:top w:w="0" w:type="dxa"/>
              <w:left w:w="105" w:type="dxa"/>
              <w:bottom w:w="0" w:type="dxa"/>
              <w:right w:w="105" w:type="dxa"/>
            </w:tcMar>
            <w:vAlign w:val="center"/>
          </w:tcPr>
          <w:p w14:paraId="0650896C">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数量</w:t>
            </w:r>
          </w:p>
        </w:tc>
        <w:tc>
          <w:tcPr>
            <w:tcW w:w="487" w:type="pct"/>
            <w:shd w:val="clear" w:color="auto" w:fill="auto"/>
            <w:tcMar>
              <w:top w:w="0" w:type="dxa"/>
              <w:left w:w="105" w:type="dxa"/>
              <w:bottom w:w="0" w:type="dxa"/>
              <w:right w:w="105" w:type="dxa"/>
            </w:tcMar>
            <w:vAlign w:val="center"/>
          </w:tcPr>
          <w:p w14:paraId="7A7C1898">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sz w:val="24"/>
                <w:szCs w:val="24"/>
              </w:rPr>
              <w:t>单位</w:t>
            </w:r>
          </w:p>
        </w:tc>
      </w:tr>
      <w:tr w14:paraId="0811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65" w:type="pct"/>
            <w:shd w:val="clear" w:color="auto" w:fill="auto"/>
            <w:tcMar>
              <w:top w:w="0" w:type="dxa"/>
              <w:left w:w="105" w:type="dxa"/>
              <w:bottom w:w="0" w:type="dxa"/>
              <w:right w:w="105" w:type="dxa"/>
            </w:tcMar>
            <w:vAlign w:val="center"/>
          </w:tcPr>
          <w:p w14:paraId="1AC31402">
            <w:pPr>
              <w:pStyle w:val="14"/>
              <w:keepNext w:val="0"/>
              <w:keepLines w:val="0"/>
              <w:widowControl/>
              <w:suppressLineNumbers w:val="0"/>
              <w:autoSpaceDE w:val="0"/>
              <w:autoSpaceDN/>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1</w:t>
            </w:r>
          </w:p>
        </w:tc>
        <w:tc>
          <w:tcPr>
            <w:tcW w:w="1672" w:type="pct"/>
            <w:shd w:val="clear" w:color="auto" w:fill="auto"/>
            <w:tcMar>
              <w:top w:w="0" w:type="dxa"/>
              <w:left w:w="105" w:type="dxa"/>
              <w:bottom w:w="0" w:type="dxa"/>
              <w:right w:w="105" w:type="dxa"/>
            </w:tcMar>
            <w:vAlign w:val="center"/>
          </w:tcPr>
          <w:p w14:paraId="6C0EE823">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天府数智助医技术服务</w:t>
            </w:r>
          </w:p>
        </w:tc>
        <w:tc>
          <w:tcPr>
            <w:tcW w:w="1897" w:type="pct"/>
            <w:shd w:val="clear" w:color="auto" w:fill="auto"/>
            <w:tcMar>
              <w:top w:w="0" w:type="dxa"/>
              <w:left w:w="105" w:type="dxa"/>
              <w:bottom w:w="0" w:type="dxa"/>
              <w:right w:w="105" w:type="dxa"/>
            </w:tcMar>
            <w:vAlign w:val="center"/>
          </w:tcPr>
          <w:p w14:paraId="62B9502B">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四川省卫生健康数据分析与决策支持云平台服务</w:t>
            </w:r>
          </w:p>
        </w:tc>
        <w:tc>
          <w:tcPr>
            <w:tcW w:w="476" w:type="pct"/>
            <w:shd w:val="clear" w:color="auto" w:fill="auto"/>
            <w:tcMar>
              <w:top w:w="0" w:type="dxa"/>
              <w:left w:w="105" w:type="dxa"/>
              <w:bottom w:w="0" w:type="dxa"/>
              <w:right w:w="105" w:type="dxa"/>
            </w:tcMar>
            <w:vAlign w:val="center"/>
          </w:tcPr>
          <w:p w14:paraId="7B4B9DA5">
            <w:pPr>
              <w:pStyle w:val="14"/>
              <w:keepNext w:val="0"/>
              <w:keepLines w:val="0"/>
              <w:widowControl/>
              <w:suppressLineNumbers w:val="0"/>
              <w:autoSpaceDE w:val="0"/>
              <w:autoSpaceDN/>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487" w:type="pct"/>
            <w:shd w:val="clear" w:color="auto" w:fill="auto"/>
            <w:tcMar>
              <w:top w:w="0" w:type="dxa"/>
              <w:left w:w="105" w:type="dxa"/>
              <w:bottom w:w="0" w:type="dxa"/>
              <w:right w:w="105" w:type="dxa"/>
            </w:tcMar>
            <w:vAlign w:val="center"/>
          </w:tcPr>
          <w:p w14:paraId="2326A951">
            <w:pPr>
              <w:pStyle w:val="14"/>
              <w:keepNext w:val="0"/>
              <w:keepLines w:val="0"/>
              <w:widowControl/>
              <w:suppressLineNumbers w:val="0"/>
              <w:autoSpaceDE w:val="0"/>
              <w:autoSpaceDN/>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项</w:t>
            </w:r>
          </w:p>
        </w:tc>
      </w:tr>
    </w:tbl>
    <w:p w14:paraId="298587B3">
      <w:pPr>
        <w:pStyle w:val="16"/>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left="0"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三、</w:t>
      </w:r>
      <w:r>
        <w:rPr>
          <w:rFonts w:hint="eastAsia" w:ascii="仿宋" w:hAnsi="仿宋" w:eastAsia="仿宋" w:cs="仿宋"/>
          <w:b/>
          <w:bCs/>
          <w:sz w:val="24"/>
          <w:szCs w:val="24"/>
          <w:lang w:val="en-US" w:eastAsia="zh-CN"/>
        </w:rPr>
        <w:t>服务内容</w:t>
      </w:r>
    </w:p>
    <w:p w14:paraId="66BD544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1.病案分析挖掘：基于病案首页数据、手术数据，开展疾病分布与诊疗行为的数据挖掘分析，为临床路径优化与重点专科评估提供量化依据与决策支持。</w:t>
      </w:r>
    </w:p>
    <w:p w14:paraId="74FA02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2.DRGs分析监测：基于DRGs指标体系，从全院、科室、专科、医生、病</w:t>
      </w:r>
      <w:bookmarkStart w:id="103" w:name="_GoBack"/>
      <w:bookmarkEnd w:id="103"/>
      <w:r>
        <w:rPr>
          <w:rFonts w:hint="eastAsia" w:ascii="仿宋" w:hAnsi="仿宋" w:eastAsia="仿宋" w:cs="仿宋"/>
          <w:b w:val="0"/>
          <w:bCs w:val="0"/>
          <w:sz w:val="24"/>
          <w:szCs w:val="24"/>
          <w:lang w:val="en-US" w:eastAsia="zh-CN"/>
        </w:rPr>
        <w:t>种及费用结构等多维度，对采购人服务能力、服务效率与医疗质量安全进行深度监测与分析。通过纵向趋势对比与横向对标分析，帮助采购人明差距、知短板，为采购人提升精细化管理水平与核心竞争力提供精准的数据洞察和决策支持。</w:t>
      </w:r>
    </w:p>
    <w:p w14:paraId="112D2D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3.专科质量分析：遵循《国家临床专科能力评估办法(试行)》等指标体系及导向，从服务能力、技术能力、质量安全、服务效率四个维度开展临床专科评价。</w:t>
      </w:r>
    </w:p>
    <w:p w14:paraId="693FCB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4.服务能力监测：提高资源配置与运行、医疗服务能力与医院质量安全、重点专业质量控制、单病种(术种)质量控制和重点医疗技术临床应用质量控制五大模块的综合分析和对标分析。</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2" w:leftChars="0" w:hanging="482" w:hangingChars="200"/>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、商务要求：</w:t>
      </w:r>
      <w:r>
        <w:rPr>
          <w:rFonts w:hint="eastAsia" w:ascii="仿宋" w:hAnsi="仿宋" w:eastAsia="仿宋" w:cs="仿宋"/>
          <w:sz w:val="24"/>
          <w:szCs w:val="24"/>
        </w:rPr>
        <w:cr/>
      </w:r>
      <w:r>
        <w:rPr>
          <w:rFonts w:hint="eastAsia" w:ascii="仿宋" w:hAnsi="仿宋" w:eastAsia="仿宋" w:cs="仿宋"/>
          <w:sz w:val="24"/>
          <w:szCs w:val="24"/>
          <w:lang w:val="en-US" w:eastAsia="zh-CN"/>
        </w:rPr>
        <w:t>1.服务期：自合同签订生效之日起1年。</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服务地点：</w:t>
      </w:r>
      <w:r>
        <w:rPr>
          <w:rFonts w:hint="eastAsia" w:ascii="仿宋" w:hAnsi="仿宋" w:eastAsia="仿宋" w:cs="仿宋"/>
          <w:sz w:val="24"/>
          <w:szCs w:val="24"/>
          <w:lang w:val="en-US" w:eastAsia="zh-CN"/>
        </w:rPr>
        <w:t>本项目涉及的四川省人民医院所有院区</w:t>
      </w:r>
      <w:r>
        <w:rPr>
          <w:rFonts w:hint="eastAsia" w:ascii="仿宋" w:hAnsi="仿宋" w:eastAsia="仿宋" w:cs="仿宋"/>
          <w:sz w:val="24"/>
          <w:szCs w:val="24"/>
        </w:rPr>
        <w:t>。</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53964904"/>
      <w:bookmarkEnd w:id="15"/>
      <w:bookmarkStart w:id="16" w:name="_Toc18622"/>
      <w:bookmarkEnd w:id="16"/>
      <w:r>
        <w:rPr>
          <w:rFonts w:hint="eastAsia" w:ascii="仿宋" w:hAnsi="仿宋" w:eastAsia="仿宋" w:cs="仿宋"/>
          <w:sz w:val="24"/>
          <w:szCs w:val="24"/>
          <w:lang w:val="en-US" w:eastAsia="zh-CN"/>
        </w:rPr>
        <w:t>合同签订后且服务期结束并验收合格后，供应商于5日内向采购人提供合法有效票据及其他相关请款资料，采购人于接到上述票据及资料以后的55日内，向供应商支付合同总价100%的金额（如有因考核等原因产生的扣款，应在支付前予以扣除）</w:t>
      </w:r>
      <w:r>
        <w:rPr>
          <w:rFonts w:hint="eastAsia" w:ascii="仿宋" w:hAnsi="仿宋" w:eastAsia="仿宋" w:cs="仿宋"/>
          <w:sz w:val="24"/>
          <w:szCs w:val="24"/>
        </w:rPr>
        <w:t>。</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C116C8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6）如本项目验收方式为考核验收，则考核结果须为合格。</w:t>
      </w:r>
    </w:p>
    <w:p w14:paraId="5014D632">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BECA04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（12）履约验收其它事项：无。</w:t>
      </w:r>
    </w:p>
    <w:p w14:paraId="4D7D959B">
      <w:pPr>
        <w:pStyle w:val="16"/>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p>
    <w:p w14:paraId="108C78E3">
      <w:pPr>
        <w:keepNext w:val="0"/>
        <w:keepLines w:val="0"/>
        <w:pageBreakBefore w:val="0"/>
        <w:kinsoku/>
        <w:wordWrap/>
        <w:overflowPunct/>
        <w:topLinePunct w:val="0"/>
        <w:autoSpaceDN/>
        <w:bidi w:val="0"/>
        <w:adjustRightInd w:val="0"/>
        <w:snapToGrid w:val="0"/>
        <w:spacing w:beforeAutospacing="0" w:afterAutospacing="0" w:line="360" w:lineRule="auto"/>
        <w:ind w:left="0"/>
        <w:jc w:val="left"/>
        <w:textAlignment w:val="auto"/>
        <w:rPr>
          <w:rFonts w:hint="eastAsia" w:ascii="仿宋" w:hAnsi="仿宋" w:eastAsia="仿宋" w:cs="仿宋"/>
          <w:sz w:val="24"/>
          <w:szCs w:val="24"/>
        </w:rPr>
      </w:pPr>
    </w:p>
    <w:p w14:paraId="526E9291">
      <w:pPr>
        <w:pStyle w:val="16"/>
        <w:keepNext w:val="0"/>
        <w:keepLines w:val="0"/>
        <w:pageBreakBefore w:val="0"/>
        <w:kinsoku/>
        <w:wordWrap/>
        <w:overflowPunct/>
        <w:topLinePunct w:val="0"/>
        <w:autoSpaceDN/>
        <w:bidi w:val="0"/>
        <w:adjustRightInd w:val="0"/>
        <w:snapToGrid w:val="0"/>
        <w:spacing w:before="0" w:beforeAutospacing="0" w:after="0" w:afterAutospacing="0" w:line="360" w:lineRule="auto"/>
        <w:ind w:left="0" w:leftChars="0" w:firstLine="0"/>
        <w:textAlignment w:val="auto"/>
        <w:rPr>
          <w:rFonts w:hint="eastAsia" w:ascii="仿宋" w:hAnsi="仿宋" w:eastAsia="仿宋" w:cs="仿宋"/>
          <w:b/>
          <w:bCs/>
          <w:sz w:val="24"/>
          <w:szCs w:val="24"/>
        </w:rPr>
      </w:pPr>
      <w:r>
        <w:rPr>
          <w:rFonts w:hint="eastAsia" w:ascii="仿宋" w:hAnsi="仿宋" w:eastAsia="仿宋" w:cs="仿宋"/>
          <w:b/>
          <w:bCs/>
          <w:sz w:val="24"/>
          <w:szCs w:val="24"/>
        </w:rPr>
        <w:t>注：本章中</w:t>
      </w:r>
      <w:r>
        <w:rPr>
          <w:rFonts w:hint="eastAsia" w:ascii="仿宋" w:hAnsi="仿宋" w:eastAsia="仿宋" w:cs="仿宋"/>
          <w:b/>
          <w:bCs/>
          <w:sz w:val="24"/>
          <w:szCs w:val="24"/>
          <w:lang w:val="en-US" w:eastAsia="zh-CN"/>
        </w:rPr>
        <w:t>全部</w:t>
      </w:r>
      <w:r>
        <w:rPr>
          <w:rFonts w:hint="eastAsia" w:ascii="仿宋" w:hAnsi="仿宋" w:eastAsia="仿宋" w:cs="仿宋"/>
          <w:b/>
          <w:bCs/>
          <w:sz w:val="24"/>
          <w:szCs w:val="24"/>
        </w:rPr>
        <w:t>条款</w:t>
      </w:r>
      <w:r>
        <w:rPr>
          <w:rFonts w:hint="eastAsia" w:ascii="仿宋" w:hAnsi="仿宋" w:eastAsia="仿宋" w:cs="仿宋"/>
          <w:b/>
          <w:bCs/>
          <w:sz w:val="24"/>
          <w:szCs w:val="24"/>
          <w:lang w:val="en-US" w:eastAsia="zh-CN"/>
        </w:rPr>
        <w:t>均</w:t>
      </w:r>
      <w:r>
        <w:rPr>
          <w:rFonts w:hint="eastAsia" w:ascii="仿宋" w:hAnsi="仿宋" w:eastAsia="仿宋" w:cs="仿宋"/>
          <w:b/>
          <w:bCs/>
          <w:sz w:val="24"/>
          <w:szCs w:val="24"/>
        </w:rPr>
        <w:t>为实质性要求，不满足将被作为无效响应处理。</w:t>
      </w:r>
    </w:p>
    <w:p w14:paraId="3E1688CF">
      <w:pPr>
        <w:spacing w:line="360" w:lineRule="auto"/>
        <w:rPr>
          <w:rFonts w:hint="eastAsia" w:ascii="仿宋" w:hAnsi="仿宋" w:eastAsia="仿宋" w:cs="仿宋"/>
          <w:kern w:val="2"/>
          <w:sz w:val="24"/>
          <w:szCs w:val="24"/>
        </w:rPr>
      </w:pPr>
    </w:p>
    <w:p w14:paraId="35BC8A82">
      <w:pPr>
        <w:rPr>
          <w:rFonts w:hint="eastAsia" w:ascii="仿宋" w:hAnsi="仿宋" w:eastAsia="仿宋" w:cs="仿宋"/>
          <w:kern w:val="2"/>
          <w:sz w:val="24"/>
          <w:szCs w:val="24"/>
        </w:rPr>
      </w:pPr>
    </w:p>
    <w:p w14:paraId="5D7FB459">
      <w:pPr>
        <w:rPr>
          <w:rFonts w:hint="eastAsia" w:ascii="仿宋" w:hAnsi="仿宋" w:eastAsia="仿宋" w:cs="仿宋"/>
          <w:kern w:val="2"/>
          <w:sz w:val="24"/>
          <w:szCs w:val="24"/>
        </w:rPr>
      </w:pPr>
      <w:r>
        <w:rPr>
          <w:rFonts w:hint="eastAsia" w:ascii="仿宋" w:hAnsi="仿宋" w:eastAsia="仿宋" w:cs="仿宋"/>
          <w:kern w:val="2"/>
          <w:sz w:val="24"/>
          <w:szCs w:val="24"/>
        </w:rPr>
        <w:br w:type="page"/>
      </w:r>
    </w:p>
    <w:p w14:paraId="56D867CA">
      <w:pPr>
        <w:pStyle w:val="7"/>
      </w:pPr>
    </w:p>
    <w:p w14:paraId="58682A99">
      <w:pPr>
        <w:pStyle w:val="2"/>
        <w:rPr>
          <w:rFonts w:ascii="Times New Roman" w:hAnsi="Times New Roman" w:cs="Times New Roman"/>
        </w:rPr>
      </w:pPr>
      <w:bookmarkStart w:id="17" w:name="_Toc22827"/>
      <w:bookmarkStart w:id="18" w:name="_Toc192583770"/>
      <w:bookmarkStart w:id="19" w:name="_Toc3094"/>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4960"/>
      <w:bookmarkStart w:id="21" w:name="_Toc29819"/>
      <w:bookmarkStart w:id="22" w:name="_Toc5913"/>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9428"/>
      <w:bookmarkStart w:id="24" w:name="_Toc19851"/>
      <w:bookmarkStart w:id="25" w:name="_Toc30609"/>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32352"/>
      <w:bookmarkStart w:id="27" w:name="_Toc1544"/>
      <w:bookmarkStart w:id="28" w:name="_Toc9041"/>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4097"/>
      <w:bookmarkStart w:id="30" w:name="_Toc21472"/>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1690"/>
      <w:bookmarkStart w:id="32" w:name="_Toc24859"/>
      <w:bookmarkStart w:id="33" w:name="_Toc32749"/>
      <w:bookmarkStart w:id="34" w:name="_Toc17163"/>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17905"/>
      <w:bookmarkStart w:id="36" w:name="_Toc6803"/>
      <w:bookmarkStart w:id="37" w:name="_Toc24123"/>
      <w:bookmarkStart w:id="38" w:name="_Toc3558"/>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2989"/>
      <w:bookmarkStart w:id="40" w:name="_Toc27526"/>
      <w:bookmarkStart w:id="41" w:name="_Toc5996"/>
      <w:bookmarkStart w:id="42" w:name="_Toc27135"/>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2031"/>
      <w:bookmarkStart w:id="44" w:name="_Toc19987"/>
      <w:bookmarkStart w:id="45" w:name="_Toc7233"/>
      <w:bookmarkStart w:id="46" w:name="_Toc5056"/>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6029"/>
      <w:bookmarkStart w:id="48" w:name="_Toc6482"/>
      <w:bookmarkStart w:id="49" w:name="_Toc11352"/>
      <w:bookmarkStart w:id="50" w:name="_Toc3023"/>
      <w:bookmarkStart w:id="51" w:name="_Toc14829"/>
      <w:bookmarkStart w:id="52" w:name="_Toc21519"/>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4305"/>
      <w:bookmarkStart w:id="54" w:name="_Toc22676"/>
      <w:bookmarkStart w:id="55" w:name="_Toc30971"/>
      <w:bookmarkStart w:id="56" w:name="_Toc31838"/>
      <w:bookmarkStart w:id="57" w:name="_Toc17857"/>
      <w:r>
        <w:rPr>
          <w:rFonts w:ascii="Times New Roman" w:hAnsi="Times New Roman" w:cs="Times New Roman"/>
        </w:rPr>
        <w:br w:type="page"/>
      </w:r>
    </w:p>
    <w:p w14:paraId="23ED41BF">
      <w:pPr>
        <w:pStyle w:val="3"/>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3"/>
          <w:szCs w:val="28"/>
        </w:rPr>
      </w:pPr>
      <w:r>
        <w:rPr>
          <w:bCs/>
        </w:rPr>
        <w:br w:type="page"/>
      </w:r>
      <w:bookmarkStart w:id="58" w:name="_Toc27186"/>
      <w:bookmarkStart w:id="59" w:name="_Toc15613"/>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904"/>
      <w:bookmarkStart w:id="62" w:name="_Toc25357"/>
      <w:bookmarkStart w:id="63" w:name="_Toc13706"/>
    </w:p>
    <w:p w14:paraId="6BE6D0D2">
      <w:pPr>
        <w:pStyle w:val="3"/>
        <w:ind w:firstLine="0"/>
        <w:rPr>
          <w:szCs w:val="32"/>
        </w:rPr>
      </w:pPr>
      <w:bookmarkStart w:id="64" w:name="_Toc15508"/>
      <w:bookmarkStart w:id="65" w:name="_Toc23146"/>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6" w:name="_Toc27661"/>
      <w:bookmarkStart w:id="67" w:name="_Toc11351"/>
      <w:bookmarkStart w:id="68" w:name="_Toc12015"/>
      <w:bookmarkStart w:id="69" w:name="_Toc20589"/>
      <w:bookmarkStart w:id="70" w:name="_Toc15526"/>
      <w:bookmarkStart w:id="71" w:name="_Toc25638"/>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2" w:name="_Toc1074"/>
      <w:bookmarkStart w:id="73" w:name="_Toc12967"/>
      <w:bookmarkStart w:id="74" w:name="_Toc26969"/>
      <w:bookmarkStart w:id="75" w:name="_Toc16435"/>
      <w:bookmarkStart w:id="76" w:name="_Toc23967"/>
      <w:bookmarkStart w:id="77" w:name="_Toc2041"/>
      <w:r>
        <w:rPr>
          <w:rStyle w:val="41"/>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8" w:name="_Toc21082"/>
      <w:bookmarkStart w:id="79" w:name="_Toc1369"/>
      <w:bookmarkStart w:id="80" w:name="_Toc24806"/>
      <w:bookmarkStart w:id="81" w:name="_Toc31686"/>
      <w:bookmarkStart w:id="82" w:name="_Toc28634"/>
      <w:bookmarkStart w:id="83" w:name="_Toc26839"/>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24494"/>
      <w:bookmarkStart w:id="85" w:name="_Toc3871"/>
      <w:bookmarkStart w:id="86" w:name="_Toc32605"/>
    </w:p>
    <w:p w14:paraId="05758452">
      <w:pPr>
        <w:pStyle w:val="3"/>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19"/>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20"/>
        <w:gridCol w:w="1753"/>
        <w:gridCol w:w="1805"/>
        <w:gridCol w:w="1306"/>
        <w:gridCol w:w="1275"/>
        <w:gridCol w:w="1486"/>
        <w:gridCol w:w="1526"/>
      </w:tblGrid>
      <w:tr w14:paraId="7BD8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2" w:hRule="atLeast"/>
          <w:jc w:val="center"/>
        </w:trPr>
        <w:tc>
          <w:tcPr>
            <w:tcW w:w="269" w:type="pct"/>
            <w:vAlign w:val="center"/>
          </w:tcPr>
          <w:p w14:paraId="2CF60CA8">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906" w:type="pct"/>
            <w:vAlign w:val="center"/>
          </w:tcPr>
          <w:p w14:paraId="76504FC3">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品名</w:t>
            </w:r>
          </w:p>
        </w:tc>
        <w:tc>
          <w:tcPr>
            <w:tcW w:w="933" w:type="pct"/>
            <w:vAlign w:val="center"/>
          </w:tcPr>
          <w:p w14:paraId="5B00B061">
            <w:pPr>
              <w:pStyle w:val="14"/>
              <w:keepNext w:val="0"/>
              <w:keepLines w:val="0"/>
              <w:widowControl/>
              <w:suppressLineNumbers w:val="0"/>
              <w:autoSpaceDE w:val="0"/>
              <w:autoSpaceDN/>
              <w:ind w:left="0" w:leftChars="0" w:right="0" w:rightChars="0"/>
              <w:jc w:val="center"/>
              <w:rPr>
                <w:rFonts w:hint="eastAsia" w:ascii="仿宋" w:hAnsi="仿宋" w:eastAsia="仿宋" w:cs="仿宋"/>
                <w:b/>
                <w:bCs/>
                <w:kern w:val="0"/>
                <w:sz w:val="24"/>
                <w:szCs w:val="24"/>
                <w:lang w:val="en-US" w:eastAsia="zh-CN"/>
              </w:rPr>
            </w:pPr>
            <w:r>
              <w:rPr>
                <w:rStyle w:val="21"/>
                <w:rFonts w:hint="eastAsia" w:ascii="仿宋" w:hAnsi="仿宋" w:eastAsia="仿宋" w:cs="仿宋"/>
                <w:sz w:val="24"/>
                <w:szCs w:val="24"/>
              </w:rPr>
              <w:t>详细描述</w:t>
            </w:r>
          </w:p>
        </w:tc>
        <w:tc>
          <w:tcPr>
            <w:tcW w:w="675" w:type="pct"/>
            <w:vAlign w:val="center"/>
          </w:tcPr>
          <w:p w14:paraId="0210D7AA">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Style w:val="21"/>
                <w:rFonts w:hint="eastAsia" w:ascii="仿宋" w:hAnsi="仿宋" w:eastAsia="仿宋" w:cs="仿宋"/>
                <w:b/>
                <w:bCs/>
                <w:sz w:val="24"/>
                <w:szCs w:val="24"/>
              </w:rPr>
              <w:t>数量</w:t>
            </w:r>
          </w:p>
        </w:tc>
        <w:tc>
          <w:tcPr>
            <w:tcW w:w="659" w:type="pct"/>
            <w:vAlign w:val="center"/>
          </w:tcPr>
          <w:p w14:paraId="5B2E56EB">
            <w:pPr>
              <w:pStyle w:val="14"/>
              <w:keepNext w:val="0"/>
              <w:keepLines w:val="0"/>
              <w:widowControl/>
              <w:suppressLineNumbers w:val="0"/>
              <w:autoSpaceDE w:val="0"/>
              <w:autoSpaceDN/>
              <w:spacing w:line="240" w:lineRule="auto"/>
              <w:ind w:left="0" w:leftChars="0" w:right="0" w:rightChars="0"/>
              <w:jc w:val="center"/>
              <w:rPr>
                <w:rFonts w:hint="eastAsia" w:ascii="仿宋" w:hAnsi="仿宋" w:eastAsia="仿宋" w:cs="仿宋"/>
                <w:b/>
                <w:bCs/>
                <w:kern w:val="0"/>
                <w:sz w:val="24"/>
                <w:szCs w:val="24"/>
                <w:lang w:val="zh-TW" w:eastAsia="zh-TW"/>
              </w:rPr>
            </w:pPr>
            <w:r>
              <w:rPr>
                <w:rStyle w:val="21"/>
                <w:rFonts w:hint="eastAsia" w:ascii="仿宋" w:hAnsi="仿宋" w:eastAsia="仿宋" w:cs="仿宋"/>
                <w:b/>
                <w:bCs/>
                <w:sz w:val="24"/>
                <w:szCs w:val="24"/>
              </w:rPr>
              <w:t>单位</w:t>
            </w:r>
          </w:p>
        </w:tc>
        <w:tc>
          <w:tcPr>
            <w:tcW w:w="768" w:type="pct"/>
            <w:vAlign w:val="center"/>
          </w:tcPr>
          <w:p w14:paraId="1BC95E2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报价（元）</w:t>
            </w:r>
          </w:p>
        </w:tc>
        <w:tc>
          <w:tcPr>
            <w:tcW w:w="787" w:type="pct"/>
            <w:vAlign w:val="center"/>
          </w:tcPr>
          <w:p w14:paraId="29D764D0">
            <w:pPr>
              <w:spacing w:line="240" w:lineRule="auto"/>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备注</w:t>
            </w:r>
          </w:p>
        </w:tc>
      </w:tr>
      <w:tr w14:paraId="4438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69" w:type="pct"/>
            <w:vAlign w:val="center"/>
          </w:tcPr>
          <w:p w14:paraId="33FA3AA9">
            <w:pPr>
              <w:pStyle w:val="7"/>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906" w:type="pct"/>
            <w:vAlign w:val="center"/>
          </w:tcPr>
          <w:p w14:paraId="21A93F89">
            <w:pPr>
              <w:pStyle w:val="16"/>
              <w:numPr>
                <w:ilvl w:val="0"/>
                <w:numId w:val="0"/>
              </w:numPr>
              <w:ind w:left="480" w:leftChars="0" w:hanging="480" w:hangingChars="200"/>
              <w:jc w:val="both"/>
              <w:rPr>
                <w:rFonts w:hint="eastAsia" w:ascii="仿宋" w:hAnsi="仿宋" w:eastAsia="仿宋" w:cs="仿宋"/>
                <w:sz w:val="24"/>
                <w:szCs w:val="24"/>
              </w:rPr>
            </w:pPr>
            <w:r>
              <w:rPr>
                <w:rFonts w:hint="eastAsia" w:ascii="仿宋" w:hAnsi="仿宋" w:eastAsia="仿宋" w:cs="仿宋"/>
                <w:sz w:val="24"/>
                <w:szCs w:val="24"/>
              </w:rPr>
              <w:t>天府数智助医技术服务</w:t>
            </w:r>
          </w:p>
        </w:tc>
        <w:tc>
          <w:tcPr>
            <w:tcW w:w="933" w:type="pct"/>
            <w:shd w:val="clear" w:color="auto" w:fill="auto"/>
            <w:vAlign w:val="top"/>
          </w:tcPr>
          <w:p w14:paraId="547A7A2B">
            <w:pPr>
              <w:pStyle w:val="14"/>
              <w:keepNext w:val="0"/>
              <w:keepLines w:val="0"/>
              <w:widowControl/>
              <w:suppressLineNumbers w:val="0"/>
              <w:ind w:left="0" w:leftChars="0" w:right="0" w:rightChars="0"/>
              <w:jc w:val="center"/>
              <w:rPr>
                <w:rFonts w:hint="eastAsia" w:ascii="仿宋" w:hAnsi="仿宋" w:eastAsia="仿宋" w:cs="仿宋"/>
                <w:sz w:val="24"/>
                <w:szCs w:val="24"/>
              </w:rPr>
            </w:pPr>
            <w:r>
              <w:rPr>
                <w:rFonts w:hint="eastAsia" w:ascii="仿宋" w:hAnsi="仿宋" w:eastAsia="仿宋" w:cs="仿宋"/>
                <w:sz w:val="24"/>
                <w:szCs w:val="24"/>
              </w:rPr>
              <w:t>四川省卫生健康数据分析与决策支持云平台服务</w:t>
            </w:r>
          </w:p>
        </w:tc>
        <w:tc>
          <w:tcPr>
            <w:tcW w:w="675" w:type="pct"/>
            <w:shd w:val="clear" w:color="auto" w:fill="auto"/>
            <w:vAlign w:val="center"/>
          </w:tcPr>
          <w:p w14:paraId="74F731F3">
            <w:pPr>
              <w:pStyle w:val="16"/>
              <w:numPr>
                <w:ilvl w:val="0"/>
                <w:numId w:val="0"/>
              </w:numPr>
              <w:ind w:left="480" w:leftChars="0" w:hanging="480" w:hangingChars="200"/>
              <w:jc w:val="center"/>
              <w:rPr>
                <w:rFonts w:hint="eastAsia" w:ascii="仿宋" w:hAnsi="仿宋" w:eastAsia="仿宋" w:cs="仿宋"/>
                <w:kern w:val="2"/>
                <w:sz w:val="24"/>
                <w:szCs w:val="24"/>
                <w:lang w:val="en-US" w:eastAsia="zh-CN" w:bidi="ar-SA"/>
              </w:rPr>
            </w:pPr>
            <w:r>
              <w:rPr>
                <w:rFonts w:hint="eastAsia" w:ascii="仿宋" w:hAnsi="仿宋" w:eastAsia="仿宋" w:cs="仿宋"/>
                <w:b w:val="0"/>
                <w:bCs w:val="0"/>
                <w:kern w:val="2"/>
                <w:sz w:val="24"/>
                <w:szCs w:val="24"/>
                <w:lang w:val="en-US" w:eastAsia="zh-CN" w:bidi="ar-SA"/>
              </w:rPr>
              <w:t>1</w:t>
            </w:r>
          </w:p>
        </w:tc>
        <w:tc>
          <w:tcPr>
            <w:tcW w:w="659" w:type="pct"/>
            <w:shd w:val="clear" w:color="auto" w:fill="auto"/>
            <w:vAlign w:val="center"/>
          </w:tcPr>
          <w:p w14:paraId="4A44268C">
            <w:pPr>
              <w:pStyle w:val="16"/>
              <w:numPr>
                <w:ilvl w:val="0"/>
                <w:numId w:val="0"/>
              </w:numPr>
              <w:ind w:left="480" w:leftChars="0" w:hanging="480" w:hangingChars="200"/>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项</w:t>
            </w:r>
          </w:p>
        </w:tc>
        <w:tc>
          <w:tcPr>
            <w:tcW w:w="768" w:type="pct"/>
            <w:vAlign w:val="center"/>
          </w:tcPr>
          <w:p w14:paraId="338798A9">
            <w:pPr>
              <w:pStyle w:val="16"/>
              <w:numPr>
                <w:ilvl w:val="0"/>
                <w:numId w:val="0"/>
              </w:numPr>
              <w:ind w:left="480" w:leftChars="0" w:hanging="480" w:hangingChars="200"/>
              <w:jc w:val="center"/>
              <w:rPr>
                <w:rFonts w:hint="eastAsia" w:ascii="仿宋" w:hAnsi="仿宋" w:eastAsia="仿宋" w:cs="仿宋"/>
                <w:sz w:val="24"/>
                <w:szCs w:val="24"/>
              </w:rPr>
            </w:pPr>
          </w:p>
        </w:tc>
        <w:tc>
          <w:tcPr>
            <w:tcW w:w="787" w:type="pct"/>
            <w:vAlign w:val="center"/>
          </w:tcPr>
          <w:p w14:paraId="18230512">
            <w:pPr>
              <w:pStyle w:val="7"/>
              <w:spacing w:line="240" w:lineRule="auto"/>
              <w:jc w:val="center"/>
              <w:rPr>
                <w:rFonts w:hint="eastAsia" w:ascii="仿宋" w:hAnsi="仿宋" w:eastAsia="仿宋" w:cs="仿宋"/>
                <w:sz w:val="24"/>
                <w:szCs w:val="24"/>
              </w:rPr>
            </w:pPr>
          </w:p>
        </w:tc>
      </w:tr>
      <w:tr w14:paraId="7F37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2108" w:type="pct"/>
            <w:gridSpan w:val="3"/>
            <w:vAlign w:val="center"/>
          </w:tcPr>
          <w:p w14:paraId="526C308F">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2891" w:type="pct"/>
            <w:gridSpan w:val="4"/>
            <w:vAlign w:val="center"/>
          </w:tcPr>
          <w:p w14:paraId="0241EA93">
            <w:pPr>
              <w:spacing w:line="240" w:lineRule="auto"/>
              <w:ind w:firstLine="120" w:firstLineChars="50"/>
              <w:jc w:val="left"/>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3AC9EC5C">
      <w:pPr>
        <w:widowControl/>
        <w:jc w:val="left"/>
        <w:rPr>
          <w:rFonts w:ascii="Times New Roman" w:hAnsi="Times New Roman" w:eastAsia="仿宋" w:cs="Times New Roman"/>
          <w:szCs w:val="21"/>
          <w:lang w:val="zh-TW"/>
        </w:rPr>
      </w:pPr>
    </w:p>
    <w:p w14:paraId="108C256F">
      <w:pPr>
        <w:pStyle w:val="7"/>
        <w:rPr>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29032"/>
      <w:bookmarkStart w:id="89" w:name="_Toc14685"/>
      <w:bookmarkStart w:id="90" w:name="_Toc3000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6FE03FC">
      <w:pPr>
        <w:pStyle w:val="12"/>
        <w:spacing w:line="360" w:lineRule="auto"/>
        <w:jc w:val="left"/>
        <w:rPr>
          <w:rFonts w:ascii="Times New Roman" w:hAnsi="Times New Roman" w:eastAsia="仿宋" w:cs="Times New Roman"/>
          <w:sz w:val="16"/>
          <w:szCs w:val="20"/>
          <w:highlight w:val="none"/>
        </w:rPr>
      </w:pPr>
    </w:p>
    <w:p w14:paraId="7DF7E8F0">
      <w:pPr>
        <w:pStyle w:val="42"/>
        <w:rPr>
          <w:sz w:val="48"/>
          <w:szCs w:val="48"/>
          <w:highlight w:val="none"/>
        </w:rPr>
      </w:pPr>
      <w:r>
        <w:rPr>
          <w:rFonts w:hint="eastAsia"/>
          <w:sz w:val="48"/>
          <w:szCs w:val="48"/>
          <w:highlight w:val="none"/>
        </w:rPr>
        <w:t>*</w:t>
      </w:r>
      <w:r>
        <w:rPr>
          <w:sz w:val="48"/>
          <w:szCs w:val="48"/>
          <w:highlight w:val="none"/>
        </w:rPr>
        <w:t>**</w:t>
      </w:r>
      <w:r>
        <w:rPr>
          <w:rFonts w:hint="eastAsia"/>
          <w:sz w:val="48"/>
          <w:szCs w:val="48"/>
          <w:highlight w:val="none"/>
        </w:rPr>
        <w:t>服务项目</w:t>
      </w:r>
    </w:p>
    <w:p w14:paraId="382AF38F">
      <w:pPr>
        <w:pStyle w:val="42"/>
        <w:rPr>
          <w:sz w:val="48"/>
          <w:szCs w:val="48"/>
          <w:highlight w:val="none"/>
        </w:rPr>
      </w:pPr>
      <w:r>
        <w:rPr>
          <w:rFonts w:hint="eastAsia"/>
          <w:sz w:val="48"/>
          <w:szCs w:val="48"/>
          <w:highlight w:val="none"/>
        </w:rPr>
        <w:t>采购</w:t>
      </w:r>
      <w:r>
        <w:rPr>
          <w:sz w:val="48"/>
          <w:szCs w:val="48"/>
          <w:highlight w:val="none"/>
        </w:rPr>
        <w:t>合同</w:t>
      </w:r>
    </w:p>
    <w:p w14:paraId="08500B17">
      <w:pPr>
        <w:rPr>
          <w:sz w:val="24"/>
          <w:highlight w:val="none"/>
        </w:rPr>
        <w:sectPr>
          <w:footerReference r:id="rId6" w:type="default"/>
          <w:footerReference r:id="rId7" w:type="even"/>
          <w:pgSz w:w="11906" w:h="16838"/>
          <w:pgMar w:top="1134" w:right="1134" w:bottom="1134" w:left="1134" w:header="850" w:footer="567" w:gutter="0"/>
          <w:pgNumType w:fmt="decimal" w:start="1"/>
          <w:cols w:space="425" w:num="1"/>
          <w:docGrid w:linePitch="312" w:charSpace="0"/>
        </w:sectPr>
      </w:pPr>
    </w:p>
    <w:p w14:paraId="3842862A">
      <w:pPr>
        <w:adjustRightInd w:val="0"/>
        <w:ind w:firstLine="420" w:firstLineChars="200"/>
        <w:contextualSpacing/>
        <w:jc w:val="left"/>
        <w:rPr>
          <w:color w:val="000000"/>
          <w:szCs w:val="21"/>
          <w:highlight w:val="none"/>
        </w:rPr>
      </w:pPr>
    </w:p>
    <w:p w14:paraId="4BE3EAEE">
      <w:pPr>
        <w:adjustRightInd w:val="0"/>
        <w:ind w:firstLine="420" w:firstLineChars="200"/>
        <w:contextualSpacing/>
        <w:jc w:val="left"/>
        <w:rPr>
          <w:color w:val="000000"/>
          <w:szCs w:val="21"/>
          <w:highlight w:val="none"/>
        </w:rPr>
      </w:pPr>
    </w:p>
    <w:tbl>
      <w:tblPr>
        <w:tblStyle w:val="18"/>
        <w:tblW w:w="5000" w:type="pct"/>
        <w:jc w:val="center"/>
        <w:tblLayout w:type="autofit"/>
        <w:tblCellMar>
          <w:top w:w="0" w:type="dxa"/>
          <w:left w:w="0" w:type="dxa"/>
          <w:bottom w:w="0" w:type="dxa"/>
          <w:right w:w="0" w:type="dxa"/>
        </w:tblCellMar>
      </w:tblPr>
      <w:tblGrid>
        <w:gridCol w:w="4688"/>
        <w:gridCol w:w="4950"/>
      </w:tblGrid>
      <w:tr w14:paraId="18C72CE2">
        <w:tblPrEx>
          <w:tblCellMar>
            <w:top w:w="0" w:type="dxa"/>
            <w:left w:w="0" w:type="dxa"/>
            <w:bottom w:w="0" w:type="dxa"/>
            <w:right w:w="0" w:type="dxa"/>
          </w:tblCellMar>
        </w:tblPrEx>
        <w:trPr>
          <w:trHeight w:val="767" w:hRule="atLeast"/>
          <w:jc w:val="center"/>
        </w:trPr>
        <w:tc>
          <w:tcPr>
            <w:tcW w:w="10204" w:type="dxa"/>
            <w:gridSpan w:val="2"/>
          </w:tcPr>
          <w:p w14:paraId="0DA921BF">
            <w:pPr>
              <w:contextualSpacing/>
              <w:rPr>
                <w:color w:val="000000"/>
                <w:szCs w:val="21"/>
                <w:highlight w:val="none"/>
              </w:rPr>
            </w:pPr>
            <w:r>
              <w:rPr>
                <w:b/>
                <w:bCs/>
                <w:color w:val="000000"/>
                <w:szCs w:val="21"/>
                <w:highlight w:val="none"/>
              </w:rPr>
              <w:t>合同编号</w:t>
            </w:r>
            <w:r>
              <w:rPr>
                <w:color w:val="000000"/>
                <w:szCs w:val="21"/>
                <w:highlight w:val="none"/>
              </w:rPr>
              <w:t>：CGZX-***</w:t>
            </w:r>
          </w:p>
          <w:p w14:paraId="53A763A6">
            <w:pPr>
              <w:contextualSpacing/>
              <w:rPr>
                <w:color w:val="000000"/>
                <w:szCs w:val="21"/>
                <w:highlight w:val="none"/>
              </w:rPr>
            </w:pPr>
            <w:r>
              <w:rPr>
                <w:b/>
                <w:bCs/>
                <w:color w:val="000000"/>
                <w:szCs w:val="21"/>
                <w:highlight w:val="none"/>
              </w:rPr>
              <w:t>签订地点</w:t>
            </w:r>
            <w:r>
              <w:rPr>
                <w:color w:val="000000"/>
                <w:szCs w:val="21"/>
                <w:highlight w:val="none"/>
              </w:rPr>
              <w:t>：四川省人民医院</w:t>
            </w:r>
          </w:p>
        </w:tc>
      </w:tr>
      <w:tr w14:paraId="7AA37178">
        <w:tblPrEx>
          <w:tblCellMar>
            <w:top w:w="0" w:type="dxa"/>
            <w:left w:w="0" w:type="dxa"/>
            <w:bottom w:w="0" w:type="dxa"/>
            <w:right w:w="0" w:type="dxa"/>
          </w:tblCellMar>
        </w:tblPrEx>
        <w:trPr>
          <w:jc w:val="center"/>
        </w:trPr>
        <w:tc>
          <w:tcPr>
            <w:tcW w:w="4962" w:type="dxa"/>
          </w:tcPr>
          <w:p w14:paraId="1B221A6A">
            <w:pPr>
              <w:rPr>
                <w:szCs w:val="21"/>
                <w:highlight w:val="none"/>
              </w:rPr>
            </w:pPr>
            <w:r>
              <w:rPr>
                <w:b/>
                <w:bCs/>
                <w:szCs w:val="21"/>
                <w:highlight w:val="none"/>
              </w:rPr>
              <w:t>采购人（以下简称甲方）</w:t>
            </w:r>
            <w:r>
              <w:rPr>
                <w:szCs w:val="21"/>
                <w:highlight w:val="none"/>
              </w:rPr>
              <w:t>：四川省人民医院</w:t>
            </w:r>
          </w:p>
          <w:p w14:paraId="3DC712F4">
            <w:pPr>
              <w:rPr>
                <w:szCs w:val="21"/>
                <w:highlight w:val="none"/>
              </w:rPr>
            </w:pPr>
            <w:r>
              <w:rPr>
                <w:b/>
                <w:bCs/>
                <w:szCs w:val="21"/>
                <w:highlight w:val="none"/>
              </w:rPr>
              <w:t>地址</w:t>
            </w:r>
            <w:r>
              <w:rPr>
                <w:szCs w:val="21"/>
                <w:highlight w:val="none"/>
              </w:rPr>
              <w:t>：四川省成都市一环路西二段32号</w:t>
            </w:r>
          </w:p>
          <w:p w14:paraId="169AA8AF">
            <w:pPr>
              <w:rPr>
                <w:szCs w:val="21"/>
                <w:highlight w:val="none"/>
              </w:rPr>
            </w:pPr>
            <w:r>
              <w:rPr>
                <w:b/>
                <w:bCs/>
                <w:szCs w:val="21"/>
                <w:highlight w:val="none"/>
              </w:rPr>
              <w:t>项目联系人</w:t>
            </w:r>
            <w:r>
              <w:rPr>
                <w:szCs w:val="21"/>
                <w:highlight w:val="none"/>
              </w:rPr>
              <w:t xml:space="preserve">：*** </w:t>
            </w:r>
            <w:r>
              <w:rPr>
                <w:b/>
                <w:bCs/>
                <w:szCs w:val="21"/>
                <w:highlight w:val="none"/>
              </w:rPr>
              <w:t>电话</w:t>
            </w:r>
            <w:r>
              <w:rPr>
                <w:szCs w:val="21"/>
                <w:highlight w:val="none"/>
              </w:rPr>
              <w:t>：***</w:t>
            </w:r>
          </w:p>
          <w:p w14:paraId="301882AC">
            <w:pPr>
              <w:rPr>
                <w:highlight w:val="none"/>
              </w:rPr>
            </w:pPr>
            <w:r>
              <w:rPr>
                <w:rFonts w:hint="eastAsia"/>
                <w:b/>
                <w:bCs/>
                <w:szCs w:val="21"/>
                <w:highlight w:val="none"/>
              </w:rPr>
              <w:t>电子邮件：</w:t>
            </w:r>
            <w:r>
              <w:rPr>
                <w:rFonts w:hint="eastAsia"/>
                <w:szCs w:val="21"/>
                <w:highlight w:val="none"/>
              </w:rPr>
              <w:t>*</w:t>
            </w:r>
            <w:r>
              <w:rPr>
                <w:szCs w:val="21"/>
                <w:highlight w:val="none"/>
              </w:rPr>
              <w:t>**</w:t>
            </w:r>
          </w:p>
        </w:tc>
        <w:tc>
          <w:tcPr>
            <w:tcW w:w="5242" w:type="dxa"/>
          </w:tcPr>
          <w:p w14:paraId="4DBF2211">
            <w:pPr>
              <w:rPr>
                <w:b/>
                <w:bCs/>
                <w:szCs w:val="21"/>
                <w:highlight w:val="none"/>
              </w:rPr>
            </w:pPr>
            <w:r>
              <w:rPr>
                <w:b/>
                <w:bCs/>
                <w:szCs w:val="21"/>
                <w:highlight w:val="none"/>
              </w:rPr>
              <w:t>供应商（以下简称乙方）：***</w:t>
            </w:r>
          </w:p>
          <w:p w14:paraId="68D50ADE">
            <w:pPr>
              <w:rPr>
                <w:b/>
                <w:bCs/>
                <w:szCs w:val="21"/>
                <w:highlight w:val="none"/>
              </w:rPr>
            </w:pPr>
            <w:r>
              <w:rPr>
                <w:b/>
                <w:bCs/>
                <w:szCs w:val="21"/>
                <w:highlight w:val="none"/>
              </w:rPr>
              <w:t>地址：***</w:t>
            </w:r>
          </w:p>
          <w:p w14:paraId="6DEB0127">
            <w:pPr>
              <w:rPr>
                <w:b/>
                <w:bCs/>
                <w:szCs w:val="21"/>
                <w:highlight w:val="none"/>
              </w:rPr>
            </w:pPr>
            <w:r>
              <w:rPr>
                <w:b/>
                <w:bCs/>
                <w:szCs w:val="21"/>
                <w:highlight w:val="none"/>
              </w:rPr>
              <w:t>移动电话：***</w:t>
            </w:r>
          </w:p>
          <w:p w14:paraId="33F33FC3">
            <w:pPr>
              <w:contextualSpacing/>
              <w:rPr>
                <w:b/>
                <w:bCs/>
                <w:szCs w:val="21"/>
                <w:highlight w:val="none"/>
              </w:rPr>
            </w:pPr>
            <w:r>
              <w:rPr>
                <w:b/>
                <w:bCs/>
                <w:szCs w:val="21"/>
                <w:highlight w:val="none"/>
              </w:rPr>
              <w:t>联系人：***</w:t>
            </w:r>
          </w:p>
          <w:p w14:paraId="7CC05042">
            <w:pPr>
              <w:rPr>
                <w:bCs/>
                <w:szCs w:val="21"/>
                <w:highlight w:val="none"/>
              </w:rPr>
            </w:pPr>
            <w:r>
              <w:rPr>
                <w:rFonts w:hint="eastAsia"/>
                <w:b/>
                <w:bCs/>
                <w:szCs w:val="21"/>
                <w:highlight w:val="none"/>
              </w:rPr>
              <w:t>电子邮件：</w:t>
            </w:r>
            <w:r>
              <w:rPr>
                <w:rFonts w:hint="eastAsia"/>
                <w:szCs w:val="21"/>
                <w:highlight w:val="none"/>
              </w:rPr>
              <w:t>*</w:t>
            </w:r>
            <w:r>
              <w:rPr>
                <w:szCs w:val="21"/>
                <w:highlight w:val="none"/>
              </w:rPr>
              <w:t>**</w:t>
            </w:r>
          </w:p>
        </w:tc>
      </w:tr>
    </w:tbl>
    <w:p w14:paraId="5C0A9EBD">
      <w:pPr>
        <w:ind w:firstLine="420" w:firstLineChars="200"/>
        <w:contextualSpacing/>
        <w:jc w:val="left"/>
        <w:rPr>
          <w:color w:val="000000"/>
          <w:szCs w:val="21"/>
          <w:highlight w:val="none"/>
        </w:rPr>
      </w:pPr>
    </w:p>
    <w:p w14:paraId="5ADCE6CF">
      <w:pPr>
        <w:adjustRightInd w:val="0"/>
        <w:ind w:firstLine="420" w:firstLineChars="200"/>
        <w:contextualSpacing/>
        <w:jc w:val="left"/>
        <w:rPr>
          <w:b/>
          <w:szCs w:val="21"/>
          <w:highlight w:val="none"/>
        </w:rPr>
      </w:pPr>
      <w:r>
        <w:rPr>
          <w:rFonts w:hint="eastAsia"/>
          <w:color w:val="000000"/>
          <w:szCs w:val="21"/>
          <w:highlight w:val="none"/>
        </w:rPr>
        <w:t>根</w:t>
      </w:r>
      <w:r>
        <w:rPr>
          <w:color w:val="000000"/>
          <w:szCs w:val="21"/>
          <w:highlight w:val="none"/>
        </w:rPr>
        <w:t>据《中华人民共和国民法典》及甲方发布的***项目（项目编号</w:t>
      </w:r>
      <w:permStart w:id="0" w:edGrp="everyone"/>
      <w:r>
        <w:rPr>
          <w:color w:val="000000"/>
          <w:szCs w:val="21"/>
          <w:highlight w:val="none"/>
        </w:rPr>
        <w:t>：</w:t>
      </w:r>
      <w:r>
        <w:rPr>
          <w:szCs w:val="21"/>
          <w:highlight w:val="none"/>
        </w:rPr>
        <w:t>***</w:t>
      </w:r>
      <w:permEnd w:id="0"/>
      <w:r>
        <w:rPr>
          <w:color w:val="000000"/>
          <w:szCs w:val="21"/>
          <w:highlight w:val="none"/>
        </w:rPr>
        <w:t>）《采购文件》、乙方的《</w:t>
      </w:r>
      <w:r>
        <w:rPr>
          <w:rFonts w:hint="eastAsia"/>
          <w:color w:val="000000"/>
          <w:szCs w:val="21"/>
          <w:highlight w:val="none"/>
        </w:rPr>
        <w:t>响应</w:t>
      </w:r>
      <w:r>
        <w:rPr>
          <w:color w:val="000000"/>
          <w:szCs w:val="21"/>
          <w:highlight w:val="none"/>
        </w:rPr>
        <w:t>文件》，甲、乙双方同意签订本合同。详细技术说明及其他有关合同项目的特定信息可由合同附件予以说明，合同附件及本项目的《采购文件》、《</w:t>
      </w:r>
      <w:r>
        <w:rPr>
          <w:rFonts w:hint="eastAsia"/>
          <w:color w:val="000000"/>
          <w:szCs w:val="21"/>
          <w:highlight w:val="none"/>
        </w:rPr>
        <w:t>响应</w:t>
      </w:r>
      <w:r>
        <w:rPr>
          <w:color w:val="000000"/>
          <w:szCs w:val="21"/>
          <w:highlight w:val="none"/>
        </w:rPr>
        <w:t>文件》等均为本合同不可分割的部分。双方同意共同遵守以下条款：</w:t>
      </w:r>
    </w:p>
    <w:p w14:paraId="0E6F5681">
      <w:pPr>
        <w:contextualSpacing/>
        <w:jc w:val="left"/>
        <w:rPr>
          <w:b/>
          <w:szCs w:val="21"/>
          <w:highlight w:val="none"/>
        </w:rPr>
      </w:pPr>
    </w:p>
    <w:p w14:paraId="21A55335">
      <w:pPr>
        <w:pStyle w:val="30"/>
        <w:numPr>
          <w:ilvl w:val="0"/>
          <w:numId w:val="12"/>
        </w:numPr>
        <w:ind w:left="0" w:firstLine="0" w:firstLineChars="0"/>
        <w:contextualSpacing/>
        <w:jc w:val="left"/>
        <w:rPr>
          <w:b/>
          <w:szCs w:val="21"/>
          <w:highlight w:val="none"/>
        </w:rPr>
      </w:pPr>
      <w:r>
        <w:rPr>
          <w:b/>
          <w:szCs w:val="21"/>
          <w:highlight w:val="none"/>
        </w:rPr>
        <w:t>合同标的</w:t>
      </w:r>
    </w:p>
    <w:p w14:paraId="569EC2EA">
      <w:pPr>
        <w:pStyle w:val="9"/>
        <w:numPr>
          <w:ilvl w:val="0"/>
          <w:numId w:val="13"/>
        </w:numPr>
        <w:spacing w:after="0" w:line="240" w:lineRule="auto"/>
        <w:ind w:left="210" w:leftChars="0" w:hanging="210" w:hangingChars="100"/>
        <w:contextualSpacing/>
        <w:jc w:val="left"/>
        <w:rPr>
          <w:szCs w:val="21"/>
          <w:highlight w:val="none"/>
        </w:rPr>
      </w:pPr>
      <w:r>
        <w:rPr>
          <w:szCs w:val="21"/>
          <w:highlight w:val="none"/>
        </w:rPr>
        <w:t>标的名称：</w:t>
      </w:r>
      <w:permStart w:id="1" w:edGrp="everyone"/>
      <w:r>
        <w:rPr>
          <w:szCs w:val="21"/>
          <w:highlight w:val="none"/>
        </w:rPr>
        <w:t>***</w:t>
      </w:r>
      <w:permEnd w:id="1"/>
      <w:r>
        <w:rPr>
          <w:szCs w:val="21"/>
          <w:highlight w:val="none"/>
        </w:rPr>
        <w:t>。</w:t>
      </w:r>
    </w:p>
    <w:p w14:paraId="2163CA2E">
      <w:pPr>
        <w:pStyle w:val="9"/>
        <w:numPr>
          <w:ilvl w:val="0"/>
          <w:numId w:val="13"/>
        </w:numPr>
        <w:spacing w:after="0" w:line="240" w:lineRule="auto"/>
        <w:ind w:left="210" w:leftChars="0" w:hanging="210" w:hangingChars="100"/>
        <w:contextualSpacing/>
        <w:jc w:val="left"/>
        <w:rPr>
          <w:szCs w:val="21"/>
          <w:highlight w:val="none"/>
        </w:rPr>
      </w:pPr>
      <w:r>
        <w:rPr>
          <w:rFonts w:hint="eastAsia"/>
          <w:szCs w:val="21"/>
          <w:highlight w:val="none"/>
        </w:rPr>
        <w:t>乙方向甲方提供服务的主要内容：*</w:t>
      </w:r>
      <w:r>
        <w:rPr>
          <w:szCs w:val="21"/>
          <w:highlight w:val="none"/>
        </w:rPr>
        <w:t>**</w:t>
      </w:r>
      <w:r>
        <w:rPr>
          <w:rFonts w:hint="eastAsia"/>
          <w:szCs w:val="21"/>
          <w:highlight w:val="none"/>
        </w:rPr>
        <w:t>。</w:t>
      </w:r>
    </w:p>
    <w:p w14:paraId="7528BFEE">
      <w:pPr>
        <w:pStyle w:val="9"/>
        <w:numPr>
          <w:ilvl w:val="0"/>
          <w:numId w:val="13"/>
        </w:numPr>
        <w:spacing w:after="0" w:line="240" w:lineRule="auto"/>
        <w:ind w:left="210" w:leftChars="0" w:hanging="210" w:hangingChars="100"/>
        <w:contextualSpacing/>
        <w:jc w:val="left"/>
        <w:rPr>
          <w:szCs w:val="21"/>
          <w:highlight w:val="none"/>
        </w:rPr>
      </w:pPr>
      <w:r>
        <w:rPr>
          <w:rFonts w:hint="eastAsia"/>
          <w:szCs w:val="21"/>
          <w:highlight w:val="none"/>
        </w:rPr>
        <w:t>服务分项明细：</w:t>
      </w:r>
      <w:r>
        <w:rPr>
          <w:rFonts w:hint="eastAsia"/>
          <w:i/>
          <w:iCs/>
          <w:color w:val="000000"/>
          <w:szCs w:val="21"/>
          <w:highlight w:val="none"/>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CEC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25C1C57">
            <w:pPr>
              <w:pStyle w:val="30"/>
              <w:ind w:firstLine="0" w:firstLineChars="0"/>
              <w:jc w:val="center"/>
              <w:rPr>
                <w:color w:val="000000"/>
                <w:szCs w:val="21"/>
                <w:highlight w:val="none"/>
              </w:rPr>
            </w:pPr>
            <w:r>
              <w:rPr>
                <w:color w:val="000000"/>
                <w:szCs w:val="21"/>
                <w:highlight w:val="none"/>
              </w:rPr>
              <w:t>序号</w:t>
            </w:r>
          </w:p>
        </w:tc>
        <w:tc>
          <w:tcPr>
            <w:tcW w:w="2977" w:type="dxa"/>
            <w:vAlign w:val="center"/>
          </w:tcPr>
          <w:p w14:paraId="05DCED50">
            <w:pPr>
              <w:pStyle w:val="30"/>
              <w:ind w:firstLine="0" w:firstLineChars="0"/>
              <w:jc w:val="center"/>
              <w:rPr>
                <w:color w:val="000000"/>
                <w:szCs w:val="21"/>
                <w:highlight w:val="none"/>
              </w:rPr>
            </w:pPr>
            <w:r>
              <w:rPr>
                <w:color w:val="000000"/>
                <w:szCs w:val="21"/>
                <w:highlight w:val="none"/>
              </w:rPr>
              <w:t>分项</w:t>
            </w:r>
            <w:r>
              <w:rPr>
                <w:rFonts w:hint="eastAsia"/>
                <w:color w:val="000000"/>
                <w:szCs w:val="21"/>
                <w:highlight w:val="none"/>
              </w:rPr>
              <w:t>服务</w:t>
            </w:r>
            <w:r>
              <w:rPr>
                <w:color w:val="000000"/>
                <w:szCs w:val="21"/>
                <w:highlight w:val="none"/>
              </w:rPr>
              <w:t>名称</w:t>
            </w:r>
          </w:p>
        </w:tc>
        <w:tc>
          <w:tcPr>
            <w:tcW w:w="3686" w:type="dxa"/>
            <w:vAlign w:val="center"/>
          </w:tcPr>
          <w:p w14:paraId="5622B6B1">
            <w:pPr>
              <w:pStyle w:val="30"/>
              <w:ind w:firstLine="0" w:firstLineChars="0"/>
              <w:jc w:val="center"/>
              <w:rPr>
                <w:color w:val="000000"/>
                <w:szCs w:val="21"/>
                <w:highlight w:val="none"/>
              </w:rPr>
            </w:pPr>
            <w:r>
              <w:rPr>
                <w:color w:val="000000"/>
                <w:szCs w:val="21"/>
                <w:highlight w:val="none"/>
              </w:rPr>
              <w:t>具体内容</w:t>
            </w:r>
          </w:p>
        </w:tc>
        <w:tc>
          <w:tcPr>
            <w:tcW w:w="963" w:type="dxa"/>
            <w:vAlign w:val="center"/>
          </w:tcPr>
          <w:p w14:paraId="3ECD5B1A">
            <w:pPr>
              <w:pStyle w:val="30"/>
              <w:ind w:firstLine="0" w:firstLineChars="0"/>
              <w:jc w:val="center"/>
              <w:rPr>
                <w:color w:val="000000"/>
                <w:szCs w:val="21"/>
                <w:highlight w:val="none"/>
              </w:rPr>
            </w:pPr>
            <w:r>
              <w:rPr>
                <w:color w:val="000000"/>
                <w:szCs w:val="21"/>
                <w:highlight w:val="none"/>
              </w:rPr>
              <w:t>分项价格（万元）</w:t>
            </w:r>
          </w:p>
        </w:tc>
        <w:tc>
          <w:tcPr>
            <w:tcW w:w="2016" w:type="dxa"/>
          </w:tcPr>
          <w:p w14:paraId="53462A52">
            <w:pPr>
              <w:pStyle w:val="30"/>
              <w:ind w:firstLine="0" w:firstLineChars="0"/>
              <w:jc w:val="center"/>
              <w:rPr>
                <w:color w:val="000000"/>
                <w:szCs w:val="21"/>
                <w:highlight w:val="none"/>
              </w:rPr>
            </w:pPr>
            <w:r>
              <w:rPr>
                <w:color w:val="000000"/>
                <w:szCs w:val="21"/>
                <w:highlight w:val="none"/>
              </w:rPr>
              <w:t>备注</w:t>
            </w:r>
          </w:p>
        </w:tc>
      </w:tr>
      <w:tr w14:paraId="444D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D7687EA">
            <w:pPr>
              <w:pStyle w:val="30"/>
              <w:ind w:firstLine="0" w:firstLineChars="0"/>
              <w:jc w:val="center"/>
              <w:rPr>
                <w:color w:val="000000"/>
                <w:szCs w:val="21"/>
                <w:highlight w:val="none"/>
              </w:rPr>
            </w:pPr>
            <w:r>
              <w:rPr>
                <w:rFonts w:hint="eastAsia"/>
                <w:color w:val="000000"/>
                <w:szCs w:val="21"/>
                <w:highlight w:val="none"/>
              </w:rPr>
              <w:t>1</w:t>
            </w:r>
          </w:p>
        </w:tc>
        <w:tc>
          <w:tcPr>
            <w:tcW w:w="2977" w:type="dxa"/>
            <w:vAlign w:val="center"/>
          </w:tcPr>
          <w:p w14:paraId="6F177941">
            <w:pPr>
              <w:pStyle w:val="30"/>
              <w:ind w:firstLine="0" w:firstLineChars="0"/>
              <w:rPr>
                <w:color w:val="000000"/>
                <w:szCs w:val="21"/>
                <w:highlight w:val="none"/>
              </w:rPr>
            </w:pPr>
          </w:p>
        </w:tc>
        <w:tc>
          <w:tcPr>
            <w:tcW w:w="3686" w:type="dxa"/>
            <w:vAlign w:val="center"/>
          </w:tcPr>
          <w:p w14:paraId="6FF09195">
            <w:pPr>
              <w:pStyle w:val="30"/>
              <w:ind w:firstLine="0" w:firstLineChars="0"/>
              <w:rPr>
                <w:color w:val="000000"/>
                <w:szCs w:val="21"/>
                <w:highlight w:val="none"/>
              </w:rPr>
            </w:pPr>
          </w:p>
        </w:tc>
        <w:tc>
          <w:tcPr>
            <w:tcW w:w="963" w:type="dxa"/>
            <w:vAlign w:val="center"/>
          </w:tcPr>
          <w:p w14:paraId="3A85F249">
            <w:pPr>
              <w:pStyle w:val="30"/>
              <w:ind w:firstLine="0" w:firstLineChars="0"/>
              <w:jc w:val="center"/>
              <w:rPr>
                <w:color w:val="000000"/>
                <w:szCs w:val="21"/>
                <w:highlight w:val="none"/>
              </w:rPr>
            </w:pPr>
          </w:p>
        </w:tc>
        <w:tc>
          <w:tcPr>
            <w:tcW w:w="2016" w:type="dxa"/>
          </w:tcPr>
          <w:p w14:paraId="28C7ABC3">
            <w:pPr>
              <w:pStyle w:val="30"/>
              <w:ind w:firstLine="0" w:firstLineChars="0"/>
              <w:rPr>
                <w:color w:val="000000"/>
                <w:szCs w:val="21"/>
                <w:highlight w:val="none"/>
              </w:rPr>
            </w:pPr>
          </w:p>
        </w:tc>
      </w:tr>
      <w:tr w14:paraId="0D823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E85C760">
            <w:pPr>
              <w:pStyle w:val="30"/>
              <w:ind w:firstLine="0" w:firstLineChars="0"/>
              <w:jc w:val="center"/>
              <w:rPr>
                <w:color w:val="000000"/>
                <w:szCs w:val="21"/>
                <w:highlight w:val="none"/>
              </w:rPr>
            </w:pPr>
            <w:r>
              <w:rPr>
                <w:rFonts w:hint="eastAsia"/>
                <w:color w:val="000000"/>
                <w:szCs w:val="21"/>
                <w:highlight w:val="none"/>
              </w:rPr>
              <w:t>2</w:t>
            </w:r>
          </w:p>
        </w:tc>
        <w:tc>
          <w:tcPr>
            <w:tcW w:w="2977" w:type="dxa"/>
            <w:vAlign w:val="center"/>
          </w:tcPr>
          <w:p w14:paraId="4B353FC4">
            <w:pPr>
              <w:pStyle w:val="30"/>
              <w:ind w:firstLine="0" w:firstLineChars="0"/>
              <w:rPr>
                <w:color w:val="000000"/>
                <w:szCs w:val="21"/>
                <w:highlight w:val="none"/>
              </w:rPr>
            </w:pPr>
          </w:p>
        </w:tc>
        <w:tc>
          <w:tcPr>
            <w:tcW w:w="3686" w:type="dxa"/>
            <w:vAlign w:val="center"/>
          </w:tcPr>
          <w:p w14:paraId="36E7B246">
            <w:pPr>
              <w:pStyle w:val="30"/>
              <w:ind w:firstLine="0" w:firstLineChars="0"/>
              <w:rPr>
                <w:color w:val="000000"/>
                <w:szCs w:val="21"/>
                <w:highlight w:val="none"/>
              </w:rPr>
            </w:pPr>
          </w:p>
        </w:tc>
        <w:tc>
          <w:tcPr>
            <w:tcW w:w="963" w:type="dxa"/>
            <w:vAlign w:val="center"/>
          </w:tcPr>
          <w:p w14:paraId="7282B993">
            <w:pPr>
              <w:pStyle w:val="30"/>
              <w:ind w:firstLine="0" w:firstLineChars="0"/>
              <w:jc w:val="center"/>
              <w:rPr>
                <w:color w:val="000000"/>
                <w:szCs w:val="21"/>
                <w:highlight w:val="none"/>
              </w:rPr>
            </w:pPr>
          </w:p>
        </w:tc>
        <w:tc>
          <w:tcPr>
            <w:tcW w:w="2016" w:type="dxa"/>
          </w:tcPr>
          <w:p w14:paraId="075480E2">
            <w:pPr>
              <w:pStyle w:val="30"/>
              <w:ind w:firstLine="0" w:firstLineChars="0"/>
              <w:rPr>
                <w:color w:val="000000"/>
                <w:szCs w:val="21"/>
                <w:highlight w:val="none"/>
              </w:rPr>
            </w:pPr>
          </w:p>
        </w:tc>
      </w:tr>
      <w:tr w14:paraId="44F9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679EF69">
            <w:pPr>
              <w:pStyle w:val="30"/>
              <w:ind w:firstLine="0" w:firstLineChars="0"/>
              <w:jc w:val="center"/>
              <w:rPr>
                <w:color w:val="000000"/>
                <w:szCs w:val="21"/>
                <w:highlight w:val="none"/>
              </w:rPr>
            </w:pPr>
            <w:r>
              <w:rPr>
                <w:rFonts w:hint="eastAsia"/>
                <w:color w:val="000000"/>
                <w:szCs w:val="21"/>
                <w:highlight w:val="none"/>
              </w:rPr>
              <w:t>3</w:t>
            </w:r>
          </w:p>
        </w:tc>
        <w:tc>
          <w:tcPr>
            <w:tcW w:w="2977" w:type="dxa"/>
            <w:vAlign w:val="center"/>
          </w:tcPr>
          <w:p w14:paraId="56FB7DDB">
            <w:pPr>
              <w:pStyle w:val="30"/>
              <w:ind w:firstLine="0" w:firstLineChars="0"/>
              <w:rPr>
                <w:color w:val="000000"/>
                <w:szCs w:val="21"/>
                <w:highlight w:val="none"/>
              </w:rPr>
            </w:pPr>
          </w:p>
        </w:tc>
        <w:tc>
          <w:tcPr>
            <w:tcW w:w="3686" w:type="dxa"/>
            <w:vAlign w:val="center"/>
          </w:tcPr>
          <w:p w14:paraId="1A159895">
            <w:pPr>
              <w:pStyle w:val="30"/>
              <w:ind w:firstLine="0" w:firstLineChars="0"/>
              <w:rPr>
                <w:color w:val="000000"/>
                <w:szCs w:val="21"/>
                <w:highlight w:val="none"/>
              </w:rPr>
            </w:pPr>
          </w:p>
        </w:tc>
        <w:tc>
          <w:tcPr>
            <w:tcW w:w="963" w:type="dxa"/>
            <w:vAlign w:val="center"/>
          </w:tcPr>
          <w:p w14:paraId="4EFA1C2F">
            <w:pPr>
              <w:pStyle w:val="30"/>
              <w:ind w:firstLine="0" w:firstLineChars="0"/>
              <w:jc w:val="center"/>
              <w:rPr>
                <w:color w:val="000000"/>
                <w:szCs w:val="21"/>
                <w:highlight w:val="none"/>
              </w:rPr>
            </w:pPr>
          </w:p>
        </w:tc>
        <w:tc>
          <w:tcPr>
            <w:tcW w:w="2016" w:type="dxa"/>
          </w:tcPr>
          <w:p w14:paraId="38A2EE09">
            <w:pPr>
              <w:pStyle w:val="30"/>
              <w:ind w:firstLine="0" w:firstLineChars="0"/>
              <w:rPr>
                <w:color w:val="000000"/>
                <w:szCs w:val="21"/>
                <w:highlight w:val="none"/>
              </w:rPr>
            </w:pPr>
          </w:p>
        </w:tc>
      </w:tr>
      <w:tr w14:paraId="0C80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9D31B5A">
            <w:pPr>
              <w:pStyle w:val="30"/>
              <w:ind w:firstLine="0" w:firstLineChars="0"/>
              <w:jc w:val="center"/>
              <w:rPr>
                <w:color w:val="000000"/>
                <w:szCs w:val="21"/>
                <w:highlight w:val="none"/>
              </w:rPr>
            </w:pPr>
            <w:r>
              <w:rPr>
                <w:color w:val="000000"/>
                <w:szCs w:val="21"/>
                <w:highlight w:val="none"/>
              </w:rPr>
              <w:t>…</w:t>
            </w:r>
          </w:p>
        </w:tc>
        <w:tc>
          <w:tcPr>
            <w:tcW w:w="2977" w:type="dxa"/>
            <w:vAlign w:val="center"/>
          </w:tcPr>
          <w:p w14:paraId="20BA5D18">
            <w:pPr>
              <w:pStyle w:val="30"/>
              <w:ind w:firstLine="0" w:firstLineChars="0"/>
              <w:rPr>
                <w:color w:val="000000"/>
                <w:szCs w:val="21"/>
                <w:highlight w:val="none"/>
              </w:rPr>
            </w:pPr>
          </w:p>
        </w:tc>
        <w:tc>
          <w:tcPr>
            <w:tcW w:w="3686" w:type="dxa"/>
            <w:vAlign w:val="center"/>
          </w:tcPr>
          <w:p w14:paraId="747E3086">
            <w:pPr>
              <w:pStyle w:val="30"/>
              <w:ind w:firstLine="0" w:firstLineChars="0"/>
              <w:rPr>
                <w:color w:val="000000"/>
                <w:szCs w:val="21"/>
                <w:highlight w:val="none"/>
              </w:rPr>
            </w:pPr>
          </w:p>
        </w:tc>
        <w:tc>
          <w:tcPr>
            <w:tcW w:w="963" w:type="dxa"/>
            <w:vAlign w:val="center"/>
          </w:tcPr>
          <w:p w14:paraId="7F004C61">
            <w:pPr>
              <w:pStyle w:val="30"/>
              <w:ind w:firstLine="0" w:firstLineChars="0"/>
              <w:jc w:val="center"/>
              <w:rPr>
                <w:color w:val="000000"/>
                <w:szCs w:val="21"/>
                <w:highlight w:val="none"/>
              </w:rPr>
            </w:pPr>
          </w:p>
        </w:tc>
        <w:tc>
          <w:tcPr>
            <w:tcW w:w="2016" w:type="dxa"/>
          </w:tcPr>
          <w:p w14:paraId="43BD3AD5">
            <w:pPr>
              <w:pStyle w:val="30"/>
              <w:ind w:firstLine="0" w:firstLineChars="0"/>
              <w:rPr>
                <w:color w:val="000000"/>
                <w:szCs w:val="21"/>
                <w:highlight w:val="none"/>
              </w:rPr>
            </w:pPr>
          </w:p>
        </w:tc>
      </w:tr>
    </w:tbl>
    <w:p w14:paraId="361FD735">
      <w:pPr>
        <w:pStyle w:val="30"/>
        <w:numPr>
          <w:ilvl w:val="0"/>
          <w:numId w:val="12"/>
        </w:numPr>
        <w:ind w:firstLineChars="0"/>
        <w:jc w:val="left"/>
        <w:rPr>
          <w:b/>
          <w:szCs w:val="21"/>
          <w:highlight w:val="none"/>
        </w:rPr>
      </w:pPr>
      <w:r>
        <w:rPr>
          <w:b/>
          <w:szCs w:val="21"/>
          <w:highlight w:val="none"/>
        </w:rPr>
        <w:t>合同</w:t>
      </w:r>
      <w:r>
        <w:rPr>
          <w:rFonts w:hint="eastAsia"/>
          <w:b/>
          <w:szCs w:val="21"/>
          <w:highlight w:val="none"/>
        </w:rPr>
        <w:t>价款</w:t>
      </w:r>
    </w:p>
    <w:p w14:paraId="1990B0EE">
      <w:pPr>
        <w:ind w:firstLine="480"/>
        <w:contextualSpacing/>
        <w:jc w:val="left"/>
        <w:rPr>
          <w:szCs w:val="21"/>
          <w:highlight w:val="none"/>
        </w:rPr>
      </w:pPr>
      <w:bookmarkStart w:id="94" w:name="OLE_LINK2"/>
      <w:bookmarkStart w:id="95" w:name="OLE_LINK1"/>
      <w:r>
        <w:rPr>
          <w:color w:val="000000"/>
          <w:szCs w:val="21"/>
          <w:highlight w:val="none"/>
        </w:rPr>
        <w:sym w:font="Wingdings 2" w:char="F052"/>
      </w:r>
      <w:r>
        <w:rPr>
          <w:rFonts w:hint="eastAsia"/>
          <w:szCs w:val="21"/>
          <w:highlight w:val="none"/>
        </w:rPr>
        <w:t>全包服务</w:t>
      </w:r>
    </w:p>
    <w:p w14:paraId="420CB2BF">
      <w:pPr>
        <w:ind w:left="420" w:leftChars="200" w:firstLine="420" w:firstLineChars="200"/>
        <w:contextualSpacing/>
        <w:jc w:val="left"/>
        <w:rPr>
          <w:szCs w:val="21"/>
          <w:highlight w:val="none"/>
        </w:rPr>
      </w:pPr>
      <w:r>
        <w:rPr>
          <w:szCs w:val="21"/>
          <w:highlight w:val="none"/>
        </w:rPr>
        <w:t>合同总价（含税）为人民币大写：*** 圆整，即RMB *** 元</w:t>
      </w:r>
      <w:r>
        <w:rPr>
          <w:rFonts w:hint="eastAsia"/>
          <w:szCs w:val="21"/>
          <w:highlight w:val="none"/>
        </w:rPr>
        <w:t>，</w:t>
      </w:r>
      <w:r>
        <w:rPr>
          <w:szCs w:val="21"/>
          <w:highlight w:val="none"/>
        </w:rPr>
        <w:t>该合同总价已包括本合同标的所涉及的所有相关费用（包括但不限于技术服务、差旅</w:t>
      </w:r>
      <w:r>
        <w:rPr>
          <w:rFonts w:hint="eastAsia"/>
          <w:szCs w:val="21"/>
          <w:highlight w:val="none"/>
        </w:rPr>
        <w:t>交通</w:t>
      </w:r>
      <w:r>
        <w:rPr>
          <w:szCs w:val="21"/>
          <w:highlight w:val="none"/>
        </w:rPr>
        <w:t>、</w:t>
      </w:r>
      <w:r>
        <w:rPr>
          <w:rFonts w:hint="eastAsia"/>
          <w:szCs w:val="21"/>
          <w:highlight w:val="none"/>
        </w:rPr>
        <w:t>原材料、备品备件及</w:t>
      </w:r>
      <w:r>
        <w:rPr>
          <w:szCs w:val="21"/>
          <w:highlight w:val="none"/>
        </w:rPr>
        <w:t>税费</w:t>
      </w:r>
      <w:r>
        <w:rPr>
          <w:rFonts w:hint="eastAsia"/>
          <w:szCs w:val="21"/>
          <w:highlight w:val="none"/>
        </w:rPr>
        <w:t>等在内</w:t>
      </w:r>
      <w:r>
        <w:rPr>
          <w:szCs w:val="21"/>
          <w:highlight w:val="none"/>
        </w:rPr>
        <w:t>的全部含税费用）。本合同执行期间合同总价不变，甲方无须另向乙方支付本合同规定之外的其他任何费用。</w:t>
      </w:r>
    </w:p>
    <w:p w14:paraId="6EEAE164">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半包服务</w:t>
      </w:r>
    </w:p>
    <w:p w14:paraId="516F163F">
      <w:pPr>
        <w:ind w:left="420" w:leftChars="200" w:firstLine="420" w:firstLineChars="200"/>
        <w:contextualSpacing/>
        <w:jc w:val="left"/>
        <w:rPr>
          <w:szCs w:val="21"/>
          <w:highlight w:val="none"/>
        </w:rPr>
      </w:pPr>
      <w:r>
        <w:rPr>
          <w:rFonts w:hint="eastAsia"/>
          <w:szCs w:val="21"/>
          <w:highlight w:val="none"/>
        </w:rPr>
        <w:t>1</w:t>
      </w:r>
      <w:r>
        <w:rPr>
          <w:szCs w:val="21"/>
          <w:highlight w:val="none"/>
        </w:rPr>
        <w:t>.</w:t>
      </w:r>
      <w:r>
        <w:rPr>
          <w:rFonts w:hint="eastAsia"/>
          <w:szCs w:val="21"/>
          <w:highlight w:val="none"/>
        </w:rPr>
        <w:t>本合同固定部分价款为</w:t>
      </w:r>
      <w:bookmarkStart w:id="96" w:name="OLE_LINK28"/>
      <w:r>
        <w:rPr>
          <w:szCs w:val="21"/>
          <w:highlight w:val="none"/>
        </w:rPr>
        <w:t>人民币大写：*** 圆整，即RMB *** 元</w:t>
      </w:r>
      <w:bookmarkEnd w:id="96"/>
      <w:r>
        <w:rPr>
          <w:rFonts w:hint="eastAsia"/>
          <w:szCs w:val="21"/>
          <w:highlight w:val="none"/>
        </w:rPr>
        <w:t>，</w:t>
      </w:r>
      <w:r>
        <w:rPr>
          <w:szCs w:val="21"/>
          <w:highlight w:val="none"/>
        </w:rPr>
        <w:t>该</w:t>
      </w:r>
      <w:r>
        <w:rPr>
          <w:rFonts w:hint="eastAsia"/>
          <w:szCs w:val="21"/>
          <w:highlight w:val="none"/>
        </w:rPr>
        <w:t>部分价款</w:t>
      </w:r>
      <w:r>
        <w:rPr>
          <w:szCs w:val="21"/>
          <w:highlight w:val="none"/>
        </w:rPr>
        <w:t>已包括</w:t>
      </w:r>
      <w:r>
        <w:rPr>
          <w:rFonts w:hint="eastAsia"/>
          <w:szCs w:val="21"/>
          <w:highlight w:val="none"/>
        </w:rPr>
        <w:t>*</w:t>
      </w:r>
      <w:r>
        <w:rPr>
          <w:szCs w:val="21"/>
          <w:highlight w:val="none"/>
        </w:rPr>
        <w:t>**</w:t>
      </w:r>
      <w:r>
        <w:rPr>
          <w:rFonts w:hint="eastAsia"/>
          <w:szCs w:val="21"/>
          <w:highlight w:val="none"/>
        </w:rPr>
        <w:t>及</w:t>
      </w:r>
      <w:r>
        <w:rPr>
          <w:szCs w:val="21"/>
          <w:highlight w:val="none"/>
        </w:rPr>
        <w:t>税费</w:t>
      </w:r>
      <w:r>
        <w:rPr>
          <w:rFonts w:hint="eastAsia"/>
          <w:szCs w:val="21"/>
          <w:highlight w:val="none"/>
        </w:rPr>
        <w:t>在内</w:t>
      </w:r>
      <w:r>
        <w:rPr>
          <w:szCs w:val="21"/>
          <w:highlight w:val="none"/>
        </w:rPr>
        <w:t>的全部含税费用。本合同执行期间</w:t>
      </w:r>
      <w:r>
        <w:rPr>
          <w:rFonts w:hint="eastAsia"/>
          <w:szCs w:val="21"/>
          <w:highlight w:val="none"/>
        </w:rPr>
        <w:t>该部分</w:t>
      </w:r>
      <w:r>
        <w:rPr>
          <w:szCs w:val="21"/>
          <w:highlight w:val="none"/>
        </w:rPr>
        <w:t>合同</w:t>
      </w:r>
      <w:r>
        <w:rPr>
          <w:rFonts w:hint="eastAsia"/>
          <w:szCs w:val="21"/>
          <w:highlight w:val="none"/>
        </w:rPr>
        <w:t>价款</w:t>
      </w:r>
      <w:r>
        <w:rPr>
          <w:szCs w:val="21"/>
          <w:highlight w:val="none"/>
        </w:rPr>
        <w:t>不变，甲方无须向乙方支付本合同规定之外的其他任何费用。</w:t>
      </w:r>
    </w:p>
    <w:p w14:paraId="78BD23B5">
      <w:pPr>
        <w:ind w:left="420" w:leftChars="200" w:firstLine="420" w:firstLineChars="200"/>
        <w:contextualSpacing/>
        <w:jc w:val="left"/>
        <w:rPr>
          <w:szCs w:val="21"/>
          <w:highlight w:val="none"/>
        </w:rPr>
      </w:pPr>
      <w:r>
        <w:rPr>
          <w:rFonts w:hint="eastAsia"/>
          <w:szCs w:val="21"/>
          <w:highlight w:val="none"/>
        </w:rPr>
        <w:t>2</w:t>
      </w:r>
      <w:r>
        <w:rPr>
          <w:szCs w:val="21"/>
          <w:highlight w:val="none"/>
        </w:rPr>
        <w:t>.</w:t>
      </w:r>
      <w:r>
        <w:rPr>
          <w:rFonts w:hint="eastAsia"/>
          <w:szCs w:val="21"/>
          <w:highlight w:val="none"/>
        </w:rPr>
        <w:t>本合同按实结算部分支付总额不超过</w:t>
      </w:r>
      <w:r>
        <w:rPr>
          <w:szCs w:val="21"/>
          <w:highlight w:val="none"/>
        </w:rPr>
        <w:t>人民币大写：*** 圆整，即RMB *** 元</w:t>
      </w:r>
      <w:r>
        <w:rPr>
          <w:rFonts w:hint="eastAsia"/>
          <w:szCs w:val="21"/>
          <w:highlight w:val="none"/>
        </w:rPr>
        <w:t>，依据本合同单价进行结算，结算依据及标准为：*</w:t>
      </w:r>
      <w:r>
        <w:rPr>
          <w:szCs w:val="21"/>
          <w:highlight w:val="none"/>
        </w:rPr>
        <w:t>**</w:t>
      </w:r>
      <w:r>
        <w:rPr>
          <w:rFonts w:hint="eastAsia"/>
          <w:szCs w:val="21"/>
          <w:highlight w:val="none"/>
        </w:rPr>
        <w:t>，结算单价详见附件1《结算单价清单》。</w:t>
      </w:r>
      <w:r>
        <w:rPr>
          <w:i/>
          <w:iCs/>
          <w:szCs w:val="21"/>
          <w:highlight w:val="none"/>
        </w:rPr>
        <w:t>&lt;根据项目实际情况</w:t>
      </w:r>
      <w:r>
        <w:rPr>
          <w:rFonts w:hint="eastAsia"/>
          <w:i/>
          <w:iCs/>
          <w:szCs w:val="21"/>
          <w:highlight w:val="none"/>
        </w:rPr>
        <w:t>编制结算依据、标准等必要内容</w:t>
      </w:r>
      <w:r>
        <w:rPr>
          <w:i/>
          <w:iCs/>
          <w:szCs w:val="21"/>
          <w:highlight w:val="none"/>
        </w:rPr>
        <w:t>&gt;</w:t>
      </w:r>
    </w:p>
    <w:p w14:paraId="19353A88">
      <w:pPr>
        <w:ind w:firstLine="480"/>
        <w:contextualSpacing/>
        <w:jc w:val="left"/>
        <w:rPr>
          <w:highlight w:val="none"/>
        </w:rPr>
      </w:pPr>
      <w:r>
        <w:rPr>
          <w:color w:val="000000"/>
          <w:szCs w:val="21"/>
          <w:highlight w:val="none"/>
          <w:shd w:val="clear" w:color="auto" w:fill="FFFFFF"/>
        </w:rPr>
        <w:sym w:font="Wingdings" w:char="F0A8"/>
      </w:r>
      <w:r>
        <w:rPr>
          <w:rFonts w:hint="eastAsia"/>
          <w:highlight w:val="none"/>
        </w:rPr>
        <w:t>按实结算</w:t>
      </w:r>
    </w:p>
    <w:p w14:paraId="6B7F5959">
      <w:pPr>
        <w:ind w:left="420" w:leftChars="200" w:firstLine="420" w:firstLineChars="200"/>
        <w:contextualSpacing/>
        <w:jc w:val="left"/>
        <w:rPr>
          <w:szCs w:val="21"/>
          <w:highlight w:val="none"/>
        </w:rPr>
      </w:pPr>
      <w:r>
        <w:rPr>
          <w:rFonts w:hint="eastAsia"/>
          <w:szCs w:val="21"/>
          <w:highlight w:val="none"/>
        </w:rPr>
        <w:t>本合同支付总额不超过</w:t>
      </w:r>
      <w:r>
        <w:rPr>
          <w:szCs w:val="21"/>
          <w:highlight w:val="none"/>
        </w:rPr>
        <w:t>人民币大写：*** 圆整，即RMB *** 元</w:t>
      </w:r>
      <w:r>
        <w:rPr>
          <w:rFonts w:hint="eastAsia"/>
          <w:szCs w:val="21"/>
          <w:highlight w:val="none"/>
        </w:rPr>
        <w:t>，依据本合同单价进行结算，结算单价详见附件1《结算单价清单》。</w:t>
      </w:r>
    </w:p>
    <w:bookmarkEnd w:id="94"/>
    <w:bookmarkEnd w:id="95"/>
    <w:p w14:paraId="1CB49332">
      <w:pPr>
        <w:pStyle w:val="30"/>
        <w:numPr>
          <w:ilvl w:val="0"/>
          <w:numId w:val="12"/>
        </w:numPr>
        <w:ind w:left="0" w:firstLine="0" w:firstLineChars="0"/>
        <w:jc w:val="left"/>
        <w:rPr>
          <w:b/>
          <w:szCs w:val="21"/>
          <w:highlight w:val="none"/>
        </w:rPr>
      </w:pPr>
      <w:r>
        <w:rPr>
          <w:b/>
          <w:szCs w:val="21"/>
          <w:highlight w:val="none"/>
        </w:rPr>
        <w:t>服务期限</w:t>
      </w:r>
      <w:r>
        <w:rPr>
          <w:i/>
          <w:iCs/>
          <w:szCs w:val="21"/>
          <w:highlight w:val="none"/>
        </w:rPr>
        <w:t>&lt;根据项目实际情况选择&gt;</w:t>
      </w:r>
    </w:p>
    <w:p w14:paraId="331DE91D">
      <w:pPr>
        <w:pStyle w:val="30"/>
        <w:jc w:val="left"/>
        <w:rPr>
          <w:bCs/>
          <w:szCs w:val="21"/>
          <w:highlight w:val="none"/>
        </w:rPr>
      </w:pPr>
      <w:r>
        <w:rPr>
          <w:color w:val="000000"/>
          <w:szCs w:val="21"/>
          <w:highlight w:val="none"/>
        </w:rPr>
        <w:sym w:font="Wingdings 2" w:char="F052"/>
      </w:r>
      <w:r>
        <w:rPr>
          <w:rFonts w:hint="eastAsia"/>
          <w:color w:val="000000"/>
          <w:szCs w:val="21"/>
          <w:highlight w:val="none"/>
        </w:rPr>
        <w:t>本</w:t>
      </w:r>
      <w:r>
        <w:rPr>
          <w:bCs/>
          <w:szCs w:val="21"/>
          <w:highlight w:val="none"/>
        </w:rPr>
        <w:t>合同服务期限为 *** 年，自 202* 年 *** 月 *** 日起至 202* 年 *** 月 *** 日。</w:t>
      </w:r>
    </w:p>
    <w:p w14:paraId="67908BCD">
      <w:pPr>
        <w:pStyle w:val="30"/>
        <w:jc w:val="left"/>
        <w:rPr>
          <w:bCs/>
          <w:szCs w:val="21"/>
          <w:highlight w:val="none"/>
        </w:rPr>
      </w:pPr>
    </w:p>
    <w:p w14:paraId="5A627600">
      <w:pPr>
        <w:pStyle w:val="30"/>
        <w:jc w:val="left"/>
        <w:rPr>
          <w:bCs/>
          <w:szCs w:val="21"/>
          <w:highlight w:val="none"/>
        </w:rPr>
      </w:pPr>
      <w:r>
        <w:rPr>
          <w:color w:val="000000"/>
          <w:szCs w:val="21"/>
          <w:highlight w:val="none"/>
        </w:rPr>
        <w:sym w:font="Wingdings 2" w:char="F052"/>
      </w:r>
      <w:r>
        <w:rPr>
          <w:bCs/>
          <w:szCs w:val="21"/>
          <w:highlight w:val="none"/>
        </w:rPr>
        <w:t>本合同服务期限为</w:t>
      </w:r>
      <w:r>
        <w:rPr>
          <w:rFonts w:hint="eastAsia"/>
          <w:bCs/>
          <w:szCs w:val="21"/>
          <w:highlight w:val="none"/>
        </w:rPr>
        <w:t xml:space="preserve">双方签字盖章生效之日起 </w:t>
      </w:r>
      <w:r>
        <w:rPr>
          <w:bCs/>
          <w:szCs w:val="21"/>
          <w:highlight w:val="none"/>
        </w:rPr>
        <w:t>*** 年，</w:t>
      </w:r>
      <w:r>
        <w:rPr>
          <w:rFonts w:hint="eastAsia"/>
          <w:bCs/>
          <w:szCs w:val="21"/>
          <w:highlight w:val="none"/>
        </w:rPr>
        <w:t>即</w:t>
      </w:r>
      <w:r>
        <w:rPr>
          <w:bCs/>
          <w:szCs w:val="21"/>
          <w:highlight w:val="none"/>
        </w:rPr>
        <w:t>自 202* 年 *** 月 *** 日起至 202* 年 *** 月 *** 日。</w:t>
      </w:r>
    </w:p>
    <w:p w14:paraId="1F50FACF">
      <w:pPr>
        <w:pStyle w:val="30"/>
        <w:jc w:val="left"/>
        <w:rPr>
          <w:bCs/>
          <w:szCs w:val="21"/>
          <w:highlight w:val="none"/>
        </w:rPr>
      </w:pPr>
    </w:p>
    <w:p w14:paraId="57705A4F">
      <w:pPr>
        <w:pStyle w:val="30"/>
        <w:ind w:left="105" w:leftChars="50" w:firstLine="315" w:firstLineChars="150"/>
        <w:jc w:val="left"/>
        <w:rPr>
          <w:b/>
          <w:szCs w:val="21"/>
          <w:highlight w:val="none"/>
        </w:rPr>
      </w:pPr>
      <w:r>
        <w:rPr>
          <w:color w:val="000000"/>
          <w:szCs w:val="21"/>
          <w:highlight w:val="none"/>
        </w:rPr>
        <w:sym w:font="Wingdings 2" w:char="F052"/>
      </w:r>
      <w:r>
        <w:rPr>
          <w:bCs/>
          <w:szCs w:val="21"/>
          <w:highlight w:val="none"/>
        </w:rPr>
        <w:t>本项目服务期为</w:t>
      </w:r>
      <w:r>
        <w:rPr>
          <w:bCs/>
          <w:szCs w:val="21"/>
          <w:highlight w:val="none"/>
          <w:u w:val="single"/>
        </w:rPr>
        <w:t>叁</w:t>
      </w:r>
      <w:r>
        <w:rPr>
          <w:bCs/>
          <w:szCs w:val="21"/>
          <w:highlight w:val="none"/>
        </w:rPr>
        <w:t>年（自202*年**月**日到202*年**月**日），合同一年一签，每年服务费为人民币 *** 元（大写：*** 圆整）。本合同为第***期，服务期为自202*年***月***日至202*年**月**日</w:t>
      </w:r>
      <w:r>
        <w:rPr>
          <w:bCs/>
          <w:szCs w:val="21"/>
          <w:highlight w:val="none"/>
          <w:u w:val="single"/>
        </w:rPr>
        <w:t>，经甲方考核合格后续签下一年合同</w:t>
      </w:r>
      <w:bookmarkStart w:id="97" w:name="OLE_LINK29"/>
      <w:r>
        <w:rPr>
          <w:rFonts w:hint="eastAsia"/>
          <w:bCs/>
          <w:szCs w:val="21"/>
          <w:highlight w:val="none"/>
        </w:rPr>
        <w:t>，考核标准详见附件</w:t>
      </w:r>
      <w:r>
        <w:rPr>
          <w:rFonts w:hint="eastAsia"/>
          <w:bCs/>
          <w:szCs w:val="21"/>
          <w:highlight w:val="none"/>
          <w:u w:val="single"/>
        </w:rPr>
        <w:t>2</w:t>
      </w:r>
      <w:r>
        <w:rPr>
          <w:rFonts w:hint="eastAsia"/>
          <w:bCs/>
          <w:szCs w:val="21"/>
          <w:highlight w:val="none"/>
        </w:rPr>
        <w:t>《考核标准》</w:t>
      </w:r>
      <w:bookmarkEnd w:id="97"/>
      <w:r>
        <w:rPr>
          <w:bCs/>
          <w:szCs w:val="21"/>
          <w:highlight w:val="none"/>
        </w:rPr>
        <w:t>。</w:t>
      </w:r>
    </w:p>
    <w:p w14:paraId="5914C187">
      <w:pPr>
        <w:pStyle w:val="30"/>
        <w:numPr>
          <w:ilvl w:val="0"/>
          <w:numId w:val="12"/>
        </w:numPr>
        <w:ind w:left="0" w:firstLine="0" w:firstLineChars="0"/>
        <w:contextualSpacing/>
        <w:jc w:val="left"/>
        <w:rPr>
          <w:b/>
          <w:szCs w:val="21"/>
          <w:highlight w:val="none"/>
        </w:rPr>
      </w:pPr>
      <w:r>
        <w:rPr>
          <w:b/>
          <w:szCs w:val="21"/>
          <w:highlight w:val="none"/>
        </w:rPr>
        <w:t>服务</w:t>
      </w:r>
      <w:r>
        <w:rPr>
          <w:rFonts w:hint="eastAsia"/>
          <w:b/>
          <w:szCs w:val="21"/>
          <w:highlight w:val="none"/>
        </w:rPr>
        <w:t>方案</w:t>
      </w:r>
    </w:p>
    <w:p w14:paraId="385E9F55">
      <w:pPr>
        <w:ind w:firstLine="420" w:firstLineChars="200"/>
        <w:contextualSpacing/>
        <w:jc w:val="left"/>
        <w:rPr>
          <w:szCs w:val="21"/>
          <w:highlight w:val="none"/>
        </w:rPr>
      </w:pPr>
      <w:r>
        <w:rPr>
          <w:rFonts w:hint="eastAsia"/>
          <w:bCs/>
          <w:szCs w:val="21"/>
          <w:highlight w:val="none"/>
        </w:rPr>
        <w:t>乙方应严格按照本合同服务方案和甲方要求提供服务，服务方案</w:t>
      </w:r>
      <w:r>
        <w:rPr>
          <w:bCs/>
          <w:szCs w:val="21"/>
          <w:highlight w:val="none"/>
        </w:rPr>
        <w:t>详见附件3《服务</w:t>
      </w:r>
      <w:r>
        <w:rPr>
          <w:rFonts w:hint="eastAsia"/>
          <w:bCs/>
          <w:szCs w:val="21"/>
          <w:highlight w:val="none"/>
        </w:rPr>
        <w:t>方案</w:t>
      </w:r>
      <w:r>
        <w:rPr>
          <w:bCs/>
          <w:szCs w:val="21"/>
          <w:highlight w:val="none"/>
        </w:rPr>
        <w:t>》</w:t>
      </w:r>
      <w:r>
        <w:rPr>
          <w:rFonts w:hint="eastAsia"/>
          <w:bCs/>
          <w:szCs w:val="21"/>
          <w:highlight w:val="none"/>
        </w:rPr>
        <w:t>。</w:t>
      </w:r>
    </w:p>
    <w:p w14:paraId="7CA04761">
      <w:pPr>
        <w:pStyle w:val="30"/>
        <w:numPr>
          <w:ilvl w:val="0"/>
          <w:numId w:val="12"/>
        </w:numPr>
        <w:ind w:left="0" w:firstLine="0" w:firstLineChars="0"/>
        <w:contextualSpacing/>
        <w:jc w:val="left"/>
        <w:rPr>
          <w:b/>
          <w:szCs w:val="21"/>
          <w:highlight w:val="none"/>
        </w:rPr>
      </w:pPr>
      <w:r>
        <w:rPr>
          <w:b/>
          <w:szCs w:val="21"/>
          <w:highlight w:val="none"/>
        </w:rPr>
        <w:t>验收</w:t>
      </w:r>
    </w:p>
    <w:p w14:paraId="4B9722A0">
      <w:pPr>
        <w:pStyle w:val="30"/>
        <w:numPr>
          <w:ilvl w:val="0"/>
          <w:numId w:val="14"/>
        </w:numPr>
        <w:ind w:left="0" w:firstLine="0" w:firstLineChars="0"/>
        <w:contextualSpacing/>
        <w:rPr>
          <w:szCs w:val="21"/>
          <w:highlight w:val="none"/>
        </w:rPr>
      </w:pPr>
      <w:r>
        <w:rPr>
          <w:szCs w:val="21"/>
          <w:highlight w:val="none"/>
        </w:rPr>
        <w:t>甲、乙双方确定，按照本合同约定的验收方案对乙方按本合同约定所提供的服务进行验收。</w:t>
      </w:r>
    </w:p>
    <w:p w14:paraId="04477B0E">
      <w:pPr>
        <w:pStyle w:val="30"/>
        <w:numPr>
          <w:ilvl w:val="0"/>
          <w:numId w:val="14"/>
        </w:numPr>
        <w:ind w:left="0" w:firstLine="0" w:firstLineChars="0"/>
        <w:contextualSpacing/>
        <w:rPr>
          <w:szCs w:val="21"/>
          <w:highlight w:val="none"/>
        </w:rPr>
      </w:pPr>
      <w:r>
        <w:rPr>
          <w:szCs w:val="21"/>
          <w:highlight w:val="none"/>
        </w:rPr>
        <w:t>验收方案：</w:t>
      </w:r>
    </w:p>
    <w:p w14:paraId="642B6DDF">
      <w:pPr>
        <w:pStyle w:val="30"/>
        <w:numPr>
          <w:ilvl w:val="0"/>
          <w:numId w:val="15"/>
        </w:numPr>
        <w:ind w:firstLineChars="0"/>
        <w:contextualSpacing/>
        <w:rPr>
          <w:color w:val="000000"/>
          <w:szCs w:val="21"/>
          <w:highlight w:val="none"/>
        </w:rPr>
      </w:pPr>
      <w:r>
        <w:rPr>
          <w:rFonts w:hint="eastAsia"/>
          <w:color w:val="000000"/>
          <w:szCs w:val="21"/>
          <w:highlight w:val="none"/>
        </w:rPr>
        <w:t>验收主体：甲方</w:t>
      </w:r>
    </w:p>
    <w:p w14:paraId="577A8FC1">
      <w:pPr>
        <w:pStyle w:val="30"/>
        <w:numPr>
          <w:ilvl w:val="0"/>
          <w:numId w:val="15"/>
        </w:numPr>
        <w:ind w:firstLineChars="0"/>
        <w:contextualSpacing/>
        <w:rPr>
          <w:color w:val="000000"/>
          <w:szCs w:val="21"/>
          <w:highlight w:val="none"/>
        </w:rPr>
      </w:pPr>
      <w:r>
        <w:rPr>
          <w:rFonts w:hint="eastAsia"/>
          <w:color w:val="000000"/>
          <w:szCs w:val="21"/>
          <w:highlight w:val="none"/>
        </w:rPr>
        <w:t>验收组织方式：自行验收</w:t>
      </w:r>
    </w:p>
    <w:p w14:paraId="171D4CC1">
      <w:pPr>
        <w:pStyle w:val="30"/>
        <w:numPr>
          <w:ilvl w:val="0"/>
          <w:numId w:val="15"/>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230EEFE0">
      <w:pPr>
        <w:pStyle w:val="30"/>
        <w:numPr>
          <w:ilvl w:val="0"/>
          <w:numId w:val="15"/>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1BA91FC9">
      <w:pPr>
        <w:pStyle w:val="30"/>
        <w:numPr>
          <w:ilvl w:val="0"/>
          <w:numId w:val="15"/>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按照甲方的采购文件要求及乙方响应文件响应情况，由乙方向甲方提供的</w:t>
      </w:r>
      <w:r>
        <w:rPr>
          <w:rFonts w:hint="eastAsia"/>
          <w:szCs w:val="21"/>
          <w:highlight w:val="none"/>
          <w:u w:val="single"/>
        </w:rPr>
        <w:t>全部服务</w:t>
      </w:r>
      <w:r>
        <w:rPr>
          <w:rFonts w:hint="eastAsia"/>
          <w:szCs w:val="21"/>
          <w:highlight w:val="none"/>
        </w:rPr>
        <w:t>的履约情况。</w:t>
      </w:r>
    </w:p>
    <w:p w14:paraId="530FEBF7">
      <w:pPr>
        <w:pStyle w:val="30"/>
        <w:numPr>
          <w:ilvl w:val="0"/>
          <w:numId w:val="15"/>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0E9647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182D6A5E">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EA58921">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甲</w:t>
      </w:r>
      <w:r>
        <w:rPr>
          <w:rFonts w:hint="eastAsia" w:ascii="Times New Roman" w:hAnsi="Times New Roman"/>
          <w:color w:val="000000"/>
          <w:szCs w:val="21"/>
          <w:highlight w:val="none"/>
        </w:rPr>
        <w:t>方</w:t>
      </w:r>
      <w:r>
        <w:rPr>
          <w:rFonts w:ascii="Times New Roman" w:hAnsi="Times New Roman"/>
          <w:color w:val="000000"/>
          <w:szCs w:val="21"/>
          <w:highlight w:val="none"/>
        </w:rPr>
        <w:t>完成考核后X日内组织验收</w:t>
      </w:r>
    </w:p>
    <w:p w14:paraId="3AF63A0A">
      <w:pPr>
        <w:pStyle w:val="16"/>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40A6CB08">
      <w:pPr>
        <w:pStyle w:val="30"/>
        <w:numPr>
          <w:ilvl w:val="0"/>
          <w:numId w:val="15"/>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34C0D82B">
      <w:pPr>
        <w:pStyle w:val="30"/>
        <w:numPr>
          <w:ilvl w:val="0"/>
          <w:numId w:val="15"/>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357C3FD0">
      <w:pPr>
        <w:pStyle w:val="30"/>
        <w:numPr>
          <w:ilvl w:val="0"/>
          <w:numId w:val="15"/>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78EDD106">
      <w:pPr>
        <w:pStyle w:val="30"/>
        <w:numPr>
          <w:ilvl w:val="0"/>
          <w:numId w:val="15"/>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68F9AD3">
      <w:pPr>
        <w:pStyle w:val="30"/>
        <w:numPr>
          <w:ilvl w:val="0"/>
          <w:numId w:val="15"/>
        </w:numPr>
        <w:ind w:firstLineChars="0"/>
        <w:contextualSpacing/>
        <w:rPr>
          <w:szCs w:val="21"/>
          <w:highlight w:val="none"/>
        </w:rPr>
      </w:pPr>
      <w:r>
        <w:rPr>
          <w:szCs w:val="21"/>
          <w:highlight w:val="none"/>
        </w:rPr>
        <w:t>验收标准：</w:t>
      </w:r>
    </w:p>
    <w:p w14:paraId="25A77500">
      <w:pPr>
        <w:pStyle w:val="16"/>
        <w:numPr>
          <w:ilvl w:val="0"/>
          <w:numId w:val="16"/>
        </w:numPr>
        <w:spacing w:after="0"/>
        <w:ind w:firstLineChars="0"/>
        <w:contextualSpacing/>
        <w:rPr>
          <w:rFonts w:ascii="Times New Roman" w:hAnsi="Times New Roman"/>
          <w:szCs w:val="21"/>
          <w:highlight w:val="none"/>
        </w:rPr>
      </w:pPr>
      <w:bookmarkStart w:id="98" w:name="OLE_LINK4"/>
      <w:r>
        <w:rPr>
          <w:rFonts w:ascii="Times New Roman" w:hAnsi="Times New Roman"/>
          <w:szCs w:val="21"/>
          <w:highlight w:val="none"/>
          <w:shd w:val="clear" w:color="auto" w:fill="FFFFFF"/>
        </w:rPr>
        <w:t>国家相关法律法规、行业标准、技术规范。</w:t>
      </w:r>
    </w:p>
    <w:p w14:paraId="55F2525A">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2593FEEF">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bookmarkEnd w:id="98"/>
    <w:p w14:paraId="73DD6056">
      <w:pPr>
        <w:pStyle w:val="16"/>
        <w:numPr>
          <w:ilvl w:val="0"/>
          <w:numId w:val="16"/>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5AAE1CFF">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15CB62F7">
      <w:pPr>
        <w:pStyle w:val="16"/>
        <w:numPr>
          <w:ilvl w:val="0"/>
          <w:numId w:val="16"/>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5DCAFC77">
      <w:pPr>
        <w:pStyle w:val="30"/>
        <w:numPr>
          <w:ilvl w:val="0"/>
          <w:numId w:val="15"/>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7A695528">
      <w:pPr>
        <w:pStyle w:val="30"/>
        <w:numPr>
          <w:ilvl w:val="0"/>
          <w:numId w:val="14"/>
        </w:numPr>
        <w:ind w:left="0" w:firstLine="0" w:firstLineChars="0"/>
        <w:rPr>
          <w:szCs w:val="21"/>
          <w:highlight w:val="none"/>
        </w:rPr>
      </w:pPr>
      <w:r>
        <w:rPr>
          <w:szCs w:val="21"/>
          <w:highlight w:val="none"/>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highlight w:val="none"/>
        </w:rPr>
        <w:t>10</w:t>
      </w:r>
      <w:r>
        <w:rPr>
          <w:szCs w:val="21"/>
          <w:highlight w:val="none"/>
        </w:rPr>
        <w:t>%的违约金给甲方，违约金不能弥补甲方损失的，乙方应全额赔偿。</w:t>
      </w:r>
    </w:p>
    <w:p w14:paraId="24FA1489">
      <w:pPr>
        <w:pStyle w:val="30"/>
        <w:numPr>
          <w:ilvl w:val="0"/>
          <w:numId w:val="12"/>
        </w:numPr>
        <w:ind w:left="0" w:firstLine="0" w:firstLineChars="0"/>
        <w:contextualSpacing/>
        <w:jc w:val="left"/>
        <w:rPr>
          <w:b/>
          <w:szCs w:val="21"/>
          <w:highlight w:val="none"/>
        </w:rPr>
      </w:pPr>
      <w:r>
        <w:rPr>
          <w:b/>
          <w:szCs w:val="21"/>
          <w:highlight w:val="none"/>
        </w:rPr>
        <w:t>付款方式</w:t>
      </w:r>
    </w:p>
    <w:p w14:paraId="0750D6C8">
      <w:pPr>
        <w:pStyle w:val="9"/>
        <w:numPr>
          <w:ilvl w:val="0"/>
          <w:numId w:val="17"/>
        </w:numPr>
        <w:spacing w:after="0" w:line="240" w:lineRule="auto"/>
        <w:ind w:left="227" w:leftChars="0" w:hanging="227"/>
        <w:contextualSpacing/>
        <w:jc w:val="left"/>
        <w:rPr>
          <w:szCs w:val="21"/>
          <w:highlight w:val="none"/>
        </w:rPr>
      </w:pPr>
      <w:r>
        <w:rPr>
          <w:szCs w:val="21"/>
          <w:highlight w:val="none"/>
        </w:rPr>
        <w:t>履约保证金：</w:t>
      </w:r>
    </w:p>
    <w:p w14:paraId="1578E26F">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w:t>
      </w:r>
      <w:r>
        <w:rPr>
          <w:rFonts w:ascii="Times New Roman" w:hAnsi="Times New Roman"/>
          <w:color w:val="000000"/>
          <w:szCs w:val="21"/>
          <w:highlight w:val="none"/>
          <w:u w:val="single"/>
        </w:rPr>
        <w:t>***</w:t>
      </w:r>
      <w:r>
        <w:rPr>
          <w:rFonts w:ascii="Times New Roman" w:hAnsi="Times New Roman"/>
          <w:color w:val="000000"/>
          <w:szCs w:val="21"/>
          <w:highlight w:val="none"/>
        </w:rPr>
        <w:t>个工作日内，按合同总价</w:t>
      </w:r>
      <w:r>
        <w:rPr>
          <w:rFonts w:ascii="Times New Roman" w:hAnsi="Times New Roman"/>
          <w:color w:val="000000"/>
          <w:szCs w:val="21"/>
          <w:highlight w:val="none"/>
          <w:u w:val="single"/>
        </w:rPr>
        <w:t>***</w:t>
      </w:r>
      <w:r>
        <w:rPr>
          <w:rFonts w:ascii="Times New Roman" w:hAnsi="Times New Roman"/>
          <w:color w:val="000000"/>
          <w:szCs w:val="21"/>
          <w:highlight w:val="none"/>
        </w:rPr>
        <w:t>%支付履约保证金；本合同</w:t>
      </w:r>
      <w:r>
        <w:rPr>
          <w:rFonts w:hint="eastAsia" w:ascii="Times New Roman" w:hAnsi="Times New Roman"/>
          <w:color w:val="000000"/>
          <w:szCs w:val="21"/>
          <w:highlight w:val="none"/>
        </w:rPr>
        <w:t>服务期满且验收合格</w:t>
      </w:r>
      <w:r>
        <w:rPr>
          <w:rFonts w:ascii="Times New Roman" w:hAnsi="Times New Roman"/>
          <w:color w:val="000000"/>
          <w:szCs w:val="21"/>
          <w:highlight w:val="none"/>
        </w:rPr>
        <w:t>后，甲方接到乙方付款申请后</w:t>
      </w:r>
      <w:r>
        <w:rPr>
          <w:rFonts w:ascii="Times New Roman" w:hAnsi="Times New Roman"/>
          <w:color w:val="000000"/>
          <w:szCs w:val="21"/>
          <w:highlight w:val="none"/>
          <w:u w:val="single"/>
        </w:rPr>
        <w:t>30</w:t>
      </w:r>
      <w:r>
        <w:rPr>
          <w:rFonts w:ascii="Times New Roman" w:hAnsi="Times New Roman"/>
          <w:color w:val="000000"/>
          <w:szCs w:val="21"/>
          <w:highlight w:val="none"/>
        </w:rPr>
        <w:t>个工作日内，甲方一次性无息退还乙方的履约保证金；经验收后乙方履约不合格的，履约保证金不予退还。</w:t>
      </w:r>
    </w:p>
    <w:p w14:paraId="515E5409">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本合同不涉及履约保证金。</w:t>
      </w:r>
    </w:p>
    <w:p w14:paraId="2E0450FA">
      <w:pPr>
        <w:pStyle w:val="9"/>
        <w:numPr>
          <w:ilvl w:val="0"/>
          <w:numId w:val="17"/>
        </w:numPr>
        <w:spacing w:after="0" w:line="240" w:lineRule="auto"/>
        <w:ind w:left="227" w:leftChars="0" w:hanging="227"/>
        <w:contextualSpacing/>
        <w:jc w:val="left"/>
        <w:rPr>
          <w:szCs w:val="21"/>
          <w:highlight w:val="none"/>
        </w:rPr>
      </w:pPr>
      <w:r>
        <w:rPr>
          <w:szCs w:val="21"/>
          <w:highlight w:val="none"/>
        </w:rPr>
        <w:t>本</w:t>
      </w:r>
      <w:r>
        <w:rPr>
          <w:rFonts w:hint="eastAsia"/>
          <w:szCs w:val="21"/>
          <w:highlight w:val="none"/>
        </w:rPr>
        <w:t>合同</w:t>
      </w:r>
      <w:r>
        <w:rPr>
          <w:szCs w:val="21"/>
          <w:highlight w:val="none"/>
        </w:rPr>
        <w:t>价款采用以下方式支付，以人民币结算：</w:t>
      </w:r>
    </w:p>
    <w:p w14:paraId="60D6DDB6">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一次性支付：</w:t>
      </w:r>
    </w:p>
    <w:p w14:paraId="6261F559">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u w:val="single"/>
        </w:rPr>
        <w:t>5</w:t>
      </w:r>
      <w:r>
        <w:rPr>
          <w:rFonts w:ascii="Times New Roman" w:hAnsi="Times New Roman"/>
          <w:szCs w:val="21"/>
          <w:highlight w:val="none"/>
        </w:rPr>
        <w:t>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w:t>
      </w:r>
      <w:r>
        <w:rPr>
          <w:rFonts w:ascii="Times New Roman" w:hAnsi="Times New Roman"/>
          <w:color w:val="000000"/>
          <w:szCs w:val="21"/>
          <w:highlight w:val="none"/>
          <w:u w:val="single"/>
        </w:rPr>
        <w:t>55</w:t>
      </w:r>
      <w:r>
        <w:rPr>
          <w:rFonts w:ascii="Times New Roman" w:hAnsi="Times New Roman"/>
          <w:color w:val="000000"/>
          <w:szCs w:val="21"/>
          <w:highlight w:val="none"/>
        </w:rPr>
        <w:t>日内支付合同总价100%的</w:t>
      </w:r>
      <w:r>
        <w:rPr>
          <w:rFonts w:hint="eastAsia" w:ascii="Times New Roman" w:hAnsi="Times New Roman"/>
          <w:color w:val="000000"/>
          <w:szCs w:val="21"/>
          <w:highlight w:val="none"/>
        </w:rPr>
        <w:t>金额</w:t>
      </w:r>
      <w:r>
        <w:rPr>
          <w:rFonts w:ascii="Times New Roman" w:hAnsi="Times New Roman"/>
          <w:color w:val="000000"/>
          <w:szCs w:val="21"/>
          <w:highlight w:val="none"/>
        </w:rPr>
        <w:t>给乙方。</w:t>
      </w:r>
    </w:p>
    <w:p w14:paraId="64E51FBA">
      <w:pPr>
        <w:pStyle w:val="16"/>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ascii="Times New Roman" w:hAnsi="Times New Roman"/>
          <w:color w:val="000000"/>
          <w:szCs w:val="21"/>
          <w:highlight w:val="none"/>
        </w:rPr>
        <w:t>分阶段支付，支付期限</w:t>
      </w:r>
      <w:r>
        <w:rPr>
          <w:rFonts w:hint="eastAsia" w:ascii="Times New Roman" w:hAnsi="Times New Roman"/>
          <w:color w:val="000000"/>
          <w:szCs w:val="21"/>
          <w:highlight w:val="none"/>
        </w:rPr>
        <w:t>、方式</w:t>
      </w:r>
      <w:r>
        <w:rPr>
          <w:rFonts w:ascii="Times New Roman" w:hAnsi="Times New Roman"/>
          <w:color w:val="000000"/>
          <w:szCs w:val="21"/>
          <w:highlight w:val="none"/>
        </w:rPr>
        <w:t>及额度如下：</w:t>
      </w:r>
    </w:p>
    <w:p w14:paraId="627A527E">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（1）</w:t>
      </w:r>
      <w:bookmarkStart w:id="99" w:name="OLE_LINK30"/>
      <w:r>
        <w:rPr>
          <w:rFonts w:hint="eastAsia"/>
          <w:szCs w:val="21"/>
          <w:highlight w:val="none"/>
        </w:rPr>
        <w:t>固定部分价款</w:t>
      </w:r>
      <w:bookmarkEnd w:id="99"/>
      <w:r>
        <w:rPr>
          <w:rFonts w:ascii="Times New Roman" w:hAnsi="Times New Roman"/>
          <w:color w:val="000000"/>
          <w:szCs w:val="21"/>
          <w:highlight w:val="none"/>
        </w:rPr>
        <w:t>：</w:t>
      </w:r>
      <w:r>
        <w:rPr>
          <w:rFonts w:ascii="Times New Roman" w:hAnsi="Times New Roman"/>
          <w:szCs w:val="21"/>
          <w:highlight w:val="none"/>
        </w:rPr>
        <w:t>本合同</w:t>
      </w:r>
      <w:r>
        <w:rPr>
          <w:rFonts w:hint="eastAsia" w:ascii="Times New Roman" w:hAnsi="Times New Roman"/>
          <w:szCs w:val="21"/>
          <w:highlight w:val="none"/>
        </w:rPr>
        <w:t>服务期满且经甲方验收合格后</w:t>
      </w:r>
      <w:r>
        <w:rPr>
          <w:rFonts w:ascii="Times New Roman" w:hAnsi="Times New Roman"/>
          <w:szCs w:val="21"/>
          <w:highlight w:val="none"/>
        </w:rPr>
        <w:t>5日内</w:t>
      </w:r>
      <w:r>
        <w:rPr>
          <w:rFonts w:ascii="Times New Roman" w:hAnsi="Times New Roman"/>
          <w:color w:val="000000"/>
          <w:szCs w:val="21"/>
          <w:highlight w:val="none"/>
        </w:rPr>
        <w:t>，乙方须向甲方</w:t>
      </w:r>
      <w:r>
        <w:rPr>
          <w:rFonts w:hint="eastAsia" w:ascii="Times New Roman" w:hAnsi="Times New Roman"/>
          <w:color w:val="000000"/>
          <w:szCs w:val="21"/>
          <w:highlight w:val="none"/>
        </w:rPr>
        <w:t>提供合法有效票据及其他相关请款资料</w:t>
      </w:r>
      <w:r>
        <w:rPr>
          <w:rFonts w:ascii="Times New Roman" w:hAnsi="Times New Roman"/>
          <w:color w:val="000000"/>
          <w:szCs w:val="21"/>
          <w:highlight w:val="none"/>
        </w:rPr>
        <w:t>，甲方自收到</w:t>
      </w:r>
      <w:r>
        <w:rPr>
          <w:rFonts w:hint="eastAsia" w:ascii="Times New Roman" w:hAnsi="Times New Roman"/>
          <w:color w:val="000000"/>
          <w:szCs w:val="21"/>
          <w:highlight w:val="none"/>
        </w:rPr>
        <w:t>乙方请款</w:t>
      </w:r>
      <w:r>
        <w:rPr>
          <w:rFonts w:ascii="Times New Roman" w:hAnsi="Times New Roman"/>
          <w:color w:val="000000"/>
          <w:szCs w:val="21"/>
          <w:highlight w:val="none"/>
        </w:rPr>
        <w:t>资料后55日内</w:t>
      </w:r>
      <w:r>
        <w:rPr>
          <w:rFonts w:hint="eastAsia" w:ascii="Times New Roman" w:hAnsi="Times New Roman"/>
          <w:color w:val="000000"/>
          <w:szCs w:val="21"/>
          <w:highlight w:val="none"/>
        </w:rPr>
        <w:t>向乙方</w:t>
      </w:r>
      <w:r>
        <w:rPr>
          <w:rFonts w:ascii="Times New Roman" w:hAnsi="Times New Roman"/>
          <w:color w:val="000000"/>
          <w:szCs w:val="21"/>
          <w:highlight w:val="none"/>
        </w:rPr>
        <w:t>支付</w:t>
      </w:r>
      <w:r>
        <w:rPr>
          <w:rFonts w:hint="eastAsia" w:ascii="Times New Roman" w:hAnsi="Times New Roman"/>
          <w:color w:val="000000"/>
          <w:szCs w:val="21"/>
          <w:highlight w:val="none"/>
        </w:rPr>
        <w:t>本合同</w:t>
      </w:r>
      <w:r>
        <w:rPr>
          <w:rFonts w:hint="eastAsia" w:ascii="Times New Roman" w:hAnsi="Times New Roman"/>
          <w:color w:val="000000"/>
          <w:szCs w:val="21"/>
          <w:highlight w:val="none"/>
          <w:u w:val="single"/>
        </w:rPr>
        <w:t>第二条</w:t>
      </w:r>
      <w:r>
        <w:rPr>
          <w:rFonts w:hint="eastAsia" w:ascii="Times New Roman" w:hAnsi="Times New Roman"/>
          <w:color w:val="000000"/>
          <w:szCs w:val="21"/>
          <w:highlight w:val="none"/>
        </w:rPr>
        <w:t>写明的全部</w:t>
      </w:r>
      <w:r>
        <w:rPr>
          <w:rFonts w:hint="eastAsia"/>
          <w:szCs w:val="21"/>
          <w:highlight w:val="none"/>
        </w:rPr>
        <w:t>固定部分价款</w:t>
      </w:r>
      <w:r>
        <w:rPr>
          <w:rFonts w:ascii="Times New Roman" w:hAnsi="Times New Roman"/>
          <w:color w:val="000000"/>
          <w:szCs w:val="21"/>
          <w:highlight w:val="none"/>
        </w:rPr>
        <w:t>。</w:t>
      </w:r>
    </w:p>
    <w:p w14:paraId="22317A08">
      <w:pPr>
        <w:pStyle w:val="16"/>
        <w:spacing w:after="0"/>
        <w:ind w:left="840" w:leftChars="400" w:firstLineChars="200"/>
        <w:contextualSpacing/>
        <w:rPr>
          <w:rFonts w:ascii="Times New Roman" w:hAnsi="Times New Roman"/>
          <w:color w:val="000000"/>
          <w:szCs w:val="21"/>
          <w:highlight w:val="none"/>
        </w:rPr>
      </w:pPr>
      <w:r>
        <w:rPr>
          <w:rFonts w:ascii="Times New Roman" w:hAnsi="Times New Roman"/>
          <w:color w:val="000000"/>
          <w:szCs w:val="21"/>
          <w:highlight w:val="none"/>
        </w:rPr>
        <w:t>（2）</w:t>
      </w:r>
      <w:r>
        <w:rPr>
          <w:rFonts w:hint="eastAsia" w:ascii="Times New Roman" w:hAnsi="Times New Roman"/>
          <w:color w:val="000000"/>
          <w:szCs w:val="21"/>
          <w:highlight w:val="none"/>
        </w:rPr>
        <w:t>按实结算部分：每</w:t>
      </w:r>
      <w:r>
        <w:rPr>
          <w:rFonts w:hint="eastAsia" w:ascii="Times New Roman" w:hAnsi="Times New Roman"/>
          <w:color w:val="000000"/>
          <w:szCs w:val="21"/>
          <w:highlight w:val="none"/>
          <w:u w:val="single"/>
        </w:rPr>
        <w:t>XX</w:t>
      </w:r>
      <w:r>
        <w:rPr>
          <w:rFonts w:ascii="Times New Roman" w:hAnsi="Times New Roman"/>
          <w:i/>
          <w:iCs/>
          <w:szCs w:val="21"/>
          <w:highlight w:val="none"/>
        </w:rPr>
        <w:t>&lt;</w:t>
      </w:r>
      <w:r>
        <w:rPr>
          <w:rFonts w:hint="eastAsia" w:ascii="Times New Roman" w:hAnsi="Times New Roman"/>
          <w:i/>
          <w:iCs/>
          <w:szCs w:val="21"/>
          <w:highlight w:val="none"/>
        </w:rPr>
        <w:t>约定按固定周期支付的（如每季度），</w:t>
      </w:r>
      <w:r>
        <w:rPr>
          <w:rFonts w:ascii="Times New Roman" w:hAnsi="Times New Roman"/>
          <w:i/>
          <w:iCs/>
          <w:szCs w:val="21"/>
          <w:highlight w:val="none"/>
        </w:rPr>
        <w:t>可根据项目具体情况编制</w:t>
      </w:r>
      <w:r>
        <w:rPr>
          <w:rFonts w:hint="eastAsia" w:ascii="Times New Roman" w:hAnsi="Times New Roman"/>
          <w:i/>
          <w:iCs/>
          <w:szCs w:val="21"/>
          <w:highlight w:val="none"/>
        </w:rPr>
        <w:t>本条款</w:t>
      </w:r>
      <w:r>
        <w:rPr>
          <w:rFonts w:ascii="Times New Roman" w:hAnsi="Times New Roman"/>
          <w:i/>
          <w:iCs/>
          <w:szCs w:val="21"/>
          <w:highlight w:val="none"/>
        </w:rPr>
        <w:t>&gt;</w:t>
      </w:r>
      <w:r>
        <w:rPr>
          <w:rFonts w:hint="eastAsia" w:ascii="Times New Roman" w:hAnsi="Times New Roman"/>
          <w:color w:val="000000"/>
          <w:szCs w:val="21"/>
          <w:highlight w:val="none"/>
        </w:rPr>
        <w:t>结算一次费用，结算单价以</w:t>
      </w:r>
      <w:r>
        <w:rPr>
          <w:rFonts w:hint="eastAsia"/>
          <w:szCs w:val="21"/>
          <w:highlight w:val="none"/>
        </w:rPr>
        <w:t>《结算单价清单》</w:t>
      </w:r>
      <w:r>
        <w:rPr>
          <w:rFonts w:hint="eastAsia" w:ascii="Times New Roman" w:hAnsi="Times New Roman"/>
          <w:color w:val="000000"/>
          <w:szCs w:val="21"/>
          <w:highlight w:val="none"/>
        </w:rPr>
        <w:t>为准。</w:t>
      </w:r>
      <w:r>
        <w:rPr>
          <w:rFonts w:hint="eastAsia"/>
          <w:highlight w:val="none"/>
          <w:lang w:bidi="ar"/>
        </w:rPr>
        <w:t>结算前，乙方须向甲方提供结算费用清单进行确认，并在确认后 5 日内按清单金额向甲方提供合法有效票据及其他相关请款资料，甲方接到乙方请款资料后的</w:t>
      </w:r>
      <w:r>
        <w:rPr>
          <w:rFonts w:hint="eastAsia"/>
          <w:highlight w:val="none"/>
          <w:u w:val="single"/>
          <w:lang w:bidi="ar"/>
        </w:rPr>
        <w:t>55</w:t>
      </w:r>
      <w:r>
        <w:rPr>
          <w:rFonts w:hint="eastAsia"/>
          <w:highlight w:val="none"/>
          <w:lang w:bidi="ar"/>
        </w:rPr>
        <w:t>日内，向乙方全额支付上述结算费用。</w:t>
      </w:r>
    </w:p>
    <w:p w14:paraId="43D72B9C">
      <w:pPr>
        <w:pStyle w:val="9"/>
        <w:numPr>
          <w:ilvl w:val="0"/>
          <w:numId w:val="17"/>
        </w:numPr>
        <w:spacing w:after="0" w:line="240" w:lineRule="auto"/>
        <w:ind w:left="227" w:leftChars="0" w:hanging="227"/>
        <w:contextualSpacing/>
        <w:jc w:val="left"/>
        <w:rPr>
          <w:szCs w:val="21"/>
          <w:highlight w:val="none"/>
        </w:rPr>
      </w:pPr>
      <w:r>
        <w:rPr>
          <w:szCs w:val="21"/>
          <w:highlight w:val="none"/>
        </w:rPr>
        <w:t>甲方付款前，乙方需</w:t>
      </w:r>
      <w:r>
        <w:rPr>
          <w:rFonts w:hint="eastAsia"/>
          <w:highlight w:val="none"/>
          <w:lang w:bidi="ar"/>
        </w:rPr>
        <w:t>提供合法有效票据及其他相关请款资料</w:t>
      </w:r>
      <w:r>
        <w:rPr>
          <w:szCs w:val="21"/>
          <w:highlight w:val="none"/>
        </w:rPr>
        <w:t>，否则甲方有权拒绝支付且不承担任何违约责任，且乙方不得因此停止</w:t>
      </w:r>
      <w:r>
        <w:rPr>
          <w:rFonts w:hint="eastAsia"/>
          <w:szCs w:val="21"/>
          <w:highlight w:val="none"/>
        </w:rPr>
        <w:t>服务</w:t>
      </w:r>
      <w:r>
        <w:rPr>
          <w:szCs w:val="21"/>
          <w:highlight w:val="none"/>
        </w:rPr>
        <w:t>。</w:t>
      </w:r>
    </w:p>
    <w:p w14:paraId="47567375">
      <w:pPr>
        <w:pStyle w:val="9"/>
        <w:numPr>
          <w:ilvl w:val="0"/>
          <w:numId w:val="17"/>
        </w:numPr>
        <w:spacing w:after="0" w:line="240" w:lineRule="auto"/>
        <w:ind w:left="227" w:leftChars="0" w:hanging="227"/>
        <w:contextualSpacing/>
        <w:jc w:val="left"/>
        <w:rPr>
          <w:szCs w:val="21"/>
          <w:highlight w:val="none"/>
        </w:rPr>
      </w:pPr>
      <w:r>
        <w:rPr>
          <w:szCs w:val="21"/>
          <w:highlight w:val="none"/>
        </w:rPr>
        <w:t>乙方开票信息应与合同预留账户信息一致。如有变更，乙方应当在变更后3日内通知甲方。否则，由此造成的损失由乙方自行承担。</w:t>
      </w:r>
    </w:p>
    <w:p w14:paraId="72195216">
      <w:pPr>
        <w:pStyle w:val="30"/>
        <w:numPr>
          <w:ilvl w:val="0"/>
          <w:numId w:val="12"/>
        </w:numPr>
        <w:ind w:left="0" w:firstLine="0" w:firstLineChars="0"/>
        <w:contextualSpacing/>
        <w:jc w:val="left"/>
        <w:rPr>
          <w:b/>
          <w:szCs w:val="21"/>
          <w:highlight w:val="none"/>
        </w:rPr>
      </w:pPr>
      <w:r>
        <w:rPr>
          <w:b/>
          <w:szCs w:val="21"/>
          <w:highlight w:val="none"/>
        </w:rPr>
        <w:t>双方权利与义务</w:t>
      </w:r>
    </w:p>
    <w:p w14:paraId="75A4F58A">
      <w:pPr>
        <w:pStyle w:val="9"/>
        <w:numPr>
          <w:ilvl w:val="0"/>
          <w:numId w:val="18"/>
        </w:numPr>
        <w:spacing w:after="0" w:line="240" w:lineRule="auto"/>
        <w:ind w:left="227" w:leftChars="0" w:hanging="227"/>
        <w:contextualSpacing/>
        <w:jc w:val="left"/>
        <w:rPr>
          <w:szCs w:val="21"/>
          <w:highlight w:val="none"/>
        </w:rPr>
      </w:pPr>
      <w:r>
        <w:rPr>
          <w:szCs w:val="21"/>
          <w:highlight w:val="none"/>
        </w:rPr>
        <w:t>甲方权利与义务</w:t>
      </w:r>
    </w:p>
    <w:p w14:paraId="38510476">
      <w:pPr>
        <w:pStyle w:val="30"/>
        <w:numPr>
          <w:ilvl w:val="0"/>
          <w:numId w:val="19"/>
        </w:numPr>
        <w:adjustRightInd w:val="0"/>
        <w:ind w:left="525" w:hanging="525" w:hangingChars="250"/>
        <w:contextualSpacing/>
        <w:jc w:val="left"/>
        <w:rPr>
          <w:szCs w:val="21"/>
          <w:highlight w:val="none"/>
        </w:rPr>
      </w:pPr>
      <w:r>
        <w:rPr>
          <w:szCs w:val="21"/>
          <w:highlight w:val="none"/>
        </w:rPr>
        <w:t>按合同约定向乙方支付费用。</w:t>
      </w:r>
    </w:p>
    <w:p w14:paraId="6B63D002">
      <w:pPr>
        <w:pStyle w:val="30"/>
        <w:numPr>
          <w:ilvl w:val="0"/>
          <w:numId w:val="19"/>
        </w:numPr>
        <w:adjustRightInd w:val="0"/>
        <w:ind w:left="525" w:hanging="525" w:hangingChars="250"/>
        <w:contextualSpacing/>
        <w:jc w:val="left"/>
        <w:rPr>
          <w:szCs w:val="21"/>
          <w:highlight w:val="none"/>
        </w:rPr>
      </w:pPr>
      <w:r>
        <w:rPr>
          <w:szCs w:val="21"/>
          <w:highlight w:val="none"/>
        </w:rPr>
        <w:t>保证乙方实施服务所必须的外部条件如电源、水源的正常供应及开启、关闭等。</w:t>
      </w:r>
    </w:p>
    <w:p w14:paraId="7CEA4100">
      <w:pPr>
        <w:pStyle w:val="30"/>
        <w:numPr>
          <w:ilvl w:val="0"/>
          <w:numId w:val="19"/>
        </w:numPr>
        <w:adjustRightInd w:val="0"/>
        <w:ind w:left="525" w:hanging="525" w:hangingChars="250"/>
        <w:contextualSpacing/>
        <w:jc w:val="left"/>
        <w:rPr>
          <w:szCs w:val="21"/>
          <w:highlight w:val="none"/>
        </w:rPr>
      </w:pPr>
      <w:r>
        <w:rPr>
          <w:szCs w:val="21"/>
          <w:highlight w:val="none"/>
        </w:rPr>
        <w:t>对于乙方在提供</w:t>
      </w:r>
      <w:r>
        <w:rPr>
          <w:rFonts w:hint="eastAsia"/>
          <w:szCs w:val="21"/>
          <w:highlight w:val="none"/>
        </w:rPr>
        <w:t>服务</w:t>
      </w:r>
      <w:r>
        <w:rPr>
          <w:szCs w:val="21"/>
          <w:highlight w:val="none"/>
        </w:rPr>
        <w:t>期间所提供的信息，甲方应予保密，未经乙方书面同意，甲方不得擅自使用或透露给第三方。</w:t>
      </w:r>
    </w:p>
    <w:p w14:paraId="0195F50B">
      <w:pPr>
        <w:pStyle w:val="30"/>
        <w:numPr>
          <w:ilvl w:val="0"/>
          <w:numId w:val="19"/>
        </w:numPr>
        <w:adjustRightInd w:val="0"/>
        <w:ind w:left="525" w:hanging="525" w:hangingChars="250"/>
        <w:contextualSpacing/>
        <w:jc w:val="left"/>
        <w:rPr>
          <w:szCs w:val="21"/>
          <w:highlight w:val="none"/>
        </w:rPr>
      </w:pPr>
      <w:r>
        <w:rPr>
          <w:rFonts w:hint="eastAsia"/>
          <w:szCs w:val="21"/>
          <w:highlight w:val="none"/>
        </w:rPr>
        <w:t>甲方对服务人员不满意的，有权要求乙方在7日内更换相关服务人员。</w:t>
      </w:r>
    </w:p>
    <w:p w14:paraId="72F4DC9F">
      <w:pPr>
        <w:pStyle w:val="9"/>
        <w:numPr>
          <w:ilvl w:val="0"/>
          <w:numId w:val="18"/>
        </w:numPr>
        <w:spacing w:after="0" w:line="240" w:lineRule="auto"/>
        <w:ind w:left="227" w:leftChars="0" w:hanging="227"/>
        <w:contextualSpacing/>
        <w:jc w:val="left"/>
        <w:rPr>
          <w:szCs w:val="21"/>
          <w:highlight w:val="none"/>
        </w:rPr>
      </w:pPr>
      <w:r>
        <w:rPr>
          <w:szCs w:val="21"/>
          <w:highlight w:val="none"/>
        </w:rPr>
        <w:t>乙方权利与义务</w:t>
      </w:r>
    </w:p>
    <w:p w14:paraId="6A591E28">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按本合同约定向甲方提供服务</w:t>
      </w:r>
      <w:r>
        <w:rPr>
          <w:rFonts w:hint="eastAsia"/>
          <w:szCs w:val="21"/>
          <w:highlight w:val="none"/>
        </w:rPr>
        <w:t>。</w:t>
      </w:r>
    </w:p>
    <w:p w14:paraId="06C3F951">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乙方应保证提供的服务人员具备相应的服务能力和服务资质（如涉及）</w:t>
      </w:r>
      <w:r>
        <w:rPr>
          <w:szCs w:val="21"/>
          <w:highlight w:val="none"/>
        </w:rPr>
        <w:t>。</w:t>
      </w:r>
    </w:p>
    <w:p w14:paraId="6F05A699">
      <w:pPr>
        <w:pStyle w:val="9"/>
        <w:numPr>
          <w:ilvl w:val="0"/>
          <w:numId w:val="20"/>
        </w:numPr>
        <w:spacing w:after="0" w:line="240" w:lineRule="auto"/>
        <w:ind w:left="525" w:leftChars="0" w:hanging="525" w:hangingChars="250"/>
        <w:contextualSpacing/>
        <w:jc w:val="left"/>
        <w:rPr>
          <w:szCs w:val="21"/>
          <w:highlight w:val="none"/>
        </w:rPr>
      </w:pPr>
      <w:r>
        <w:rPr>
          <w:rFonts w:hint="eastAsia"/>
          <w:szCs w:val="21"/>
          <w:highlight w:val="none"/>
        </w:rPr>
        <w:t>如服务涉及更换备品备件、材料等，</w:t>
      </w:r>
      <w:r>
        <w:rPr>
          <w:szCs w:val="21"/>
          <w:highlight w:val="none"/>
        </w:rPr>
        <w:t>乙方应保证服务中更换的</w:t>
      </w:r>
      <w:r>
        <w:rPr>
          <w:rFonts w:hint="eastAsia"/>
          <w:szCs w:val="21"/>
          <w:highlight w:val="none"/>
        </w:rPr>
        <w:t>备品</w:t>
      </w:r>
      <w:r>
        <w:rPr>
          <w:szCs w:val="21"/>
          <w:highlight w:val="none"/>
        </w:rPr>
        <w:t>备件、材料</w:t>
      </w:r>
      <w:r>
        <w:rPr>
          <w:rFonts w:hint="eastAsia"/>
          <w:szCs w:val="21"/>
          <w:highlight w:val="none"/>
        </w:rPr>
        <w:t>达到本项目采购文件及乙方响应文件中的技术要求和质量标准，</w:t>
      </w:r>
      <w:r>
        <w:rPr>
          <w:szCs w:val="21"/>
          <w:highlight w:val="none"/>
        </w:rPr>
        <w:t>符合或优于国家（行业）标准，并保证所更换的</w:t>
      </w:r>
      <w:r>
        <w:rPr>
          <w:rFonts w:hint="eastAsia"/>
          <w:szCs w:val="21"/>
          <w:highlight w:val="none"/>
        </w:rPr>
        <w:t>备品</w:t>
      </w:r>
      <w:r>
        <w:rPr>
          <w:szCs w:val="21"/>
          <w:highlight w:val="none"/>
        </w:rPr>
        <w:t>备件、</w:t>
      </w:r>
      <w:r>
        <w:rPr>
          <w:rFonts w:hint="eastAsia"/>
          <w:szCs w:val="21"/>
          <w:highlight w:val="none"/>
        </w:rPr>
        <w:t>原</w:t>
      </w:r>
      <w:r>
        <w:rPr>
          <w:szCs w:val="21"/>
          <w:highlight w:val="none"/>
        </w:rPr>
        <w:t>材料在正确安装及正常使用和保养条件下，于其使用寿命期内性能</w:t>
      </w:r>
      <w:r>
        <w:rPr>
          <w:rFonts w:hint="eastAsia"/>
          <w:szCs w:val="21"/>
          <w:highlight w:val="none"/>
        </w:rPr>
        <w:t>满足甲方需求</w:t>
      </w:r>
      <w:r>
        <w:rPr>
          <w:szCs w:val="21"/>
          <w:highlight w:val="none"/>
        </w:rPr>
        <w:t>。</w:t>
      </w:r>
    </w:p>
    <w:p w14:paraId="50722493">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如服务涉及计算机软件产品的，乙方须承诺在服务中设备安装的软件已获得软件厂商的正规授权。</w:t>
      </w:r>
    </w:p>
    <w:p w14:paraId="31F542D6">
      <w:pPr>
        <w:pStyle w:val="9"/>
        <w:numPr>
          <w:ilvl w:val="0"/>
          <w:numId w:val="20"/>
        </w:numPr>
        <w:spacing w:after="0" w:line="240" w:lineRule="auto"/>
        <w:ind w:left="525" w:leftChars="0" w:hanging="525" w:hangingChars="250"/>
        <w:contextualSpacing/>
        <w:jc w:val="left"/>
        <w:rPr>
          <w:szCs w:val="21"/>
          <w:highlight w:val="none"/>
        </w:rPr>
      </w:pPr>
      <w:r>
        <w:rPr>
          <w:szCs w:val="21"/>
          <w:highlight w:val="none"/>
        </w:rPr>
        <w:t>乙方对在按本合同约定向甲方提供服务过程中所获得的所有数据、商业秘密或其它技术及经营信息负有保密的义务，不得向任何第三方透露或泄露。</w:t>
      </w:r>
    </w:p>
    <w:p w14:paraId="13497412">
      <w:pPr>
        <w:pStyle w:val="30"/>
        <w:numPr>
          <w:ilvl w:val="0"/>
          <w:numId w:val="12"/>
        </w:numPr>
        <w:ind w:left="0" w:firstLine="0" w:firstLineChars="0"/>
        <w:contextualSpacing/>
        <w:jc w:val="left"/>
        <w:rPr>
          <w:b/>
          <w:szCs w:val="21"/>
          <w:highlight w:val="none"/>
        </w:rPr>
      </w:pPr>
      <w:r>
        <w:rPr>
          <w:b/>
          <w:szCs w:val="21"/>
          <w:highlight w:val="none"/>
        </w:rPr>
        <w:t>违约责任</w:t>
      </w:r>
      <w:r>
        <w:rPr>
          <w:bCs/>
          <w:i/>
          <w:iCs/>
          <w:szCs w:val="21"/>
          <w:highlight w:val="none"/>
        </w:rPr>
        <w:t>&lt;本条款中违约金比例可根据项目实际情况确定</w:t>
      </w:r>
      <w:r>
        <w:rPr>
          <w:rFonts w:hint="eastAsia"/>
          <w:bCs/>
          <w:i/>
          <w:iCs/>
          <w:szCs w:val="21"/>
          <w:highlight w:val="none"/>
        </w:rPr>
        <w:t>，如合同无固定总金额的，请按实际需求调整表述</w:t>
      </w:r>
      <w:r>
        <w:rPr>
          <w:bCs/>
          <w:i/>
          <w:iCs/>
          <w:szCs w:val="21"/>
          <w:highlight w:val="none"/>
        </w:rPr>
        <w:t>&gt;</w:t>
      </w:r>
    </w:p>
    <w:p w14:paraId="76DD17CC">
      <w:pPr>
        <w:pStyle w:val="9"/>
        <w:numPr>
          <w:ilvl w:val="0"/>
          <w:numId w:val="21"/>
        </w:numPr>
        <w:spacing w:after="0" w:line="240" w:lineRule="auto"/>
        <w:ind w:left="227" w:leftChars="0" w:hanging="227"/>
        <w:contextualSpacing/>
        <w:jc w:val="left"/>
        <w:rPr>
          <w:szCs w:val="21"/>
          <w:highlight w:val="none"/>
        </w:rPr>
      </w:pPr>
      <w:r>
        <w:rPr>
          <w:szCs w:val="21"/>
          <w:highlight w:val="none"/>
        </w:rPr>
        <w:t>甲方违约责任：甲方无正当理由拒绝乙方按本合同约定提供服务的，甲方应偿付合同总</w:t>
      </w:r>
      <w:r>
        <w:rPr>
          <w:rFonts w:hint="eastAsia"/>
          <w:szCs w:val="21"/>
          <w:highlight w:val="none"/>
        </w:rPr>
        <w:t>金额的</w:t>
      </w:r>
      <w:r>
        <w:rPr>
          <w:szCs w:val="21"/>
          <w:highlight w:val="none"/>
          <w:u w:val="single"/>
        </w:rPr>
        <w:t>10%</w:t>
      </w:r>
      <w:r>
        <w:rPr>
          <w:rFonts w:hint="eastAsia"/>
          <w:szCs w:val="21"/>
          <w:highlight w:val="none"/>
        </w:rPr>
        <w:t>作为</w:t>
      </w:r>
      <w:r>
        <w:rPr>
          <w:szCs w:val="21"/>
          <w:highlight w:val="none"/>
        </w:rPr>
        <w:t>违约金。</w:t>
      </w:r>
    </w:p>
    <w:p w14:paraId="27F7A1AD">
      <w:pPr>
        <w:pStyle w:val="30"/>
        <w:numPr>
          <w:ilvl w:val="0"/>
          <w:numId w:val="21"/>
        </w:numPr>
        <w:ind w:left="0" w:firstLine="0" w:firstLineChars="0"/>
        <w:rPr>
          <w:szCs w:val="21"/>
          <w:highlight w:val="none"/>
        </w:rPr>
      </w:pPr>
      <w:r>
        <w:rPr>
          <w:szCs w:val="21"/>
          <w:highlight w:val="none"/>
        </w:rPr>
        <w:t>乙方违约责任：</w:t>
      </w:r>
    </w:p>
    <w:p w14:paraId="1A6EAB97">
      <w:pPr>
        <w:pStyle w:val="9"/>
        <w:numPr>
          <w:ilvl w:val="0"/>
          <w:numId w:val="22"/>
        </w:numPr>
        <w:spacing w:after="0" w:line="240" w:lineRule="auto"/>
        <w:ind w:left="525" w:leftChars="0" w:hanging="525" w:hangingChars="250"/>
        <w:contextualSpacing/>
        <w:jc w:val="left"/>
        <w:rPr>
          <w:szCs w:val="21"/>
          <w:highlight w:val="none"/>
        </w:rPr>
      </w:pPr>
      <w:bookmarkStart w:id="100" w:name="OLE_LINK18"/>
      <w:bookmarkStart w:id="101" w:name="OLE_LINK17"/>
      <w:r>
        <w:rPr>
          <w:szCs w:val="21"/>
          <w:highlight w:val="none"/>
        </w:rPr>
        <w:t>乙方应派遣具备相关资质的技术人员为甲方提供服务，服务过程中，乙方技术人员因操作不当、未采取必要的安全防范措施等原因导致安全责任事故的，由乙方承担由此造成的全部法律责任。</w:t>
      </w:r>
    </w:p>
    <w:p w14:paraId="0252ACB5">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因乙方在服务中更换的</w:t>
      </w:r>
      <w:r>
        <w:rPr>
          <w:rFonts w:hint="eastAsia"/>
          <w:szCs w:val="21"/>
          <w:highlight w:val="none"/>
        </w:rPr>
        <w:t>备品</w:t>
      </w:r>
      <w:r>
        <w:rPr>
          <w:szCs w:val="21"/>
          <w:highlight w:val="none"/>
        </w:rPr>
        <w:t>备件</w:t>
      </w:r>
      <w:r>
        <w:rPr>
          <w:rFonts w:hint="eastAsia"/>
          <w:szCs w:val="21"/>
          <w:highlight w:val="none"/>
        </w:rPr>
        <w:t>或原</w:t>
      </w:r>
      <w:r>
        <w:rPr>
          <w:szCs w:val="21"/>
          <w:highlight w:val="none"/>
        </w:rPr>
        <w:t>材料在质保期内并在正常使用情况下出现质量原因导致甲方或第三方财产或人身损害的，由乙方承担赔偿责任。</w:t>
      </w:r>
    </w:p>
    <w:p w14:paraId="4425DF7F">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在本合同的履行中，</w:t>
      </w:r>
      <w:r>
        <w:rPr>
          <w:rFonts w:hint="eastAsia"/>
          <w:szCs w:val="21"/>
          <w:highlight w:val="none"/>
        </w:rPr>
        <w:t>如</w:t>
      </w:r>
      <w:r>
        <w:rPr>
          <w:szCs w:val="21"/>
          <w:highlight w:val="none"/>
        </w:rPr>
        <w:t>乙方提供的服务存在设计、工艺或材料缺陷（包括潜在缺陷），乙方应当对由于上述缺陷造成的损失负责。</w:t>
      </w:r>
    </w:p>
    <w:p w14:paraId="51E34E34">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在本合同履行中，</w:t>
      </w:r>
      <w:r>
        <w:rPr>
          <w:rFonts w:hint="eastAsia"/>
          <w:szCs w:val="21"/>
          <w:highlight w:val="none"/>
        </w:rPr>
        <w:t>如</w:t>
      </w:r>
      <w:r>
        <w:rPr>
          <w:szCs w:val="21"/>
          <w:highlight w:val="none"/>
        </w:rPr>
        <w:t>乙方</w:t>
      </w:r>
      <w:r>
        <w:rPr>
          <w:rFonts w:hint="eastAsia"/>
          <w:szCs w:val="21"/>
          <w:highlight w:val="none"/>
        </w:rPr>
        <w:t>未按本合同约定及时向甲方提供服务</w:t>
      </w:r>
      <w:r>
        <w:rPr>
          <w:szCs w:val="21"/>
          <w:highlight w:val="none"/>
        </w:rPr>
        <w:t>，每发生一次，乙方应按</w:t>
      </w:r>
      <w:r>
        <w:rPr>
          <w:rFonts w:hint="eastAsia"/>
          <w:szCs w:val="21"/>
          <w:highlight w:val="none"/>
          <w:u w:val="single"/>
        </w:rPr>
        <w:t>合同总金额</w:t>
      </w:r>
      <w:r>
        <w:rPr>
          <w:szCs w:val="21"/>
          <w:highlight w:val="none"/>
        </w:rPr>
        <w:t>的</w:t>
      </w:r>
      <w:r>
        <w:rPr>
          <w:rFonts w:hint="eastAsia"/>
          <w:szCs w:val="21"/>
          <w:highlight w:val="none"/>
          <w:u w:val="single"/>
        </w:rPr>
        <w:t>***</w:t>
      </w:r>
      <w:r>
        <w:rPr>
          <w:rFonts w:hint="eastAsia"/>
          <w:szCs w:val="21"/>
          <w:highlight w:val="none"/>
        </w:rPr>
        <w:t>‰</w:t>
      </w:r>
      <w:r>
        <w:rPr>
          <w:szCs w:val="21"/>
          <w:highlight w:val="none"/>
        </w:rPr>
        <w:t>向甲方支付违约金。甲方可采取必要的补救措施，但由此而产生的风险责任和费用将由乙方负担，甲方根据合同规定对乙方行使的其他权利不受影响。</w:t>
      </w:r>
    </w:p>
    <w:p w14:paraId="487BC1BF">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乙方在</w:t>
      </w:r>
      <w:r>
        <w:rPr>
          <w:rFonts w:hint="eastAsia"/>
          <w:szCs w:val="21"/>
          <w:highlight w:val="none"/>
        </w:rPr>
        <w:t>提供服务</w:t>
      </w:r>
      <w:r>
        <w:rPr>
          <w:szCs w:val="21"/>
          <w:highlight w:val="none"/>
        </w:rPr>
        <w:t>过程</w:t>
      </w:r>
      <w:r>
        <w:rPr>
          <w:rFonts w:hint="eastAsia"/>
          <w:szCs w:val="21"/>
          <w:highlight w:val="none"/>
        </w:rPr>
        <w:t>中</w:t>
      </w:r>
      <w:r>
        <w:rPr>
          <w:szCs w:val="21"/>
          <w:highlight w:val="none"/>
        </w:rPr>
        <w:t>侵犯他人知识产权，甲方有权单方解除合同，并要求乙方赔偿所造成的损失，同时甲方有权要求对方按照</w:t>
      </w:r>
      <w:r>
        <w:rPr>
          <w:szCs w:val="21"/>
          <w:highlight w:val="none"/>
          <w:u w:val="single"/>
        </w:rPr>
        <w:t>合同总金额</w:t>
      </w:r>
      <w:r>
        <w:rPr>
          <w:szCs w:val="21"/>
          <w:highlight w:val="none"/>
        </w:rPr>
        <w:t>的</w:t>
      </w:r>
      <w:r>
        <w:rPr>
          <w:szCs w:val="21"/>
          <w:highlight w:val="none"/>
          <w:u w:val="single"/>
        </w:rPr>
        <w:t>10</w:t>
      </w:r>
      <w:r>
        <w:rPr>
          <w:szCs w:val="21"/>
          <w:highlight w:val="none"/>
        </w:rPr>
        <w:t>%</w:t>
      </w:r>
      <w:r>
        <w:rPr>
          <w:rFonts w:hint="eastAsia"/>
          <w:szCs w:val="21"/>
          <w:highlight w:val="none"/>
        </w:rPr>
        <w:t>支付</w:t>
      </w:r>
      <w:r>
        <w:rPr>
          <w:szCs w:val="21"/>
          <w:highlight w:val="none"/>
        </w:rPr>
        <w:t>违约金。</w:t>
      </w:r>
    </w:p>
    <w:p w14:paraId="5B9171E4">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乙方违反保密义务，甲方有权单方解除合同，乙方应按甲方实际损失向甲方进行赔偿并向甲方支付</w:t>
      </w:r>
      <w:r>
        <w:rPr>
          <w:rFonts w:hint="eastAsia"/>
          <w:szCs w:val="21"/>
          <w:highlight w:val="none"/>
          <w:u w:val="single"/>
        </w:rPr>
        <w:t>合同总金额</w:t>
      </w:r>
      <w:r>
        <w:rPr>
          <w:rFonts w:hint="eastAsia"/>
          <w:szCs w:val="21"/>
          <w:highlight w:val="none"/>
        </w:rPr>
        <w:t>的</w:t>
      </w:r>
      <w:r>
        <w:rPr>
          <w:szCs w:val="21"/>
          <w:highlight w:val="none"/>
          <w:u w:val="single"/>
        </w:rPr>
        <w:t>10</w:t>
      </w:r>
      <w:r>
        <w:rPr>
          <w:szCs w:val="21"/>
          <w:highlight w:val="none"/>
        </w:rPr>
        <w:t>%</w:t>
      </w:r>
      <w:r>
        <w:rPr>
          <w:rFonts w:hint="eastAsia"/>
          <w:szCs w:val="21"/>
          <w:highlight w:val="none"/>
        </w:rPr>
        <w:t>作为</w:t>
      </w:r>
      <w:r>
        <w:rPr>
          <w:szCs w:val="21"/>
          <w:highlight w:val="none"/>
        </w:rPr>
        <w:t>违约金。</w:t>
      </w:r>
    </w:p>
    <w:bookmarkEnd w:id="100"/>
    <w:bookmarkEnd w:id="101"/>
    <w:p w14:paraId="08015404">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乙方偿付的违约金不足以弥补甲方损失的，还应按甲方损失尚未弥补的部分，支付赔偿金给甲方。</w:t>
      </w:r>
    </w:p>
    <w:p w14:paraId="6B591F58">
      <w:pPr>
        <w:pStyle w:val="9"/>
        <w:numPr>
          <w:ilvl w:val="0"/>
          <w:numId w:val="22"/>
        </w:numPr>
        <w:spacing w:after="0" w:line="240" w:lineRule="auto"/>
        <w:ind w:left="525" w:leftChars="0" w:hanging="525" w:hangingChars="250"/>
        <w:contextualSpacing/>
        <w:jc w:val="left"/>
        <w:rPr>
          <w:szCs w:val="21"/>
          <w:highlight w:val="none"/>
        </w:rPr>
      </w:pPr>
      <w:r>
        <w:rPr>
          <w:szCs w:val="21"/>
          <w:highlight w:val="none"/>
        </w:rPr>
        <w:t>乙方未按照本合同约定的时限提供合法发票或提供发票瑕疵（包括但不限于发票种类有误、发票金额有误等），甲方付款时限相应顺延并不承担任何延期支付的违约责任。</w:t>
      </w:r>
    </w:p>
    <w:p w14:paraId="20F147B8">
      <w:pPr>
        <w:pStyle w:val="9"/>
        <w:numPr>
          <w:ilvl w:val="0"/>
          <w:numId w:val="22"/>
        </w:numPr>
        <w:snapToGrid w:val="0"/>
        <w:spacing w:after="0" w:line="240" w:lineRule="auto"/>
        <w:ind w:left="525" w:leftChars="0" w:hanging="525" w:hangingChars="250"/>
        <w:contextualSpacing/>
        <w:jc w:val="left"/>
        <w:rPr>
          <w:szCs w:val="21"/>
          <w:highlight w:val="none"/>
        </w:rPr>
      </w:pPr>
      <w:r>
        <w:rPr>
          <w:szCs w:val="21"/>
          <w:highlight w:val="none"/>
        </w:rPr>
        <w:t>如本</w:t>
      </w:r>
      <w:r>
        <w:rPr>
          <w:rFonts w:ascii="宋体" w:hAnsi="宋体" w:cs="微软雅黑"/>
          <w:szCs w:val="21"/>
          <w:highlight w:val="none"/>
        </w:rPr>
        <w:t>合同</w:t>
      </w:r>
      <w:r>
        <w:rPr>
          <w:rFonts w:hint="cs" w:ascii="宋体" w:hAnsi="宋体"/>
          <w:szCs w:val="21"/>
          <w:highlight w:val="none"/>
        </w:rPr>
        <w:t>要</w:t>
      </w:r>
      <w:r>
        <w:rPr>
          <w:szCs w:val="21"/>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F639237">
      <w:pPr>
        <w:pStyle w:val="9"/>
        <w:spacing w:after="0" w:line="240" w:lineRule="auto"/>
        <w:ind w:left="0" w:leftChars="0"/>
        <w:contextualSpacing/>
        <w:jc w:val="left"/>
        <w:rPr>
          <w:szCs w:val="21"/>
          <w:highlight w:val="none"/>
        </w:rPr>
      </w:pPr>
      <w:r>
        <w:rPr>
          <w:szCs w:val="21"/>
          <w:highlight w:val="none"/>
        </w:rPr>
        <w:t>3.本合同履行中如有任何一方违约，那么守约方为保障自己合法权益而产生的律师费、诉讼费、差旅费、公告费等，均由违约方承担。</w:t>
      </w:r>
    </w:p>
    <w:p w14:paraId="0004AE4D">
      <w:pPr>
        <w:pStyle w:val="30"/>
        <w:numPr>
          <w:ilvl w:val="0"/>
          <w:numId w:val="12"/>
        </w:numPr>
        <w:ind w:left="0" w:firstLine="0" w:firstLineChars="0"/>
        <w:contextualSpacing/>
        <w:jc w:val="left"/>
        <w:rPr>
          <w:b/>
          <w:szCs w:val="21"/>
          <w:highlight w:val="none"/>
        </w:rPr>
      </w:pPr>
      <w:r>
        <w:rPr>
          <w:b/>
          <w:szCs w:val="21"/>
          <w:highlight w:val="none"/>
        </w:rPr>
        <w:t>不可抗力</w:t>
      </w:r>
    </w:p>
    <w:p w14:paraId="7475C7B2">
      <w:pPr>
        <w:pStyle w:val="30"/>
        <w:snapToGrid w:val="0"/>
        <w:rPr>
          <w:bCs/>
          <w:szCs w:val="21"/>
          <w:highlight w:val="none"/>
        </w:rPr>
      </w:pPr>
      <w:r>
        <w:rPr>
          <w:bCs/>
          <w:szCs w:val="21"/>
          <w:highlight w:val="none"/>
        </w:rPr>
        <w:t>如果遇到自然灾害和灾难及其他不可抗力事件而影响合同履行时，乙方应在三个工作日内以书面形式通知甲方。若不可抗力原因影响本合同执行时间超过***</w:t>
      </w:r>
      <w:r>
        <w:rPr>
          <w:rFonts w:hint="eastAsia"/>
          <w:bCs/>
          <w:szCs w:val="21"/>
          <w:highlight w:val="none"/>
        </w:rPr>
        <w:t>日</w:t>
      </w:r>
      <w:r>
        <w:rPr>
          <w:bCs/>
          <w:szCs w:val="21"/>
          <w:highlight w:val="none"/>
        </w:rPr>
        <w:t>，甲方有权解除合同，双方互不承担违约责任。</w:t>
      </w:r>
    </w:p>
    <w:p w14:paraId="2BD9903C">
      <w:pPr>
        <w:pStyle w:val="30"/>
        <w:numPr>
          <w:ilvl w:val="0"/>
          <w:numId w:val="12"/>
        </w:numPr>
        <w:ind w:left="0" w:firstLine="0" w:firstLineChars="0"/>
        <w:contextualSpacing/>
        <w:jc w:val="left"/>
        <w:rPr>
          <w:b/>
          <w:szCs w:val="21"/>
          <w:highlight w:val="none"/>
        </w:rPr>
      </w:pPr>
      <w:r>
        <w:rPr>
          <w:b/>
          <w:szCs w:val="21"/>
          <w:highlight w:val="none"/>
        </w:rPr>
        <w:t>合同终止及解除</w:t>
      </w:r>
    </w:p>
    <w:p w14:paraId="552992F5">
      <w:pPr>
        <w:pStyle w:val="30"/>
        <w:numPr>
          <w:ilvl w:val="0"/>
          <w:numId w:val="23"/>
        </w:numPr>
        <w:ind w:left="0" w:firstLine="0" w:firstLineChars="0"/>
        <w:rPr>
          <w:szCs w:val="21"/>
          <w:highlight w:val="none"/>
        </w:rPr>
      </w:pPr>
      <w:r>
        <w:rPr>
          <w:szCs w:val="21"/>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38DAB2A3">
      <w:pPr>
        <w:pStyle w:val="30"/>
        <w:numPr>
          <w:ilvl w:val="0"/>
          <w:numId w:val="23"/>
        </w:numPr>
        <w:ind w:left="0" w:firstLine="0" w:firstLineChars="0"/>
        <w:rPr>
          <w:szCs w:val="21"/>
          <w:highlight w:val="none"/>
        </w:rPr>
      </w:pPr>
      <w:r>
        <w:rPr>
          <w:szCs w:val="21"/>
          <w:highlight w:val="none"/>
        </w:rPr>
        <w:t>在甲、乙任何一方有严重违约行为时，另一方有权单方解除合同。</w:t>
      </w:r>
    </w:p>
    <w:p w14:paraId="3AE16800">
      <w:pPr>
        <w:pStyle w:val="30"/>
        <w:numPr>
          <w:ilvl w:val="0"/>
          <w:numId w:val="12"/>
        </w:numPr>
        <w:ind w:left="0" w:firstLine="0" w:firstLineChars="0"/>
        <w:contextualSpacing/>
        <w:jc w:val="left"/>
        <w:rPr>
          <w:b/>
          <w:szCs w:val="21"/>
          <w:highlight w:val="none"/>
        </w:rPr>
      </w:pPr>
      <w:r>
        <w:rPr>
          <w:b/>
          <w:szCs w:val="21"/>
          <w:highlight w:val="none"/>
        </w:rPr>
        <w:t>争议解决办法</w:t>
      </w:r>
    </w:p>
    <w:p w14:paraId="1F6D1C36">
      <w:pPr>
        <w:pStyle w:val="30"/>
        <w:numPr>
          <w:ilvl w:val="0"/>
          <w:numId w:val="24"/>
        </w:numPr>
        <w:ind w:left="0" w:firstLine="0" w:firstLineChars="0"/>
        <w:rPr>
          <w:szCs w:val="21"/>
          <w:highlight w:val="none"/>
        </w:rPr>
      </w:pPr>
      <w:r>
        <w:rPr>
          <w:szCs w:val="21"/>
          <w:highlight w:val="none"/>
        </w:rPr>
        <w:t>因服务质量问题发生争议，由质量技术监督部门或其指定的质量鉴定机构进行质量鉴定，结果符合标准的，鉴定费由甲方承担；不符合标准的，鉴定费由乙方承担。</w:t>
      </w:r>
    </w:p>
    <w:p w14:paraId="19DF3553">
      <w:pPr>
        <w:pStyle w:val="30"/>
        <w:numPr>
          <w:ilvl w:val="0"/>
          <w:numId w:val="24"/>
        </w:numPr>
        <w:ind w:left="0" w:firstLine="0" w:firstLineChars="0"/>
        <w:rPr>
          <w:szCs w:val="21"/>
          <w:highlight w:val="none"/>
        </w:rPr>
      </w:pPr>
      <w:r>
        <w:rPr>
          <w:szCs w:val="21"/>
          <w:highlight w:val="none"/>
        </w:rPr>
        <w:t>合同履行期间,若双方发生争议，可协商或由有关部门调解解决，协商或调解不成的，任何一方均有权向甲方所在地具有管辖权的人民法院起诉。</w:t>
      </w:r>
    </w:p>
    <w:p w14:paraId="34067186">
      <w:pPr>
        <w:pStyle w:val="30"/>
        <w:numPr>
          <w:ilvl w:val="0"/>
          <w:numId w:val="12"/>
        </w:numPr>
        <w:ind w:left="0" w:firstLine="0" w:firstLineChars="0"/>
        <w:contextualSpacing/>
        <w:jc w:val="left"/>
        <w:rPr>
          <w:b/>
          <w:szCs w:val="21"/>
          <w:highlight w:val="none"/>
        </w:rPr>
      </w:pPr>
      <w:r>
        <w:rPr>
          <w:b/>
          <w:szCs w:val="21"/>
          <w:highlight w:val="none"/>
        </w:rPr>
        <w:t>送达（送达地址是司法机关、执法机关和仲裁机关将法律文书送达给当事人的收件地址）</w:t>
      </w:r>
    </w:p>
    <w:p w14:paraId="6773765E">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5C93D09F">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9BA5FD4">
      <w:pPr>
        <w:pStyle w:val="35"/>
        <w:numPr>
          <w:ilvl w:val="0"/>
          <w:numId w:val="25"/>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19457D94">
      <w:pPr>
        <w:pStyle w:val="30"/>
        <w:numPr>
          <w:ilvl w:val="0"/>
          <w:numId w:val="12"/>
        </w:numPr>
        <w:ind w:left="0" w:firstLine="0" w:firstLineChars="0"/>
        <w:contextualSpacing/>
        <w:jc w:val="left"/>
        <w:rPr>
          <w:b/>
          <w:szCs w:val="21"/>
          <w:highlight w:val="none"/>
        </w:rPr>
      </w:pPr>
      <w:r>
        <w:rPr>
          <w:b/>
          <w:szCs w:val="21"/>
          <w:highlight w:val="none"/>
        </w:rPr>
        <w:t>其他</w:t>
      </w:r>
    </w:p>
    <w:p w14:paraId="65ECC679">
      <w:pPr>
        <w:pStyle w:val="30"/>
        <w:numPr>
          <w:ilvl w:val="0"/>
          <w:numId w:val="26"/>
        </w:numPr>
        <w:ind w:left="0" w:firstLine="0" w:firstLineChars="0"/>
        <w:rPr>
          <w:szCs w:val="21"/>
          <w:highlight w:val="none"/>
        </w:rPr>
      </w:pPr>
      <w:r>
        <w:rPr>
          <w:szCs w:val="21"/>
          <w:highlight w:val="none"/>
        </w:rPr>
        <w:t>如有未尽事宜，由双方依法订立补充合同。补充合同及本合同附件均为本合同的组成部分，与本合同具有同等法律效力。</w:t>
      </w:r>
    </w:p>
    <w:p w14:paraId="3F407F21">
      <w:pPr>
        <w:pStyle w:val="30"/>
        <w:numPr>
          <w:ilvl w:val="0"/>
          <w:numId w:val="26"/>
        </w:numPr>
        <w:ind w:left="0" w:firstLine="0" w:firstLineChars="0"/>
        <w:rPr>
          <w:szCs w:val="21"/>
          <w:highlight w:val="none"/>
        </w:rPr>
      </w:pPr>
      <w:r>
        <w:rPr>
          <w:szCs w:val="21"/>
          <w:highlight w:val="none"/>
        </w:rPr>
        <w:t>本合同一式四份，自双方</w:t>
      </w:r>
      <w:r>
        <w:rPr>
          <w:rFonts w:hint="eastAsia"/>
          <w:szCs w:val="21"/>
          <w:highlight w:val="none"/>
        </w:rPr>
        <w:t>签字且盖章之</w:t>
      </w:r>
      <w:r>
        <w:rPr>
          <w:szCs w:val="21"/>
          <w:highlight w:val="none"/>
        </w:rPr>
        <w:t>日起生效。甲方三份，乙方一份。</w:t>
      </w:r>
    </w:p>
    <w:p w14:paraId="2BCFCF91">
      <w:pPr>
        <w:pStyle w:val="30"/>
        <w:numPr>
          <w:ilvl w:val="0"/>
          <w:numId w:val="12"/>
        </w:numPr>
        <w:ind w:left="0" w:firstLine="0" w:firstLineChars="0"/>
        <w:contextualSpacing/>
        <w:jc w:val="left"/>
        <w:rPr>
          <w:b/>
          <w:szCs w:val="21"/>
          <w:highlight w:val="none"/>
        </w:rPr>
      </w:pPr>
      <w:r>
        <w:rPr>
          <w:b/>
          <w:szCs w:val="21"/>
          <w:highlight w:val="none"/>
        </w:rPr>
        <w:t>合同附件</w:t>
      </w:r>
    </w:p>
    <w:p w14:paraId="39BF2BA5">
      <w:pPr>
        <w:rPr>
          <w:szCs w:val="21"/>
          <w:highlight w:val="none"/>
        </w:rPr>
      </w:pPr>
      <w:r>
        <w:rPr>
          <w:szCs w:val="21"/>
          <w:highlight w:val="none"/>
        </w:rPr>
        <w:t>本合同为</w:t>
      </w:r>
      <w:r>
        <w:rPr>
          <w:rFonts w:hint="eastAsia"/>
          <w:szCs w:val="21"/>
          <w:highlight w:val="none"/>
          <w:u w:val="single"/>
        </w:rPr>
        <w:t>有</w:t>
      </w:r>
      <w:r>
        <w:rPr>
          <w:szCs w:val="21"/>
          <w:highlight w:val="none"/>
        </w:rPr>
        <w:t>附件合同</w:t>
      </w:r>
      <w:r>
        <w:rPr>
          <w:rFonts w:hint="eastAsia"/>
          <w:szCs w:val="21"/>
          <w:highlight w:val="none"/>
        </w:rPr>
        <w:t>，附件如下：</w:t>
      </w:r>
      <w:r>
        <w:rPr>
          <w:i/>
          <w:iCs/>
          <w:szCs w:val="21"/>
          <w:highlight w:val="none"/>
        </w:rPr>
        <w:t>&lt;根据项目实际情况编制&gt;</w:t>
      </w:r>
    </w:p>
    <w:p w14:paraId="0A79D2C8">
      <w:pPr>
        <w:jc w:val="left"/>
        <w:outlineLvl w:val="0"/>
        <w:rPr>
          <w:szCs w:val="21"/>
          <w:highlight w:val="none"/>
        </w:rPr>
      </w:pPr>
      <w:r>
        <w:rPr>
          <w:rFonts w:hint="eastAsia"/>
          <w:szCs w:val="21"/>
          <w:highlight w:val="none"/>
        </w:rPr>
        <w:t>附件1《</w:t>
      </w:r>
      <w:bookmarkStart w:id="102" w:name="OLE_LINK32"/>
      <w:r>
        <w:rPr>
          <w:rFonts w:hint="eastAsia"/>
          <w:szCs w:val="21"/>
          <w:highlight w:val="none"/>
        </w:rPr>
        <w:t>结算单价清单</w:t>
      </w:r>
      <w:bookmarkEnd w:id="102"/>
      <w:r>
        <w:rPr>
          <w:rFonts w:hint="eastAsia"/>
          <w:szCs w:val="21"/>
          <w:highlight w:val="none"/>
        </w:rPr>
        <w:t>》</w:t>
      </w:r>
    </w:p>
    <w:p w14:paraId="54071836">
      <w:pPr>
        <w:jc w:val="left"/>
        <w:outlineLvl w:val="0"/>
        <w:rPr>
          <w:szCs w:val="21"/>
          <w:highlight w:val="none"/>
        </w:rPr>
      </w:pPr>
      <w:r>
        <w:rPr>
          <w:rFonts w:hint="eastAsia"/>
          <w:szCs w:val="21"/>
          <w:highlight w:val="none"/>
        </w:rPr>
        <w:t>附件2《考核标准》</w:t>
      </w:r>
    </w:p>
    <w:p w14:paraId="5D977F2F">
      <w:pPr>
        <w:jc w:val="left"/>
        <w:outlineLvl w:val="0"/>
        <w:rPr>
          <w:szCs w:val="21"/>
          <w:highlight w:val="none"/>
        </w:rPr>
      </w:pPr>
      <w:r>
        <w:rPr>
          <w:szCs w:val="21"/>
          <w:highlight w:val="none"/>
        </w:rPr>
        <w:t>附件3《服务</w:t>
      </w:r>
      <w:r>
        <w:rPr>
          <w:rFonts w:hint="eastAsia"/>
          <w:szCs w:val="21"/>
          <w:highlight w:val="none"/>
        </w:rPr>
        <w:t>方案</w:t>
      </w:r>
      <w:r>
        <w:rPr>
          <w:szCs w:val="21"/>
          <w:highlight w:val="none"/>
        </w:rPr>
        <w:t>》</w:t>
      </w:r>
    </w:p>
    <w:p w14:paraId="2E8A967C">
      <w:pPr>
        <w:jc w:val="center"/>
        <w:rPr>
          <w:szCs w:val="21"/>
          <w:highlight w:val="none"/>
        </w:rPr>
      </w:pPr>
      <w:r>
        <w:rPr>
          <w:szCs w:val="21"/>
          <w:highlight w:val="none"/>
        </w:rPr>
        <w:t>——</w:t>
      </w:r>
      <w:r>
        <w:rPr>
          <w:sz w:val="18"/>
          <w:szCs w:val="18"/>
          <w:highlight w:val="none"/>
        </w:rPr>
        <w:t>以下无正文</w:t>
      </w:r>
      <w:r>
        <w:rPr>
          <w:szCs w:val="21"/>
          <w:highlight w:val="none"/>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9C9AD27">
        <w:tblPrEx>
          <w:tblCellMar>
            <w:top w:w="0" w:type="dxa"/>
            <w:left w:w="0" w:type="dxa"/>
            <w:bottom w:w="0" w:type="dxa"/>
            <w:right w:w="0" w:type="dxa"/>
          </w:tblCellMar>
        </w:tblPrEx>
        <w:trPr>
          <w:trHeight w:val="519" w:hRule="atLeast"/>
          <w:jc w:val="center"/>
        </w:trPr>
        <w:tc>
          <w:tcPr>
            <w:tcW w:w="10214" w:type="dxa"/>
            <w:gridSpan w:val="2"/>
          </w:tcPr>
          <w:p w14:paraId="68956B9E">
            <w:pPr>
              <w:rPr>
                <w:szCs w:val="21"/>
                <w:highlight w:val="none"/>
              </w:rPr>
            </w:pPr>
            <w:r>
              <w:rPr>
                <w:szCs w:val="21"/>
                <w:highlight w:val="none"/>
              </w:rPr>
              <w:t>签订时间：</w:t>
            </w:r>
            <w:r>
              <w:rPr>
                <w:highlight w:val="none"/>
              </w:rPr>
              <w:t>202*</w:t>
            </w:r>
            <w:r>
              <w:rPr>
                <w:szCs w:val="21"/>
                <w:highlight w:val="none"/>
              </w:rPr>
              <w:t>年***月***日</w:t>
            </w:r>
          </w:p>
        </w:tc>
      </w:tr>
      <w:tr w14:paraId="718B6821">
        <w:tblPrEx>
          <w:tblCellMar>
            <w:top w:w="0" w:type="dxa"/>
            <w:left w:w="0" w:type="dxa"/>
            <w:bottom w:w="0" w:type="dxa"/>
            <w:right w:w="0" w:type="dxa"/>
          </w:tblCellMar>
        </w:tblPrEx>
        <w:trPr>
          <w:jc w:val="center"/>
        </w:trPr>
        <w:tc>
          <w:tcPr>
            <w:tcW w:w="4967" w:type="dxa"/>
          </w:tcPr>
          <w:p w14:paraId="5B068214">
            <w:pPr>
              <w:rPr>
                <w:szCs w:val="21"/>
                <w:highlight w:val="none"/>
              </w:rPr>
            </w:pPr>
            <w:r>
              <w:rPr>
                <w:szCs w:val="21"/>
                <w:highlight w:val="none"/>
              </w:rPr>
              <w:t>甲方：四川省人民医院（盖章）</w:t>
            </w:r>
          </w:p>
          <w:p w14:paraId="33D9A86A">
            <w:pPr>
              <w:rPr>
                <w:szCs w:val="21"/>
                <w:highlight w:val="none"/>
              </w:rPr>
            </w:pPr>
            <w:r>
              <w:rPr>
                <w:szCs w:val="21"/>
                <w:highlight w:val="none"/>
              </w:rPr>
              <w:t>法定代表人（授权代表签字）：</w:t>
            </w:r>
          </w:p>
          <w:p w14:paraId="2BC912B9">
            <w:pPr>
              <w:rPr>
                <w:szCs w:val="21"/>
                <w:highlight w:val="none"/>
              </w:rPr>
            </w:pPr>
            <w:r>
              <w:rPr>
                <w:szCs w:val="21"/>
                <w:highlight w:val="none"/>
              </w:rPr>
              <w:t>地    址：四川省成都市一环路西二段32号</w:t>
            </w:r>
          </w:p>
          <w:p w14:paraId="1EDFBD5E">
            <w:pPr>
              <w:rPr>
                <w:szCs w:val="21"/>
                <w:highlight w:val="none"/>
              </w:rPr>
            </w:pPr>
            <w:r>
              <w:rPr>
                <w:szCs w:val="21"/>
                <w:highlight w:val="none"/>
              </w:rPr>
              <w:t>开户银行：建设银行成都青羊支行</w:t>
            </w:r>
          </w:p>
          <w:p w14:paraId="0126D4DA">
            <w:pPr>
              <w:rPr>
                <w:szCs w:val="21"/>
                <w:highlight w:val="none"/>
              </w:rPr>
            </w:pPr>
            <w:r>
              <w:rPr>
                <w:szCs w:val="21"/>
                <w:highlight w:val="none"/>
              </w:rPr>
              <w:t>账号：5100 1446 4360 5037 4282</w:t>
            </w:r>
          </w:p>
        </w:tc>
        <w:tc>
          <w:tcPr>
            <w:tcW w:w="5247" w:type="dxa"/>
          </w:tcPr>
          <w:p w14:paraId="3BE0D76A">
            <w:pPr>
              <w:rPr>
                <w:szCs w:val="21"/>
                <w:highlight w:val="none"/>
              </w:rPr>
            </w:pPr>
            <w:r>
              <w:rPr>
                <w:szCs w:val="21"/>
                <w:highlight w:val="none"/>
              </w:rPr>
              <w:t>乙方：</w:t>
            </w:r>
            <w:permStart w:id="2" w:edGrp="everyone"/>
            <w:r>
              <w:rPr>
                <w:szCs w:val="21"/>
                <w:highlight w:val="none"/>
              </w:rPr>
              <w:t>***</w:t>
            </w:r>
            <w:permEnd w:id="2"/>
            <w:r>
              <w:rPr>
                <w:szCs w:val="21"/>
                <w:highlight w:val="none"/>
              </w:rPr>
              <w:t>（盖章）</w:t>
            </w:r>
          </w:p>
          <w:p w14:paraId="664F48FE">
            <w:pPr>
              <w:rPr>
                <w:szCs w:val="21"/>
                <w:highlight w:val="none"/>
              </w:rPr>
            </w:pPr>
            <w:r>
              <w:rPr>
                <w:szCs w:val="21"/>
                <w:highlight w:val="none"/>
              </w:rPr>
              <w:t>法定代表人（授权代表签字）：</w:t>
            </w:r>
          </w:p>
          <w:p w14:paraId="28B74B3F">
            <w:pPr>
              <w:rPr>
                <w:szCs w:val="21"/>
                <w:highlight w:val="none"/>
              </w:rPr>
            </w:pPr>
            <w:r>
              <w:rPr>
                <w:szCs w:val="21"/>
                <w:highlight w:val="none"/>
              </w:rPr>
              <w:t>地址：</w:t>
            </w:r>
            <w:permStart w:id="3" w:edGrp="everyone"/>
            <w:r>
              <w:rPr>
                <w:szCs w:val="21"/>
                <w:highlight w:val="none"/>
              </w:rPr>
              <w:t>***</w:t>
            </w:r>
            <w:permEnd w:id="3"/>
          </w:p>
          <w:p w14:paraId="65512EC9">
            <w:pPr>
              <w:rPr>
                <w:szCs w:val="21"/>
                <w:highlight w:val="none"/>
              </w:rPr>
            </w:pPr>
            <w:r>
              <w:rPr>
                <w:szCs w:val="21"/>
                <w:highlight w:val="none"/>
              </w:rPr>
              <w:t>开户银行：</w:t>
            </w:r>
            <w:permStart w:id="4" w:edGrp="everyone"/>
            <w:r>
              <w:rPr>
                <w:szCs w:val="21"/>
                <w:highlight w:val="none"/>
              </w:rPr>
              <w:t>***</w:t>
            </w:r>
          </w:p>
          <w:permEnd w:id="4"/>
          <w:p w14:paraId="66BB798C">
            <w:pPr>
              <w:widowControl/>
              <w:jc w:val="left"/>
              <w:rPr>
                <w:highlight w:val="none"/>
              </w:rPr>
            </w:pPr>
            <w:r>
              <w:rPr>
                <w:szCs w:val="21"/>
                <w:highlight w:val="none"/>
              </w:rPr>
              <w:t>账号：</w:t>
            </w:r>
            <w:permStart w:id="5" w:edGrp="everyone"/>
            <w:r>
              <w:rPr>
                <w:szCs w:val="21"/>
                <w:highlight w:val="none"/>
              </w:rPr>
              <w:t>***</w:t>
            </w:r>
            <w:permEnd w:id="5"/>
          </w:p>
        </w:tc>
      </w:tr>
    </w:tbl>
    <w:p w14:paraId="69C73551">
      <w:pPr>
        <w:widowControl/>
        <w:jc w:val="left"/>
        <w:rPr>
          <w:szCs w:val="21"/>
          <w:highlight w:val="none"/>
        </w:rPr>
        <w:sectPr>
          <w:type w:val="continuous"/>
          <w:pgSz w:w="11906" w:h="16838"/>
          <w:pgMar w:top="851" w:right="1134" w:bottom="851" w:left="1134" w:header="0" w:footer="567" w:gutter="0"/>
          <w:pgNumType w:fmt="decimal"/>
          <w:cols w:space="425" w:num="1"/>
          <w:docGrid w:linePitch="312" w:charSpace="0"/>
        </w:sectPr>
      </w:pPr>
    </w:p>
    <w:p w14:paraId="3359627B">
      <w:pPr>
        <w:widowControl/>
        <w:jc w:val="left"/>
        <w:rPr>
          <w:b/>
          <w:bCs/>
          <w:szCs w:val="21"/>
          <w:highlight w:val="none"/>
        </w:rPr>
      </w:pPr>
      <w:r>
        <w:rPr>
          <w:b/>
          <w:bCs/>
          <w:szCs w:val="21"/>
          <w:highlight w:val="none"/>
        </w:rPr>
        <w:t>附件</w:t>
      </w:r>
      <w:r>
        <w:rPr>
          <w:rFonts w:hint="eastAsia"/>
          <w:b/>
          <w:bCs/>
          <w:szCs w:val="21"/>
          <w:highlight w:val="none"/>
        </w:rPr>
        <w:t>1</w:t>
      </w:r>
      <w:r>
        <w:rPr>
          <w:b/>
          <w:bCs/>
          <w:szCs w:val="21"/>
          <w:highlight w:val="none"/>
        </w:rPr>
        <w:t>：</w:t>
      </w:r>
      <w:r>
        <w:rPr>
          <w:rFonts w:hint="eastAsia"/>
          <w:b/>
          <w:bCs/>
          <w:szCs w:val="21"/>
          <w:highlight w:val="none"/>
        </w:rPr>
        <w:t>结算单价清单（人民币：元）</w:t>
      </w:r>
      <w:r>
        <w:rPr>
          <w:rFonts w:hint="eastAsia"/>
          <w:b/>
          <w:bCs/>
          <w:i/>
          <w:iCs/>
          <w:szCs w:val="21"/>
          <w:highlight w:val="none"/>
        </w:rPr>
        <w:t>&lt;根据项目实际情况编制</w:t>
      </w:r>
      <w:r>
        <w:rPr>
          <w:b/>
          <w:bCs/>
          <w:i/>
          <w:iCs/>
          <w:szCs w:val="21"/>
          <w:highlight w:val="none"/>
        </w:rPr>
        <w:t>&gt;</w:t>
      </w:r>
    </w:p>
    <w:p w14:paraId="3A6A9B70">
      <w:pPr>
        <w:widowControl/>
        <w:jc w:val="left"/>
        <w:rPr>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07C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82F1727">
            <w:pPr>
              <w:widowControl/>
              <w:jc w:val="center"/>
              <w:rPr>
                <w:b/>
                <w:bCs/>
                <w:szCs w:val="21"/>
                <w:highlight w:val="none"/>
              </w:rPr>
            </w:pPr>
            <w:r>
              <w:rPr>
                <w:rFonts w:hint="eastAsia"/>
                <w:b/>
                <w:bCs/>
                <w:szCs w:val="21"/>
                <w:highlight w:val="none"/>
              </w:rPr>
              <w:t>序号</w:t>
            </w:r>
          </w:p>
        </w:tc>
        <w:tc>
          <w:tcPr>
            <w:tcW w:w="3686" w:type="dxa"/>
            <w:vAlign w:val="center"/>
          </w:tcPr>
          <w:p w14:paraId="6F7DA6A6">
            <w:pPr>
              <w:widowControl/>
              <w:jc w:val="center"/>
              <w:rPr>
                <w:b/>
                <w:bCs/>
                <w:szCs w:val="21"/>
                <w:highlight w:val="none"/>
              </w:rPr>
            </w:pPr>
            <w:r>
              <w:rPr>
                <w:rFonts w:hint="eastAsia"/>
                <w:b/>
                <w:bCs/>
                <w:szCs w:val="21"/>
                <w:highlight w:val="none"/>
              </w:rPr>
              <w:t>结算项目名称</w:t>
            </w:r>
          </w:p>
        </w:tc>
        <w:tc>
          <w:tcPr>
            <w:tcW w:w="3402" w:type="dxa"/>
            <w:vAlign w:val="center"/>
          </w:tcPr>
          <w:p w14:paraId="06896EFB">
            <w:pPr>
              <w:widowControl/>
              <w:jc w:val="center"/>
              <w:rPr>
                <w:b/>
                <w:bCs/>
                <w:i/>
                <w:iCs/>
                <w:szCs w:val="21"/>
                <w:highlight w:val="none"/>
              </w:rPr>
            </w:pPr>
            <w:r>
              <w:rPr>
                <w:rFonts w:hint="eastAsia"/>
                <w:b/>
                <w:bCs/>
                <w:szCs w:val="21"/>
                <w:highlight w:val="none"/>
              </w:rPr>
              <w:t>项目信息</w:t>
            </w:r>
            <w:r>
              <w:rPr>
                <w:rFonts w:hint="eastAsia"/>
                <w:b/>
                <w:bCs/>
                <w:i/>
                <w:iCs/>
                <w:szCs w:val="21"/>
                <w:highlight w:val="none"/>
              </w:rPr>
              <w:t>&lt;生产厂商、品牌、型号规格等</w:t>
            </w:r>
            <w:r>
              <w:rPr>
                <w:b/>
                <w:bCs/>
                <w:i/>
                <w:iCs/>
                <w:szCs w:val="21"/>
                <w:highlight w:val="none"/>
              </w:rPr>
              <w:t>&gt;</w:t>
            </w:r>
          </w:p>
        </w:tc>
        <w:tc>
          <w:tcPr>
            <w:tcW w:w="992" w:type="dxa"/>
            <w:vAlign w:val="center"/>
          </w:tcPr>
          <w:p w14:paraId="20B7EFA6">
            <w:pPr>
              <w:widowControl/>
              <w:jc w:val="center"/>
              <w:rPr>
                <w:b/>
                <w:bCs/>
                <w:szCs w:val="21"/>
                <w:highlight w:val="none"/>
              </w:rPr>
            </w:pPr>
            <w:r>
              <w:rPr>
                <w:rFonts w:hint="eastAsia"/>
                <w:b/>
                <w:bCs/>
                <w:szCs w:val="21"/>
                <w:highlight w:val="none"/>
              </w:rPr>
              <w:t>结算单位</w:t>
            </w:r>
            <w:r>
              <w:rPr>
                <w:rFonts w:hint="eastAsia"/>
                <w:b/>
                <w:bCs/>
                <w:i/>
                <w:iCs/>
                <w:szCs w:val="21"/>
                <w:highlight w:val="none"/>
              </w:rPr>
              <w:t>&lt;指货物的单位</w:t>
            </w:r>
            <w:r>
              <w:rPr>
                <w:b/>
                <w:bCs/>
                <w:i/>
                <w:iCs/>
                <w:szCs w:val="21"/>
                <w:highlight w:val="none"/>
              </w:rPr>
              <w:t>&gt;</w:t>
            </w:r>
          </w:p>
        </w:tc>
        <w:tc>
          <w:tcPr>
            <w:tcW w:w="986" w:type="dxa"/>
            <w:vAlign w:val="center"/>
          </w:tcPr>
          <w:p w14:paraId="7210BE07">
            <w:pPr>
              <w:widowControl/>
              <w:jc w:val="center"/>
              <w:rPr>
                <w:b/>
                <w:bCs/>
                <w:szCs w:val="21"/>
                <w:highlight w:val="none"/>
              </w:rPr>
            </w:pPr>
            <w:r>
              <w:rPr>
                <w:rFonts w:hint="eastAsia"/>
                <w:b/>
                <w:bCs/>
                <w:szCs w:val="21"/>
                <w:highlight w:val="none"/>
              </w:rPr>
              <w:t>结算单价</w:t>
            </w:r>
          </w:p>
        </w:tc>
      </w:tr>
      <w:tr w14:paraId="7BA86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2F793B1">
            <w:pPr>
              <w:widowControl/>
              <w:jc w:val="center"/>
              <w:rPr>
                <w:szCs w:val="21"/>
                <w:highlight w:val="none"/>
              </w:rPr>
            </w:pPr>
            <w:r>
              <w:rPr>
                <w:rFonts w:hint="eastAsia"/>
                <w:szCs w:val="21"/>
                <w:highlight w:val="none"/>
              </w:rPr>
              <w:t>1</w:t>
            </w:r>
          </w:p>
        </w:tc>
        <w:tc>
          <w:tcPr>
            <w:tcW w:w="3686" w:type="dxa"/>
            <w:vAlign w:val="center"/>
          </w:tcPr>
          <w:p w14:paraId="71F348E6">
            <w:pPr>
              <w:widowControl/>
              <w:jc w:val="left"/>
              <w:rPr>
                <w:szCs w:val="21"/>
                <w:highlight w:val="none"/>
              </w:rPr>
            </w:pPr>
          </w:p>
        </w:tc>
        <w:tc>
          <w:tcPr>
            <w:tcW w:w="3402" w:type="dxa"/>
            <w:vAlign w:val="center"/>
          </w:tcPr>
          <w:p w14:paraId="6104565C">
            <w:pPr>
              <w:widowControl/>
              <w:jc w:val="left"/>
              <w:rPr>
                <w:szCs w:val="21"/>
                <w:highlight w:val="none"/>
              </w:rPr>
            </w:pPr>
          </w:p>
        </w:tc>
        <w:tc>
          <w:tcPr>
            <w:tcW w:w="992" w:type="dxa"/>
            <w:vAlign w:val="center"/>
          </w:tcPr>
          <w:p w14:paraId="401390AC">
            <w:pPr>
              <w:widowControl/>
              <w:jc w:val="center"/>
              <w:rPr>
                <w:szCs w:val="21"/>
                <w:highlight w:val="none"/>
              </w:rPr>
            </w:pPr>
          </w:p>
        </w:tc>
        <w:tc>
          <w:tcPr>
            <w:tcW w:w="986" w:type="dxa"/>
            <w:vAlign w:val="center"/>
          </w:tcPr>
          <w:p w14:paraId="682EB373">
            <w:pPr>
              <w:widowControl/>
              <w:jc w:val="center"/>
              <w:rPr>
                <w:szCs w:val="21"/>
                <w:highlight w:val="none"/>
              </w:rPr>
            </w:pPr>
          </w:p>
        </w:tc>
      </w:tr>
      <w:tr w14:paraId="73C8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2C7741D">
            <w:pPr>
              <w:widowControl/>
              <w:jc w:val="center"/>
              <w:rPr>
                <w:szCs w:val="21"/>
                <w:highlight w:val="none"/>
              </w:rPr>
            </w:pPr>
            <w:r>
              <w:rPr>
                <w:rFonts w:hint="eastAsia"/>
                <w:szCs w:val="21"/>
                <w:highlight w:val="none"/>
              </w:rPr>
              <w:t>2</w:t>
            </w:r>
          </w:p>
        </w:tc>
        <w:tc>
          <w:tcPr>
            <w:tcW w:w="3686" w:type="dxa"/>
            <w:vAlign w:val="center"/>
          </w:tcPr>
          <w:p w14:paraId="5418F06E">
            <w:pPr>
              <w:widowControl/>
              <w:jc w:val="left"/>
              <w:rPr>
                <w:szCs w:val="21"/>
                <w:highlight w:val="none"/>
              </w:rPr>
            </w:pPr>
          </w:p>
        </w:tc>
        <w:tc>
          <w:tcPr>
            <w:tcW w:w="3402" w:type="dxa"/>
            <w:vAlign w:val="center"/>
          </w:tcPr>
          <w:p w14:paraId="46AE8081">
            <w:pPr>
              <w:widowControl/>
              <w:jc w:val="left"/>
              <w:rPr>
                <w:szCs w:val="21"/>
                <w:highlight w:val="none"/>
              </w:rPr>
            </w:pPr>
          </w:p>
        </w:tc>
        <w:tc>
          <w:tcPr>
            <w:tcW w:w="992" w:type="dxa"/>
            <w:vAlign w:val="center"/>
          </w:tcPr>
          <w:p w14:paraId="20EF40D0">
            <w:pPr>
              <w:widowControl/>
              <w:jc w:val="center"/>
              <w:rPr>
                <w:szCs w:val="21"/>
                <w:highlight w:val="none"/>
              </w:rPr>
            </w:pPr>
          </w:p>
        </w:tc>
        <w:tc>
          <w:tcPr>
            <w:tcW w:w="986" w:type="dxa"/>
            <w:vAlign w:val="center"/>
          </w:tcPr>
          <w:p w14:paraId="2D918A93">
            <w:pPr>
              <w:widowControl/>
              <w:jc w:val="center"/>
              <w:rPr>
                <w:szCs w:val="21"/>
                <w:highlight w:val="none"/>
              </w:rPr>
            </w:pPr>
          </w:p>
        </w:tc>
      </w:tr>
      <w:tr w14:paraId="5634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68462A0">
            <w:pPr>
              <w:widowControl/>
              <w:jc w:val="center"/>
              <w:rPr>
                <w:szCs w:val="21"/>
                <w:highlight w:val="none"/>
              </w:rPr>
            </w:pPr>
            <w:r>
              <w:rPr>
                <w:szCs w:val="21"/>
                <w:highlight w:val="none"/>
              </w:rPr>
              <w:t>…</w:t>
            </w:r>
          </w:p>
        </w:tc>
        <w:tc>
          <w:tcPr>
            <w:tcW w:w="3686" w:type="dxa"/>
            <w:vAlign w:val="center"/>
          </w:tcPr>
          <w:p w14:paraId="4FF3EDC4">
            <w:pPr>
              <w:widowControl/>
              <w:jc w:val="left"/>
              <w:rPr>
                <w:szCs w:val="21"/>
                <w:highlight w:val="none"/>
              </w:rPr>
            </w:pPr>
          </w:p>
        </w:tc>
        <w:tc>
          <w:tcPr>
            <w:tcW w:w="3402" w:type="dxa"/>
            <w:vAlign w:val="center"/>
          </w:tcPr>
          <w:p w14:paraId="54EF121D">
            <w:pPr>
              <w:widowControl/>
              <w:jc w:val="left"/>
              <w:rPr>
                <w:szCs w:val="21"/>
                <w:highlight w:val="none"/>
              </w:rPr>
            </w:pPr>
          </w:p>
        </w:tc>
        <w:tc>
          <w:tcPr>
            <w:tcW w:w="992" w:type="dxa"/>
            <w:vAlign w:val="center"/>
          </w:tcPr>
          <w:p w14:paraId="472CDD95">
            <w:pPr>
              <w:widowControl/>
              <w:jc w:val="center"/>
              <w:rPr>
                <w:szCs w:val="21"/>
                <w:highlight w:val="none"/>
              </w:rPr>
            </w:pPr>
          </w:p>
        </w:tc>
        <w:tc>
          <w:tcPr>
            <w:tcW w:w="986" w:type="dxa"/>
            <w:vAlign w:val="center"/>
          </w:tcPr>
          <w:p w14:paraId="4B8F0B94">
            <w:pPr>
              <w:widowControl/>
              <w:jc w:val="center"/>
              <w:rPr>
                <w:szCs w:val="21"/>
                <w:highlight w:val="none"/>
              </w:rPr>
            </w:pPr>
          </w:p>
        </w:tc>
      </w:tr>
    </w:tbl>
    <w:p w14:paraId="5B42867E">
      <w:pPr>
        <w:widowControl/>
        <w:jc w:val="left"/>
        <w:rPr>
          <w:szCs w:val="21"/>
          <w:highlight w:val="none"/>
        </w:rPr>
        <w:sectPr>
          <w:footerReference r:id="rId8" w:type="default"/>
          <w:pgSz w:w="11906" w:h="16838"/>
          <w:pgMar w:top="851" w:right="1134" w:bottom="851" w:left="1134" w:header="0" w:footer="567" w:gutter="0"/>
          <w:pgNumType w:fmt="decimal"/>
          <w:cols w:space="425" w:num="1"/>
          <w:docGrid w:linePitch="312" w:charSpace="0"/>
        </w:sectPr>
      </w:pPr>
    </w:p>
    <w:p w14:paraId="5BAE64C8">
      <w:pPr>
        <w:widowControl/>
        <w:jc w:val="left"/>
        <w:rPr>
          <w:rFonts w:ascii="宋体" w:hAnsi="宋体"/>
          <w:b/>
          <w:bCs/>
          <w:szCs w:val="21"/>
          <w:highlight w:val="none"/>
        </w:rPr>
      </w:pPr>
      <w:r>
        <w:rPr>
          <w:rFonts w:hint="eastAsia" w:ascii="宋体" w:hAnsi="宋体"/>
          <w:b/>
          <w:bCs/>
          <w:szCs w:val="21"/>
          <w:highlight w:val="none"/>
        </w:rPr>
        <w:t>附件2：考核标准</w:t>
      </w:r>
    </w:p>
    <w:p w14:paraId="6B6BA1A2">
      <w:pPr>
        <w:rPr>
          <w:highlight w:val="none"/>
        </w:rPr>
      </w:pPr>
    </w:p>
    <w:p w14:paraId="6EA5FEF9">
      <w:pPr>
        <w:rPr>
          <w:highlight w:val="none"/>
        </w:rPr>
        <w:sectPr>
          <w:pgSz w:w="11906" w:h="16838"/>
          <w:pgMar w:top="851" w:right="1134" w:bottom="851" w:left="1134" w:header="0" w:footer="567" w:gutter="0"/>
          <w:pgNumType w:fmt="decimal"/>
          <w:cols w:space="425" w:num="1"/>
          <w:docGrid w:linePitch="312" w:charSpace="0"/>
        </w:sectPr>
      </w:pPr>
      <w:r>
        <w:rPr>
          <w:rFonts w:hint="eastAsia"/>
          <w:highlight w:val="none"/>
        </w:rPr>
        <w:t>*</w:t>
      </w:r>
      <w:r>
        <w:rPr>
          <w:highlight w:val="none"/>
        </w:rPr>
        <w:t>**</w:t>
      </w:r>
    </w:p>
    <w:p w14:paraId="7E666DA1">
      <w:pPr>
        <w:widowControl/>
        <w:jc w:val="left"/>
        <w:rPr>
          <w:rFonts w:ascii="宋体" w:hAnsi="宋体"/>
          <w:b/>
          <w:bCs/>
          <w:szCs w:val="21"/>
          <w:highlight w:val="none"/>
        </w:rPr>
      </w:pPr>
      <w:r>
        <w:rPr>
          <w:rFonts w:hint="eastAsia" w:ascii="宋体" w:hAnsi="宋体"/>
          <w:b/>
          <w:bCs/>
          <w:szCs w:val="21"/>
          <w:highlight w:val="none"/>
        </w:rPr>
        <w:t>附件</w:t>
      </w:r>
      <w:r>
        <w:rPr>
          <w:rFonts w:ascii="宋体" w:hAnsi="宋体"/>
          <w:b/>
          <w:bCs/>
          <w:szCs w:val="21"/>
          <w:highlight w:val="none"/>
        </w:rPr>
        <w:t>3</w:t>
      </w:r>
      <w:r>
        <w:rPr>
          <w:rFonts w:hint="eastAsia" w:ascii="宋体" w:hAnsi="宋体"/>
          <w:b/>
          <w:bCs/>
          <w:szCs w:val="21"/>
          <w:highlight w:val="none"/>
        </w:rPr>
        <w:t>：</w:t>
      </w:r>
      <w:r>
        <w:rPr>
          <w:rFonts w:ascii="宋体" w:hAnsi="宋体"/>
          <w:b/>
          <w:bCs/>
          <w:szCs w:val="21"/>
          <w:highlight w:val="none"/>
        </w:rPr>
        <w:t>服务</w:t>
      </w:r>
      <w:r>
        <w:rPr>
          <w:rFonts w:hint="eastAsia" w:ascii="宋体" w:hAnsi="宋体"/>
          <w:b/>
          <w:bCs/>
          <w:szCs w:val="21"/>
          <w:highlight w:val="none"/>
        </w:rPr>
        <w:t>方案</w:t>
      </w:r>
    </w:p>
    <w:p w14:paraId="6526BD95">
      <w:pPr>
        <w:rPr>
          <w:highlight w:val="none"/>
        </w:rPr>
      </w:pPr>
    </w:p>
    <w:p w14:paraId="6B500335">
      <w:pPr>
        <w:rPr>
          <w:highlight w:val="none"/>
        </w:rPr>
      </w:pPr>
      <w:r>
        <w:rPr>
          <w:rFonts w:hint="eastAsia"/>
          <w:highlight w:val="none"/>
        </w:rPr>
        <w:t>*</w:t>
      </w:r>
      <w:r>
        <w:rPr>
          <w:highlight w:val="none"/>
        </w:rPr>
        <w:t>**</w:t>
      </w:r>
    </w:p>
    <w:p w14:paraId="49026990">
      <w:pPr>
        <w:rPr>
          <w:highlight w:val="none"/>
        </w:rPr>
      </w:pPr>
    </w:p>
    <w:p w14:paraId="6245AD96">
      <w:pPr>
        <w:rPr>
          <w:rFonts w:ascii="Times New Roman" w:hAnsi="Times New Roman" w:cs="Times New Roman"/>
          <w:b/>
          <w:bCs/>
          <w:sz w:val="44"/>
          <w:szCs w:val="52"/>
          <w:highlight w:val="none"/>
        </w:rPr>
      </w:pPr>
    </w:p>
    <w:p w14:paraId="3650DF39">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57906FDD">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5B20492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00A41FAA">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335F67D8">
      <w:pPr>
        <w:ind w:firstLine="560" w:firstLineChars="200"/>
        <w:rPr>
          <w:rFonts w:ascii="Times New Roman" w:hAnsi="Times New Roman" w:eastAsia="仿宋" w:cs="Times New Roman"/>
          <w:sz w:val="28"/>
          <w:szCs w:val="28"/>
          <w:highlight w:val="none"/>
        </w:rPr>
      </w:pPr>
    </w:p>
    <w:p w14:paraId="6E1F8DF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57E21778">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17AB4BB6">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r>
        <w:rPr>
          <w:rFonts w:hint="eastAsia" w:ascii="Times New Roman" w:hAnsi="Times New Roman"/>
        </w:rPr>
        <w:t>农行立项批复(2)(1).pdf</w:t>
      </w: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23C4014-B99E-4989-8964-81A9BB01166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DA42DCE-7726-4435-ADC0-CD551E5FB2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87C1A69-D0C8-4C84-81C2-927A0A81BD8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1CAD69E9-B195-4E71-A68B-3D068D82CB7B}"/>
  </w:font>
  <w:font w:name="微软雅黑">
    <w:panose1 w:val="020B0503020204020204"/>
    <w:charset w:val="86"/>
    <w:family w:val="auto"/>
    <w:pitch w:val="default"/>
    <w:sig w:usb0="80000287" w:usb1="2ACF3C50" w:usb2="00000016" w:usb3="00000000" w:csb0="0004001F" w:csb1="00000000"/>
    <w:embedRegular r:id="rId5" w:fontKey="{1F48A216-01F7-49AD-AEF1-564D0EB94143}"/>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33A8">
    <w:pPr>
      <w:pStyle w:val="11"/>
      <w:contextualSpacing/>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4A333">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14A333">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33</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CDBC6">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0BBA0C46">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8C07">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459D8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7459D8E">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CF5B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FCF5B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E4BF1"/>
    <w:rsid w:val="00426031"/>
    <w:rsid w:val="00427BF2"/>
    <w:rsid w:val="00461368"/>
    <w:rsid w:val="004F4DC4"/>
    <w:rsid w:val="00500885"/>
    <w:rsid w:val="00540FCE"/>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1F65"/>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16F6868"/>
    <w:rsid w:val="018E546C"/>
    <w:rsid w:val="01A63B13"/>
    <w:rsid w:val="01BA61B0"/>
    <w:rsid w:val="01FF3BC3"/>
    <w:rsid w:val="027125E7"/>
    <w:rsid w:val="027B46D4"/>
    <w:rsid w:val="02AE6A6F"/>
    <w:rsid w:val="02DB6B5E"/>
    <w:rsid w:val="034F2928"/>
    <w:rsid w:val="03547F3F"/>
    <w:rsid w:val="039B3DC0"/>
    <w:rsid w:val="03AE3AF3"/>
    <w:rsid w:val="03FD4BD5"/>
    <w:rsid w:val="04F35535"/>
    <w:rsid w:val="052027CE"/>
    <w:rsid w:val="0526590B"/>
    <w:rsid w:val="054162A1"/>
    <w:rsid w:val="058C78B0"/>
    <w:rsid w:val="05D61923"/>
    <w:rsid w:val="05D830A9"/>
    <w:rsid w:val="05E13064"/>
    <w:rsid w:val="066F12AC"/>
    <w:rsid w:val="07100621"/>
    <w:rsid w:val="078A573C"/>
    <w:rsid w:val="07CB4548"/>
    <w:rsid w:val="0874698D"/>
    <w:rsid w:val="08AC4379"/>
    <w:rsid w:val="08B1198F"/>
    <w:rsid w:val="0932487E"/>
    <w:rsid w:val="093A3733"/>
    <w:rsid w:val="09410F65"/>
    <w:rsid w:val="09722ECD"/>
    <w:rsid w:val="0A4C5174"/>
    <w:rsid w:val="0AEC6CAF"/>
    <w:rsid w:val="0B4508AE"/>
    <w:rsid w:val="0B5E2A33"/>
    <w:rsid w:val="0B7F3FC7"/>
    <w:rsid w:val="0BCF2858"/>
    <w:rsid w:val="0BEF4CA9"/>
    <w:rsid w:val="0C087B18"/>
    <w:rsid w:val="0CF161C9"/>
    <w:rsid w:val="0CFD51A3"/>
    <w:rsid w:val="0D3D7C96"/>
    <w:rsid w:val="0D5C5262"/>
    <w:rsid w:val="0D9A6E96"/>
    <w:rsid w:val="0DA67E5A"/>
    <w:rsid w:val="0DD621C2"/>
    <w:rsid w:val="0E0B7FF0"/>
    <w:rsid w:val="0ECD6DF7"/>
    <w:rsid w:val="0ECE5049"/>
    <w:rsid w:val="0F545942"/>
    <w:rsid w:val="0F7729A5"/>
    <w:rsid w:val="0FD06B9F"/>
    <w:rsid w:val="104135F9"/>
    <w:rsid w:val="11380EA0"/>
    <w:rsid w:val="11771901"/>
    <w:rsid w:val="117A5014"/>
    <w:rsid w:val="1191235E"/>
    <w:rsid w:val="11D230A2"/>
    <w:rsid w:val="11F34DC7"/>
    <w:rsid w:val="127759F8"/>
    <w:rsid w:val="127F05A0"/>
    <w:rsid w:val="12CF1390"/>
    <w:rsid w:val="130001DF"/>
    <w:rsid w:val="136D78F8"/>
    <w:rsid w:val="13955E87"/>
    <w:rsid w:val="139B3968"/>
    <w:rsid w:val="13B41C63"/>
    <w:rsid w:val="13B80076"/>
    <w:rsid w:val="140B52BE"/>
    <w:rsid w:val="145D29CB"/>
    <w:rsid w:val="14706BA3"/>
    <w:rsid w:val="1490034C"/>
    <w:rsid w:val="14C02376"/>
    <w:rsid w:val="14F72E20"/>
    <w:rsid w:val="158B7082"/>
    <w:rsid w:val="15C90318"/>
    <w:rsid w:val="15C95ACB"/>
    <w:rsid w:val="15CC4977"/>
    <w:rsid w:val="162419F3"/>
    <w:rsid w:val="162A4F7D"/>
    <w:rsid w:val="164D0F49"/>
    <w:rsid w:val="16A82A66"/>
    <w:rsid w:val="16E01F94"/>
    <w:rsid w:val="16F72C63"/>
    <w:rsid w:val="174D6D27"/>
    <w:rsid w:val="175E2CE2"/>
    <w:rsid w:val="183B3024"/>
    <w:rsid w:val="19620BB5"/>
    <w:rsid w:val="19844AFA"/>
    <w:rsid w:val="198E0A13"/>
    <w:rsid w:val="1994787E"/>
    <w:rsid w:val="19D57177"/>
    <w:rsid w:val="19D57F34"/>
    <w:rsid w:val="1B3426D8"/>
    <w:rsid w:val="1B811C42"/>
    <w:rsid w:val="1BB2184F"/>
    <w:rsid w:val="1BB51CB4"/>
    <w:rsid w:val="1BC03F6C"/>
    <w:rsid w:val="1C004BCF"/>
    <w:rsid w:val="1C27223D"/>
    <w:rsid w:val="1C4D0200"/>
    <w:rsid w:val="1C897E65"/>
    <w:rsid w:val="1DD000AF"/>
    <w:rsid w:val="1E09745A"/>
    <w:rsid w:val="1E5B441F"/>
    <w:rsid w:val="1FA912D2"/>
    <w:rsid w:val="202D5948"/>
    <w:rsid w:val="20BE3578"/>
    <w:rsid w:val="20F578A7"/>
    <w:rsid w:val="215907B0"/>
    <w:rsid w:val="21863561"/>
    <w:rsid w:val="2197751D"/>
    <w:rsid w:val="219E6AFD"/>
    <w:rsid w:val="21B26DD5"/>
    <w:rsid w:val="22E840E8"/>
    <w:rsid w:val="233A2855"/>
    <w:rsid w:val="23A23246"/>
    <w:rsid w:val="23D06D16"/>
    <w:rsid w:val="23D4489F"/>
    <w:rsid w:val="24264B88"/>
    <w:rsid w:val="24FB4266"/>
    <w:rsid w:val="254E083A"/>
    <w:rsid w:val="258A1146"/>
    <w:rsid w:val="262001B9"/>
    <w:rsid w:val="26270419"/>
    <w:rsid w:val="27196C26"/>
    <w:rsid w:val="272A6FE5"/>
    <w:rsid w:val="27B87AF9"/>
    <w:rsid w:val="27E80EA9"/>
    <w:rsid w:val="280414A1"/>
    <w:rsid w:val="281F026C"/>
    <w:rsid w:val="28570368"/>
    <w:rsid w:val="28905912"/>
    <w:rsid w:val="295201CD"/>
    <w:rsid w:val="29772E93"/>
    <w:rsid w:val="29915199"/>
    <w:rsid w:val="29C5318E"/>
    <w:rsid w:val="29E50ADA"/>
    <w:rsid w:val="29F36631"/>
    <w:rsid w:val="2B502F98"/>
    <w:rsid w:val="2C0C6D59"/>
    <w:rsid w:val="2C120A44"/>
    <w:rsid w:val="2C9A0A9E"/>
    <w:rsid w:val="2D142369"/>
    <w:rsid w:val="2D4529E9"/>
    <w:rsid w:val="2D546C0A"/>
    <w:rsid w:val="2D9214E0"/>
    <w:rsid w:val="2DA70D65"/>
    <w:rsid w:val="2E2D764F"/>
    <w:rsid w:val="2EB2615E"/>
    <w:rsid w:val="2FEE3A99"/>
    <w:rsid w:val="304C5976"/>
    <w:rsid w:val="309644F8"/>
    <w:rsid w:val="31061FC9"/>
    <w:rsid w:val="312B7C81"/>
    <w:rsid w:val="317167A5"/>
    <w:rsid w:val="323631B3"/>
    <w:rsid w:val="328A09D8"/>
    <w:rsid w:val="331F3816"/>
    <w:rsid w:val="33387117"/>
    <w:rsid w:val="3344502A"/>
    <w:rsid w:val="338E1AC9"/>
    <w:rsid w:val="33C06DA7"/>
    <w:rsid w:val="3427766B"/>
    <w:rsid w:val="343706EB"/>
    <w:rsid w:val="34586FDF"/>
    <w:rsid w:val="34CE2DFE"/>
    <w:rsid w:val="351A08D0"/>
    <w:rsid w:val="35C44201"/>
    <w:rsid w:val="35DC779C"/>
    <w:rsid w:val="361E7DB5"/>
    <w:rsid w:val="36334CE5"/>
    <w:rsid w:val="36B6623F"/>
    <w:rsid w:val="38DE5455"/>
    <w:rsid w:val="392E030F"/>
    <w:rsid w:val="393A4F06"/>
    <w:rsid w:val="39EB2259"/>
    <w:rsid w:val="39FF3A59"/>
    <w:rsid w:val="3A4678DA"/>
    <w:rsid w:val="3A551407"/>
    <w:rsid w:val="3AFC5296"/>
    <w:rsid w:val="3B033C36"/>
    <w:rsid w:val="3B5051DE"/>
    <w:rsid w:val="3B84690C"/>
    <w:rsid w:val="3C1A7270"/>
    <w:rsid w:val="3D785FFC"/>
    <w:rsid w:val="3E2E615A"/>
    <w:rsid w:val="3E5D4E8E"/>
    <w:rsid w:val="3EB63280"/>
    <w:rsid w:val="3F340649"/>
    <w:rsid w:val="3F4D5267"/>
    <w:rsid w:val="3F7D7BDF"/>
    <w:rsid w:val="3FB5178A"/>
    <w:rsid w:val="3FE25336"/>
    <w:rsid w:val="400B001F"/>
    <w:rsid w:val="400B07E0"/>
    <w:rsid w:val="40537C33"/>
    <w:rsid w:val="4070745F"/>
    <w:rsid w:val="40B01F51"/>
    <w:rsid w:val="416A0352"/>
    <w:rsid w:val="41C71300"/>
    <w:rsid w:val="41E73751"/>
    <w:rsid w:val="41ED5FB7"/>
    <w:rsid w:val="42075FF8"/>
    <w:rsid w:val="420933DF"/>
    <w:rsid w:val="421F2EEA"/>
    <w:rsid w:val="4236566E"/>
    <w:rsid w:val="42842020"/>
    <w:rsid w:val="42F97BDF"/>
    <w:rsid w:val="43544E16"/>
    <w:rsid w:val="439A5D2A"/>
    <w:rsid w:val="445B0426"/>
    <w:rsid w:val="44C14DFA"/>
    <w:rsid w:val="45C51FFB"/>
    <w:rsid w:val="46470C62"/>
    <w:rsid w:val="468567BB"/>
    <w:rsid w:val="46A161E6"/>
    <w:rsid w:val="4770243A"/>
    <w:rsid w:val="4782487D"/>
    <w:rsid w:val="47F155E6"/>
    <w:rsid w:val="48152FCE"/>
    <w:rsid w:val="48693111"/>
    <w:rsid w:val="48A4239B"/>
    <w:rsid w:val="493A685C"/>
    <w:rsid w:val="49F42EAF"/>
    <w:rsid w:val="4A0A26D2"/>
    <w:rsid w:val="4A34774F"/>
    <w:rsid w:val="4A6A4F1F"/>
    <w:rsid w:val="4AB70941"/>
    <w:rsid w:val="4AE10089"/>
    <w:rsid w:val="4B09298A"/>
    <w:rsid w:val="4B1B28D8"/>
    <w:rsid w:val="4B31068E"/>
    <w:rsid w:val="4BA55220"/>
    <w:rsid w:val="4BAD0151"/>
    <w:rsid w:val="4C147838"/>
    <w:rsid w:val="4C3C2195"/>
    <w:rsid w:val="4C8F75A2"/>
    <w:rsid w:val="4C9232D6"/>
    <w:rsid w:val="4CCE3E8B"/>
    <w:rsid w:val="4CE444B6"/>
    <w:rsid w:val="4CE70AA9"/>
    <w:rsid w:val="4D066C0A"/>
    <w:rsid w:val="4DAD4403"/>
    <w:rsid w:val="4DC25072"/>
    <w:rsid w:val="4E74636C"/>
    <w:rsid w:val="4E8C008E"/>
    <w:rsid w:val="4ECE0172"/>
    <w:rsid w:val="4F3514BA"/>
    <w:rsid w:val="4F674123"/>
    <w:rsid w:val="4FEF758C"/>
    <w:rsid w:val="50081462"/>
    <w:rsid w:val="50607952"/>
    <w:rsid w:val="50771A9C"/>
    <w:rsid w:val="50834F8C"/>
    <w:rsid w:val="50D43A3A"/>
    <w:rsid w:val="519B00B4"/>
    <w:rsid w:val="51C47F6D"/>
    <w:rsid w:val="527F3531"/>
    <w:rsid w:val="528172AA"/>
    <w:rsid w:val="52853E19"/>
    <w:rsid w:val="53195734"/>
    <w:rsid w:val="53422EDD"/>
    <w:rsid w:val="53574AE5"/>
    <w:rsid w:val="537312E8"/>
    <w:rsid w:val="53837051"/>
    <w:rsid w:val="53A9514E"/>
    <w:rsid w:val="53F71F19"/>
    <w:rsid w:val="5455382C"/>
    <w:rsid w:val="54FC355F"/>
    <w:rsid w:val="550E7114"/>
    <w:rsid w:val="56301712"/>
    <w:rsid w:val="56494582"/>
    <w:rsid w:val="57361164"/>
    <w:rsid w:val="57392849"/>
    <w:rsid w:val="573E1C0D"/>
    <w:rsid w:val="5765719A"/>
    <w:rsid w:val="57F80C60"/>
    <w:rsid w:val="583067EF"/>
    <w:rsid w:val="58DF4D2A"/>
    <w:rsid w:val="5A2E41BB"/>
    <w:rsid w:val="5ACB1A0A"/>
    <w:rsid w:val="5B24111A"/>
    <w:rsid w:val="5B4A5024"/>
    <w:rsid w:val="5B692B86"/>
    <w:rsid w:val="5B7B51DE"/>
    <w:rsid w:val="5BA65FD3"/>
    <w:rsid w:val="5BA67D81"/>
    <w:rsid w:val="5C366A56"/>
    <w:rsid w:val="5CE768A3"/>
    <w:rsid w:val="5D0A3490"/>
    <w:rsid w:val="5D3F4364"/>
    <w:rsid w:val="5D7E0D39"/>
    <w:rsid w:val="5E1E62F4"/>
    <w:rsid w:val="5E956AB2"/>
    <w:rsid w:val="5E9D3F29"/>
    <w:rsid w:val="5EEB267A"/>
    <w:rsid w:val="5F02451D"/>
    <w:rsid w:val="5F0D01F1"/>
    <w:rsid w:val="5F447FDD"/>
    <w:rsid w:val="5F4C00BA"/>
    <w:rsid w:val="60384CD1"/>
    <w:rsid w:val="604105AB"/>
    <w:rsid w:val="60655808"/>
    <w:rsid w:val="60CE0B25"/>
    <w:rsid w:val="60EA0710"/>
    <w:rsid w:val="61135EB8"/>
    <w:rsid w:val="611D0AE5"/>
    <w:rsid w:val="6143643E"/>
    <w:rsid w:val="61553FFC"/>
    <w:rsid w:val="61882403"/>
    <w:rsid w:val="62175534"/>
    <w:rsid w:val="63797C01"/>
    <w:rsid w:val="63A9427A"/>
    <w:rsid w:val="63D462B1"/>
    <w:rsid w:val="6418358F"/>
    <w:rsid w:val="641A3596"/>
    <w:rsid w:val="643B5D39"/>
    <w:rsid w:val="64D96647"/>
    <w:rsid w:val="655B51E5"/>
    <w:rsid w:val="65D11E9E"/>
    <w:rsid w:val="65E40ADA"/>
    <w:rsid w:val="66094DDC"/>
    <w:rsid w:val="660A5ADC"/>
    <w:rsid w:val="66330B86"/>
    <w:rsid w:val="66E22203"/>
    <w:rsid w:val="67696832"/>
    <w:rsid w:val="67A466F1"/>
    <w:rsid w:val="681C38A5"/>
    <w:rsid w:val="68B47F81"/>
    <w:rsid w:val="68B812C9"/>
    <w:rsid w:val="69C935B8"/>
    <w:rsid w:val="69D50CF4"/>
    <w:rsid w:val="6A941E18"/>
    <w:rsid w:val="6A9D5B77"/>
    <w:rsid w:val="6ADB7A47"/>
    <w:rsid w:val="6AF40B09"/>
    <w:rsid w:val="6B0074AE"/>
    <w:rsid w:val="6B13286C"/>
    <w:rsid w:val="6B482C03"/>
    <w:rsid w:val="6B4A0729"/>
    <w:rsid w:val="6C0F0E65"/>
    <w:rsid w:val="6C117498"/>
    <w:rsid w:val="6C487AFD"/>
    <w:rsid w:val="6CB24363"/>
    <w:rsid w:val="6CB57E24"/>
    <w:rsid w:val="6CD24E7A"/>
    <w:rsid w:val="6D614100"/>
    <w:rsid w:val="6D617FAC"/>
    <w:rsid w:val="6E004F03"/>
    <w:rsid w:val="6E115D95"/>
    <w:rsid w:val="6E891568"/>
    <w:rsid w:val="6EA93466"/>
    <w:rsid w:val="6F7B35A7"/>
    <w:rsid w:val="6FB2689C"/>
    <w:rsid w:val="6FCF0795"/>
    <w:rsid w:val="6FEA072C"/>
    <w:rsid w:val="704E24AD"/>
    <w:rsid w:val="71031AA6"/>
    <w:rsid w:val="7120072C"/>
    <w:rsid w:val="71381023"/>
    <w:rsid w:val="71816E6E"/>
    <w:rsid w:val="719533EC"/>
    <w:rsid w:val="71CF3736"/>
    <w:rsid w:val="71D76A8E"/>
    <w:rsid w:val="720B6FBF"/>
    <w:rsid w:val="72DA63FB"/>
    <w:rsid w:val="72F15750"/>
    <w:rsid w:val="72F83160"/>
    <w:rsid w:val="73535B16"/>
    <w:rsid w:val="73702CF6"/>
    <w:rsid w:val="73714961"/>
    <w:rsid w:val="74471A90"/>
    <w:rsid w:val="746E7F64"/>
    <w:rsid w:val="74B310ED"/>
    <w:rsid w:val="754D1D92"/>
    <w:rsid w:val="7581743D"/>
    <w:rsid w:val="758350A9"/>
    <w:rsid w:val="75866801"/>
    <w:rsid w:val="768F7938"/>
    <w:rsid w:val="76DB0DCF"/>
    <w:rsid w:val="76E301FF"/>
    <w:rsid w:val="77071BC4"/>
    <w:rsid w:val="77336515"/>
    <w:rsid w:val="77674410"/>
    <w:rsid w:val="779A47E6"/>
    <w:rsid w:val="77A63FAA"/>
    <w:rsid w:val="77CB0E43"/>
    <w:rsid w:val="78034139"/>
    <w:rsid w:val="790068CB"/>
    <w:rsid w:val="79136581"/>
    <w:rsid w:val="79406AC7"/>
    <w:rsid w:val="79F503F9"/>
    <w:rsid w:val="7A016D9E"/>
    <w:rsid w:val="7B2261F3"/>
    <w:rsid w:val="7B560FD7"/>
    <w:rsid w:val="7B5F74F8"/>
    <w:rsid w:val="7B690630"/>
    <w:rsid w:val="7C3F3BAE"/>
    <w:rsid w:val="7C5123F4"/>
    <w:rsid w:val="7C8617DD"/>
    <w:rsid w:val="7C8B0BA1"/>
    <w:rsid w:val="7C945CA8"/>
    <w:rsid w:val="7CCC5441"/>
    <w:rsid w:val="7D040AB6"/>
    <w:rsid w:val="7D3B790F"/>
    <w:rsid w:val="7D4119E6"/>
    <w:rsid w:val="7DAF162B"/>
    <w:rsid w:val="7DC42B41"/>
    <w:rsid w:val="7EA1645A"/>
    <w:rsid w:val="7EE2719E"/>
    <w:rsid w:val="7F4E65E2"/>
    <w:rsid w:val="7FB16B71"/>
    <w:rsid w:val="7FFE2E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3"/>
    <w:qFormat/>
    <w:uiPriority w:val="0"/>
    <w:pPr>
      <w:spacing w:after="120" w:line="480" w:lineRule="auto"/>
      <w:ind w:left="420" w:leftChars="200"/>
    </w:pPr>
    <w:rPr>
      <w:szCs w:val="20"/>
    </w:rPr>
  </w:style>
  <w:style w:type="paragraph" w:styleId="10">
    <w:name w:val="Balloon Text"/>
    <w:basedOn w:val="1"/>
    <w:link w:val="40"/>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9"/>
    <w:qFormat/>
    <w:uiPriority w:val="0"/>
    <w:rPr>
      <w:b/>
      <w:bCs/>
    </w:rPr>
  </w:style>
  <w:style w:type="paragraph" w:styleId="16">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9"/>
    <w:qFormat/>
    <w:uiPriority w:val="0"/>
    <w:rPr>
      <w:szCs w:val="20"/>
    </w:rPr>
  </w:style>
  <w:style w:type="character" w:customStyle="1" w:styleId="34">
    <w:name w:val="Body Text First Indent Char"/>
    <w:link w:val="16"/>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5"/>
    <w:qFormat/>
    <w:uiPriority w:val="0"/>
    <w:rPr>
      <w:b/>
      <w:bCs/>
      <w:kern w:val="2"/>
      <w:sz w:val="21"/>
      <w:szCs w:val="22"/>
    </w:rPr>
  </w:style>
  <w:style w:type="character" w:customStyle="1" w:styleId="40">
    <w:name w:val="Balloon Text Char"/>
    <w:basedOn w:val="20"/>
    <w:link w:val="10"/>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sht标题1"/>
    <w:basedOn w:val="1"/>
    <w:next w:val="2"/>
    <w:qFormat/>
    <w:uiPriority w:val="0"/>
    <w:pPr>
      <w:jc w:val="center"/>
    </w:pPr>
    <w:rPr>
      <w:rFonts w:eastAsia="黑体"/>
      <w:b/>
      <w:sz w:val="52"/>
      <w:szCs w:val="24"/>
    </w:rPr>
  </w:style>
  <w:style w:type="paragraph" w:customStyle="1" w:styleId="43">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1106</Words>
  <Characters>1226</Characters>
  <Lines>68</Lines>
  <Paragraphs>19</Paragraphs>
  <TotalTime>29</TotalTime>
  <ScaleCrop>false</ScaleCrop>
  <LinksUpToDate>false</LinksUpToDate>
  <CharactersWithSpaces>1304</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2026-05-08T07:21:39Z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1886A38FB8864387B44B965478B670F9_13</vt:lpwstr>
  </property>
  <property fmtid="{D5CDD505-2E9C-101B-9397-08002B2CF9AE}" pid="4" name="KSOTemplateDocerSaveRecord">
    <vt:lpwstr>eyJoZGlkIjoiNDc0MTk5M2JkMmE1NDI4NDczMTFjZTZjODJmMzdhNjkiLCJ1c2VySWQiOiIyMTIzMTcyNzYifQ==</vt:lpwstr>
  </property>
</Properties>
</file>