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eastAsia="zh-CN"/>
        </w:rPr>
        <w:t>第一住院大楼规划测绘和产权面积测绘服务</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21919"/>
      <w:bookmarkStart w:id="1" w:name="_Toc20358"/>
      <w:bookmarkStart w:id="2" w:name="_Toc1907"/>
      <w:bookmarkStart w:id="3" w:name="_Toc62832406"/>
      <w:bookmarkStart w:id="4" w:name="_Toc3240"/>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第一住院大楼规划测绘和产权面积测绘服务</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CGZX-JJG20261524</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人民币</w:t>
            </w:r>
            <w:r>
              <w:rPr>
                <w:rFonts w:hint="eastAsia" w:ascii="Times New Roman" w:hAnsi="Times New Roman" w:eastAsia="仿宋" w:cs="Times New Roman"/>
                <w:sz w:val="22"/>
              </w:rPr>
              <w:t>103600.00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缴纳合同金额的10%作为履约保证金</w:t>
            </w:r>
          </w:p>
          <w:p>
            <w:pPr>
              <w:pStyle w:val="28"/>
              <w:numPr>
                <w:ilvl w:val="0"/>
                <w:numId w:val="0"/>
              </w:numPr>
              <w:tabs>
                <w:tab w:val="left" w:pos="220"/>
              </w:tabs>
              <w:spacing w:line="360" w:lineRule="auto"/>
              <w:ind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网银转账、支票、汇票、本票、金融机构或保险机构、担保机构出具的保函等非现金方式。 注：出具保函的主体应当是金融机构、保险机构、担保机构等依法成立且具有相关资质和偿付能力的机构，否则将取消成交供应商的成交资格，采购人将重新确定成交供应商，并依法追究法律责任。</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通过主管部门验收后，采购人在收到供应商退款申请之日起30日内一次性无息退还。</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履约保证金不予退还情形：</w:t>
            </w:r>
            <w:r>
              <w:rPr>
                <w:rFonts w:hint="eastAsia" w:ascii="Times New Roman" w:hAnsi="Times New Roman" w:eastAsia="仿宋" w:cs="Times New Roman"/>
                <w:sz w:val="22"/>
                <w:szCs w:val="22"/>
                <w:lang w:val="zh-CN"/>
              </w:rPr>
              <w:t>未按采购合同履约及出现相应检测报告罗列外的安全问题。履约保证金不予退还的，将按照有关规定上缴国库。逾期退还履约保证金的，将依法承担法律责任，并赔偿供应商损失。</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w:t>
            </w:r>
            <w:r>
              <w:rPr>
                <w:rFonts w:ascii="Times New Roman" w:hAnsi="Times New Roman" w:eastAsia="仿宋" w:cs="Times New Roman"/>
                <w:sz w:val="22"/>
                <w:highlight w:val="none"/>
              </w:rPr>
              <w:t>续开展采购活动。谈判小组按照评审因素进行评分，得分最高的供应商为成交供应商。</w:t>
            </w:r>
            <w:r>
              <w:rPr>
                <w:rFonts w:hint="eastAsia" w:ascii="Times New Roman" w:hAnsi="Times New Roman" w:eastAsia="仿宋" w:cs="Times New Roman"/>
                <w:sz w:val="22"/>
                <w:highlight w:val="none"/>
              </w:rPr>
              <w:t>若得分相同则</w:t>
            </w:r>
            <w:r>
              <w:rPr>
                <w:rFonts w:hint="eastAsia" w:ascii="Times New Roman" w:hAnsi="Times New Roman" w:eastAsia="仿宋" w:cs="Times New Roman"/>
                <w:i/>
                <w:iCs/>
                <w:sz w:val="22"/>
                <w:highlight w:val="none"/>
              </w:rPr>
              <w:t>&lt;</w:t>
            </w:r>
            <w:r>
              <w:rPr>
                <w:rFonts w:hint="eastAsia" w:ascii="Times New Roman" w:hAnsi="Times New Roman" w:eastAsia="仿宋" w:cs="Times New Roman"/>
                <w:i/>
                <w:iCs/>
                <w:sz w:val="22"/>
                <w:highlight w:val="none"/>
                <w:lang w:val="en-US" w:eastAsia="zh-CN"/>
              </w:rPr>
              <w:t>报价最低</w:t>
            </w:r>
            <w:r>
              <w:rPr>
                <w:rFonts w:hint="eastAsia" w:ascii="Times New Roman" w:hAnsi="Times New Roman" w:eastAsia="仿宋" w:cs="Times New Roman"/>
                <w:i/>
                <w:iCs/>
                <w:sz w:val="22"/>
                <w:highlight w:val="none"/>
              </w:rPr>
              <w:t>&gt;</w:t>
            </w:r>
            <w:r>
              <w:rPr>
                <w:rFonts w:hint="eastAsia" w:ascii="Times New Roman" w:hAnsi="Times New Roman" w:eastAsia="仿宋" w:cs="Times New Roman"/>
                <w:sz w:val="22"/>
                <w:highlight w:val="none"/>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（2）归口部门：基建管理部门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87393395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rPr>
              <w:t>具有行政主管部门颁发的测绘乙级及以上资质（至少含工程测量、界限与不动产测绘），且须为成都市工程建设项目“多测合一”管理信息系统中已录入且信用评价不在信用惩戒期的单位 。</w:t>
            </w:r>
          </w:p>
        </w:tc>
        <w:tc>
          <w:tcPr>
            <w:tcW w:w="2846" w:type="pct"/>
            <w:vAlign w:val="center"/>
          </w:tcPr>
          <w:p>
            <w:pPr>
              <w:rPr>
                <w:rFonts w:ascii="Times New Roman" w:hAnsi="Times New Roman" w:eastAsia="仿宋" w:cs="Times New Roman"/>
                <w:sz w:val="22"/>
                <w:u w:val="single"/>
              </w:rPr>
            </w:pPr>
            <w:r>
              <w:rPr>
                <w:rFonts w:ascii="Times New Roman" w:hAnsi="Times New Roman" w:eastAsia="仿宋" w:cs="Times New Roman"/>
                <w:sz w:val="22"/>
                <w:highlight w:val="none"/>
              </w:rPr>
              <w:t>提供</w:t>
            </w:r>
            <w:r>
              <w:rPr>
                <w:rFonts w:hint="eastAsia" w:ascii="Times New Roman" w:hAnsi="Times New Roman" w:eastAsia="仿宋" w:cs="Times New Roman"/>
                <w:sz w:val="22"/>
                <w:highlight w:val="none"/>
                <w:lang w:val="en-US" w:eastAsia="zh-CN"/>
              </w:rPr>
              <w:t>有效的证明材料并加盖供应商公章</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pPr>
        <w:pStyle w:val="16"/>
        <w:keepNext w:val="0"/>
        <w:keepLines w:val="0"/>
        <w:pageBreakBefore w:val="0"/>
        <w:widowControl w:val="0"/>
        <w:numPr>
          <w:ilvl w:val="0"/>
          <w:numId w:val="11"/>
        </w:numPr>
        <w:kinsoku/>
        <w:wordWrap/>
        <w:overflowPunct/>
        <w:topLinePunct w:val="0"/>
        <w:autoSpaceDE/>
        <w:autoSpaceDN/>
        <w:bidi w:val="0"/>
        <w:adjustRightInd/>
        <w:snapToGrid w:val="0"/>
        <w:spacing w:before="0" w:after="0" w:line="240" w:lineRule="auto"/>
        <w:ind w:firstLine="0"/>
        <w:jc w:val="left"/>
        <w:textAlignment w:val="auto"/>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拟确定一名供应商为采购人提供第一住院大楼规划面积测绘和产权面积测绘服务，建筑面积约38380平方米。</w:t>
      </w:r>
      <w:r>
        <w:rPr>
          <w:rFonts w:ascii="Times New Roman" w:hAnsi="Times New Roman" w:eastAsia="仿宋" w:cs="Times New Roman"/>
          <w:sz w:val="24"/>
          <w:szCs w:val="24"/>
        </w:rPr>
        <w:cr/>
      </w:r>
      <w:r>
        <w:rPr>
          <w:rFonts w:ascii="Segoe UI Symbol" w:hAnsi="Segoe UI Symbol" w:eastAsia="仿宋" w:cs="Segoe UI Symbol"/>
          <w:b/>
          <w:bCs/>
          <w:sz w:val="24"/>
          <w:szCs w:val="22"/>
        </w:rPr>
        <w:t>★</w:t>
      </w:r>
      <w:r>
        <w:rPr>
          <w:rFonts w:ascii="Times New Roman" w:hAnsi="Times New Roman" w:eastAsia="仿宋" w:cs="Times New Roman"/>
          <w:b/>
          <w:bCs/>
          <w:sz w:val="24"/>
          <w:szCs w:val="24"/>
        </w:rPr>
        <w:t>二、采购内容</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1.服务内容:规划面积测绘和产权面积测绘</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2.执行的技术标准：</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（1）《房产测量规范》（GB/T 17986.1-2000）</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（2）《建筑工程建筑面积计算规范》（GB/T 50353-2013）</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（3）《房产测绘成果质量检验技术规程》（DB51/T 2275-2016）</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（4）《房产测绘管理办法》</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（5）《四川省测绘管理条例》</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（6）《四川省房产测绘实施细则》</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3.提供的成果数量：纸质4份，电子1分</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jc w:val="left"/>
        <w:textAlignment w:val="auto"/>
        <w:rPr>
          <w:rFonts w:hint="eastAsia" w:ascii="Times New Roman" w:hAnsi="Times New Roman" w:eastAsia="仿宋" w:cs="Times New Roman"/>
          <w:b/>
          <w:bCs/>
          <w:sz w:val="24"/>
          <w:szCs w:val="24"/>
          <w:lang w:eastAsia="zh-CN"/>
        </w:rPr>
      </w:pPr>
      <w:r>
        <w:rPr>
          <w:rFonts w:ascii="Segoe UI Symbol" w:hAnsi="Segoe UI Symbol" w:eastAsia="仿宋" w:cs="Segoe UI Symbol"/>
          <w:b/>
          <w:bCs/>
          <w:sz w:val="24"/>
          <w:szCs w:val="22"/>
        </w:rPr>
        <w:t>★</w:t>
      </w:r>
      <w:r>
        <w:rPr>
          <w:rFonts w:ascii="Times New Roman" w:hAnsi="Times New Roman" w:eastAsia="仿宋" w:cs="Times New Roman"/>
          <w:b/>
          <w:bCs/>
          <w:sz w:val="24"/>
          <w:szCs w:val="24"/>
        </w:rPr>
        <w:t>三、</w:t>
      </w:r>
      <w:r>
        <w:rPr>
          <w:rFonts w:hint="eastAsia" w:ascii="Times New Roman" w:hAnsi="Times New Roman" w:eastAsia="仿宋" w:cs="Times New Roman"/>
          <w:b/>
          <w:bCs/>
          <w:sz w:val="24"/>
          <w:szCs w:val="24"/>
          <w:lang w:val="en-US" w:eastAsia="zh-CN"/>
        </w:rPr>
        <w:t>商务要求</w:t>
      </w:r>
      <w:r>
        <w:rPr>
          <w:rFonts w:hint="eastAsia" w:ascii="Times New Roman" w:hAnsi="Times New Roman" w:eastAsia="仿宋" w:cs="Times New Roman"/>
          <w:b/>
          <w:bCs/>
          <w:sz w:val="24"/>
          <w:szCs w:val="24"/>
          <w:lang w:eastAsia="zh-CN"/>
        </w:rPr>
        <w:t>：</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kern w:val="2"/>
          <w:sz w:val="24"/>
          <w:szCs w:val="24"/>
          <w:lang w:val="en-US" w:eastAsia="zh-CN" w:bidi="ar-SA"/>
        </w:rPr>
        <w:t>1.</w:t>
      </w:r>
      <w:r>
        <w:rPr>
          <w:rFonts w:hint="eastAsia" w:ascii="Times New Roman" w:hAnsi="Times New Roman" w:eastAsia="仿宋" w:cs="Times New Roman"/>
          <w:sz w:val="24"/>
          <w:szCs w:val="24"/>
          <w:lang w:val="en-US" w:eastAsia="zh-CN"/>
        </w:rPr>
        <w:t>服务期：合同签订之日起30日历天。</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2.服务地点：四川省人民医院（青羊院区）</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付款条件：供应商按项目要求完成全部规划面积测绘及产权面积测绘内容并验收合格完成规划验收部门和住建部门审核备案通过后5日内须向采购人提供合法有效票据及其他相关请款资料，采购人自收到上述票据及资料后55日内一次性全额支付合同总费用。</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4.验收方案：</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(1)验收主体：采购人。</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(2)验收组织方式：自行验收。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(3)验收程序：一次性验收。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(4)验收方式：现场整体验收。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(5)履约验收内容：按照基于本项目采购需求编制的采购文件要求及供应商响应文件情况，由供应商向采购人提供的全部服务。</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(6)履约验收时间：供应商完成全部交付工作后15日内通知采购人验收，采购人接供应商通知后7日内组织验收。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(7)是否邀请本项目的其他供应商：否。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(8)是否邀请专家：否。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(9)是否邀请服务对象：否。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(10)是否邀请第三方检测机构：否。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(11)验收标准：</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1）国家相关法律法规、行业标准、技术规范。</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2）基于本项目采购需求编制的采购文件相关技术、服务要求、供应商响应文件相关响应内容。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3）产品生产厂家出具的产品说明书、技术白皮书、医疗器械注册证或备案凭证等官方技术资料（如涉及）。</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5）按照《财政部关于进一步加强政府采购需求和履约验收管理的指导意见》（财库〔2016〕205号）的要求进行验收。（如本项目不涉及政府采购，将参照此条款）</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6）如本项目验收方式为考核验收，则考核结果须为合格。</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7）其它标准：①《房产测量规范》（</w:t>
      </w:r>
      <w:r>
        <w:rPr>
          <w:rFonts w:hint="eastAsia" w:ascii="Times New Roman" w:hAnsi="Times New Roman" w:eastAsia="仿宋" w:cs="Times New Roman"/>
          <w:sz w:val="24"/>
          <w:szCs w:val="24"/>
        </w:rPr>
        <w:t>GB/T 17986.1-2000</w:t>
      </w:r>
      <w:r>
        <w:rPr>
          <w:rFonts w:hint="eastAsia" w:ascii="Times New Roman" w:hAnsi="Times New Roman" w:eastAsia="仿宋" w:cs="Times New Roman"/>
          <w:sz w:val="24"/>
          <w:szCs w:val="24"/>
          <w:lang w:val="en-US" w:eastAsia="zh-CN"/>
        </w:rPr>
        <w:t>）、②《建筑工程建筑面积计算规范》（</w:t>
      </w:r>
      <w:r>
        <w:rPr>
          <w:rFonts w:hint="eastAsia" w:ascii="Times New Roman" w:hAnsi="Times New Roman" w:eastAsia="仿宋" w:cs="Times New Roman"/>
          <w:sz w:val="24"/>
          <w:szCs w:val="24"/>
        </w:rPr>
        <w:t>GB/T 50353-2013</w:t>
      </w:r>
      <w:r>
        <w:rPr>
          <w:rFonts w:hint="eastAsia" w:ascii="Times New Roman" w:hAnsi="Times New Roman" w:eastAsia="仿宋" w:cs="Times New Roman"/>
          <w:sz w:val="24"/>
          <w:szCs w:val="24"/>
          <w:lang w:val="en-US" w:eastAsia="zh-CN"/>
        </w:rPr>
        <w:t>）、③《房产测绘成果质量检验技术规程》（</w:t>
      </w:r>
      <w:r>
        <w:rPr>
          <w:rFonts w:hint="eastAsia" w:ascii="Times New Roman" w:hAnsi="Times New Roman" w:eastAsia="仿宋" w:cs="Times New Roman"/>
          <w:sz w:val="24"/>
          <w:szCs w:val="24"/>
        </w:rPr>
        <w:t>DB51/T 2275-2016</w:t>
      </w:r>
      <w:r>
        <w:rPr>
          <w:rFonts w:hint="eastAsia" w:ascii="Times New Roman" w:hAnsi="Times New Roman" w:eastAsia="仿宋" w:cs="Times New Roman"/>
          <w:sz w:val="24"/>
          <w:szCs w:val="24"/>
          <w:lang w:val="en-US" w:eastAsia="zh-CN"/>
        </w:rPr>
        <w:t>）、④《房产测绘管理办法》、⑤《四川省测绘管理条例》、⑥《四川省房产测绘实施细则》。</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w:t>
      </w:r>
      <w:r>
        <w:rPr>
          <w:rFonts w:hint="eastAsia" w:ascii="Times New Roman" w:hAnsi="Times New Roman" w:eastAsia="仿宋" w:cs="Times New Roman"/>
          <w:sz w:val="24"/>
          <w:szCs w:val="24"/>
        </w:rPr>
        <w:t>测绘成果符合国家相关现行规范标准并通过相关主管部门审核备案。</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sz w:val="24"/>
          <w:szCs w:val="24"/>
          <w:lang w:val="en-US" w:eastAsia="zh-CN"/>
        </w:rPr>
        <w:t>(12)履约验收其它事项：无。</w:t>
      </w:r>
      <w:r>
        <w:rPr>
          <w:rFonts w:ascii="Times New Roman" w:hAnsi="Times New Roman" w:eastAsia="仿宋" w:cs="Times New Roman"/>
          <w:sz w:val="24"/>
          <w:szCs w:val="24"/>
        </w:rPr>
        <w:cr/>
      </w:r>
      <w:r>
        <w:rPr>
          <w:rFonts w:ascii="Times New Roman" w:hAnsi="Times New Roman" w:eastAsia="仿宋" w:cs="Times New Roman"/>
          <w:b/>
          <w:bCs/>
          <w:sz w:val="24"/>
          <w:szCs w:val="24"/>
        </w:rPr>
        <w:t>四、</w:t>
      </w:r>
      <w:r>
        <w:rPr>
          <w:rFonts w:hint="eastAsia" w:ascii="Times New Roman" w:hAnsi="Times New Roman" w:eastAsia="仿宋" w:cs="Times New Roman"/>
          <w:b/>
          <w:bCs/>
          <w:sz w:val="24"/>
          <w:szCs w:val="24"/>
          <w:lang w:val="en-US" w:eastAsia="zh-CN"/>
        </w:rPr>
        <w:t>其他</w:t>
      </w:r>
      <w:r>
        <w:rPr>
          <w:rFonts w:ascii="Times New Roman" w:hAnsi="Times New Roman" w:eastAsia="仿宋" w:cs="Times New Roman"/>
          <w:b/>
          <w:bCs/>
          <w:sz w:val="24"/>
          <w:szCs w:val="24"/>
        </w:rPr>
        <w:t>要求：</w:t>
      </w:r>
    </w:p>
    <w:p>
      <w:pPr>
        <w:pStyle w:val="16"/>
        <w:widowControl w:val="0"/>
        <w:numPr>
          <w:ilvl w:val="0"/>
          <w:numId w:val="0"/>
        </w:numPr>
        <w:snapToGrid w:val="0"/>
        <w:spacing w:line="288" w:lineRule="auto"/>
        <w:ind w:firstLine="480" w:firstLineChars="200"/>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b w:val="0"/>
          <w:bCs w:val="0"/>
          <w:sz w:val="24"/>
          <w:szCs w:val="24"/>
          <w:lang w:val="en-US" w:eastAsia="zh-CN"/>
        </w:rPr>
        <w:t>1.</w:t>
      </w:r>
      <w:r>
        <w:rPr>
          <w:rFonts w:hint="default" w:ascii="Times New Roman" w:hAnsi="Times New Roman" w:eastAsia="仿宋" w:cs="Times New Roman"/>
          <w:sz w:val="24"/>
          <w:szCs w:val="24"/>
          <w:lang w:val="en-US" w:eastAsia="zh-CN"/>
        </w:rPr>
        <w:t>业绩要求：</w:t>
      </w:r>
      <w:r>
        <w:rPr>
          <w:rFonts w:hint="eastAsia" w:ascii="Times New Roman" w:hAnsi="Times New Roman" w:eastAsia="仿宋" w:cs="Times New Roman"/>
          <w:sz w:val="24"/>
          <w:szCs w:val="24"/>
          <w:lang w:val="en-US" w:eastAsia="zh-CN"/>
        </w:rPr>
        <w:t>（1）企业业绩：供应商提供自</w:t>
      </w:r>
      <w:r>
        <w:rPr>
          <w:rFonts w:hint="default" w:ascii="Times New Roman" w:hAnsi="Times New Roman" w:eastAsia="仿宋" w:cs="Times New Roman"/>
          <w:sz w:val="24"/>
          <w:szCs w:val="24"/>
          <w:lang w:val="en-US" w:eastAsia="zh-CN"/>
        </w:rPr>
        <w:t>2023年 1月 1日至</w:t>
      </w:r>
      <w:r>
        <w:rPr>
          <w:rFonts w:hint="eastAsia" w:ascii="Times New Roman" w:hAnsi="Times New Roman" w:eastAsia="仿宋" w:cs="Times New Roman"/>
          <w:sz w:val="24"/>
          <w:szCs w:val="24"/>
          <w:lang w:val="en-US" w:eastAsia="zh-CN"/>
        </w:rPr>
        <w:t>响应</w:t>
      </w:r>
      <w:r>
        <w:rPr>
          <w:rFonts w:hint="default" w:ascii="Times New Roman" w:hAnsi="Times New Roman" w:eastAsia="仿宋" w:cs="Times New Roman"/>
          <w:sz w:val="24"/>
          <w:szCs w:val="24"/>
          <w:lang w:val="en-US" w:eastAsia="zh-CN"/>
        </w:rPr>
        <w:t>截止时间已完成或新承接或正在实施</w:t>
      </w:r>
      <w:r>
        <w:rPr>
          <w:rFonts w:hint="eastAsia" w:ascii="Times New Roman" w:hAnsi="Times New Roman" w:eastAsia="仿宋" w:cs="Times New Roman"/>
          <w:sz w:val="24"/>
          <w:szCs w:val="24"/>
          <w:lang w:val="en-US" w:eastAsia="zh-CN"/>
        </w:rPr>
        <w:t>的</w:t>
      </w:r>
      <w:r>
        <w:rPr>
          <w:rFonts w:hint="default" w:ascii="Times New Roman" w:hAnsi="Times New Roman" w:eastAsia="仿宋" w:cs="Times New Roman"/>
          <w:sz w:val="24"/>
          <w:szCs w:val="24"/>
          <w:lang w:val="en-US" w:eastAsia="zh-CN"/>
        </w:rPr>
        <w:t>不少于1个类似项目。类似项目是指:房屋面积测绘项目</w:t>
      </w:r>
      <w:r>
        <w:rPr>
          <w:rFonts w:hint="eastAsia" w:ascii="Times New Roman" w:hAnsi="Times New Roman" w:eastAsia="仿宋" w:cs="Times New Roman"/>
          <w:sz w:val="24"/>
          <w:szCs w:val="24"/>
          <w:lang w:val="en-US" w:eastAsia="zh-CN"/>
        </w:rPr>
        <w:t>。</w:t>
      </w:r>
    </w:p>
    <w:p>
      <w:pPr>
        <w:pStyle w:val="16"/>
        <w:widowControl w:val="0"/>
        <w:numPr>
          <w:ilvl w:val="0"/>
          <w:numId w:val="0"/>
        </w:numPr>
        <w:snapToGrid w:val="0"/>
        <w:spacing w:line="288" w:lineRule="auto"/>
        <w:ind w:firstLine="480" w:firstLineChars="200"/>
        <w:rPr>
          <w:rFonts w:hint="eastAsia" w:ascii="仿宋" w:hAnsi="仿宋" w:eastAsia="仿宋" w:cs="仿宋"/>
          <w:sz w:val="24"/>
          <w:szCs w:val="24"/>
          <w:highlight w:val="none"/>
          <w:lang w:val="en-US" w:eastAsia="zh-CN"/>
        </w:rPr>
      </w:pPr>
      <w:r>
        <w:rPr>
          <w:rFonts w:hint="eastAsia" w:ascii="Times New Roman" w:hAnsi="Times New Roman" w:eastAsia="仿宋" w:cs="Times New Roman"/>
          <w:sz w:val="24"/>
          <w:szCs w:val="24"/>
          <w:lang w:val="en-US" w:eastAsia="zh-CN"/>
        </w:rPr>
        <w:t>（2）</w:t>
      </w:r>
      <w:r>
        <w:rPr>
          <w:rFonts w:hint="eastAsia" w:ascii="仿宋" w:hAnsi="仿宋" w:eastAsia="仿宋" w:cs="仿宋"/>
          <w:sz w:val="24"/>
          <w:szCs w:val="24"/>
          <w:highlight w:val="none"/>
          <w:lang w:val="en-US" w:eastAsia="zh-CN"/>
        </w:rPr>
        <w:t>项目负责人业绩：</w:t>
      </w:r>
      <w:r>
        <w:rPr>
          <w:rFonts w:hint="eastAsia" w:ascii="Times New Roman" w:hAnsi="Times New Roman" w:eastAsia="仿宋" w:cs="Times New Roman"/>
          <w:sz w:val="24"/>
          <w:szCs w:val="24"/>
          <w:lang w:val="en-US" w:eastAsia="zh-CN"/>
        </w:rPr>
        <w:t>每提供一个自</w:t>
      </w:r>
      <w:r>
        <w:rPr>
          <w:rFonts w:hint="default" w:ascii="Times New Roman" w:hAnsi="Times New Roman" w:eastAsia="仿宋" w:cs="Times New Roman"/>
          <w:sz w:val="24"/>
          <w:szCs w:val="24"/>
          <w:lang w:val="en-US" w:eastAsia="zh-CN"/>
        </w:rPr>
        <w:t>2023年 1月 1日至</w:t>
      </w:r>
      <w:r>
        <w:rPr>
          <w:rFonts w:hint="eastAsia" w:ascii="Times New Roman" w:hAnsi="Times New Roman" w:eastAsia="仿宋" w:cs="Times New Roman"/>
          <w:sz w:val="24"/>
          <w:szCs w:val="24"/>
          <w:lang w:val="en-US" w:eastAsia="zh-CN"/>
        </w:rPr>
        <w:t>响应</w:t>
      </w:r>
      <w:r>
        <w:rPr>
          <w:rFonts w:hint="default" w:ascii="Times New Roman" w:hAnsi="Times New Roman" w:eastAsia="仿宋" w:cs="Times New Roman"/>
          <w:sz w:val="24"/>
          <w:szCs w:val="24"/>
          <w:lang w:val="en-US" w:eastAsia="zh-CN"/>
        </w:rPr>
        <w:t>截止时间已完成或新承接或正在实施</w:t>
      </w:r>
      <w:r>
        <w:rPr>
          <w:rFonts w:hint="eastAsia" w:ascii="Times New Roman" w:hAnsi="Times New Roman" w:eastAsia="仿宋" w:cs="Times New Roman"/>
          <w:sz w:val="24"/>
          <w:szCs w:val="24"/>
          <w:lang w:val="en-US" w:eastAsia="zh-CN"/>
        </w:rPr>
        <w:t>的</w:t>
      </w:r>
      <w:r>
        <w:rPr>
          <w:rFonts w:hint="default" w:ascii="Times New Roman" w:hAnsi="Times New Roman" w:eastAsia="仿宋" w:cs="Times New Roman"/>
          <w:sz w:val="24"/>
          <w:szCs w:val="24"/>
          <w:lang w:val="en-US" w:eastAsia="zh-CN"/>
        </w:rPr>
        <w:t>不少于1个类似项目。类似项目是指:房屋面积测绘项目</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注：①类似项目业绩提供中标（成交）通知书复印件或合同复印件并加盖供应商公章；②项目负责人业绩可与公司业绩为相同业绩；③业绩时间以合同签订时间为准；④提供合同复印件及能证明为本项目拟派的项目负责人业绩的证明材料。</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lang w:val="en-US" w:eastAsia="zh-CN"/>
        </w:rPr>
        <w:t>人员要求：（1）</w:t>
      </w:r>
      <w:r>
        <w:rPr>
          <w:rFonts w:hint="default" w:ascii="Times New Roman" w:hAnsi="Times New Roman" w:eastAsia="仿宋" w:cs="Times New Roman"/>
          <w:sz w:val="24"/>
          <w:szCs w:val="24"/>
          <w:lang w:val="en-US" w:eastAsia="zh-CN"/>
        </w:rPr>
        <w:t>项目负责人</w:t>
      </w:r>
      <w:bookmarkStart w:id="104" w:name="_GoBack"/>
      <w:bookmarkEnd w:id="104"/>
      <w:r>
        <w:rPr>
          <w:rFonts w:hint="default" w:ascii="Times New Roman" w:hAnsi="Times New Roman" w:eastAsia="仿宋" w:cs="Times New Roman"/>
          <w:sz w:val="24"/>
          <w:szCs w:val="24"/>
          <w:lang w:val="en-US" w:eastAsia="zh-CN"/>
        </w:rPr>
        <w:t>要求：具有测绘类专业副高级及以上职称。</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w:t>
      </w:r>
      <w:r>
        <w:rPr>
          <w:rFonts w:hint="default" w:ascii="Times New Roman" w:hAnsi="Times New Roman" w:eastAsia="仿宋" w:cs="Times New Roman"/>
          <w:sz w:val="24"/>
          <w:szCs w:val="24"/>
          <w:lang w:val="en-US" w:eastAsia="zh-CN"/>
        </w:rPr>
        <w:t xml:space="preserve">团队其他成员要求：具有测绘类专业中级及以上职称4人。 </w:t>
      </w:r>
    </w:p>
    <w:p>
      <w:pPr>
        <w:pStyle w:val="16"/>
        <w:keepNext w:val="0"/>
        <w:keepLines w:val="0"/>
        <w:pageBreakBefore w:val="0"/>
        <w:widowControl w:val="0"/>
        <w:kinsoku/>
        <w:wordWrap/>
        <w:overflowPunct/>
        <w:topLinePunct w:val="0"/>
        <w:autoSpaceDE/>
        <w:autoSpaceDN/>
        <w:bidi w:val="0"/>
        <w:adjustRightInd/>
        <w:spacing w:line="240" w:lineRule="auto"/>
        <w:ind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注：①须提供相关证书扫描件并加盖供应商公章。②项目负责人须为供应商本单位人员，提供人员在供应商本单位的在职证明材料并加盖供应商公章。</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w:t>
      </w:r>
      <w:r>
        <w:rPr>
          <w:rFonts w:hint="default" w:ascii="Times New Roman" w:hAnsi="Times New Roman" w:eastAsia="仿宋" w:cs="Times New Roman"/>
          <w:sz w:val="24"/>
          <w:szCs w:val="24"/>
          <w:lang w:val="en-US" w:eastAsia="zh-CN"/>
        </w:rPr>
        <w:t>.供应商需针对本项目提供服务方案，包含但不限于①项目总体思路；②工作重点和难点分析；③项目进度计划与安排；④人员的安排和计划；⑤项目响应时限；⑥保密管理措施</w:t>
      </w:r>
      <w:r>
        <w:rPr>
          <w:rFonts w:hint="eastAsia" w:ascii="Times New Roman" w:hAnsi="Times New Roman" w:eastAsia="仿宋" w:cs="Times New Roman"/>
          <w:sz w:val="24"/>
          <w:szCs w:val="24"/>
          <w:lang w:val="en-US" w:eastAsia="zh-CN"/>
        </w:rPr>
        <w:t>。</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w:t>
      </w:r>
      <w:r>
        <w:rPr>
          <w:rFonts w:hint="default" w:ascii="Times New Roman" w:hAnsi="Times New Roman" w:eastAsia="仿宋" w:cs="Times New Roman"/>
          <w:sz w:val="24"/>
          <w:szCs w:val="24"/>
          <w:lang w:val="en-US" w:eastAsia="zh-CN"/>
        </w:rPr>
        <w:t>供应商需针对本项目提供质量保证措施，包括但不限于①质量目标；②质量保障体系</w:t>
      </w:r>
      <w:r>
        <w:rPr>
          <w:rFonts w:hint="eastAsia" w:ascii="Times New Roman" w:hAnsi="Times New Roman" w:eastAsia="仿宋" w:cs="Times New Roman"/>
          <w:sz w:val="24"/>
          <w:szCs w:val="24"/>
          <w:lang w:val="en-US" w:eastAsia="zh-CN"/>
        </w:rPr>
        <w:t>；</w:t>
      </w:r>
      <w:r>
        <w:rPr>
          <w:rFonts w:hint="default" w:ascii="Times New Roman" w:hAnsi="Times New Roman" w:eastAsia="仿宋" w:cs="Times New Roman"/>
          <w:sz w:val="24"/>
          <w:szCs w:val="24"/>
          <w:lang w:val="en-US" w:eastAsia="zh-CN"/>
        </w:rPr>
        <w:t>③质量管理措施等。</w:t>
      </w:r>
    </w:p>
    <w:p>
      <w:pPr>
        <w:pStyle w:val="16"/>
        <w:keepNext w:val="0"/>
        <w:keepLines w:val="0"/>
        <w:pageBreakBefore w:val="0"/>
        <w:widowControl w:val="0"/>
        <w:kinsoku/>
        <w:wordWrap/>
        <w:overflowPunct/>
        <w:topLinePunct w:val="0"/>
        <w:autoSpaceDE/>
        <w:autoSpaceDN/>
        <w:bidi w:val="0"/>
        <w:adjustRightInd/>
        <w:snapToGrid w:val="0"/>
        <w:spacing w:before="0" w:after="0" w:line="288" w:lineRule="auto"/>
        <w:ind w:firstLine="0"/>
        <w:jc w:val="left"/>
        <w:textAlignment w:val="auto"/>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pPr>
        <w:rPr>
          <w:lang w:val="zh-CN"/>
        </w:rPr>
      </w:pPr>
    </w:p>
    <w:tbl>
      <w:tblPr>
        <w:tblStyle w:val="19"/>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
        <w:gridCol w:w="965"/>
        <w:gridCol w:w="893"/>
        <w:gridCol w:w="7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965" w:type="dxa"/>
            <w:noWrap w:val="0"/>
            <w:vAlign w:val="center"/>
          </w:tcPr>
          <w:p>
            <w:pPr>
              <w:keepNext w:val="0"/>
              <w:keepLines w:val="0"/>
              <w:pageBreakBefore w:val="0"/>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评分因素</w:t>
            </w:r>
          </w:p>
        </w:tc>
        <w:tc>
          <w:tcPr>
            <w:tcW w:w="893" w:type="dxa"/>
            <w:noWrap w:val="0"/>
            <w:vAlign w:val="center"/>
          </w:tcPr>
          <w:p>
            <w:pPr>
              <w:keepNext w:val="0"/>
              <w:keepLines w:val="0"/>
              <w:pageBreakBefore w:val="0"/>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lang w:val="en-US" w:eastAsia="zh-CN"/>
              </w:rPr>
              <w:t>分值</w:t>
            </w:r>
          </w:p>
        </w:tc>
        <w:tc>
          <w:tcPr>
            <w:tcW w:w="7184"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rPr>
            </w:pPr>
            <w:r>
              <w:rPr>
                <w:rFonts w:hint="eastAsia" w:ascii="仿宋" w:hAnsi="仿宋" w:eastAsia="仿宋" w:cs="仿宋"/>
                <w:i w:val="0"/>
                <w:iCs w:val="0"/>
                <w:caps w:val="0"/>
                <w:spacing w:val="0"/>
                <w:sz w:val="24"/>
                <w:szCs w:val="24"/>
                <w:highlight w:val="none"/>
                <w:shd w:val="clear" w:color="auto" w:fill="FFFFFF"/>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965"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val="0"/>
                <w:iCs w:val="0"/>
                <w:caps w:val="0"/>
                <w:spacing w:val="0"/>
                <w:sz w:val="24"/>
                <w:szCs w:val="24"/>
                <w:highlight w:val="none"/>
                <w:shd w:val="clear" w:color="auto" w:fill="FFFFFF"/>
              </w:rPr>
            </w:pPr>
            <w:r>
              <w:rPr>
                <w:rFonts w:hint="eastAsia" w:ascii="仿宋" w:hAnsi="仿宋" w:eastAsia="仿宋" w:cs="仿宋"/>
                <w:color w:val="auto"/>
                <w:sz w:val="24"/>
                <w:szCs w:val="24"/>
                <w:highlight w:val="none"/>
                <w:lang w:val="en-US" w:eastAsia="zh-CN"/>
              </w:rPr>
              <w:t>报价</w:t>
            </w:r>
          </w:p>
        </w:tc>
        <w:tc>
          <w:tcPr>
            <w:tcW w:w="89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val="0"/>
                <w:iCs w:val="0"/>
                <w:caps w:val="0"/>
                <w:spacing w:val="0"/>
                <w:sz w:val="24"/>
                <w:szCs w:val="24"/>
                <w:highlight w:val="none"/>
                <w:shd w:val="clear" w:color="auto" w:fill="FFFFFF"/>
                <w:lang w:val="en-US"/>
              </w:rPr>
            </w:pPr>
            <w:r>
              <w:rPr>
                <w:rFonts w:hint="eastAsia" w:ascii="仿宋" w:hAnsi="仿宋" w:eastAsia="仿宋" w:cs="仿宋"/>
                <w:color w:val="auto"/>
                <w:sz w:val="24"/>
                <w:szCs w:val="24"/>
                <w:highlight w:val="none"/>
                <w:lang w:val="en-US" w:eastAsia="zh-CN"/>
              </w:rPr>
              <w:t>10分</w:t>
            </w:r>
          </w:p>
        </w:tc>
        <w:tc>
          <w:tcPr>
            <w:tcW w:w="7184"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jc w:val="left"/>
              <w:textAlignment w:val="auto"/>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满足谈判文件要求且价格最低的谈判报价为谈判基准价，其价格分为满分。其他供应商的价格分统一按照下列公式计算：谈判报价得分=(谈判基准价／谈判报价)×10。</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jc w:val="left"/>
              <w:textAlignment w:val="auto"/>
              <w:rPr>
                <w:rFonts w:hint="eastAsia" w:ascii="仿宋" w:hAnsi="仿宋" w:eastAsia="仿宋" w:cs="仿宋"/>
                <w:i w:val="0"/>
                <w:iCs w:val="0"/>
                <w:caps w:val="0"/>
                <w:spacing w:val="0"/>
                <w:sz w:val="24"/>
                <w:szCs w:val="24"/>
                <w:highlight w:val="none"/>
                <w:shd w:val="clear" w:color="auto" w:fill="FFFFFF"/>
              </w:rPr>
            </w:pPr>
            <w:r>
              <w:rPr>
                <w:rFonts w:hint="eastAsia" w:ascii="仿宋" w:hAnsi="仿宋" w:eastAsia="仿宋" w:cs="仿宋"/>
                <w:b w:val="0"/>
                <w:bCs/>
                <w:sz w:val="24"/>
                <w:szCs w:val="24"/>
                <w:highlight w:val="none"/>
                <w:lang w:val="en-US" w:eastAsia="zh-CN"/>
              </w:rPr>
              <w:t>注：四舍五入保留小数点后两位。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965" w:type="dxa"/>
            <w:shd w:val="clear" w:color="auto" w:fill="auto"/>
            <w:noWrap w:val="0"/>
            <w:vAlign w:val="center"/>
          </w:tcPr>
          <w:p>
            <w:pPr>
              <w:pStyle w:val="42"/>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人员配置</w:t>
            </w:r>
          </w:p>
        </w:tc>
        <w:tc>
          <w:tcPr>
            <w:tcW w:w="893" w:type="dxa"/>
            <w:shd w:val="clear" w:color="auto" w:fill="auto"/>
            <w:noWrap w:val="0"/>
            <w:vAlign w:val="center"/>
          </w:tcPr>
          <w:p>
            <w:pPr>
              <w:pStyle w:val="42"/>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27分</w:t>
            </w:r>
          </w:p>
        </w:tc>
        <w:tc>
          <w:tcPr>
            <w:tcW w:w="7184" w:type="dxa"/>
            <w:shd w:val="clear" w:color="auto" w:fill="auto"/>
            <w:noWrap w:val="0"/>
            <w:vAlign w:val="top"/>
          </w:tcPr>
          <w:p>
            <w:pPr>
              <w:pStyle w:val="42"/>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（1）项目负责人:</w:t>
            </w:r>
            <w:r>
              <w:rPr>
                <w:rFonts w:hint="default" w:ascii="Times New Roman" w:hAnsi="Times New Roman" w:eastAsia="仿宋" w:cs="Times New Roman"/>
                <w:sz w:val="24"/>
                <w:szCs w:val="24"/>
                <w:lang w:val="en-US" w:eastAsia="zh-CN"/>
              </w:rPr>
              <w:t>具有测绘类专业副高级</w:t>
            </w:r>
            <w:r>
              <w:rPr>
                <w:rFonts w:hint="eastAsia" w:ascii="Times New Roman" w:hAnsi="Times New Roman" w:eastAsia="仿宋" w:cs="Times New Roman"/>
                <w:sz w:val="24"/>
                <w:szCs w:val="24"/>
                <w:lang w:val="en-US" w:eastAsia="zh-CN"/>
              </w:rPr>
              <w:t>职称得5分，具有正高级</w:t>
            </w:r>
            <w:r>
              <w:rPr>
                <w:rFonts w:hint="default" w:ascii="Times New Roman" w:hAnsi="Times New Roman" w:eastAsia="仿宋" w:cs="Times New Roman"/>
                <w:sz w:val="24"/>
                <w:szCs w:val="24"/>
                <w:lang w:val="en-US" w:eastAsia="zh-CN"/>
              </w:rPr>
              <w:t>职称</w:t>
            </w:r>
            <w:r>
              <w:rPr>
                <w:rFonts w:hint="eastAsia" w:ascii="Times New Roman" w:hAnsi="Times New Roman" w:eastAsia="仿宋" w:cs="Times New Roman"/>
                <w:sz w:val="24"/>
                <w:szCs w:val="24"/>
                <w:lang w:val="en-US" w:eastAsia="zh-CN"/>
              </w:rPr>
              <w:t>得7分，本项最多得7分；</w:t>
            </w:r>
            <w:r>
              <w:rPr>
                <w:rFonts w:hint="eastAsia" w:ascii="仿宋" w:hAnsi="仿宋" w:eastAsia="仿宋" w:cs="仿宋"/>
                <w:color w:val="auto"/>
                <w:sz w:val="24"/>
                <w:szCs w:val="24"/>
                <w:highlight w:val="none"/>
                <w:lang w:val="en-US" w:eastAsia="zh-CN"/>
              </w:rPr>
              <w:t xml:space="preserve"> </w:t>
            </w:r>
          </w:p>
          <w:p>
            <w:pPr>
              <w:pStyle w:val="42"/>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（2）项目组成员：</w:t>
            </w:r>
            <w:r>
              <w:rPr>
                <w:rFonts w:hint="default" w:ascii="Times New Roman" w:hAnsi="Times New Roman" w:eastAsia="仿宋" w:cs="Times New Roman"/>
                <w:sz w:val="24"/>
                <w:szCs w:val="24"/>
                <w:lang w:val="en-US" w:eastAsia="zh-CN"/>
              </w:rPr>
              <w:t>具有测绘类专业中级</w:t>
            </w:r>
            <w:r>
              <w:rPr>
                <w:rFonts w:hint="eastAsia" w:ascii="Times New Roman" w:hAnsi="Times New Roman" w:eastAsia="仿宋" w:cs="Times New Roman"/>
                <w:sz w:val="24"/>
                <w:szCs w:val="24"/>
                <w:lang w:val="en-US" w:eastAsia="zh-CN"/>
              </w:rPr>
              <w:t>职称得3分，具有副高级</w:t>
            </w:r>
            <w:r>
              <w:rPr>
                <w:rFonts w:hint="default" w:ascii="Times New Roman" w:hAnsi="Times New Roman" w:eastAsia="仿宋" w:cs="Times New Roman"/>
                <w:sz w:val="24"/>
                <w:szCs w:val="24"/>
                <w:lang w:val="en-US" w:eastAsia="zh-CN"/>
              </w:rPr>
              <w:t>及以上职称</w:t>
            </w:r>
            <w:r>
              <w:rPr>
                <w:rFonts w:hint="eastAsia" w:ascii="Times New Roman" w:hAnsi="Times New Roman" w:eastAsia="仿宋" w:cs="Times New Roman"/>
                <w:sz w:val="24"/>
                <w:szCs w:val="24"/>
                <w:lang w:val="en-US" w:eastAsia="zh-CN"/>
              </w:rPr>
              <w:t>得5分，本项最多得20分</w:t>
            </w:r>
            <w:r>
              <w:rPr>
                <w:rFonts w:hint="eastAsia" w:ascii="仿宋" w:hAnsi="仿宋" w:eastAsia="仿宋" w:cs="仿宋"/>
                <w:color w:val="auto"/>
                <w:sz w:val="24"/>
                <w:szCs w:val="24"/>
                <w:highlight w:val="none"/>
                <w:lang w:val="en-US" w:eastAsia="zh-CN"/>
              </w:rPr>
              <w:t>。</w:t>
            </w:r>
          </w:p>
          <w:p>
            <w:pPr>
              <w:pStyle w:val="42"/>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sz w:val="24"/>
                <w:szCs w:val="24"/>
                <w:highlight w:val="none"/>
                <w:lang w:val="zh-CN"/>
              </w:rPr>
              <w:t>注：①须提供相关证书扫描件并加盖供应商公章。②项目负责人须为供应商本单位人员，提供人员在供应商本单位的在职证明材料并加盖供应商公章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pStyle w:val="42"/>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履约业绩</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51分</w:t>
            </w:r>
          </w:p>
        </w:tc>
        <w:tc>
          <w:tcPr>
            <w:tcW w:w="7184" w:type="dxa"/>
            <w:shd w:val="clear" w:color="auto" w:fill="auto"/>
            <w:noWrap w:val="0"/>
            <w:vAlign w:val="center"/>
          </w:tcPr>
          <w:p>
            <w:pPr>
              <w:keepNext w:val="0"/>
              <w:keepLines w:val="0"/>
              <w:pageBreakBefore w:val="0"/>
              <w:widowControl/>
              <w:numPr>
                <w:ilvl w:val="0"/>
                <w:numId w:val="12"/>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Times New Roman" w:hAnsi="Times New Roman" w:eastAsia="仿宋" w:cs="Times New Roman"/>
                <w:sz w:val="24"/>
                <w:szCs w:val="24"/>
                <w:lang w:val="en-US" w:eastAsia="zh-CN"/>
              </w:rPr>
              <w:t>企业业绩：供应商每提供一个自</w:t>
            </w:r>
            <w:r>
              <w:rPr>
                <w:rFonts w:hint="default" w:ascii="Times New Roman" w:hAnsi="Times New Roman" w:eastAsia="仿宋" w:cs="Times New Roman"/>
                <w:sz w:val="24"/>
                <w:szCs w:val="24"/>
                <w:lang w:val="en-US" w:eastAsia="zh-CN"/>
              </w:rPr>
              <w:t>2023年 1月 1日至</w:t>
            </w:r>
            <w:r>
              <w:rPr>
                <w:rFonts w:hint="eastAsia" w:ascii="Times New Roman" w:hAnsi="Times New Roman" w:eastAsia="仿宋" w:cs="Times New Roman"/>
                <w:sz w:val="24"/>
                <w:szCs w:val="24"/>
                <w:lang w:val="en-US" w:eastAsia="zh-CN"/>
              </w:rPr>
              <w:t>响应</w:t>
            </w:r>
            <w:r>
              <w:rPr>
                <w:rFonts w:hint="default" w:ascii="Times New Roman" w:hAnsi="Times New Roman" w:eastAsia="仿宋" w:cs="Times New Roman"/>
                <w:sz w:val="24"/>
                <w:szCs w:val="24"/>
                <w:lang w:val="en-US" w:eastAsia="zh-CN"/>
              </w:rPr>
              <w:t>截止时间已完成或新承接或正在实施</w:t>
            </w:r>
            <w:r>
              <w:rPr>
                <w:rFonts w:hint="eastAsia" w:ascii="Times New Roman" w:hAnsi="Times New Roman" w:eastAsia="仿宋" w:cs="Times New Roman"/>
                <w:sz w:val="24"/>
                <w:szCs w:val="24"/>
                <w:lang w:val="en-US" w:eastAsia="zh-CN"/>
              </w:rPr>
              <w:t>的</w:t>
            </w:r>
            <w:r>
              <w:rPr>
                <w:rFonts w:hint="default" w:ascii="Times New Roman" w:hAnsi="Times New Roman" w:eastAsia="仿宋" w:cs="Times New Roman"/>
                <w:sz w:val="24"/>
                <w:szCs w:val="24"/>
                <w:lang w:val="en-US" w:eastAsia="zh-CN"/>
              </w:rPr>
              <w:t>类似项目</w:t>
            </w:r>
            <w:r>
              <w:rPr>
                <w:rFonts w:hint="eastAsia" w:ascii="Times New Roman" w:hAnsi="Times New Roman" w:eastAsia="仿宋" w:cs="Times New Roman"/>
                <w:sz w:val="24"/>
                <w:szCs w:val="24"/>
                <w:lang w:val="en-US" w:eastAsia="zh-CN"/>
              </w:rPr>
              <w:t>得6分，本项最多得36分</w:t>
            </w:r>
            <w:r>
              <w:rPr>
                <w:rFonts w:hint="default" w:ascii="Times New Roman" w:hAnsi="Times New Roman" w:eastAsia="仿宋" w:cs="Times New Roman"/>
                <w:sz w:val="24"/>
                <w:szCs w:val="24"/>
                <w:lang w:val="en-US" w:eastAsia="zh-CN"/>
              </w:rPr>
              <w:t>。类似项目是指:房屋面积测绘项目</w:t>
            </w:r>
            <w:r>
              <w:rPr>
                <w:rFonts w:hint="eastAsia" w:ascii="仿宋" w:hAnsi="仿宋" w:eastAsia="仿宋" w:cs="仿宋"/>
                <w:sz w:val="24"/>
                <w:szCs w:val="24"/>
                <w:highlight w:val="none"/>
                <w:lang w:val="en-US" w:eastAsia="zh-CN"/>
              </w:rPr>
              <w:t>。</w:t>
            </w:r>
          </w:p>
          <w:p>
            <w:pPr>
              <w:keepNext w:val="0"/>
              <w:keepLines w:val="0"/>
              <w:pageBreakBefore w:val="0"/>
              <w:widowControl/>
              <w:numPr>
                <w:ilvl w:val="0"/>
                <w:numId w:val="12"/>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项目负责人业绩：</w:t>
            </w:r>
            <w:r>
              <w:rPr>
                <w:rFonts w:hint="eastAsia" w:ascii="Times New Roman" w:hAnsi="Times New Roman" w:eastAsia="仿宋" w:cs="Times New Roman"/>
                <w:sz w:val="24"/>
                <w:szCs w:val="24"/>
                <w:lang w:val="en-US" w:eastAsia="zh-CN"/>
              </w:rPr>
              <w:t>每提供一个自</w:t>
            </w:r>
            <w:r>
              <w:rPr>
                <w:rFonts w:hint="default" w:ascii="Times New Roman" w:hAnsi="Times New Roman" w:eastAsia="仿宋" w:cs="Times New Roman"/>
                <w:sz w:val="24"/>
                <w:szCs w:val="24"/>
                <w:lang w:val="en-US" w:eastAsia="zh-CN"/>
              </w:rPr>
              <w:t>2023年 1月 1日至</w:t>
            </w:r>
            <w:r>
              <w:rPr>
                <w:rFonts w:hint="eastAsia" w:ascii="Times New Roman" w:hAnsi="Times New Roman" w:eastAsia="仿宋" w:cs="Times New Roman"/>
                <w:sz w:val="24"/>
                <w:szCs w:val="24"/>
                <w:lang w:val="en-US" w:eastAsia="zh-CN"/>
              </w:rPr>
              <w:t>响应</w:t>
            </w:r>
            <w:r>
              <w:rPr>
                <w:rFonts w:hint="default" w:ascii="Times New Roman" w:hAnsi="Times New Roman" w:eastAsia="仿宋" w:cs="Times New Roman"/>
                <w:sz w:val="24"/>
                <w:szCs w:val="24"/>
                <w:lang w:val="en-US" w:eastAsia="zh-CN"/>
              </w:rPr>
              <w:t>截止时间已完成或新承接或正在实施</w:t>
            </w:r>
            <w:r>
              <w:rPr>
                <w:rFonts w:hint="eastAsia" w:ascii="Times New Roman" w:hAnsi="Times New Roman" w:eastAsia="仿宋" w:cs="Times New Roman"/>
                <w:sz w:val="24"/>
                <w:szCs w:val="24"/>
                <w:lang w:val="en-US" w:eastAsia="zh-CN"/>
              </w:rPr>
              <w:t>的</w:t>
            </w:r>
            <w:r>
              <w:rPr>
                <w:rFonts w:hint="default" w:ascii="Times New Roman" w:hAnsi="Times New Roman" w:eastAsia="仿宋" w:cs="Times New Roman"/>
                <w:sz w:val="24"/>
                <w:szCs w:val="24"/>
                <w:lang w:val="en-US" w:eastAsia="zh-CN"/>
              </w:rPr>
              <w:t>类似项目</w:t>
            </w:r>
            <w:r>
              <w:rPr>
                <w:rFonts w:hint="eastAsia" w:ascii="Times New Roman" w:hAnsi="Times New Roman" w:eastAsia="仿宋" w:cs="Times New Roman"/>
                <w:sz w:val="24"/>
                <w:szCs w:val="24"/>
                <w:lang w:val="en-US" w:eastAsia="zh-CN"/>
              </w:rPr>
              <w:t>得5分，本项最多得15分</w:t>
            </w:r>
            <w:r>
              <w:rPr>
                <w:rFonts w:hint="default" w:ascii="Times New Roman" w:hAnsi="Times New Roman" w:eastAsia="仿宋" w:cs="Times New Roman"/>
                <w:sz w:val="24"/>
                <w:szCs w:val="24"/>
                <w:lang w:val="en-US" w:eastAsia="zh-CN"/>
              </w:rPr>
              <w:t>。类似项目是指:房屋面积测绘项目</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Times New Roman" w:hAnsi="Times New Roman" w:eastAsia="仿宋" w:cs="Times New Roman"/>
                <w:sz w:val="24"/>
                <w:szCs w:val="24"/>
                <w:lang w:val="en-US" w:eastAsia="zh-CN"/>
              </w:rPr>
              <w:t>注：①类似项目业绩提供中标（成交）通知书复印件或合同复印件并加盖供应商公章；②项目负责人业绩可与公司业绩为相同业绩；③业绩时间以合同签订时间为准；④提供合同复印件及能证明为本项目拟派的项目负责人业绩的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pStyle w:val="42"/>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default" w:ascii="仿宋" w:hAnsi="仿宋" w:eastAsia="仿宋" w:cs="仿宋"/>
                <w:color w:val="auto"/>
                <w:sz w:val="24"/>
                <w:szCs w:val="24"/>
                <w:highlight w:val="none"/>
                <w:lang w:val="en-US" w:eastAsia="zh-CN"/>
              </w:rPr>
              <w:t>服务方案</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9分</w:t>
            </w:r>
          </w:p>
        </w:tc>
        <w:tc>
          <w:tcPr>
            <w:tcW w:w="7184" w:type="dxa"/>
            <w:shd w:val="clear" w:color="auto" w:fill="auto"/>
            <w:noWrap w:val="0"/>
            <w:vAlign w:val="center"/>
          </w:tcPr>
          <w:p>
            <w:pPr>
              <w:widowControl/>
              <w:jc w:val="left"/>
              <w:outlineLvl w:val="1"/>
              <w:rPr>
                <w:rFonts w:hint="eastAsia" w:ascii="仿宋" w:hAnsi="仿宋" w:eastAsia="仿宋" w:cs="仿宋"/>
                <w:b w:val="0"/>
                <w:bCs/>
                <w:sz w:val="24"/>
                <w:szCs w:val="24"/>
              </w:rPr>
            </w:pPr>
            <w:r>
              <w:rPr>
                <w:rFonts w:hint="default" w:ascii="Times New Roman" w:hAnsi="Times New Roman" w:eastAsia="仿宋" w:cs="Times New Roman"/>
                <w:sz w:val="24"/>
                <w:szCs w:val="24"/>
                <w:lang w:val="en-US" w:eastAsia="zh-CN"/>
              </w:rPr>
              <w:t>供应商需针对本项目提供服务方案，包含但不限于①项目总体思路；②工作重点和难点分析；③项目进度计划与安排；④人员的安排和计划；⑤项目响应时限；⑥保密管理措施</w:t>
            </w:r>
            <w:r>
              <w:rPr>
                <w:rFonts w:hint="eastAsia" w:ascii="Times New Roman" w:hAnsi="Times New Roman" w:eastAsia="仿宋" w:cs="Times New Roman"/>
                <w:sz w:val="24"/>
                <w:szCs w:val="24"/>
                <w:lang w:val="en-US" w:eastAsia="zh-CN"/>
              </w:rPr>
              <w:t>。</w:t>
            </w:r>
            <w:r>
              <w:rPr>
                <w:rFonts w:hint="eastAsia" w:ascii="仿宋" w:hAnsi="仿宋" w:eastAsia="仿宋" w:cs="仿宋"/>
                <w:sz w:val="24"/>
                <w:szCs w:val="24"/>
              </w:rPr>
              <w:t>以上</w:t>
            </w:r>
            <w:r>
              <w:rPr>
                <w:rFonts w:hint="eastAsia" w:ascii="仿宋" w:hAnsi="仿宋" w:eastAsia="仿宋" w:cs="仿宋"/>
                <w:sz w:val="24"/>
                <w:szCs w:val="24"/>
                <w:lang w:val="en-US" w:eastAsia="zh-CN"/>
              </w:rPr>
              <w:t>6</w:t>
            </w:r>
            <w:r>
              <w:rPr>
                <w:rFonts w:hint="eastAsia" w:ascii="仿宋" w:hAnsi="仿宋" w:eastAsia="仿宋" w:cs="仿宋"/>
                <w:sz w:val="24"/>
                <w:szCs w:val="24"/>
              </w:rPr>
              <w:t>项</w:t>
            </w:r>
            <w:r>
              <w:rPr>
                <w:rFonts w:hint="eastAsia" w:ascii="仿宋" w:hAnsi="仿宋" w:eastAsia="仿宋" w:cs="仿宋"/>
                <w:sz w:val="24"/>
                <w:szCs w:val="24"/>
                <w:lang w:val="en-US" w:eastAsia="zh-CN"/>
              </w:rPr>
              <w:t>完全满足</w:t>
            </w:r>
            <w:r>
              <w:rPr>
                <w:rFonts w:hint="eastAsia" w:ascii="仿宋" w:hAnsi="仿宋" w:eastAsia="仿宋" w:cs="仿宋"/>
                <w:sz w:val="24"/>
                <w:szCs w:val="24"/>
              </w:rPr>
              <w:t>得</w:t>
            </w:r>
            <w:r>
              <w:rPr>
                <w:rFonts w:hint="eastAsia" w:ascii="仿宋" w:hAnsi="仿宋" w:eastAsia="仿宋" w:cs="仿宋"/>
                <w:sz w:val="24"/>
                <w:szCs w:val="24"/>
                <w:lang w:val="en-US" w:eastAsia="zh-CN"/>
              </w:rPr>
              <w:t>9</w:t>
            </w:r>
            <w:r>
              <w:rPr>
                <w:rFonts w:hint="eastAsia" w:ascii="仿宋" w:hAnsi="仿宋" w:eastAsia="仿宋" w:cs="仿宋"/>
                <w:sz w:val="24"/>
                <w:szCs w:val="24"/>
              </w:rPr>
              <w:t>分。每缺失一项扣</w:t>
            </w:r>
            <w:r>
              <w:rPr>
                <w:rFonts w:hint="eastAsia" w:ascii="仿宋" w:hAnsi="仿宋" w:eastAsia="仿宋" w:cs="仿宋"/>
                <w:sz w:val="24"/>
                <w:szCs w:val="24"/>
                <w:lang w:val="en-US" w:eastAsia="zh-CN"/>
              </w:rPr>
              <w:t>1.5</w:t>
            </w:r>
            <w:r>
              <w:rPr>
                <w:rFonts w:hint="eastAsia" w:ascii="仿宋" w:hAnsi="仿宋" w:eastAsia="仿宋" w:cs="仿宋"/>
                <w:sz w:val="24"/>
                <w:szCs w:val="24"/>
              </w:rPr>
              <w:t>分，每项中每有一处缺陷的</w:t>
            </w:r>
            <w:r>
              <w:rPr>
                <w:rFonts w:hint="eastAsia" w:ascii="仿宋" w:hAnsi="仿宋" w:eastAsia="仿宋" w:cs="仿宋"/>
                <w:b w:val="0"/>
                <w:bCs/>
                <w:sz w:val="24"/>
                <w:szCs w:val="24"/>
              </w:rPr>
              <w:t>扣</w:t>
            </w:r>
            <w:r>
              <w:rPr>
                <w:rFonts w:hint="eastAsia" w:ascii="仿宋" w:hAnsi="仿宋" w:eastAsia="仿宋" w:cs="仿宋"/>
                <w:b w:val="0"/>
                <w:bCs/>
                <w:sz w:val="24"/>
                <w:szCs w:val="24"/>
                <w:lang w:val="en-US" w:eastAsia="zh-CN"/>
              </w:rPr>
              <w:t>0.75</w:t>
            </w:r>
            <w:r>
              <w:rPr>
                <w:rFonts w:hint="eastAsia" w:ascii="仿宋" w:hAnsi="仿宋" w:eastAsia="仿宋" w:cs="仿宋"/>
                <w:b w:val="0"/>
                <w:bCs/>
                <w:sz w:val="24"/>
                <w:szCs w:val="24"/>
              </w:rPr>
              <w:t>分，扣完为止。</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pStyle w:val="42"/>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b w:val="0"/>
                <w:bCs/>
                <w:kern w:val="2"/>
                <w:sz w:val="24"/>
                <w:szCs w:val="24"/>
                <w:highlight w:val="none"/>
                <w:lang w:val="en-US" w:eastAsia="zh-CN" w:bidi="ar-SA"/>
              </w:rPr>
            </w:pPr>
            <w:r>
              <w:rPr>
                <w:rFonts w:hint="default" w:ascii="仿宋" w:hAnsi="仿宋" w:eastAsia="仿宋" w:cs="仿宋"/>
                <w:color w:val="auto"/>
                <w:sz w:val="24"/>
                <w:szCs w:val="24"/>
                <w:highlight w:val="none"/>
                <w:lang w:val="en-US" w:eastAsia="zh-CN"/>
              </w:rPr>
              <w:t>质量保证措施</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3分</w:t>
            </w:r>
          </w:p>
        </w:tc>
        <w:tc>
          <w:tcPr>
            <w:tcW w:w="7184" w:type="dxa"/>
            <w:shd w:val="clear" w:color="auto" w:fill="auto"/>
            <w:noWrap w:val="0"/>
            <w:vAlign w:val="center"/>
          </w:tcPr>
          <w:p>
            <w:pPr>
              <w:widowControl/>
              <w:jc w:val="left"/>
              <w:outlineLvl w:val="1"/>
              <w:rPr>
                <w:rFonts w:hint="eastAsia" w:ascii="仿宋" w:hAnsi="仿宋" w:eastAsia="仿宋" w:cs="仿宋"/>
                <w:b w:val="0"/>
                <w:bCs/>
                <w:sz w:val="24"/>
                <w:szCs w:val="24"/>
              </w:rPr>
            </w:pPr>
            <w:r>
              <w:rPr>
                <w:rFonts w:hint="default" w:ascii="Times New Roman" w:hAnsi="Times New Roman" w:eastAsia="仿宋" w:cs="Times New Roman"/>
                <w:sz w:val="24"/>
                <w:szCs w:val="24"/>
                <w:lang w:val="en-US" w:eastAsia="zh-CN"/>
              </w:rPr>
              <w:t>供应商需针对本项目提供质量保证措施，包括但不限于①质量目标；②质量保障体系</w:t>
            </w:r>
            <w:r>
              <w:rPr>
                <w:rFonts w:hint="eastAsia" w:ascii="Times New Roman" w:hAnsi="Times New Roman" w:eastAsia="仿宋" w:cs="Times New Roman"/>
                <w:sz w:val="24"/>
                <w:szCs w:val="24"/>
                <w:lang w:val="en-US" w:eastAsia="zh-CN"/>
              </w:rPr>
              <w:t>；</w:t>
            </w:r>
            <w:r>
              <w:rPr>
                <w:rFonts w:hint="default" w:ascii="Times New Roman" w:hAnsi="Times New Roman" w:eastAsia="仿宋" w:cs="Times New Roman"/>
                <w:sz w:val="24"/>
                <w:szCs w:val="24"/>
                <w:lang w:val="en-US" w:eastAsia="zh-CN"/>
              </w:rPr>
              <w:t>③质量管理措施</w:t>
            </w:r>
            <w:r>
              <w:rPr>
                <w:rFonts w:hint="eastAsia" w:ascii="仿宋" w:hAnsi="仿宋" w:eastAsia="仿宋" w:cs="仿宋"/>
                <w:b w:val="0"/>
                <w:bCs/>
                <w:sz w:val="24"/>
                <w:szCs w:val="24"/>
                <w:highlight w:val="none"/>
                <w:lang w:val="en-US" w:eastAsia="zh-CN"/>
              </w:rPr>
              <w:t>。</w:t>
            </w:r>
            <w:r>
              <w:rPr>
                <w:rFonts w:hint="eastAsia" w:ascii="仿宋" w:hAnsi="仿宋" w:eastAsia="仿宋" w:cs="仿宋"/>
                <w:sz w:val="24"/>
                <w:szCs w:val="24"/>
              </w:rPr>
              <w:t>以上</w:t>
            </w:r>
            <w:r>
              <w:rPr>
                <w:rFonts w:hint="eastAsia" w:ascii="仿宋" w:hAnsi="仿宋" w:eastAsia="仿宋" w:cs="仿宋"/>
                <w:sz w:val="24"/>
                <w:szCs w:val="24"/>
                <w:lang w:val="en-US" w:eastAsia="zh-CN"/>
              </w:rPr>
              <w:t>3</w:t>
            </w:r>
            <w:r>
              <w:rPr>
                <w:rFonts w:hint="eastAsia" w:ascii="仿宋" w:hAnsi="仿宋" w:eastAsia="仿宋" w:cs="仿宋"/>
                <w:sz w:val="24"/>
                <w:szCs w:val="24"/>
              </w:rPr>
              <w:t>项</w:t>
            </w:r>
            <w:r>
              <w:rPr>
                <w:rFonts w:hint="eastAsia" w:ascii="仿宋" w:hAnsi="仿宋" w:eastAsia="仿宋" w:cs="仿宋"/>
                <w:sz w:val="24"/>
                <w:szCs w:val="24"/>
                <w:lang w:val="en-US" w:eastAsia="zh-CN"/>
              </w:rPr>
              <w:t>完全满足</w:t>
            </w:r>
            <w:r>
              <w:rPr>
                <w:rFonts w:hint="eastAsia" w:ascii="仿宋" w:hAnsi="仿宋" w:eastAsia="仿宋" w:cs="仿宋"/>
                <w:sz w:val="24"/>
                <w:szCs w:val="24"/>
              </w:rPr>
              <w:t>得</w:t>
            </w:r>
            <w:r>
              <w:rPr>
                <w:rFonts w:hint="eastAsia" w:ascii="仿宋" w:hAnsi="仿宋" w:eastAsia="仿宋" w:cs="仿宋"/>
                <w:sz w:val="24"/>
                <w:szCs w:val="24"/>
                <w:lang w:val="en-US" w:eastAsia="zh-CN"/>
              </w:rPr>
              <w:t>3</w:t>
            </w:r>
            <w:r>
              <w:rPr>
                <w:rFonts w:hint="eastAsia" w:ascii="仿宋" w:hAnsi="仿宋" w:eastAsia="仿宋" w:cs="仿宋"/>
                <w:sz w:val="24"/>
                <w:szCs w:val="24"/>
              </w:rPr>
              <w:t>分。每缺失一项扣</w:t>
            </w:r>
            <w:r>
              <w:rPr>
                <w:rFonts w:hint="eastAsia" w:ascii="仿宋" w:hAnsi="仿宋" w:eastAsia="仿宋" w:cs="仿宋"/>
                <w:sz w:val="24"/>
                <w:szCs w:val="24"/>
                <w:lang w:val="en-US" w:eastAsia="zh-CN"/>
              </w:rPr>
              <w:t>1</w:t>
            </w:r>
            <w:r>
              <w:rPr>
                <w:rFonts w:hint="eastAsia" w:ascii="仿宋" w:hAnsi="仿宋" w:eastAsia="仿宋" w:cs="仿宋"/>
                <w:sz w:val="24"/>
                <w:szCs w:val="24"/>
              </w:rPr>
              <w:t>分，每项中每有一处缺陷的</w:t>
            </w:r>
            <w:r>
              <w:rPr>
                <w:rFonts w:hint="eastAsia" w:ascii="仿宋" w:hAnsi="仿宋" w:eastAsia="仿宋" w:cs="仿宋"/>
                <w:b w:val="0"/>
                <w:bCs/>
                <w:sz w:val="24"/>
                <w:szCs w:val="24"/>
              </w:rPr>
              <w:t>扣</w:t>
            </w:r>
            <w:r>
              <w:rPr>
                <w:rFonts w:hint="eastAsia" w:ascii="仿宋" w:hAnsi="仿宋" w:eastAsia="仿宋" w:cs="仿宋"/>
                <w:b w:val="0"/>
                <w:bCs/>
                <w:sz w:val="24"/>
                <w:szCs w:val="24"/>
                <w:lang w:val="en-US" w:eastAsia="zh-CN"/>
              </w:rPr>
              <w:t>0.5</w:t>
            </w:r>
            <w:r>
              <w:rPr>
                <w:rFonts w:hint="eastAsia" w:ascii="仿宋" w:hAnsi="仿宋" w:eastAsia="仿宋" w:cs="仿宋"/>
                <w:b w:val="0"/>
                <w:bCs/>
                <w:sz w:val="24"/>
                <w:szCs w:val="24"/>
              </w:rPr>
              <w:t>分，扣完为止。</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0" w:name="_Toc24097"/>
      <w:bookmarkStart w:id="31" w:name="_Toc21472"/>
    </w:p>
    <w:bookmarkEnd w:id="30"/>
    <w:bookmarkEnd w:id="31"/>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2" w:name="_Toc24859"/>
      <w:bookmarkStart w:id="33" w:name="_Toc17163"/>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pPr>
        <w:jc w:val="left"/>
        <w:rPr>
          <w:rFonts w:ascii="Times New Roman" w:hAnsi="Times New Roman" w:eastAsia="仿宋" w:cs="Times New Roman"/>
          <w:sz w:val="28"/>
          <w:szCs w:val="24"/>
        </w:rPr>
      </w:pPr>
      <w:bookmarkStart w:id="40" w:name="_Toc27526"/>
      <w:bookmarkStart w:id="41" w:name="_Toc599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pPr>
        <w:jc w:val="left"/>
        <w:rPr>
          <w:rFonts w:ascii="Times New Roman" w:hAnsi="Times New Roman" w:eastAsia="仿宋" w:cs="Times New Roman"/>
          <w:sz w:val="28"/>
          <w:szCs w:val="24"/>
        </w:rPr>
      </w:pPr>
      <w:bookmarkStart w:id="44" w:name="_Toc19987"/>
      <w:bookmarkStart w:id="45" w:name="_Toc5056"/>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pPr>
        <w:jc w:val="center"/>
        <w:rPr>
          <w:rFonts w:ascii="Times New Roman" w:hAnsi="Times New Roman" w:eastAsia="仿宋" w:cs="Times New Roman"/>
          <w:sz w:val="32"/>
          <w:szCs w:val="40"/>
        </w:rPr>
      </w:pPr>
      <w:bookmarkStart w:id="48" w:name="_Toc6482"/>
      <w:bookmarkStart w:id="49" w:name="_Toc14829"/>
      <w:bookmarkStart w:id="50" w:name="_Toc3023"/>
      <w:bookmarkStart w:id="51" w:name="_Toc21519"/>
      <w:bookmarkStart w:id="52" w:name="_Toc11352"/>
      <w:bookmarkStart w:id="53" w:name="_Toc16029"/>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8"/>
      <w:bookmarkEnd w:id="49"/>
      <w:bookmarkEnd w:id="50"/>
      <w:bookmarkEnd w:id="51"/>
      <w:bookmarkEnd w:id="52"/>
      <w:bookmarkEnd w:id="53"/>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4" w:name="_Toc31838"/>
      <w:bookmarkStart w:id="55" w:name="_Toc30971"/>
      <w:bookmarkStart w:id="56" w:name="_Toc22676"/>
      <w:bookmarkStart w:id="57" w:name="_Toc4305"/>
      <w:bookmarkStart w:id="58" w:name="_Toc17857"/>
      <w:r>
        <w:rPr>
          <w:rFonts w:ascii="Times New Roman" w:hAnsi="Times New Roman" w:cs="Times New Roman"/>
        </w:rPr>
        <w:br w:type="page"/>
      </w:r>
    </w:p>
    <w:p>
      <w:pPr>
        <w:pStyle w:val="3"/>
        <w:ind w:firstLine="0"/>
      </w:pPr>
      <w:r>
        <w:t>具有独立承担民事责任的能力</w:t>
      </w:r>
      <w:bookmarkEnd w:id="54"/>
      <w:bookmarkEnd w:id="55"/>
      <w:bookmarkEnd w:id="56"/>
      <w:bookmarkEnd w:id="57"/>
      <w:bookmarkEnd w:id="58"/>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7" w:name="_Toc11351"/>
      <w:bookmarkStart w:id="68" w:name="_Toc25638"/>
      <w:bookmarkStart w:id="69" w:name="_Toc12015"/>
      <w:bookmarkStart w:id="70" w:name="_Toc20589"/>
      <w:bookmarkStart w:id="71" w:name="_Toc27661"/>
      <w:bookmarkStart w:id="72" w:name="_Toc15526"/>
      <w:r>
        <w:rPr>
          <w:rStyle w:val="40"/>
          <w:b/>
        </w:rPr>
        <w:t>法定代表人身份证明书</w:t>
      </w:r>
      <w:bookmarkEnd w:id="67"/>
      <w:bookmarkEnd w:id="68"/>
      <w:bookmarkEnd w:id="69"/>
      <w:bookmarkEnd w:id="70"/>
      <w:bookmarkEnd w:id="71"/>
      <w:bookmarkEnd w:id="72"/>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3" w:name="_Toc2041"/>
      <w:bookmarkStart w:id="74" w:name="_Toc23967"/>
      <w:bookmarkStart w:id="75" w:name="_Toc1074"/>
      <w:bookmarkStart w:id="76" w:name="_Toc16435"/>
      <w:bookmarkStart w:id="77" w:name="_Toc26969"/>
      <w:bookmarkStart w:id="78" w:name="_Toc12967"/>
      <w:r>
        <w:rPr>
          <w:rStyle w:val="40"/>
          <w:b/>
        </w:rPr>
        <w:t>采购需求偏离表</w:t>
      </w:r>
      <w:bookmarkEnd w:id="73"/>
      <w:bookmarkEnd w:id="74"/>
      <w:bookmarkEnd w:id="75"/>
      <w:bookmarkEnd w:id="76"/>
      <w:bookmarkEnd w:id="77"/>
      <w:bookmarkEnd w:id="78"/>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79" w:name="_Toc28634"/>
      <w:bookmarkStart w:id="80" w:name="_Toc31686"/>
      <w:bookmarkStart w:id="81" w:name="_Toc26839"/>
      <w:bookmarkStart w:id="82" w:name="_Toc1369"/>
      <w:bookmarkStart w:id="83" w:name="_Toc21082"/>
      <w:bookmarkStart w:id="84" w:name="_Toc24806"/>
      <w:r>
        <w:rPr>
          <w:rStyle w:val="40"/>
          <w:b/>
        </w:rPr>
        <w:t>评分需要提供的证明材料</w:t>
      </w:r>
      <w:bookmarkEnd w:id="79"/>
      <w:bookmarkEnd w:id="80"/>
      <w:bookmarkEnd w:id="81"/>
      <w:bookmarkEnd w:id="82"/>
      <w:bookmarkEnd w:id="83"/>
      <w:bookmarkEnd w:id="84"/>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pPr>
        <w:pStyle w:val="3"/>
        <w:ind w:firstLine="0"/>
      </w:pPr>
      <w:bookmarkStart w:id="88" w:name="_Toc15065"/>
      <w:r>
        <w:t>报价单</w:t>
      </w:r>
      <w:bookmarkEnd w:id="88"/>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5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4"/>
        <w:gridCol w:w="2968"/>
        <w:gridCol w:w="2549"/>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kern w:val="0"/>
                <w:sz w:val="24"/>
                <w:szCs w:val="24"/>
                <w:lang w:val="zh-TW" w:eastAsia="zh-TW"/>
              </w:rPr>
              <w:t>序号</w:t>
            </w:r>
          </w:p>
        </w:tc>
        <w:tc>
          <w:tcPr>
            <w:tcW w:w="1663"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采购标的名称</w:t>
            </w:r>
          </w:p>
        </w:tc>
        <w:tc>
          <w:tcPr>
            <w:tcW w:w="1428"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报价（元）</w:t>
            </w:r>
          </w:p>
        </w:tc>
        <w:tc>
          <w:tcPr>
            <w:tcW w:w="1232"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663"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第一住院大楼规划测绘和产权面积测绘服务</w:t>
            </w:r>
          </w:p>
        </w:tc>
        <w:tc>
          <w:tcPr>
            <w:tcW w:w="1428"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rPr>
            </w:pPr>
          </w:p>
        </w:tc>
        <w:tc>
          <w:tcPr>
            <w:tcW w:w="1232"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75" w:type="pct"/>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报价合计</w:t>
            </w:r>
          </w:p>
        </w:tc>
        <w:tc>
          <w:tcPr>
            <w:tcW w:w="4324" w:type="pct"/>
            <w:gridSpan w:val="3"/>
            <w:noWrap w:val="0"/>
            <w:vAlign w:val="center"/>
          </w:tcPr>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w:t>
            </w:r>
          </w:p>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仿宋" w:hAnsi="仿宋" w:eastAsia="仿宋" w:cs="仿宋"/>
                <w:sz w:val="24"/>
                <w:szCs w:val="24"/>
                <w:lang w:val="en-US" w:eastAsia="zh-CN"/>
              </w:rPr>
            </w:pPr>
          </w:p>
          <w:p>
            <w:pPr>
              <w:pStyle w:val="7"/>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小写：</w:t>
            </w:r>
          </w:p>
        </w:tc>
      </w:tr>
    </w:tbl>
    <w:p>
      <w:pPr>
        <w:pStyle w:val="7"/>
        <w:rPr>
          <w:rFonts w:ascii="Times New Roman" w:hAnsi="Times New Roman" w:eastAsia="仿宋" w:cs="Times New Roman"/>
          <w:szCs w:val="21"/>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t>供应商认为需要提供的其他材料</w:t>
      </w:r>
      <w:bookmarkEnd w:id="85"/>
      <w:bookmarkEnd w:id="86"/>
      <w:bookmarkEnd w:id="87"/>
      <w:bookmarkEnd w:id="89"/>
      <w:bookmarkEnd w:id="90"/>
      <w:bookmarkEnd w:id="91"/>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1"/>
        <w:rPr>
          <w:sz w:val="48"/>
          <w:szCs w:val="48"/>
        </w:rPr>
      </w:pPr>
      <w:r>
        <w:rPr>
          <w:rFonts w:hint="eastAsia"/>
          <w:sz w:val="48"/>
          <w:szCs w:val="48"/>
        </w:rPr>
        <w:t>*</w:t>
      </w:r>
      <w:r>
        <w:rPr>
          <w:sz w:val="48"/>
          <w:szCs w:val="48"/>
        </w:rPr>
        <w:t>**</w:t>
      </w:r>
      <w:r>
        <w:rPr>
          <w:rFonts w:hint="eastAsia"/>
          <w:sz w:val="48"/>
          <w:szCs w:val="48"/>
        </w:rPr>
        <w:t>服务项目</w:t>
      </w:r>
    </w:p>
    <w:p>
      <w:pPr>
        <w:pStyle w:val="41"/>
        <w:rPr>
          <w:sz w:val="48"/>
          <w:szCs w:val="48"/>
        </w:rPr>
      </w:pPr>
      <w:r>
        <w:rPr>
          <w:rFonts w:hint="eastAsia"/>
          <w:sz w:val="48"/>
          <w:szCs w:val="48"/>
        </w:rPr>
        <w:t>采购</w:t>
      </w:r>
      <w:r>
        <w:rPr>
          <w:sz w:val="48"/>
          <w:szCs w:val="48"/>
        </w:rPr>
        <w:t>合同</w:t>
      </w:r>
    </w:p>
    <w:p>
      <w:pPr>
        <w:rPr>
          <w:sz w:val="24"/>
        </w:rPr>
        <w:sectPr>
          <w:headerReference r:id="rId6" w:type="default"/>
          <w:footerReference r:id="rId7" w:type="default"/>
          <w:footerReference r:id="rId8" w:type="even"/>
          <w:pgSz w:w="11906" w:h="16838"/>
          <w:pgMar w:top="1134" w:right="1134" w:bottom="1134" w:left="1134" w:header="850" w:footer="567" w:gutter="0"/>
          <w:pgNumType w:fmt="decimal" w:start="1"/>
          <w:cols w:space="425" w:num="1"/>
          <w:docGrid w:linePitch="312" w:charSpace="0"/>
        </w:sectPr>
      </w:pPr>
    </w:p>
    <w:p>
      <w:pPr>
        <w:adjustRightInd w:val="0"/>
        <w:ind w:firstLine="420" w:firstLineChars="200"/>
        <w:contextualSpacing/>
        <w:jc w:val="left"/>
        <w:rPr>
          <w:color w:val="000000"/>
          <w:szCs w:val="21"/>
        </w:rPr>
      </w:pPr>
    </w:p>
    <w:p>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color w:val="000000"/>
                <w:szCs w:val="21"/>
              </w:rPr>
            </w:pPr>
            <w:r>
              <w:rPr>
                <w:b/>
                <w:bCs/>
                <w:color w:val="000000"/>
                <w:szCs w:val="21"/>
              </w:rPr>
              <w:t>合同编号</w:t>
            </w:r>
            <w:r>
              <w:rPr>
                <w:color w:val="000000"/>
                <w:szCs w:val="21"/>
              </w:rPr>
              <w:t>：CGZX-***</w:t>
            </w:r>
          </w:p>
          <w:p>
            <w:pPr>
              <w:contextualSpacing/>
              <w:rPr>
                <w:color w:val="000000"/>
                <w:szCs w:val="21"/>
              </w:rPr>
            </w:pPr>
            <w:r>
              <w:rPr>
                <w:b/>
                <w:bCs/>
                <w:color w:val="000000"/>
                <w:szCs w:val="21"/>
              </w:rPr>
              <w:t>签订地点</w:t>
            </w:r>
            <w:r>
              <w:rPr>
                <w:color w:val="000000"/>
                <w:szCs w:val="21"/>
              </w:rPr>
              <w:t>：四川省人民医院</w:t>
            </w:r>
          </w:p>
        </w:tc>
      </w:tr>
      <w:tr>
        <w:tblPrEx>
          <w:tblCellMar>
            <w:top w:w="0" w:type="dxa"/>
            <w:left w:w="0" w:type="dxa"/>
            <w:bottom w:w="0" w:type="dxa"/>
            <w:right w:w="0" w:type="dxa"/>
          </w:tblCellMar>
        </w:tblPrEx>
        <w:trPr>
          <w:jc w:val="center"/>
        </w:trPr>
        <w:tc>
          <w:tcPr>
            <w:tcW w:w="4962" w:type="dxa"/>
          </w:tcPr>
          <w:p>
            <w:pPr>
              <w:rPr>
                <w:szCs w:val="21"/>
              </w:rPr>
            </w:pPr>
            <w:r>
              <w:rPr>
                <w:b/>
                <w:bCs/>
                <w:szCs w:val="21"/>
              </w:rPr>
              <w:t>采购人（以下简称甲方）</w:t>
            </w:r>
            <w:r>
              <w:rPr>
                <w:szCs w:val="21"/>
              </w:rPr>
              <w:t>：四川省人民医院</w:t>
            </w:r>
          </w:p>
          <w:p>
            <w:pPr>
              <w:rPr>
                <w:szCs w:val="21"/>
              </w:rPr>
            </w:pPr>
            <w:r>
              <w:rPr>
                <w:b/>
                <w:bCs/>
                <w:szCs w:val="21"/>
              </w:rPr>
              <w:t>地址</w:t>
            </w:r>
            <w:r>
              <w:rPr>
                <w:szCs w:val="21"/>
              </w:rPr>
              <w:t>：四川省成都市一环路西二段32号</w:t>
            </w:r>
          </w:p>
          <w:p>
            <w:pPr>
              <w:rPr>
                <w:szCs w:val="21"/>
              </w:rPr>
            </w:pPr>
            <w:r>
              <w:rPr>
                <w:b/>
                <w:bCs/>
                <w:szCs w:val="21"/>
              </w:rPr>
              <w:t>项目联系人</w:t>
            </w:r>
            <w:r>
              <w:rPr>
                <w:szCs w:val="21"/>
              </w:rPr>
              <w:t xml:space="preserve">：*** </w:t>
            </w:r>
            <w:r>
              <w:rPr>
                <w:b/>
                <w:bCs/>
                <w:szCs w:val="21"/>
              </w:rPr>
              <w:t>电话</w:t>
            </w:r>
            <w:r>
              <w:rPr>
                <w:szCs w:val="21"/>
              </w:rPr>
              <w:t>：***</w:t>
            </w:r>
          </w:p>
          <w:p>
            <w:r>
              <w:rPr>
                <w:rFonts w:hint="eastAsia"/>
                <w:b/>
                <w:bCs/>
                <w:szCs w:val="21"/>
              </w:rPr>
              <w:t>电子邮件：</w:t>
            </w:r>
            <w:r>
              <w:rPr>
                <w:rFonts w:hint="eastAsia"/>
                <w:szCs w:val="21"/>
              </w:rPr>
              <w:t>*</w:t>
            </w:r>
            <w:r>
              <w:rPr>
                <w:szCs w:val="21"/>
              </w:rPr>
              <w:t>**</w:t>
            </w:r>
          </w:p>
        </w:tc>
        <w:tc>
          <w:tcPr>
            <w:tcW w:w="5242" w:type="dxa"/>
          </w:tcPr>
          <w:p>
            <w:pPr>
              <w:rPr>
                <w:b/>
                <w:bCs/>
                <w:szCs w:val="21"/>
              </w:rPr>
            </w:pPr>
            <w:r>
              <w:rPr>
                <w:b/>
                <w:bCs/>
                <w:szCs w:val="21"/>
              </w:rPr>
              <w:t>供应商（以下简称乙方）：***</w:t>
            </w:r>
          </w:p>
          <w:p>
            <w:pPr>
              <w:rPr>
                <w:b/>
                <w:bCs/>
                <w:szCs w:val="21"/>
              </w:rPr>
            </w:pPr>
            <w:r>
              <w:rPr>
                <w:b/>
                <w:bCs/>
                <w:szCs w:val="21"/>
              </w:rPr>
              <w:t>地址：***</w:t>
            </w:r>
          </w:p>
          <w:p>
            <w:pPr>
              <w:rPr>
                <w:b/>
                <w:bCs/>
                <w:szCs w:val="21"/>
              </w:rPr>
            </w:pPr>
            <w:r>
              <w:rPr>
                <w:b/>
                <w:bCs/>
                <w:szCs w:val="21"/>
              </w:rPr>
              <w:t>移动电话：***</w:t>
            </w:r>
          </w:p>
          <w:p>
            <w:pPr>
              <w:contextualSpacing/>
              <w:rPr>
                <w:b/>
                <w:bCs/>
                <w:szCs w:val="21"/>
              </w:rPr>
            </w:pPr>
            <w:r>
              <w:rPr>
                <w:b/>
                <w:bCs/>
                <w:szCs w:val="21"/>
              </w:rPr>
              <w:t>联系人：***</w:t>
            </w:r>
          </w:p>
          <w:p>
            <w:pPr>
              <w:rPr>
                <w:bCs/>
                <w:szCs w:val="21"/>
              </w:rPr>
            </w:pPr>
            <w:r>
              <w:rPr>
                <w:rFonts w:hint="eastAsia"/>
                <w:b/>
                <w:bCs/>
                <w:szCs w:val="21"/>
              </w:rPr>
              <w:t>电子邮件：</w:t>
            </w:r>
            <w:r>
              <w:rPr>
                <w:rFonts w:hint="eastAsia"/>
                <w:szCs w:val="21"/>
              </w:rPr>
              <w:t>*</w:t>
            </w:r>
            <w:r>
              <w:rPr>
                <w:szCs w:val="21"/>
              </w:rPr>
              <w:t>**</w:t>
            </w:r>
          </w:p>
        </w:tc>
      </w:tr>
    </w:tbl>
    <w:p>
      <w:pPr>
        <w:ind w:firstLine="420" w:firstLineChars="200"/>
        <w:contextualSpacing/>
        <w:jc w:val="left"/>
        <w:rPr>
          <w:color w:val="000000"/>
          <w:szCs w:val="21"/>
        </w:rPr>
      </w:pPr>
    </w:p>
    <w:p>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pPr>
        <w:contextualSpacing/>
        <w:jc w:val="left"/>
        <w:rPr>
          <w:b/>
          <w:szCs w:val="21"/>
        </w:rPr>
      </w:pPr>
    </w:p>
    <w:p>
      <w:pPr>
        <w:pStyle w:val="29"/>
        <w:numPr>
          <w:ilvl w:val="0"/>
          <w:numId w:val="13"/>
        </w:numPr>
        <w:ind w:left="0" w:firstLine="0" w:firstLineChars="0"/>
        <w:contextualSpacing/>
        <w:jc w:val="left"/>
        <w:rPr>
          <w:b/>
          <w:szCs w:val="21"/>
        </w:rPr>
      </w:pPr>
      <w:r>
        <w:rPr>
          <w:b/>
          <w:szCs w:val="21"/>
        </w:rPr>
        <w:t>合同标的</w:t>
      </w:r>
    </w:p>
    <w:p>
      <w:pPr>
        <w:pStyle w:val="9"/>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pPr>
        <w:pStyle w:val="9"/>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pPr>
        <w:pStyle w:val="9"/>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9"/>
              <w:ind w:firstLine="0" w:firstLineChars="0"/>
              <w:jc w:val="center"/>
              <w:rPr>
                <w:color w:val="000000"/>
                <w:szCs w:val="21"/>
              </w:rPr>
            </w:pPr>
            <w:r>
              <w:rPr>
                <w:color w:val="000000"/>
                <w:szCs w:val="21"/>
              </w:rPr>
              <w:t>序号</w:t>
            </w:r>
          </w:p>
        </w:tc>
        <w:tc>
          <w:tcPr>
            <w:tcW w:w="2977" w:type="dxa"/>
            <w:vAlign w:val="center"/>
          </w:tcPr>
          <w:p>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pPr>
              <w:pStyle w:val="29"/>
              <w:ind w:firstLine="0" w:firstLineChars="0"/>
              <w:jc w:val="center"/>
              <w:rPr>
                <w:color w:val="000000"/>
                <w:szCs w:val="21"/>
              </w:rPr>
            </w:pPr>
            <w:r>
              <w:rPr>
                <w:color w:val="000000"/>
                <w:szCs w:val="21"/>
              </w:rPr>
              <w:t>具体内容</w:t>
            </w:r>
          </w:p>
        </w:tc>
        <w:tc>
          <w:tcPr>
            <w:tcW w:w="963" w:type="dxa"/>
            <w:vAlign w:val="center"/>
          </w:tcPr>
          <w:p>
            <w:pPr>
              <w:pStyle w:val="29"/>
              <w:ind w:firstLine="0" w:firstLineChars="0"/>
              <w:jc w:val="center"/>
              <w:rPr>
                <w:color w:val="000000"/>
                <w:szCs w:val="21"/>
              </w:rPr>
            </w:pPr>
            <w:r>
              <w:rPr>
                <w:color w:val="000000"/>
                <w:szCs w:val="21"/>
              </w:rPr>
              <w:t>分项价格（万元）</w:t>
            </w:r>
          </w:p>
        </w:tc>
        <w:tc>
          <w:tcPr>
            <w:tcW w:w="2016" w:type="dxa"/>
          </w:tcPr>
          <w:p>
            <w:pPr>
              <w:pStyle w:val="29"/>
              <w:ind w:firstLine="0" w:firstLineChars="0"/>
              <w:jc w:val="center"/>
              <w:rPr>
                <w:color w:val="000000"/>
                <w:szCs w:val="21"/>
              </w:rPr>
            </w:pPr>
            <w:r>
              <w:rPr>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9"/>
              <w:ind w:firstLine="0" w:firstLineChars="0"/>
              <w:jc w:val="center"/>
              <w:rPr>
                <w:color w:val="000000"/>
                <w:szCs w:val="21"/>
              </w:rPr>
            </w:pPr>
            <w:r>
              <w:rPr>
                <w:rFonts w:hint="eastAsia"/>
                <w:color w:val="000000"/>
                <w:szCs w:val="21"/>
              </w:rPr>
              <w:t>1</w:t>
            </w:r>
          </w:p>
        </w:tc>
        <w:tc>
          <w:tcPr>
            <w:tcW w:w="2977" w:type="dxa"/>
            <w:vAlign w:val="center"/>
          </w:tcPr>
          <w:p>
            <w:pPr>
              <w:pStyle w:val="29"/>
              <w:ind w:firstLine="0" w:firstLineChars="0"/>
              <w:rPr>
                <w:color w:val="000000"/>
                <w:szCs w:val="21"/>
              </w:rPr>
            </w:pPr>
          </w:p>
        </w:tc>
        <w:tc>
          <w:tcPr>
            <w:tcW w:w="3686" w:type="dxa"/>
            <w:vAlign w:val="center"/>
          </w:tcPr>
          <w:p>
            <w:pPr>
              <w:pStyle w:val="29"/>
              <w:ind w:firstLine="0" w:firstLineChars="0"/>
              <w:rPr>
                <w:color w:val="000000"/>
                <w:szCs w:val="21"/>
              </w:rPr>
            </w:pPr>
          </w:p>
        </w:tc>
        <w:tc>
          <w:tcPr>
            <w:tcW w:w="963" w:type="dxa"/>
            <w:vAlign w:val="center"/>
          </w:tcPr>
          <w:p>
            <w:pPr>
              <w:pStyle w:val="29"/>
              <w:ind w:firstLine="0" w:firstLineChars="0"/>
              <w:jc w:val="center"/>
              <w:rPr>
                <w:color w:val="000000"/>
                <w:szCs w:val="21"/>
              </w:rPr>
            </w:pPr>
          </w:p>
        </w:tc>
        <w:tc>
          <w:tcPr>
            <w:tcW w:w="2016" w:type="dxa"/>
          </w:tcPr>
          <w:p>
            <w:pPr>
              <w:pStyle w:val="29"/>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9"/>
              <w:ind w:firstLine="0" w:firstLineChars="0"/>
              <w:jc w:val="center"/>
              <w:rPr>
                <w:color w:val="000000"/>
                <w:szCs w:val="21"/>
              </w:rPr>
            </w:pPr>
            <w:r>
              <w:rPr>
                <w:rFonts w:hint="eastAsia"/>
                <w:color w:val="000000"/>
                <w:szCs w:val="21"/>
              </w:rPr>
              <w:t>2</w:t>
            </w:r>
          </w:p>
        </w:tc>
        <w:tc>
          <w:tcPr>
            <w:tcW w:w="2977" w:type="dxa"/>
            <w:vAlign w:val="center"/>
          </w:tcPr>
          <w:p>
            <w:pPr>
              <w:pStyle w:val="29"/>
              <w:ind w:firstLine="0" w:firstLineChars="0"/>
              <w:rPr>
                <w:color w:val="000000"/>
                <w:szCs w:val="21"/>
              </w:rPr>
            </w:pPr>
          </w:p>
        </w:tc>
        <w:tc>
          <w:tcPr>
            <w:tcW w:w="3686" w:type="dxa"/>
            <w:vAlign w:val="center"/>
          </w:tcPr>
          <w:p>
            <w:pPr>
              <w:pStyle w:val="29"/>
              <w:ind w:firstLine="0" w:firstLineChars="0"/>
              <w:rPr>
                <w:color w:val="000000"/>
                <w:szCs w:val="21"/>
              </w:rPr>
            </w:pPr>
          </w:p>
        </w:tc>
        <w:tc>
          <w:tcPr>
            <w:tcW w:w="963" w:type="dxa"/>
            <w:vAlign w:val="center"/>
          </w:tcPr>
          <w:p>
            <w:pPr>
              <w:pStyle w:val="29"/>
              <w:ind w:firstLine="0" w:firstLineChars="0"/>
              <w:jc w:val="center"/>
              <w:rPr>
                <w:color w:val="000000"/>
                <w:szCs w:val="21"/>
              </w:rPr>
            </w:pPr>
          </w:p>
        </w:tc>
        <w:tc>
          <w:tcPr>
            <w:tcW w:w="2016" w:type="dxa"/>
          </w:tcPr>
          <w:p>
            <w:pPr>
              <w:pStyle w:val="29"/>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9"/>
              <w:ind w:firstLine="0" w:firstLineChars="0"/>
              <w:jc w:val="center"/>
              <w:rPr>
                <w:color w:val="000000"/>
                <w:szCs w:val="21"/>
              </w:rPr>
            </w:pPr>
            <w:r>
              <w:rPr>
                <w:rFonts w:hint="eastAsia"/>
                <w:color w:val="000000"/>
                <w:szCs w:val="21"/>
              </w:rPr>
              <w:t>3</w:t>
            </w:r>
          </w:p>
        </w:tc>
        <w:tc>
          <w:tcPr>
            <w:tcW w:w="2977" w:type="dxa"/>
            <w:vAlign w:val="center"/>
          </w:tcPr>
          <w:p>
            <w:pPr>
              <w:pStyle w:val="29"/>
              <w:ind w:firstLine="0" w:firstLineChars="0"/>
              <w:rPr>
                <w:color w:val="000000"/>
                <w:szCs w:val="21"/>
              </w:rPr>
            </w:pPr>
          </w:p>
        </w:tc>
        <w:tc>
          <w:tcPr>
            <w:tcW w:w="3686" w:type="dxa"/>
            <w:vAlign w:val="center"/>
          </w:tcPr>
          <w:p>
            <w:pPr>
              <w:pStyle w:val="29"/>
              <w:ind w:firstLine="0" w:firstLineChars="0"/>
              <w:rPr>
                <w:color w:val="000000"/>
                <w:szCs w:val="21"/>
              </w:rPr>
            </w:pPr>
          </w:p>
        </w:tc>
        <w:tc>
          <w:tcPr>
            <w:tcW w:w="963" w:type="dxa"/>
            <w:vAlign w:val="center"/>
          </w:tcPr>
          <w:p>
            <w:pPr>
              <w:pStyle w:val="29"/>
              <w:ind w:firstLine="0" w:firstLineChars="0"/>
              <w:jc w:val="center"/>
              <w:rPr>
                <w:color w:val="000000"/>
                <w:szCs w:val="21"/>
              </w:rPr>
            </w:pPr>
          </w:p>
        </w:tc>
        <w:tc>
          <w:tcPr>
            <w:tcW w:w="2016" w:type="dxa"/>
          </w:tcPr>
          <w:p>
            <w:pPr>
              <w:pStyle w:val="29"/>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9"/>
              <w:ind w:firstLine="0" w:firstLineChars="0"/>
              <w:jc w:val="center"/>
              <w:rPr>
                <w:color w:val="000000"/>
                <w:szCs w:val="21"/>
              </w:rPr>
            </w:pPr>
            <w:r>
              <w:rPr>
                <w:color w:val="000000"/>
                <w:szCs w:val="21"/>
              </w:rPr>
              <w:t>…</w:t>
            </w:r>
          </w:p>
        </w:tc>
        <w:tc>
          <w:tcPr>
            <w:tcW w:w="2977" w:type="dxa"/>
            <w:vAlign w:val="center"/>
          </w:tcPr>
          <w:p>
            <w:pPr>
              <w:pStyle w:val="29"/>
              <w:ind w:firstLine="0" w:firstLineChars="0"/>
              <w:rPr>
                <w:color w:val="000000"/>
                <w:szCs w:val="21"/>
              </w:rPr>
            </w:pPr>
          </w:p>
        </w:tc>
        <w:tc>
          <w:tcPr>
            <w:tcW w:w="3686" w:type="dxa"/>
            <w:vAlign w:val="center"/>
          </w:tcPr>
          <w:p>
            <w:pPr>
              <w:pStyle w:val="29"/>
              <w:ind w:firstLine="0" w:firstLineChars="0"/>
              <w:rPr>
                <w:color w:val="000000"/>
                <w:szCs w:val="21"/>
              </w:rPr>
            </w:pPr>
          </w:p>
        </w:tc>
        <w:tc>
          <w:tcPr>
            <w:tcW w:w="963" w:type="dxa"/>
            <w:vAlign w:val="center"/>
          </w:tcPr>
          <w:p>
            <w:pPr>
              <w:pStyle w:val="29"/>
              <w:ind w:firstLine="0" w:firstLineChars="0"/>
              <w:jc w:val="center"/>
              <w:rPr>
                <w:color w:val="000000"/>
                <w:szCs w:val="21"/>
              </w:rPr>
            </w:pPr>
          </w:p>
        </w:tc>
        <w:tc>
          <w:tcPr>
            <w:tcW w:w="2016" w:type="dxa"/>
          </w:tcPr>
          <w:p>
            <w:pPr>
              <w:pStyle w:val="29"/>
              <w:ind w:firstLine="0" w:firstLineChars="0"/>
              <w:rPr>
                <w:color w:val="000000"/>
                <w:szCs w:val="21"/>
              </w:rPr>
            </w:pPr>
          </w:p>
        </w:tc>
      </w:tr>
    </w:tbl>
    <w:p>
      <w:pPr>
        <w:pStyle w:val="29"/>
        <w:numPr>
          <w:ilvl w:val="0"/>
          <w:numId w:val="13"/>
        </w:numPr>
        <w:ind w:firstLineChars="0"/>
        <w:jc w:val="left"/>
        <w:rPr>
          <w:b/>
          <w:szCs w:val="21"/>
        </w:rPr>
      </w:pPr>
      <w:r>
        <w:rPr>
          <w:b/>
          <w:szCs w:val="21"/>
        </w:rPr>
        <w:t>合同</w:t>
      </w:r>
      <w:r>
        <w:rPr>
          <w:rFonts w:hint="eastAsia"/>
          <w:b/>
          <w:szCs w:val="21"/>
        </w:rPr>
        <w:t>价款</w:t>
      </w:r>
    </w:p>
    <w:p>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pPr>
        <w:ind w:firstLine="480"/>
        <w:contextualSpacing/>
        <w:jc w:val="left"/>
      </w:pPr>
      <w:r>
        <w:rPr>
          <w:color w:val="000000"/>
          <w:szCs w:val="21"/>
          <w:shd w:val="clear" w:color="auto" w:fill="FFFFFF"/>
        </w:rPr>
        <w:sym w:font="Wingdings" w:char="F0A8"/>
      </w:r>
      <w:r>
        <w:rPr>
          <w:rFonts w:hint="eastAsia"/>
        </w:rPr>
        <w:t>半包服务</w:t>
      </w:r>
    </w:p>
    <w:p>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pPr>
        <w:ind w:firstLine="480"/>
        <w:contextualSpacing/>
        <w:jc w:val="left"/>
      </w:pPr>
      <w:r>
        <w:rPr>
          <w:color w:val="000000"/>
          <w:szCs w:val="21"/>
          <w:shd w:val="clear" w:color="auto" w:fill="FFFFFF"/>
        </w:rPr>
        <w:sym w:font="Wingdings" w:char="F0A8"/>
      </w:r>
      <w:r>
        <w:rPr>
          <w:rFonts w:hint="eastAsia"/>
        </w:rPr>
        <w:t>按实结算</w:t>
      </w:r>
    </w:p>
    <w:p>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pPr>
        <w:pStyle w:val="29"/>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pPr>
        <w:pStyle w:val="29"/>
        <w:jc w:val="left"/>
        <w:rPr>
          <w:bCs/>
          <w:szCs w:val="21"/>
        </w:rPr>
      </w:pPr>
    </w:p>
    <w:p>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pPr>
        <w:pStyle w:val="29"/>
        <w:jc w:val="left"/>
        <w:rPr>
          <w:bCs/>
          <w:szCs w:val="21"/>
        </w:rPr>
      </w:pPr>
    </w:p>
    <w:p>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pPr>
        <w:pStyle w:val="29"/>
        <w:numPr>
          <w:ilvl w:val="0"/>
          <w:numId w:val="13"/>
        </w:numPr>
        <w:ind w:left="0" w:firstLine="0" w:firstLineChars="0"/>
        <w:contextualSpacing/>
        <w:jc w:val="left"/>
        <w:rPr>
          <w:b/>
          <w:szCs w:val="21"/>
        </w:rPr>
      </w:pPr>
      <w:r>
        <w:rPr>
          <w:b/>
          <w:szCs w:val="21"/>
        </w:rPr>
        <w:t>服务</w:t>
      </w:r>
      <w:r>
        <w:rPr>
          <w:rFonts w:hint="eastAsia"/>
          <w:b/>
          <w:szCs w:val="21"/>
        </w:rPr>
        <w:t>方案</w:t>
      </w:r>
    </w:p>
    <w:p>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pPr>
        <w:pStyle w:val="29"/>
        <w:numPr>
          <w:ilvl w:val="0"/>
          <w:numId w:val="13"/>
        </w:numPr>
        <w:ind w:left="0" w:firstLine="0" w:firstLineChars="0"/>
        <w:contextualSpacing/>
        <w:jc w:val="left"/>
        <w:rPr>
          <w:b/>
          <w:szCs w:val="21"/>
        </w:rPr>
      </w:pPr>
      <w:r>
        <w:rPr>
          <w:b/>
          <w:szCs w:val="21"/>
        </w:rPr>
        <w:t>验收</w:t>
      </w:r>
    </w:p>
    <w:p>
      <w:pPr>
        <w:pStyle w:val="29"/>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pPr>
        <w:pStyle w:val="29"/>
        <w:numPr>
          <w:ilvl w:val="0"/>
          <w:numId w:val="15"/>
        </w:numPr>
        <w:ind w:left="0" w:firstLine="0" w:firstLineChars="0"/>
        <w:contextualSpacing/>
        <w:rPr>
          <w:szCs w:val="21"/>
        </w:rPr>
      </w:pPr>
      <w:r>
        <w:rPr>
          <w:szCs w:val="21"/>
        </w:rPr>
        <w:t>验收方案：</w:t>
      </w:r>
    </w:p>
    <w:p>
      <w:pPr>
        <w:pStyle w:val="29"/>
        <w:numPr>
          <w:ilvl w:val="0"/>
          <w:numId w:val="16"/>
        </w:numPr>
        <w:ind w:firstLineChars="0"/>
        <w:contextualSpacing/>
        <w:rPr>
          <w:color w:val="000000"/>
          <w:szCs w:val="21"/>
        </w:rPr>
      </w:pPr>
      <w:r>
        <w:rPr>
          <w:rFonts w:hint="eastAsia"/>
          <w:color w:val="000000"/>
          <w:szCs w:val="21"/>
        </w:rPr>
        <w:t>验收主体：甲方</w:t>
      </w:r>
    </w:p>
    <w:p>
      <w:pPr>
        <w:pStyle w:val="29"/>
        <w:numPr>
          <w:ilvl w:val="0"/>
          <w:numId w:val="16"/>
        </w:numPr>
        <w:ind w:firstLineChars="0"/>
        <w:contextualSpacing/>
        <w:rPr>
          <w:color w:val="000000"/>
          <w:szCs w:val="21"/>
        </w:rPr>
      </w:pPr>
      <w:r>
        <w:rPr>
          <w:rFonts w:hint="eastAsia"/>
          <w:color w:val="000000"/>
          <w:szCs w:val="21"/>
        </w:rPr>
        <w:t>验收组织方式：自行验收</w:t>
      </w:r>
    </w:p>
    <w:p>
      <w:pPr>
        <w:pStyle w:val="29"/>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pPr>
        <w:pStyle w:val="29"/>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pPr>
        <w:pStyle w:val="29"/>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pPr>
        <w:pStyle w:val="29"/>
        <w:numPr>
          <w:ilvl w:val="0"/>
          <w:numId w:val="16"/>
        </w:numPr>
        <w:ind w:firstLineChars="0"/>
        <w:contextualSpacing/>
        <w:rPr>
          <w:color w:val="000000"/>
          <w:szCs w:val="21"/>
        </w:rPr>
      </w:pPr>
      <w:r>
        <w:rPr>
          <w:rFonts w:hint="eastAsia"/>
          <w:color w:val="000000"/>
          <w:szCs w:val="21"/>
        </w:rPr>
        <w:t>履约</w:t>
      </w:r>
      <w:r>
        <w:rPr>
          <w:color w:val="000000"/>
          <w:szCs w:val="21"/>
        </w:rPr>
        <w:t>验收时间：</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pPr>
        <w:pStyle w:val="29"/>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9"/>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9"/>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9"/>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9"/>
        <w:numPr>
          <w:ilvl w:val="0"/>
          <w:numId w:val="16"/>
        </w:numPr>
        <w:ind w:firstLineChars="0"/>
        <w:contextualSpacing/>
        <w:rPr>
          <w:szCs w:val="21"/>
        </w:rPr>
      </w:pPr>
      <w:r>
        <w:rPr>
          <w:szCs w:val="21"/>
        </w:rPr>
        <w:t>验收标准：</w:t>
      </w:r>
    </w:p>
    <w:p>
      <w:pPr>
        <w:pStyle w:val="16"/>
        <w:numPr>
          <w:ilvl w:val="0"/>
          <w:numId w:val="17"/>
        </w:numPr>
        <w:spacing w:after="0"/>
        <w:ind w:firstLineChars="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99"/>
    <w:p>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pPr>
        <w:pStyle w:val="29"/>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pPr>
        <w:pStyle w:val="29"/>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pPr>
        <w:pStyle w:val="29"/>
        <w:numPr>
          <w:ilvl w:val="0"/>
          <w:numId w:val="13"/>
        </w:numPr>
        <w:ind w:left="0" w:firstLine="0" w:firstLineChars="0"/>
        <w:contextualSpacing/>
        <w:jc w:val="left"/>
        <w:rPr>
          <w:b/>
          <w:szCs w:val="21"/>
        </w:rPr>
      </w:pPr>
      <w:r>
        <w:rPr>
          <w:b/>
          <w:szCs w:val="21"/>
        </w:rPr>
        <w:t>付款方式</w:t>
      </w:r>
    </w:p>
    <w:p>
      <w:pPr>
        <w:pStyle w:val="9"/>
        <w:numPr>
          <w:ilvl w:val="0"/>
          <w:numId w:val="18"/>
        </w:numPr>
        <w:spacing w:after="0" w:line="240" w:lineRule="auto"/>
        <w:ind w:left="227" w:leftChars="0" w:hanging="227"/>
        <w:contextualSpacing/>
        <w:jc w:val="left"/>
        <w:rPr>
          <w:szCs w:val="21"/>
        </w:rPr>
      </w:pPr>
      <w:r>
        <w:rPr>
          <w:szCs w:val="21"/>
        </w:rPr>
        <w:t>履约保证金：</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pPr>
        <w:pStyle w:val="9"/>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pPr>
        <w:pStyle w:val="9"/>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pPr>
        <w:pStyle w:val="9"/>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pPr>
        <w:pStyle w:val="29"/>
        <w:numPr>
          <w:ilvl w:val="0"/>
          <w:numId w:val="13"/>
        </w:numPr>
        <w:ind w:left="0" w:firstLine="0" w:firstLineChars="0"/>
        <w:contextualSpacing/>
        <w:jc w:val="left"/>
        <w:rPr>
          <w:b/>
          <w:szCs w:val="21"/>
        </w:rPr>
      </w:pPr>
      <w:r>
        <w:rPr>
          <w:b/>
          <w:szCs w:val="21"/>
        </w:rPr>
        <w:t>双方权利与义务</w:t>
      </w:r>
    </w:p>
    <w:p>
      <w:pPr>
        <w:pStyle w:val="9"/>
        <w:numPr>
          <w:ilvl w:val="0"/>
          <w:numId w:val="19"/>
        </w:numPr>
        <w:spacing w:after="0" w:line="240" w:lineRule="auto"/>
        <w:ind w:left="227" w:leftChars="0" w:hanging="227"/>
        <w:contextualSpacing/>
        <w:jc w:val="left"/>
        <w:rPr>
          <w:szCs w:val="21"/>
        </w:rPr>
      </w:pPr>
      <w:r>
        <w:rPr>
          <w:szCs w:val="21"/>
        </w:rPr>
        <w:t>甲方权利与义务</w:t>
      </w:r>
    </w:p>
    <w:p>
      <w:pPr>
        <w:pStyle w:val="29"/>
        <w:numPr>
          <w:ilvl w:val="0"/>
          <w:numId w:val="20"/>
        </w:numPr>
        <w:adjustRightInd w:val="0"/>
        <w:ind w:left="525" w:hanging="525" w:hangingChars="250"/>
        <w:contextualSpacing/>
        <w:jc w:val="left"/>
        <w:rPr>
          <w:szCs w:val="21"/>
        </w:rPr>
      </w:pPr>
      <w:r>
        <w:rPr>
          <w:szCs w:val="21"/>
        </w:rPr>
        <w:t>按合同约定向乙方支付费用。</w:t>
      </w:r>
    </w:p>
    <w:p>
      <w:pPr>
        <w:pStyle w:val="29"/>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pPr>
        <w:pStyle w:val="29"/>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pPr>
        <w:pStyle w:val="29"/>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pPr>
        <w:pStyle w:val="9"/>
        <w:numPr>
          <w:ilvl w:val="0"/>
          <w:numId w:val="19"/>
        </w:numPr>
        <w:spacing w:after="0" w:line="240" w:lineRule="auto"/>
        <w:ind w:left="227" w:leftChars="0" w:hanging="227"/>
        <w:contextualSpacing/>
        <w:jc w:val="left"/>
        <w:rPr>
          <w:szCs w:val="21"/>
        </w:rPr>
      </w:pPr>
      <w:r>
        <w:rPr>
          <w:szCs w:val="21"/>
        </w:rPr>
        <w:t>乙方权利与义务</w:t>
      </w:r>
    </w:p>
    <w:p>
      <w:pPr>
        <w:pStyle w:val="9"/>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pPr>
        <w:pStyle w:val="9"/>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pPr>
        <w:pStyle w:val="9"/>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pPr>
        <w:pStyle w:val="9"/>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pPr>
        <w:pStyle w:val="9"/>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pPr>
        <w:pStyle w:val="29"/>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pPr>
        <w:pStyle w:val="9"/>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pPr>
        <w:pStyle w:val="29"/>
        <w:numPr>
          <w:ilvl w:val="0"/>
          <w:numId w:val="22"/>
        </w:numPr>
        <w:ind w:left="0" w:firstLine="0" w:firstLineChars="0"/>
        <w:rPr>
          <w:szCs w:val="21"/>
        </w:rPr>
      </w:pPr>
      <w:r>
        <w:rPr>
          <w:szCs w:val="21"/>
        </w:rPr>
        <w:t>乙方违约责任：</w:t>
      </w:r>
    </w:p>
    <w:p>
      <w:pPr>
        <w:pStyle w:val="9"/>
        <w:numPr>
          <w:ilvl w:val="0"/>
          <w:numId w:val="23"/>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szCs w:val="21"/>
        </w:rPr>
        <w:t>甲方有权视情况严重程度单方解除合同，乙方应按照合同总额的10%向甲方支付违约金，乙方交纳的履约保证金不予退还。</w:t>
      </w:r>
    </w:p>
    <w:p>
      <w:pPr>
        <w:pStyle w:val="9"/>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r>
        <w:rPr>
          <w:rFonts w:hint="eastAsia"/>
          <w:szCs w:val="21"/>
        </w:rPr>
        <w:t>甲方有权视情况严重程度单方解除合同，乙方应按照合同总额的10%向甲方支付违约金，乙方交纳的履约保证金不予退还。</w:t>
      </w:r>
    </w:p>
    <w:p>
      <w:pPr>
        <w:pStyle w:val="9"/>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r>
        <w:rPr>
          <w:rFonts w:hint="eastAsia"/>
          <w:szCs w:val="21"/>
        </w:rPr>
        <w:t>甲方有权视情况严重程度单方解除合同，乙方应按照合同总额的10%向甲方支付违约金，乙方交纳的履约保证金不予退还。</w:t>
      </w:r>
    </w:p>
    <w:p>
      <w:pPr>
        <w:pStyle w:val="9"/>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pPr>
        <w:pStyle w:val="9"/>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pPr>
        <w:pStyle w:val="9"/>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pPr>
        <w:pStyle w:val="9"/>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pPr>
        <w:pStyle w:val="9"/>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pPr>
        <w:pStyle w:val="9"/>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pPr>
        <w:pStyle w:val="29"/>
        <w:numPr>
          <w:ilvl w:val="0"/>
          <w:numId w:val="13"/>
        </w:numPr>
        <w:ind w:left="0" w:firstLine="0" w:firstLineChars="0"/>
        <w:contextualSpacing/>
        <w:jc w:val="left"/>
        <w:rPr>
          <w:b/>
          <w:szCs w:val="21"/>
        </w:rPr>
      </w:pPr>
      <w:r>
        <w:rPr>
          <w:b/>
          <w:szCs w:val="21"/>
        </w:rPr>
        <w:t>不可抗力</w:t>
      </w:r>
    </w:p>
    <w:p>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pPr>
        <w:pStyle w:val="29"/>
        <w:numPr>
          <w:ilvl w:val="0"/>
          <w:numId w:val="13"/>
        </w:numPr>
        <w:ind w:left="0" w:firstLine="0" w:firstLineChars="0"/>
        <w:contextualSpacing/>
        <w:jc w:val="left"/>
        <w:rPr>
          <w:b/>
          <w:szCs w:val="21"/>
        </w:rPr>
      </w:pPr>
      <w:r>
        <w:rPr>
          <w:b/>
          <w:szCs w:val="21"/>
        </w:rPr>
        <w:t>合同终止及解除</w:t>
      </w:r>
    </w:p>
    <w:p>
      <w:pPr>
        <w:pStyle w:val="29"/>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4"/>
        </w:numPr>
        <w:ind w:left="0" w:firstLine="0" w:firstLineChars="0"/>
        <w:rPr>
          <w:szCs w:val="21"/>
        </w:rPr>
      </w:pPr>
      <w:r>
        <w:rPr>
          <w:szCs w:val="21"/>
        </w:rPr>
        <w:t>在甲、乙任何一方有严重违约行为时，另一方有权单方解除合同。</w:t>
      </w:r>
    </w:p>
    <w:p>
      <w:pPr>
        <w:pStyle w:val="29"/>
        <w:numPr>
          <w:ilvl w:val="0"/>
          <w:numId w:val="13"/>
        </w:numPr>
        <w:ind w:left="0" w:firstLine="0" w:firstLineChars="0"/>
        <w:contextualSpacing/>
        <w:jc w:val="left"/>
        <w:rPr>
          <w:b/>
          <w:szCs w:val="21"/>
        </w:rPr>
      </w:pPr>
      <w:r>
        <w:rPr>
          <w:b/>
          <w:szCs w:val="21"/>
        </w:rPr>
        <w:t>争议解决办法</w:t>
      </w:r>
    </w:p>
    <w:p>
      <w:pPr>
        <w:pStyle w:val="29"/>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pPr>
        <w:pStyle w:val="29"/>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pPr>
        <w:pStyle w:val="29"/>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pPr>
        <w:pStyle w:val="34"/>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34"/>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pPr>
        <w:pStyle w:val="34"/>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3"/>
        </w:numPr>
        <w:ind w:left="0" w:firstLine="0" w:firstLineChars="0"/>
        <w:contextualSpacing/>
        <w:jc w:val="left"/>
        <w:rPr>
          <w:b/>
          <w:szCs w:val="21"/>
        </w:rPr>
      </w:pPr>
      <w:r>
        <w:rPr>
          <w:b/>
          <w:szCs w:val="21"/>
        </w:rPr>
        <w:t>其他</w:t>
      </w:r>
    </w:p>
    <w:p>
      <w:pPr>
        <w:pStyle w:val="29"/>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pPr>
        <w:pStyle w:val="29"/>
        <w:numPr>
          <w:ilvl w:val="0"/>
          <w:numId w:val="27"/>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pPr>
        <w:pStyle w:val="29"/>
        <w:numPr>
          <w:ilvl w:val="0"/>
          <w:numId w:val="13"/>
        </w:numPr>
        <w:ind w:left="0" w:firstLine="0" w:firstLineChars="0"/>
        <w:contextualSpacing/>
        <w:jc w:val="left"/>
        <w:rPr>
          <w:b/>
          <w:szCs w:val="21"/>
        </w:rPr>
      </w:pPr>
      <w:r>
        <w:rPr>
          <w:b/>
          <w:szCs w:val="21"/>
        </w:rPr>
        <w:t>合同附件</w:t>
      </w:r>
    </w:p>
    <w:p>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pPr>
        <w:jc w:val="left"/>
        <w:outlineLvl w:val="0"/>
        <w:rPr>
          <w:szCs w:val="21"/>
        </w:rPr>
      </w:pPr>
      <w:r>
        <w:rPr>
          <w:rFonts w:hint="eastAsia"/>
          <w:szCs w:val="21"/>
        </w:rPr>
        <w:t>附件2《考核标准》</w:t>
      </w:r>
    </w:p>
    <w:p>
      <w:pPr>
        <w:jc w:val="left"/>
        <w:outlineLvl w:val="0"/>
        <w:rPr>
          <w:szCs w:val="21"/>
        </w:rPr>
      </w:pPr>
      <w:r>
        <w:rPr>
          <w:szCs w:val="21"/>
        </w:rPr>
        <w:t>附件3《服务</w:t>
      </w:r>
      <w:r>
        <w:rPr>
          <w:rFonts w:hint="eastAsia"/>
          <w:szCs w:val="21"/>
        </w:rPr>
        <w:t>方案</w:t>
      </w:r>
      <w:r>
        <w:rPr>
          <w:szCs w:val="21"/>
        </w:rPr>
        <w:t>》</w:t>
      </w:r>
    </w:p>
    <w:p>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519" w:hRule="atLeast"/>
          <w:jc w:val="center"/>
        </w:trPr>
        <w:tc>
          <w:tcPr>
            <w:tcW w:w="10214" w:type="dxa"/>
            <w:gridSpan w:val="2"/>
          </w:tcPr>
          <w:p>
            <w:pPr>
              <w:rPr>
                <w:szCs w:val="21"/>
              </w:rPr>
            </w:pPr>
            <w:r>
              <w:rPr>
                <w:szCs w:val="21"/>
              </w:rPr>
              <w:t>签订时间：</w:t>
            </w:r>
            <w:r>
              <w:t>202*</w:t>
            </w:r>
            <w:r>
              <w:rPr>
                <w:szCs w:val="21"/>
              </w:rPr>
              <w:t>年***月***日</w:t>
            </w:r>
          </w:p>
        </w:tc>
      </w:tr>
      <w:tr>
        <w:tblPrEx>
          <w:tblCellMar>
            <w:top w:w="0" w:type="dxa"/>
            <w:left w:w="0" w:type="dxa"/>
            <w:bottom w:w="0" w:type="dxa"/>
            <w:right w:w="0" w:type="dxa"/>
          </w:tblCellMar>
        </w:tblPrEx>
        <w:trPr>
          <w:jc w:val="center"/>
        </w:trPr>
        <w:tc>
          <w:tcPr>
            <w:tcW w:w="4967" w:type="dxa"/>
          </w:tcPr>
          <w:p>
            <w:pPr>
              <w:rPr>
                <w:szCs w:val="21"/>
              </w:rPr>
            </w:pPr>
            <w:r>
              <w:rPr>
                <w:szCs w:val="21"/>
              </w:rPr>
              <w:t>甲方：四川省人民医院（盖章）</w:t>
            </w:r>
          </w:p>
          <w:p>
            <w:pPr>
              <w:rPr>
                <w:szCs w:val="21"/>
              </w:rPr>
            </w:pPr>
            <w:r>
              <w:rPr>
                <w:szCs w:val="21"/>
              </w:rPr>
              <w:t>法定代表人（授权代表签字）：</w:t>
            </w:r>
          </w:p>
          <w:p>
            <w:pPr>
              <w:rPr>
                <w:szCs w:val="21"/>
              </w:rPr>
            </w:pPr>
            <w:r>
              <w:rPr>
                <w:szCs w:val="21"/>
              </w:rPr>
              <w:t>地    址：四川省成都市一环路西二段32号</w:t>
            </w:r>
          </w:p>
          <w:p>
            <w:pPr>
              <w:rPr>
                <w:szCs w:val="21"/>
              </w:rPr>
            </w:pPr>
            <w:r>
              <w:rPr>
                <w:szCs w:val="21"/>
              </w:rPr>
              <w:t>开户银行：建设银行成都青羊支行</w:t>
            </w:r>
          </w:p>
          <w:p>
            <w:pPr>
              <w:rPr>
                <w:szCs w:val="21"/>
              </w:rPr>
            </w:pPr>
            <w:r>
              <w:rPr>
                <w:szCs w:val="21"/>
              </w:rPr>
              <w:t>账号：5100 1446 4360 5037 4282</w:t>
            </w:r>
          </w:p>
        </w:tc>
        <w:tc>
          <w:tcPr>
            <w:tcW w:w="5247" w:type="dxa"/>
          </w:tcPr>
          <w:p>
            <w:pPr>
              <w:rPr>
                <w:szCs w:val="21"/>
              </w:rPr>
            </w:pPr>
            <w:r>
              <w:rPr>
                <w:szCs w:val="21"/>
              </w:rPr>
              <w:t>乙方：</w:t>
            </w:r>
            <w:permStart w:id="2" w:edGrp="everyone"/>
            <w:r>
              <w:rPr>
                <w:szCs w:val="21"/>
              </w:rPr>
              <w:t>***</w:t>
            </w:r>
            <w:permEnd w:id="2"/>
            <w:r>
              <w:rPr>
                <w:szCs w:val="21"/>
              </w:rPr>
              <w:t>（盖章）</w:t>
            </w:r>
          </w:p>
          <w:p>
            <w:pPr>
              <w:rPr>
                <w:szCs w:val="21"/>
              </w:rPr>
            </w:pPr>
            <w:r>
              <w:rPr>
                <w:szCs w:val="21"/>
              </w:rPr>
              <w:t>法定代表人（授权代表签字）：</w:t>
            </w:r>
          </w:p>
          <w:p>
            <w:pPr>
              <w:rPr>
                <w:szCs w:val="21"/>
              </w:rPr>
            </w:pPr>
            <w:r>
              <w:rPr>
                <w:szCs w:val="21"/>
              </w:rPr>
              <w:t>地址：</w:t>
            </w:r>
            <w:permStart w:id="3" w:edGrp="everyone"/>
            <w:r>
              <w:rPr>
                <w:szCs w:val="21"/>
              </w:rPr>
              <w:t>***</w:t>
            </w:r>
            <w:permEnd w:id="3"/>
          </w:p>
          <w:p>
            <w:pPr>
              <w:rPr>
                <w:szCs w:val="21"/>
              </w:rPr>
            </w:pPr>
            <w:r>
              <w:rPr>
                <w:szCs w:val="21"/>
              </w:rPr>
              <w:t>开户银行：</w:t>
            </w:r>
            <w:permStart w:id="4" w:edGrp="everyone"/>
            <w:r>
              <w:rPr>
                <w:szCs w:val="21"/>
              </w:rPr>
              <w:t>***</w:t>
            </w:r>
          </w:p>
          <w:permEnd w:id="4"/>
          <w:p>
            <w:pPr>
              <w:widowControl/>
              <w:jc w:val="left"/>
            </w:pPr>
            <w:r>
              <w:rPr>
                <w:szCs w:val="21"/>
              </w:rPr>
              <w:t>账号：</w:t>
            </w:r>
            <w:permStart w:id="5" w:edGrp="everyone"/>
            <w:r>
              <w:rPr>
                <w:szCs w:val="21"/>
              </w:rPr>
              <w:t>***</w:t>
            </w:r>
            <w:permEnd w:id="5"/>
          </w:p>
        </w:tc>
      </w:tr>
    </w:tbl>
    <w:p>
      <w:pPr>
        <w:widowControl/>
        <w:jc w:val="left"/>
        <w:rPr>
          <w:szCs w:val="21"/>
        </w:rPr>
        <w:sectPr>
          <w:type w:val="continuous"/>
          <w:pgSz w:w="11906" w:h="16838"/>
          <w:pgMar w:top="851" w:right="1134" w:bottom="851" w:left="1134" w:header="0" w:footer="567" w:gutter="0"/>
          <w:pgNumType w:fmt="decimal"/>
          <w:cols w:space="425" w:num="1"/>
          <w:docGrid w:linePitch="312" w:charSpace="0"/>
        </w:sectPr>
      </w:pPr>
    </w:p>
    <w:p>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b/>
                <w:bCs/>
                <w:szCs w:val="21"/>
              </w:rPr>
            </w:pPr>
            <w:r>
              <w:rPr>
                <w:rFonts w:hint="eastAsia"/>
                <w:b/>
                <w:bCs/>
                <w:szCs w:val="21"/>
              </w:rPr>
              <w:t>序号</w:t>
            </w:r>
          </w:p>
        </w:tc>
        <w:tc>
          <w:tcPr>
            <w:tcW w:w="3686" w:type="dxa"/>
            <w:vAlign w:val="center"/>
          </w:tcPr>
          <w:p>
            <w:pPr>
              <w:widowControl/>
              <w:jc w:val="center"/>
              <w:rPr>
                <w:b/>
                <w:bCs/>
                <w:szCs w:val="21"/>
              </w:rPr>
            </w:pPr>
            <w:r>
              <w:rPr>
                <w:rFonts w:hint="eastAsia"/>
                <w:b/>
                <w:bCs/>
                <w:szCs w:val="21"/>
              </w:rPr>
              <w:t>结算项目名称</w:t>
            </w:r>
          </w:p>
        </w:tc>
        <w:tc>
          <w:tcPr>
            <w:tcW w:w="3402" w:type="dxa"/>
            <w:vAlign w:val="center"/>
          </w:tcPr>
          <w:p>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pPr>
              <w:widowControl/>
              <w:jc w:val="center"/>
              <w:rPr>
                <w:b/>
                <w:bCs/>
                <w:szCs w:val="21"/>
              </w:rPr>
            </w:pPr>
            <w:r>
              <w:rPr>
                <w:rFonts w:hint="eastAsia"/>
                <w:b/>
                <w:bCs/>
                <w:szCs w:val="21"/>
              </w:rPr>
              <w:t>结算单价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1</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2</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szCs w:val="21"/>
              </w:rPr>
              <w:t>…</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bl>
    <w:p>
      <w:pPr>
        <w:widowControl/>
        <w:jc w:val="left"/>
        <w:rPr>
          <w:szCs w:val="21"/>
        </w:rPr>
        <w:sectPr>
          <w:footerReference r:id="rId9" w:type="default"/>
          <w:pgSz w:w="11906" w:h="16838"/>
          <w:pgMar w:top="851" w:right="1134" w:bottom="851" w:left="1134" w:header="0" w:footer="567" w:gutter="0"/>
          <w:pgNumType w:fmt="decimal"/>
          <w:cols w:space="425" w:num="1"/>
          <w:docGrid w:linePitch="312" w:charSpace="0"/>
        </w:sectPr>
      </w:pPr>
    </w:p>
    <w:p>
      <w:pPr>
        <w:widowControl/>
        <w:jc w:val="left"/>
        <w:rPr>
          <w:rFonts w:ascii="宋体" w:hAnsi="宋体"/>
          <w:b/>
          <w:bCs/>
          <w:szCs w:val="21"/>
        </w:rPr>
      </w:pPr>
      <w:r>
        <w:rPr>
          <w:rFonts w:hint="eastAsia" w:ascii="宋体" w:hAnsi="宋体"/>
          <w:b/>
          <w:bCs/>
          <w:szCs w:val="21"/>
        </w:rPr>
        <w:t>附件2：考核标准</w:t>
      </w:r>
    </w:p>
    <w:p/>
    <w:p>
      <w:pPr>
        <w:sectPr>
          <w:pgSz w:w="11906" w:h="16838"/>
          <w:pgMar w:top="851" w:right="1134" w:bottom="851" w:left="1134" w:header="0" w:footer="567" w:gutter="0"/>
          <w:pgNumType w:fmt="decimal"/>
          <w:cols w:space="425" w:num="1"/>
          <w:docGrid w:linePitch="312" w:charSpace="0"/>
        </w:sectPr>
      </w:pPr>
      <w:r>
        <w:rPr>
          <w:rFonts w:hint="eastAsia"/>
        </w:rPr>
        <w:t>*</w:t>
      </w:r>
      <w:r>
        <w:t>**</w:t>
      </w:r>
    </w:p>
    <w:p>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p>
      <w:r>
        <w:rPr>
          <w:rFonts w:hint="eastAsia"/>
        </w:rPr>
        <w:t>*</w:t>
      </w:r>
      <w: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3"/>
          <w:rFonts w:ascii="Times New Roman" w:hAnsi="Times New Roman" w:eastAsia="宋体" w:cs="Times New Roman"/>
          <w:b/>
          <w:bCs/>
          <w:sz w:val="32"/>
          <w:szCs w:val="32"/>
        </w:rPr>
      </w:pPr>
      <w:r>
        <w:rPr>
          <w:rFonts w:ascii="Times New Roman" w:hAnsi="Times New Roman" w:cs="Times New Roman"/>
        </w:rPr>
        <w:t>年   月   日</w:t>
      </w:r>
    </w:p>
    <w:p>
      <w:pPr>
        <w:pStyle w:val="26"/>
        <w:rPr>
          <w:rFonts w:ascii="Times New Roman" w:hAnsi="Times New Roman"/>
        </w:rPr>
      </w:pPr>
    </w:p>
    <w:sectPr>
      <w:headerReference r:id="rId10" w:type="default"/>
      <w:footerReference r:id="rId11"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99356D7-C04D-4483-9EBD-4576AC949DF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9327C41-2F0E-4605-9757-9ABB1273AC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2A28FBA-F55A-4FD0-A704-08AFDFAC324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164C1EF-8CD7-4C58-92BF-DCDD9A941CD6}"/>
  </w:font>
  <w:font w:name="Segoe UI Symbol">
    <w:panose1 w:val="020B0502040204020203"/>
    <w:charset w:val="00"/>
    <w:family w:val="swiss"/>
    <w:pitch w:val="default"/>
    <w:sig w:usb0="800001E3" w:usb1="1200FFEF" w:usb2="00040000" w:usb3="04000000" w:csb0="00000001" w:csb1="40000000"/>
    <w:embedRegular r:id="rId5" w:fontKey="{0219316E-739B-44C8-ADE6-2C8A5664F75E}"/>
  </w:font>
  <w:font w:name="Wingdings 2">
    <w:altName w:val="Wingdings"/>
    <w:panose1 w:val="05020102010507070707"/>
    <w:charset w:val="4D"/>
    <w:family w:val="decorative"/>
    <w:pitch w:val="default"/>
    <w:sig w:usb0="00000000" w:usb1="00000000" w:usb2="00000000" w:usb3="00000000" w:csb0="80000001" w:csb1="00000000"/>
    <w:embedRegular r:id="rId6" w:fontKey="{F67D572B-FD19-4825-8C52-2730390777AC}"/>
  </w:font>
  <w:font w:name="微软雅黑">
    <w:panose1 w:val="020B0503020204020204"/>
    <w:charset w:val="86"/>
    <w:family w:val="auto"/>
    <w:pitch w:val="default"/>
    <w:sig w:usb0="80000287" w:usb1="2ACF3C50" w:usb2="00000016" w:usb3="00000000" w:csb0="0004001F" w:csb1="00000000"/>
    <w:embedRegular r:id="rId7" w:fontKey="{5B006813-3DA1-4DF3-86B5-F54DFB976F4A}"/>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35</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EE51A741"/>
    <w:multiLevelType w:val="singleLevel"/>
    <w:tmpl w:val="EE51A741"/>
    <w:lvl w:ilvl="0" w:tentative="0">
      <w:start w:val="1"/>
      <w:numFmt w:val="decimal"/>
      <w:suff w:val="nothing"/>
      <w:lvlText w:val="（%1）"/>
      <w:lvlJc w:val="left"/>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4"/>
  </w:num>
  <w:num w:numId="3">
    <w:abstractNumId w:val="17"/>
  </w:num>
  <w:num w:numId="4">
    <w:abstractNumId w:val="26"/>
  </w:num>
  <w:num w:numId="5">
    <w:abstractNumId w:val="13"/>
  </w:num>
  <w:num w:numId="6">
    <w:abstractNumId w:val="21"/>
  </w:num>
  <w:num w:numId="7">
    <w:abstractNumId w:val="16"/>
  </w:num>
  <w:num w:numId="8">
    <w:abstractNumId w:val="2"/>
  </w:num>
  <w:num w:numId="9">
    <w:abstractNumId w:val="1"/>
  </w:num>
  <w:num w:numId="10">
    <w:abstractNumId w:val="5"/>
  </w:num>
  <w:num w:numId="11">
    <w:abstractNumId w:val="0"/>
  </w:num>
  <w:num w:numId="12">
    <w:abstractNumId w:val="3"/>
  </w:num>
  <w:num w:numId="13">
    <w:abstractNumId w:val="12"/>
  </w:num>
  <w:num w:numId="14">
    <w:abstractNumId w:val="22"/>
  </w:num>
  <w:num w:numId="15">
    <w:abstractNumId w:val="25"/>
  </w:num>
  <w:num w:numId="16">
    <w:abstractNumId w:val="19"/>
  </w:num>
  <w:num w:numId="17">
    <w:abstractNumId w:val="9"/>
  </w:num>
  <w:num w:numId="18">
    <w:abstractNumId w:val="7"/>
  </w:num>
  <w:num w:numId="19">
    <w:abstractNumId w:val="23"/>
  </w:num>
  <w:num w:numId="20">
    <w:abstractNumId w:val="18"/>
  </w:num>
  <w:num w:numId="21">
    <w:abstractNumId w:val="8"/>
  </w:num>
  <w:num w:numId="22">
    <w:abstractNumId w:val="11"/>
  </w:num>
  <w:num w:numId="23">
    <w:abstractNumId w:val="24"/>
  </w:num>
  <w:num w:numId="24">
    <w:abstractNumId w:val="6"/>
  </w:num>
  <w:num w:numId="25">
    <w:abstractNumId w:val="20"/>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trackRevisions w:val="1"/>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CE0A60"/>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7B65FA"/>
    <w:rsid w:val="058C78B0"/>
    <w:rsid w:val="05E13064"/>
    <w:rsid w:val="078A573C"/>
    <w:rsid w:val="093A3733"/>
    <w:rsid w:val="0B4508AE"/>
    <w:rsid w:val="0CF161C9"/>
    <w:rsid w:val="0E0B7FF0"/>
    <w:rsid w:val="0F904004"/>
    <w:rsid w:val="117A5014"/>
    <w:rsid w:val="127F05A0"/>
    <w:rsid w:val="136D78F8"/>
    <w:rsid w:val="13CB0934"/>
    <w:rsid w:val="152423F3"/>
    <w:rsid w:val="15CC4977"/>
    <w:rsid w:val="162A4F7D"/>
    <w:rsid w:val="16A82A66"/>
    <w:rsid w:val="16E74A94"/>
    <w:rsid w:val="1994787E"/>
    <w:rsid w:val="1BCC54CD"/>
    <w:rsid w:val="1DD000AF"/>
    <w:rsid w:val="1E09745A"/>
    <w:rsid w:val="1E176351"/>
    <w:rsid w:val="22935D1D"/>
    <w:rsid w:val="238C5FC6"/>
    <w:rsid w:val="23D4489F"/>
    <w:rsid w:val="262001B9"/>
    <w:rsid w:val="27B87AF9"/>
    <w:rsid w:val="27E80EA9"/>
    <w:rsid w:val="280414A1"/>
    <w:rsid w:val="28570368"/>
    <w:rsid w:val="29C5318E"/>
    <w:rsid w:val="2B502F98"/>
    <w:rsid w:val="2C9A0A9E"/>
    <w:rsid w:val="2DA70D65"/>
    <w:rsid w:val="2EB06456"/>
    <w:rsid w:val="2F191EB9"/>
    <w:rsid w:val="2FD14EB9"/>
    <w:rsid w:val="3427766B"/>
    <w:rsid w:val="343706EB"/>
    <w:rsid w:val="351A08D0"/>
    <w:rsid w:val="36334CE5"/>
    <w:rsid w:val="39C70C0E"/>
    <w:rsid w:val="3A551407"/>
    <w:rsid w:val="3B033C36"/>
    <w:rsid w:val="3B3652E3"/>
    <w:rsid w:val="3E5D4E8E"/>
    <w:rsid w:val="3FE25336"/>
    <w:rsid w:val="41076015"/>
    <w:rsid w:val="42075FF8"/>
    <w:rsid w:val="42842020"/>
    <w:rsid w:val="468567BB"/>
    <w:rsid w:val="4782487D"/>
    <w:rsid w:val="4B31068E"/>
    <w:rsid w:val="4BA55220"/>
    <w:rsid w:val="4BAD0151"/>
    <w:rsid w:val="4C184E09"/>
    <w:rsid w:val="4C8F75A2"/>
    <w:rsid w:val="4DAD4403"/>
    <w:rsid w:val="4E8C008E"/>
    <w:rsid w:val="4FEF758C"/>
    <w:rsid w:val="5017588E"/>
    <w:rsid w:val="50771A9C"/>
    <w:rsid w:val="51C47F6D"/>
    <w:rsid w:val="5455382C"/>
    <w:rsid w:val="551A62D0"/>
    <w:rsid w:val="5D0A3490"/>
    <w:rsid w:val="5D7E0D39"/>
    <w:rsid w:val="5E9D3F29"/>
    <w:rsid w:val="60384CD1"/>
    <w:rsid w:val="60655808"/>
    <w:rsid w:val="607B1928"/>
    <w:rsid w:val="60F86CEE"/>
    <w:rsid w:val="63A9427A"/>
    <w:rsid w:val="63D462B1"/>
    <w:rsid w:val="641A3596"/>
    <w:rsid w:val="64D96647"/>
    <w:rsid w:val="655B51E5"/>
    <w:rsid w:val="65E40ADA"/>
    <w:rsid w:val="66330B86"/>
    <w:rsid w:val="668A4527"/>
    <w:rsid w:val="66E22203"/>
    <w:rsid w:val="67AF7FBD"/>
    <w:rsid w:val="68AA6162"/>
    <w:rsid w:val="68B812C9"/>
    <w:rsid w:val="68CB18F9"/>
    <w:rsid w:val="69D50CF4"/>
    <w:rsid w:val="69DD324F"/>
    <w:rsid w:val="6C487AFD"/>
    <w:rsid w:val="6CB24363"/>
    <w:rsid w:val="6D090C90"/>
    <w:rsid w:val="6EA93466"/>
    <w:rsid w:val="6FCF0795"/>
    <w:rsid w:val="71381023"/>
    <w:rsid w:val="71696852"/>
    <w:rsid w:val="73714961"/>
    <w:rsid w:val="754D1D92"/>
    <w:rsid w:val="758350A9"/>
    <w:rsid w:val="76BD0DA1"/>
    <w:rsid w:val="771A218B"/>
    <w:rsid w:val="79687E1D"/>
    <w:rsid w:val="79F53325"/>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sht标题1"/>
    <w:basedOn w:val="1"/>
    <w:next w:val="2"/>
    <w:autoRedefine/>
    <w:qFormat/>
    <w:uiPriority w:val="0"/>
    <w:pPr>
      <w:jc w:val="center"/>
    </w:pPr>
    <w:rPr>
      <w:rFonts w:eastAsia="黑体"/>
      <w:b/>
      <w:sz w:val="52"/>
      <w:szCs w:val="24"/>
    </w:rPr>
  </w:style>
  <w:style w:type="paragraph" w:customStyle="1" w:styleId="42">
    <w:name w:val="null3"/>
    <w:autoRedefine/>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1230</Words>
  <Characters>1300</Characters>
  <Lines>72</Lines>
  <Paragraphs>20</Paragraphs>
  <TotalTime>0</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2026-10-23T03:14:28Z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7F2ADC7588154E4E88E3E0E161F187D8_13</vt:lpwstr>
  </property>
  <property fmtid="{D5CDD505-2E9C-101B-9397-08002B2CF9AE}" pid="4" name="KSOTemplateDocerSaveRecord">
    <vt:lpwstr>eyJoZGlkIjoiZTE3YzY5ZGRmMGZjYjE3ZTA2OTZlNGYxY2RlMGIzMDkiLCJ1c2VySWQiOiI3MDMxOTM4MzkifQ==</vt:lpwstr>
  </property>
</Properties>
</file>