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四川省人民医院2026年高温干燥箱采购项目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1919"/>
      <w:bookmarkStart w:id="2" w:name="_Toc3240"/>
      <w:bookmarkStart w:id="3" w:name="_Toc62832406"/>
      <w:bookmarkStart w:id="4" w:name="_Toc1907"/>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四川省人民医院2026年高温干燥箱采购项目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CGZX-KYB20260988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23600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635A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380" w:hRule="atLeast"/>
          <w:jc w:val="center"/>
        </w:trPr>
        <w:tc>
          <w:tcPr>
            <w:tcW w:w="514" w:type="pct"/>
            <w:shd w:val="clear" w:color="auto" w:fill="auto"/>
            <w:vAlign w:val="center"/>
          </w:tcPr>
          <w:p w14:paraId="3F49964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419FB353">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348A7732">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741F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62" w:hRule="atLeast"/>
          <w:jc w:val="center"/>
        </w:trPr>
        <w:tc>
          <w:tcPr>
            <w:tcW w:w="514" w:type="pct"/>
            <w:shd w:val="clear" w:color="auto" w:fill="auto"/>
            <w:vAlign w:val="center"/>
          </w:tcPr>
          <w:p w14:paraId="62DDB64F">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61DBE154">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29658F0">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高温干燥箱</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高温干燥箱</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1.18</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2.36</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0A62AF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容积：≥160L；</w:t>
      </w:r>
    </w:p>
    <w:p w14:paraId="5AE03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温控范围满足：25~250℃；</w:t>
      </w:r>
    </w:p>
    <w:p w14:paraId="63C9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温控精度：±0.1℃；</w:t>
      </w:r>
    </w:p>
    <w:p w14:paraId="02E04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温度均匀性：±1.5℃（100℃时），±2.5℃（150℃时） 。温度波动度：±0.2℃（100℃时），±0.3℃（150℃时）；</w:t>
      </w:r>
    </w:p>
    <w:p w14:paraId="7056A1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▲彩色屏≥4英寸，数据实时显示。圆弧角不锈钢内胆，≥3面预热气套式加热；</w:t>
      </w:r>
    </w:p>
    <w:p w14:paraId="53F03F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运行模式：至少包含固定模式、程序模式，其中程序模式能在固定模式基础上增加时间设置功能，含倒计时功能；</w:t>
      </w:r>
    </w:p>
    <w:p w14:paraId="01C09C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▲具备过流保护、独立限温保护、高温报警、低温报警、传感器故障报警、开门报警、运行结束报警功能。报警方式包含：屏幕闪烁报警，蜂鸣器声音报警。</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1690"/>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6482"/>
      <w:bookmarkStart w:id="52" w:name="_Toc11352"/>
      <w:bookmarkStart w:id="53" w:name="_Toc3023"/>
      <w:bookmarkStart w:id="54" w:name="_Toc16029"/>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4305"/>
      <w:bookmarkStart w:id="58" w:name="_Toc22676"/>
      <w:bookmarkStart w:id="59" w:name="_Toc17857"/>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5638"/>
      <w:bookmarkStart w:id="70" w:name="_Toc27661"/>
      <w:bookmarkStart w:id="71" w:name="_Toc20589"/>
      <w:bookmarkStart w:id="72" w:name="_Toc11351"/>
      <w:bookmarkStart w:id="73" w:name="_Toc15526"/>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23967"/>
      <w:bookmarkStart w:id="77" w:name="_Toc1074"/>
      <w:bookmarkStart w:id="78" w:name="_Toc26969"/>
      <w:bookmarkStart w:id="79" w:name="_Toc12967"/>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1082"/>
      <w:bookmarkStart w:id="83" w:name="_Toc31686"/>
      <w:bookmarkStart w:id="84" w:name="_Toc28634"/>
      <w:bookmarkStart w:id="85" w:name="_Toc26839"/>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w:t>
      </w:r>
      <w:bookmarkStart w:id="118" w:name="_GoBack"/>
      <w:bookmarkEnd w:id="118"/>
      <w:r>
        <w:rPr>
          <w:rFonts w:ascii="Times New Roman" w:hAnsi="Times New Roman" w:eastAsia="仿宋" w:cs="Times New Roman"/>
          <w:color w:val="auto"/>
          <w:sz w:val="28"/>
          <w:szCs w:val="28"/>
          <w:highlight w:val="none"/>
        </w:rPr>
        <w:t>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387469-E0FF-4F4C-A4B1-8D9E716BDE9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EA3E568-545D-48FC-9899-3A94455018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A52C783-7025-4617-BF0F-9CFCB29042F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C1AF75B-C20F-4AD0-8E35-11D07CFC17C6}"/>
  </w:font>
  <w:font w:name="Segoe UI Symbol">
    <w:panose1 w:val="020B0502040204020203"/>
    <w:charset w:val="00"/>
    <w:family w:val="swiss"/>
    <w:pitch w:val="default"/>
    <w:sig w:usb0="800001E3" w:usb1="1200FFEF" w:usb2="00040000" w:usb3="04000000" w:csb0="00000001" w:csb1="40000000"/>
    <w:embedRegular r:id="rId5" w:fontKey="{9D688811-33BF-4C10-A22C-862E4F20C909}"/>
  </w:font>
  <w:font w:name="Wingdings 2">
    <w:altName w:val="Wingdings"/>
    <w:panose1 w:val="05020102010507070707"/>
    <w:charset w:val="4D"/>
    <w:family w:val="decorative"/>
    <w:pitch w:val="default"/>
    <w:sig w:usb0="00000000" w:usb1="00000000" w:usb2="00000000" w:usb3="00000000" w:csb0="80000000" w:csb1="00000000"/>
    <w:embedRegular r:id="rId6" w:fontKey="{9C54EA77-A7FE-408C-B2E3-90F7611F155B}"/>
  </w:font>
  <w:font w:name="Songti SC">
    <w:altName w:val="宋体"/>
    <w:panose1 w:val="02010600040101010101"/>
    <w:charset w:val="86"/>
    <w:family w:val="auto"/>
    <w:pitch w:val="default"/>
    <w:sig w:usb0="00000000" w:usb1="00000000" w:usb2="00000010" w:usb3="00000000" w:csb0="0004009F" w:csb1="00000000"/>
    <w:embedRegular r:id="rId7" w:fontKey="{557C1D85-EF04-471E-9216-FD9544BC43D7}"/>
  </w:font>
  <w:font w:name="微软雅黑">
    <w:panose1 w:val="020B0503020204020204"/>
    <w:charset w:val="86"/>
    <w:family w:val="auto"/>
    <w:pitch w:val="default"/>
    <w:sig w:usb0="80000287" w:usb1="2ACF3C50" w:usb2="00000016" w:usb3="00000000" w:csb0="0004001F" w:csb1="00000000"/>
    <w:embedRegular r:id="rId8" w:fontKey="{EC75A00D-C162-4857-B012-1E5E6EE0F7F5}"/>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 xml:space="preserve">39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 xml:space="preserve">39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A55220"/>
    <w:rsid w:val="4BAD0151"/>
    <w:rsid w:val="4C184E09"/>
    <w:rsid w:val="4C8F75A2"/>
    <w:rsid w:val="4DAD4403"/>
    <w:rsid w:val="4E6D0981"/>
    <w:rsid w:val="4E8C008E"/>
    <w:rsid w:val="4EAF2A75"/>
    <w:rsid w:val="4F2C577C"/>
    <w:rsid w:val="4FEF758C"/>
    <w:rsid w:val="50771A9C"/>
    <w:rsid w:val="51C47F6D"/>
    <w:rsid w:val="53505443"/>
    <w:rsid w:val="5455382C"/>
    <w:rsid w:val="5D0A3490"/>
    <w:rsid w:val="5D7E0D39"/>
    <w:rsid w:val="5E9D3F29"/>
    <w:rsid w:val="5F745DF0"/>
    <w:rsid w:val="60384CD1"/>
    <w:rsid w:val="60655808"/>
    <w:rsid w:val="60F86CEE"/>
    <w:rsid w:val="63A9427A"/>
    <w:rsid w:val="63D462B1"/>
    <w:rsid w:val="641A3596"/>
    <w:rsid w:val="64D96647"/>
    <w:rsid w:val="655B51E5"/>
    <w:rsid w:val="65E40ADA"/>
    <w:rsid w:val="66330B86"/>
    <w:rsid w:val="66B71194"/>
    <w:rsid w:val="66E22203"/>
    <w:rsid w:val="68B812C9"/>
    <w:rsid w:val="69D50CF4"/>
    <w:rsid w:val="6C487AFD"/>
    <w:rsid w:val="6CB24363"/>
    <w:rsid w:val="6D172FAA"/>
    <w:rsid w:val="6EA93466"/>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1238</Words>
  <Characters>1329</Characters>
  <Lines>72</Lines>
  <Paragraphs>20</Paragraphs>
  <TotalTime>8</TotalTime>
  <ScaleCrop>false</ScaleCrop>
  <LinksUpToDate>false</LinksUpToDate>
  <CharactersWithSpaces>1401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2026-07-02T00:31:48Z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