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全院搬运服务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bookmarkStart w:id="103" w:name="_GoBack"/>
      <w:bookmarkEnd w:id="103"/>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0358"/>
      <w:bookmarkStart w:id="2" w:name="_Toc21919"/>
      <w:bookmarkStart w:id="3" w:name="_Toc62832406"/>
      <w:bookmarkStart w:id="4" w:name="_Toc3240"/>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全院搬运服务</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HQB20261248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按实结算，本项目支付上限为45.00万元/年，限高单价详见第四章“采购限价清单”。</w:t>
            </w:r>
          </w:p>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本项目要求报统一下浮率，下浮率＜0或≥100%，视为无效报价，</w:t>
            </w:r>
            <w:r>
              <w:rPr>
                <w:rFonts w:ascii="Times New Roman" w:hAnsi="Times New Roman" w:eastAsia="仿宋" w:cs="Times New Roman"/>
                <w:sz w:val="22"/>
              </w:rPr>
              <w:t>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合同支付上限的5%</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报价下浮率最高</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58972638">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（1）采购部门：招标采购中心</w:t>
            </w:r>
          </w:p>
          <w:p w14:paraId="553DB6C5">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联系方式：何老师，028-87394783</w:t>
            </w:r>
          </w:p>
          <w:p w14:paraId="1664D0A1">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（2）归口部门：后勤保障部</w:t>
            </w:r>
          </w:p>
          <w:p w14:paraId="41F05ED0">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联系方式：李老师，028-87393442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（028-87394783）并将合同初稿发送至1841331039@qq.com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sz w:val="22"/>
                <w:u w:val="non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DE0FA15">
      <w:pPr>
        <w:keepNext w:val="0"/>
        <w:keepLines w:val="0"/>
        <w:pageBreakBefore w:val="0"/>
        <w:kinsoku/>
        <w:wordWrap/>
        <w:overflowPunct/>
        <w:topLinePunct w:val="0"/>
        <w:autoSpaceDE/>
        <w:autoSpaceDN/>
        <w:bidi w:val="0"/>
        <w:adjustRightInd/>
        <w:spacing w:line="400" w:lineRule="exact"/>
        <w:rPr>
          <w:color w:val="auto"/>
          <w:highlight w:val="none"/>
        </w:rPr>
      </w:pPr>
    </w:p>
    <w:p w14:paraId="10DF2812">
      <w:pPr>
        <w:pStyle w:val="14"/>
        <w:widowControl/>
        <w:spacing w:beforeAutospacing="0" w:afterAutospacing="0" w:line="400" w:lineRule="exact"/>
        <w:ind w:firstLine="482" w:firstLineChars="200"/>
        <w:rPr>
          <w:rFonts w:ascii="仿宋" w:hAnsi="仿宋" w:eastAsia="仿宋" w:cs="仿宋"/>
          <w:b/>
          <w:bCs/>
          <w:color w:val="auto"/>
          <w:szCs w:val="24"/>
          <w:highlight w:val="none"/>
        </w:rPr>
      </w:pPr>
      <w:r>
        <w:rPr>
          <w:rFonts w:hint="eastAsia" w:ascii="仿宋" w:hAnsi="仿宋" w:eastAsia="仿宋" w:cs="仿宋"/>
          <w:b/>
          <w:bCs/>
          <w:color w:val="auto"/>
          <w:szCs w:val="24"/>
          <w:highlight w:val="none"/>
        </w:rPr>
        <w:t>一、项目简介</w:t>
      </w:r>
    </w:p>
    <w:p w14:paraId="5C10F129">
      <w:pPr>
        <w:spacing w:line="400" w:lineRule="exact"/>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因采购人实际工作需要，本项目拟采购一家供应商为采购人提供全院搬运服务。</w:t>
      </w:r>
    </w:p>
    <w:p w14:paraId="11009BB2">
      <w:pPr>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★二、采购内容</w:t>
      </w:r>
    </w:p>
    <w:p w14:paraId="5F61C16C">
      <w:pPr>
        <w:pStyle w:val="16"/>
        <w:spacing w:after="0"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1.搬运内容：办公用品、仪器设备、精密仪器、家具书籍、公共设施等。</w:t>
      </w:r>
    </w:p>
    <w:p w14:paraId="44462A32">
      <w:pPr>
        <w:pStyle w:val="16"/>
        <w:spacing w:after="0"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2.设备设施及人员要求：</w:t>
      </w:r>
    </w:p>
    <w:p w14:paraId="52CD9176">
      <w:pPr>
        <w:pStyle w:val="16"/>
        <w:spacing w:after="0"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（1）供应商须为本项目配备不少于5辆厢式货车（自有或租赁），并根据作业需要，配套提供平板车（能搬运病床）、敞车、大型叉车及吊车等工具。同时，上述所有车辆均须配备持有相应准驾资质的驾驶人员。</w:t>
      </w:r>
    </w:p>
    <w:p w14:paraId="335238C8">
      <w:pPr>
        <w:pStyle w:val="16"/>
        <w:spacing w:after="0"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（2）供应商须为本项目配备不少于10名搬运人员储备库。每次搬运作业前，供应商须根据采购人实际需求，明确并提报当次搬运参与人员名单，且每次搬运到场作业人数不少于3人。</w:t>
      </w:r>
    </w:p>
    <w:p w14:paraId="74590D1F">
      <w:pPr>
        <w:spacing w:line="400" w:lineRule="exact"/>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3.采购限价清单（以下所指“距离”均指从搬运的起点到终点，按主流导航软件如百度、高德等计算的完成本项目服务所涉及相应机动车型可通行的最近距离计算）</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02"/>
        <w:gridCol w:w="2724"/>
        <w:gridCol w:w="1488"/>
        <w:gridCol w:w="1545"/>
        <w:gridCol w:w="3297"/>
      </w:tblGrid>
      <w:tr w14:paraId="5825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1" w:hRule="atLeast"/>
        </w:trPr>
        <w:tc>
          <w:tcPr>
            <w:tcW w:w="9956" w:type="dxa"/>
            <w:gridSpan w:val="5"/>
            <w:shd w:val="clear" w:color="auto" w:fill="DADADA" w:themeFill="accent3" w:themeFillTint="66"/>
            <w:tcMar>
              <w:top w:w="0" w:type="dxa"/>
              <w:left w:w="105" w:type="dxa"/>
              <w:bottom w:w="0" w:type="dxa"/>
              <w:right w:w="105" w:type="dxa"/>
            </w:tcMar>
            <w:vAlign w:val="center"/>
          </w:tcPr>
          <w:p w14:paraId="17594E82">
            <w:pPr>
              <w:pStyle w:val="14"/>
              <w:widowControl/>
              <w:spacing w:beforeAutospacing="0" w:afterAutospacing="0" w:line="400" w:lineRule="exact"/>
              <w:jc w:val="left"/>
              <w:rPr>
                <w:rFonts w:ascii="仿宋" w:hAnsi="仿宋" w:eastAsia="仿宋" w:cs="仿宋"/>
                <w:color w:val="auto"/>
                <w:szCs w:val="24"/>
                <w:highlight w:val="none"/>
              </w:rPr>
            </w:pPr>
            <w:r>
              <w:rPr>
                <w:rFonts w:hint="eastAsia" w:ascii="仿宋" w:hAnsi="仿宋" w:eastAsia="仿宋" w:cs="仿宋"/>
                <w:b/>
                <w:bCs/>
                <w:color w:val="auto"/>
                <w:szCs w:val="24"/>
                <w:highlight w:val="none"/>
              </w:rPr>
              <w:t>3.1搬运任务起点、终点均位于三环路以内</w:t>
            </w:r>
          </w:p>
        </w:tc>
      </w:tr>
      <w:tr w14:paraId="2EE0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902" w:type="dxa"/>
            <w:shd w:val="clear" w:color="auto" w:fill="FFFFFF"/>
            <w:tcMar>
              <w:top w:w="0" w:type="dxa"/>
              <w:left w:w="105" w:type="dxa"/>
              <w:bottom w:w="0" w:type="dxa"/>
              <w:right w:w="105" w:type="dxa"/>
            </w:tcMar>
            <w:vAlign w:val="center"/>
          </w:tcPr>
          <w:p w14:paraId="32F0789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序号</w:t>
            </w:r>
          </w:p>
        </w:tc>
        <w:tc>
          <w:tcPr>
            <w:tcW w:w="2724" w:type="dxa"/>
            <w:shd w:val="clear" w:color="auto" w:fill="FFFFFF"/>
            <w:tcMar>
              <w:top w:w="0" w:type="dxa"/>
              <w:left w:w="105" w:type="dxa"/>
              <w:bottom w:w="0" w:type="dxa"/>
              <w:right w:w="105" w:type="dxa"/>
            </w:tcMar>
            <w:vAlign w:val="center"/>
          </w:tcPr>
          <w:p w14:paraId="4E4F50B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车型</w:t>
            </w:r>
          </w:p>
        </w:tc>
        <w:tc>
          <w:tcPr>
            <w:tcW w:w="1488" w:type="dxa"/>
            <w:shd w:val="clear" w:color="auto" w:fill="FFFFFF"/>
            <w:tcMar>
              <w:top w:w="0" w:type="dxa"/>
              <w:left w:w="105" w:type="dxa"/>
              <w:bottom w:w="0" w:type="dxa"/>
              <w:right w:w="105" w:type="dxa"/>
            </w:tcMar>
            <w:vAlign w:val="center"/>
          </w:tcPr>
          <w:p w14:paraId="53D91D4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计价单位</w:t>
            </w:r>
          </w:p>
        </w:tc>
        <w:tc>
          <w:tcPr>
            <w:tcW w:w="1545" w:type="dxa"/>
            <w:shd w:val="clear" w:color="auto" w:fill="FFFFFF"/>
            <w:tcMar>
              <w:top w:w="0" w:type="dxa"/>
              <w:left w:w="105" w:type="dxa"/>
              <w:bottom w:w="0" w:type="dxa"/>
              <w:right w:w="105" w:type="dxa"/>
            </w:tcMar>
            <w:vAlign w:val="center"/>
          </w:tcPr>
          <w:p w14:paraId="4B44221A">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单价限价（元）</w:t>
            </w:r>
          </w:p>
        </w:tc>
        <w:tc>
          <w:tcPr>
            <w:tcW w:w="3297" w:type="dxa"/>
            <w:shd w:val="clear" w:color="auto" w:fill="FFFFFF"/>
            <w:tcMar>
              <w:top w:w="0" w:type="dxa"/>
              <w:left w:w="105" w:type="dxa"/>
              <w:bottom w:w="0" w:type="dxa"/>
              <w:right w:w="105" w:type="dxa"/>
            </w:tcMar>
            <w:vAlign w:val="center"/>
          </w:tcPr>
          <w:p w14:paraId="0FDD10F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备注</w:t>
            </w:r>
          </w:p>
        </w:tc>
      </w:tr>
      <w:tr w14:paraId="11A41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0007625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w:t>
            </w:r>
          </w:p>
        </w:tc>
        <w:tc>
          <w:tcPr>
            <w:tcW w:w="2724" w:type="dxa"/>
            <w:shd w:val="clear" w:color="auto" w:fill="FFFFFF"/>
            <w:tcMar>
              <w:top w:w="0" w:type="dxa"/>
              <w:left w:w="105" w:type="dxa"/>
              <w:bottom w:w="0" w:type="dxa"/>
              <w:right w:w="105" w:type="dxa"/>
            </w:tcMar>
            <w:vAlign w:val="center"/>
          </w:tcPr>
          <w:p w14:paraId="3653FB8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厢式货车（420cm*180cm*180cm）</w:t>
            </w:r>
          </w:p>
        </w:tc>
        <w:tc>
          <w:tcPr>
            <w:tcW w:w="1488" w:type="dxa"/>
            <w:shd w:val="clear" w:color="auto" w:fill="FFFFFF"/>
            <w:noWrap/>
            <w:tcMar>
              <w:top w:w="0" w:type="dxa"/>
              <w:left w:w="105" w:type="dxa"/>
              <w:bottom w:w="0" w:type="dxa"/>
              <w:right w:w="105" w:type="dxa"/>
            </w:tcMar>
            <w:vAlign w:val="center"/>
          </w:tcPr>
          <w:p w14:paraId="4EE4F05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3FE5049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400</w:t>
            </w:r>
          </w:p>
        </w:tc>
        <w:tc>
          <w:tcPr>
            <w:tcW w:w="3297" w:type="dxa"/>
            <w:vMerge w:val="restart"/>
            <w:shd w:val="clear" w:color="auto" w:fill="FFFFFF"/>
            <w:tcMar>
              <w:top w:w="0" w:type="dxa"/>
              <w:left w:w="105" w:type="dxa"/>
              <w:bottom w:w="0" w:type="dxa"/>
              <w:right w:w="105" w:type="dxa"/>
            </w:tcMar>
            <w:vAlign w:val="center"/>
          </w:tcPr>
          <w:p w14:paraId="4FEEA7B1">
            <w:pPr>
              <w:pStyle w:val="14"/>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firstLineChars="200"/>
              <w:jc w:val="left"/>
              <w:textAlignment w:val="auto"/>
              <w:rPr>
                <w:rFonts w:ascii="仿宋" w:hAnsi="仿宋" w:eastAsia="仿宋" w:cs="仿宋"/>
                <w:color w:val="auto"/>
                <w:szCs w:val="24"/>
                <w:highlight w:val="none"/>
              </w:rPr>
            </w:pPr>
            <w:r>
              <w:rPr>
                <w:rFonts w:hint="eastAsia" w:ascii="仿宋" w:hAnsi="仿宋" w:eastAsia="仿宋" w:cs="仿宋"/>
                <w:color w:val="auto"/>
                <w:szCs w:val="24"/>
                <w:highlight w:val="none"/>
              </w:rPr>
              <w:t>包含货物从起点搬运到终点的每车所有费用。</w:t>
            </w:r>
          </w:p>
        </w:tc>
      </w:tr>
      <w:tr w14:paraId="1E4C7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5EC7A4A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w:t>
            </w:r>
          </w:p>
        </w:tc>
        <w:tc>
          <w:tcPr>
            <w:tcW w:w="2724" w:type="dxa"/>
            <w:shd w:val="clear" w:color="auto" w:fill="FFFFFF"/>
            <w:tcMar>
              <w:top w:w="0" w:type="dxa"/>
              <w:left w:w="105" w:type="dxa"/>
              <w:bottom w:w="0" w:type="dxa"/>
              <w:right w:w="105" w:type="dxa"/>
            </w:tcMar>
            <w:vAlign w:val="center"/>
          </w:tcPr>
          <w:p w14:paraId="2C0579B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敞车（420cm*180cm）</w:t>
            </w:r>
          </w:p>
        </w:tc>
        <w:tc>
          <w:tcPr>
            <w:tcW w:w="1488" w:type="dxa"/>
            <w:shd w:val="clear" w:color="auto" w:fill="FFFFFF"/>
            <w:noWrap/>
            <w:tcMar>
              <w:top w:w="0" w:type="dxa"/>
              <w:left w:w="105" w:type="dxa"/>
              <w:bottom w:w="0" w:type="dxa"/>
              <w:right w:w="105" w:type="dxa"/>
            </w:tcMar>
            <w:vAlign w:val="center"/>
          </w:tcPr>
          <w:p w14:paraId="691AEE1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492BEFC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400</w:t>
            </w:r>
          </w:p>
        </w:tc>
        <w:tc>
          <w:tcPr>
            <w:tcW w:w="3297" w:type="dxa"/>
            <w:vMerge w:val="continue"/>
            <w:shd w:val="clear" w:color="auto" w:fill="FFFFFF"/>
            <w:noWrap/>
            <w:tcMar>
              <w:top w:w="0" w:type="dxa"/>
              <w:left w:w="105" w:type="dxa"/>
              <w:bottom w:w="0" w:type="dxa"/>
              <w:right w:w="105" w:type="dxa"/>
            </w:tcMar>
            <w:vAlign w:val="center"/>
          </w:tcPr>
          <w:p w14:paraId="359B34FC">
            <w:pPr>
              <w:pStyle w:val="14"/>
              <w:widowControl/>
              <w:spacing w:beforeAutospacing="0" w:afterAutospacing="0" w:line="400" w:lineRule="exact"/>
              <w:jc w:val="center"/>
              <w:rPr>
                <w:rFonts w:ascii="仿宋" w:hAnsi="仿宋" w:eastAsia="仿宋" w:cs="仿宋"/>
                <w:color w:val="auto"/>
                <w:szCs w:val="24"/>
                <w:highlight w:val="none"/>
              </w:rPr>
            </w:pPr>
          </w:p>
        </w:tc>
      </w:tr>
      <w:tr w14:paraId="10C0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75EA5D3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w:t>
            </w:r>
          </w:p>
        </w:tc>
        <w:tc>
          <w:tcPr>
            <w:tcW w:w="2724" w:type="dxa"/>
            <w:shd w:val="clear" w:color="auto" w:fill="FFFFFF"/>
            <w:tcMar>
              <w:top w:w="0" w:type="dxa"/>
              <w:left w:w="105" w:type="dxa"/>
              <w:bottom w:w="0" w:type="dxa"/>
              <w:right w:w="105" w:type="dxa"/>
            </w:tcMar>
            <w:vAlign w:val="center"/>
          </w:tcPr>
          <w:p w14:paraId="3B06A36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依维柯</w:t>
            </w:r>
          </w:p>
        </w:tc>
        <w:tc>
          <w:tcPr>
            <w:tcW w:w="1488" w:type="dxa"/>
            <w:shd w:val="clear" w:color="auto" w:fill="FFFFFF"/>
            <w:noWrap/>
            <w:tcMar>
              <w:top w:w="0" w:type="dxa"/>
              <w:left w:w="105" w:type="dxa"/>
              <w:bottom w:w="0" w:type="dxa"/>
              <w:right w:w="105" w:type="dxa"/>
            </w:tcMar>
            <w:vAlign w:val="center"/>
          </w:tcPr>
          <w:p w14:paraId="08B6941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5F5BCD4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260</w:t>
            </w:r>
          </w:p>
        </w:tc>
        <w:tc>
          <w:tcPr>
            <w:tcW w:w="3297" w:type="dxa"/>
            <w:vMerge w:val="continue"/>
            <w:shd w:val="clear" w:color="auto" w:fill="FFFFFF"/>
            <w:tcMar>
              <w:top w:w="0" w:type="dxa"/>
              <w:left w:w="105" w:type="dxa"/>
              <w:bottom w:w="0" w:type="dxa"/>
              <w:right w:w="105" w:type="dxa"/>
            </w:tcMar>
            <w:vAlign w:val="center"/>
          </w:tcPr>
          <w:p w14:paraId="5FDF3353">
            <w:pPr>
              <w:pStyle w:val="14"/>
              <w:widowControl/>
              <w:spacing w:beforeAutospacing="0" w:afterAutospacing="0" w:line="400" w:lineRule="exact"/>
              <w:jc w:val="center"/>
              <w:rPr>
                <w:rFonts w:ascii="仿宋" w:hAnsi="仿宋" w:eastAsia="仿宋" w:cs="仿宋"/>
                <w:color w:val="auto"/>
                <w:szCs w:val="24"/>
                <w:highlight w:val="none"/>
              </w:rPr>
            </w:pPr>
          </w:p>
        </w:tc>
      </w:tr>
      <w:tr w14:paraId="47EF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4FA2D78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w:t>
            </w:r>
          </w:p>
        </w:tc>
        <w:tc>
          <w:tcPr>
            <w:tcW w:w="2724" w:type="dxa"/>
            <w:shd w:val="clear" w:color="auto" w:fill="FFFFFF"/>
            <w:tcMar>
              <w:top w:w="0" w:type="dxa"/>
              <w:left w:w="105" w:type="dxa"/>
              <w:bottom w:w="0" w:type="dxa"/>
              <w:right w:w="105" w:type="dxa"/>
            </w:tcMar>
            <w:vAlign w:val="center"/>
          </w:tcPr>
          <w:p w14:paraId="35326102">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金杯车</w:t>
            </w:r>
          </w:p>
        </w:tc>
        <w:tc>
          <w:tcPr>
            <w:tcW w:w="1488" w:type="dxa"/>
            <w:shd w:val="clear" w:color="auto" w:fill="FFFFFF"/>
            <w:noWrap/>
            <w:tcMar>
              <w:top w:w="0" w:type="dxa"/>
              <w:left w:w="105" w:type="dxa"/>
              <w:bottom w:w="0" w:type="dxa"/>
              <w:right w:w="105" w:type="dxa"/>
            </w:tcMar>
            <w:vAlign w:val="center"/>
          </w:tcPr>
          <w:p w14:paraId="68C047D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3390F33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220</w:t>
            </w:r>
          </w:p>
        </w:tc>
        <w:tc>
          <w:tcPr>
            <w:tcW w:w="3297" w:type="dxa"/>
            <w:vMerge w:val="continue"/>
            <w:shd w:val="clear" w:color="auto" w:fill="FFFFFF"/>
            <w:noWrap/>
            <w:tcMar>
              <w:top w:w="0" w:type="dxa"/>
              <w:left w:w="105" w:type="dxa"/>
              <w:bottom w:w="0" w:type="dxa"/>
              <w:right w:w="105" w:type="dxa"/>
            </w:tcMar>
            <w:vAlign w:val="center"/>
          </w:tcPr>
          <w:p w14:paraId="5ACEBB2D">
            <w:pPr>
              <w:pStyle w:val="14"/>
              <w:widowControl/>
              <w:spacing w:beforeAutospacing="0" w:afterAutospacing="0" w:line="400" w:lineRule="exact"/>
              <w:jc w:val="center"/>
              <w:rPr>
                <w:rFonts w:ascii="仿宋" w:hAnsi="仿宋" w:eastAsia="仿宋" w:cs="仿宋"/>
                <w:color w:val="auto"/>
                <w:szCs w:val="24"/>
                <w:highlight w:val="none"/>
              </w:rPr>
            </w:pPr>
          </w:p>
        </w:tc>
      </w:tr>
      <w:tr w14:paraId="7A57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956" w:type="dxa"/>
            <w:gridSpan w:val="5"/>
            <w:shd w:val="clear" w:color="auto" w:fill="D8E4BC"/>
            <w:tcMar>
              <w:top w:w="0" w:type="dxa"/>
              <w:left w:w="105" w:type="dxa"/>
              <w:bottom w:w="0" w:type="dxa"/>
              <w:right w:w="105" w:type="dxa"/>
            </w:tcMar>
            <w:vAlign w:val="center"/>
          </w:tcPr>
          <w:p w14:paraId="4B9DA88C">
            <w:pPr>
              <w:pStyle w:val="14"/>
              <w:widowControl/>
              <w:spacing w:beforeAutospacing="0" w:afterAutospacing="0" w:line="400" w:lineRule="exact"/>
              <w:jc w:val="left"/>
              <w:rPr>
                <w:rFonts w:ascii="仿宋" w:hAnsi="仿宋" w:eastAsia="仿宋" w:cs="仿宋"/>
                <w:color w:val="auto"/>
                <w:szCs w:val="24"/>
                <w:highlight w:val="none"/>
              </w:rPr>
            </w:pPr>
            <w:r>
              <w:rPr>
                <w:rFonts w:hint="eastAsia" w:ascii="仿宋" w:hAnsi="仿宋" w:eastAsia="仿宋" w:cs="仿宋"/>
                <w:b/>
                <w:bCs/>
                <w:color w:val="auto"/>
                <w:szCs w:val="24"/>
                <w:highlight w:val="none"/>
              </w:rPr>
              <w:t>3.2搬运起点、终点中至少其中之一位于三环路以外、绕城以内，且距离&gt;3km。距离≤3km时，按第3.1款计价标准计算费用。</w:t>
            </w:r>
          </w:p>
        </w:tc>
      </w:tr>
      <w:tr w14:paraId="33AAB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19D9D842">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序号</w:t>
            </w:r>
          </w:p>
        </w:tc>
        <w:tc>
          <w:tcPr>
            <w:tcW w:w="2724" w:type="dxa"/>
            <w:shd w:val="clear" w:color="auto" w:fill="FFFFFF"/>
            <w:tcMar>
              <w:top w:w="0" w:type="dxa"/>
              <w:left w:w="105" w:type="dxa"/>
              <w:bottom w:w="0" w:type="dxa"/>
              <w:right w:w="105" w:type="dxa"/>
            </w:tcMar>
            <w:vAlign w:val="center"/>
          </w:tcPr>
          <w:p w14:paraId="554A29D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车型</w:t>
            </w:r>
          </w:p>
        </w:tc>
        <w:tc>
          <w:tcPr>
            <w:tcW w:w="1488" w:type="dxa"/>
            <w:shd w:val="clear" w:color="auto" w:fill="FFFFFF"/>
            <w:noWrap/>
            <w:tcMar>
              <w:top w:w="0" w:type="dxa"/>
              <w:left w:w="105" w:type="dxa"/>
              <w:bottom w:w="0" w:type="dxa"/>
              <w:right w:w="105" w:type="dxa"/>
            </w:tcMar>
            <w:vAlign w:val="center"/>
          </w:tcPr>
          <w:p w14:paraId="1933794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计价单位</w:t>
            </w:r>
          </w:p>
        </w:tc>
        <w:tc>
          <w:tcPr>
            <w:tcW w:w="1545" w:type="dxa"/>
            <w:shd w:val="clear" w:color="auto" w:fill="FFFFFF"/>
            <w:noWrap/>
            <w:tcMar>
              <w:top w:w="0" w:type="dxa"/>
              <w:left w:w="105" w:type="dxa"/>
              <w:bottom w:w="0" w:type="dxa"/>
              <w:right w:w="105" w:type="dxa"/>
            </w:tcMar>
            <w:vAlign w:val="center"/>
          </w:tcPr>
          <w:p w14:paraId="66C0EC7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lang w:bidi="ar"/>
              </w:rPr>
              <w:t>单价限价（元）</w:t>
            </w:r>
          </w:p>
        </w:tc>
        <w:tc>
          <w:tcPr>
            <w:tcW w:w="3297" w:type="dxa"/>
            <w:shd w:val="clear" w:color="auto" w:fill="FFFFFF"/>
            <w:tcMar>
              <w:top w:w="0" w:type="dxa"/>
              <w:left w:w="105" w:type="dxa"/>
              <w:bottom w:w="0" w:type="dxa"/>
              <w:right w:w="105" w:type="dxa"/>
            </w:tcMar>
            <w:vAlign w:val="center"/>
          </w:tcPr>
          <w:p w14:paraId="123C703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备注</w:t>
            </w:r>
          </w:p>
        </w:tc>
      </w:tr>
      <w:tr w14:paraId="2429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37B9727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w:t>
            </w:r>
          </w:p>
        </w:tc>
        <w:tc>
          <w:tcPr>
            <w:tcW w:w="2724" w:type="dxa"/>
            <w:shd w:val="clear" w:color="auto" w:fill="FFFFFF"/>
            <w:tcMar>
              <w:top w:w="0" w:type="dxa"/>
              <w:left w:w="105" w:type="dxa"/>
              <w:bottom w:w="0" w:type="dxa"/>
              <w:right w:w="105" w:type="dxa"/>
            </w:tcMar>
            <w:vAlign w:val="center"/>
          </w:tcPr>
          <w:p w14:paraId="606900F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厢式货车（420cm*180cm*180cm）</w:t>
            </w:r>
          </w:p>
        </w:tc>
        <w:tc>
          <w:tcPr>
            <w:tcW w:w="1488" w:type="dxa"/>
            <w:shd w:val="clear" w:color="auto" w:fill="FFFFFF"/>
            <w:noWrap/>
            <w:tcMar>
              <w:top w:w="0" w:type="dxa"/>
              <w:left w:w="105" w:type="dxa"/>
              <w:bottom w:w="0" w:type="dxa"/>
              <w:right w:w="105" w:type="dxa"/>
            </w:tcMar>
            <w:vAlign w:val="center"/>
          </w:tcPr>
          <w:p w14:paraId="375602D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79B8553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480</w:t>
            </w:r>
          </w:p>
        </w:tc>
        <w:tc>
          <w:tcPr>
            <w:tcW w:w="3297" w:type="dxa"/>
            <w:vMerge w:val="restart"/>
            <w:shd w:val="clear" w:color="auto" w:fill="FFFFFF"/>
            <w:tcMar>
              <w:top w:w="0" w:type="dxa"/>
              <w:left w:w="105" w:type="dxa"/>
              <w:bottom w:w="0" w:type="dxa"/>
              <w:right w:w="105" w:type="dxa"/>
            </w:tcMar>
            <w:vAlign w:val="center"/>
          </w:tcPr>
          <w:p w14:paraId="2FA9E7AA">
            <w:pPr>
              <w:pStyle w:val="14"/>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firstLineChars="200"/>
              <w:jc w:val="left"/>
              <w:textAlignment w:val="auto"/>
              <w:rPr>
                <w:rFonts w:ascii="仿宋" w:hAnsi="仿宋" w:eastAsia="仿宋" w:cs="仿宋"/>
                <w:color w:val="auto"/>
                <w:szCs w:val="24"/>
                <w:highlight w:val="none"/>
              </w:rPr>
            </w:pPr>
            <w:r>
              <w:rPr>
                <w:rFonts w:hint="eastAsia" w:ascii="仿宋" w:hAnsi="仿宋" w:eastAsia="仿宋" w:cs="仿宋"/>
                <w:color w:val="auto"/>
                <w:szCs w:val="24"/>
                <w:highlight w:val="none"/>
              </w:rPr>
              <w:t>包含货物从起点搬运到终点的每车所有费用。</w:t>
            </w:r>
          </w:p>
        </w:tc>
      </w:tr>
      <w:tr w14:paraId="1CA4B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58AD3AC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w:t>
            </w:r>
          </w:p>
        </w:tc>
        <w:tc>
          <w:tcPr>
            <w:tcW w:w="2724" w:type="dxa"/>
            <w:shd w:val="clear" w:color="auto" w:fill="FFFFFF"/>
            <w:tcMar>
              <w:top w:w="0" w:type="dxa"/>
              <w:left w:w="105" w:type="dxa"/>
              <w:bottom w:w="0" w:type="dxa"/>
              <w:right w:w="105" w:type="dxa"/>
            </w:tcMar>
            <w:vAlign w:val="center"/>
          </w:tcPr>
          <w:p w14:paraId="08B5694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敞车（420cm*180cm）</w:t>
            </w:r>
          </w:p>
        </w:tc>
        <w:tc>
          <w:tcPr>
            <w:tcW w:w="1488" w:type="dxa"/>
            <w:shd w:val="clear" w:color="auto" w:fill="FFFFFF"/>
            <w:noWrap/>
            <w:tcMar>
              <w:top w:w="0" w:type="dxa"/>
              <w:left w:w="105" w:type="dxa"/>
              <w:bottom w:w="0" w:type="dxa"/>
              <w:right w:w="105" w:type="dxa"/>
            </w:tcMar>
            <w:vAlign w:val="center"/>
          </w:tcPr>
          <w:p w14:paraId="329448A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7DB3ADD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480</w:t>
            </w:r>
          </w:p>
        </w:tc>
        <w:tc>
          <w:tcPr>
            <w:tcW w:w="3297" w:type="dxa"/>
            <w:vMerge w:val="continue"/>
            <w:shd w:val="clear" w:color="auto" w:fill="FFFFFF"/>
            <w:noWrap/>
            <w:tcMar>
              <w:top w:w="0" w:type="dxa"/>
              <w:left w:w="105" w:type="dxa"/>
              <w:bottom w:w="0" w:type="dxa"/>
              <w:right w:w="105" w:type="dxa"/>
            </w:tcMar>
            <w:vAlign w:val="center"/>
          </w:tcPr>
          <w:p w14:paraId="71211161">
            <w:pPr>
              <w:pStyle w:val="14"/>
              <w:widowControl/>
              <w:spacing w:beforeAutospacing="0" w:afterAutospacing="0" w:line="400" w:lineRule="exact"/>
              <w:jc w:val="center"/>
              <w:rPr>
                <w:rFonts w:ascii="仿宋" w:hAnsi="仿宋" w:eastAsia="仿宋" w:cs="仿宋"/>
                <w:color w:val="auto"/>
                <w:szCs w:val="24"/>
                <w:highlight w:val="none"/>
              </w:rPr>
            </w:pPr>
          </w:p>
        </w:tc>
      </w:tr>
      <w:tr w14:paraId="37F3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75C9E0D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w:t>
            </w:r>
          </w:p>
        </w:tc>
        <w:tc>
          <w:tcPr>
            <w:tcW w:w="2724" w:type="dxa"/>
            <w:shd w:val="clear" w:color="auto" w:fill="FFFFFF"/>
            <w:tcMar>
              <w:top w:w="0" w:type="dxa"/>
              <w:left w:w="105" w:type="dxa"/>
              <w:bottom w:w="0" w:type="dxa"/>
              <w:right w:w="105" w:type="dxa"/>
            </w:tcMar>
            <w:vAlign w:val="center"/>
          </w:tcPr>
          <w:p w14:paraId="5CC47A3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依维柯</w:t>
            </w:r>
          </w:p>
        </w:tc>
        <w:tc>
          <w:tcPr>
            <w:tcW w:w="1488" w:type="dxa"/>
            <w:shd w:val="clear" w:color="auto" w:fill="FFFFFF"/>
            <w:noWrap/>
            <w:tcMar>
              <w:top w:w="0" w:type="dxa"/>
              <w:left w:w="105" w:type="dxa"/>
              <w:bottom w:w="0" w:type="dxa"/>
              <w:right w:w="105" w:type="dxa"/>
            </w:tcMar>
            <w:vAlign w:val="center"/>
          </w:tcPr>
          <w:p w14:paraId="78917A7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0013924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300</w:t>
            </w:r>
          </w:p>
        </w:tc>
        <w:tc>
          <w:tcPr>
            <w:tcW w:w="3297" w:type="dxa"/>
            <w:vMerge w:val="continue"/>
            <w:shd w:val="clear" w:color="auto" w:fill="FFFFFF"/>
            <w:noWrap/>
            <w:tcMar>
              <w:top w:w="0" w:type="dxa"/>
              <w:left w:w="105" w:type="dxa"/>
              <w:bottom w:w="0" w:type="dxa"/>
              <w:right w:w="105" w:type="dxa"/>
            </w:tcMar>
            <w:vAlign w:val="center"/>
          </w:tcPr>
          <w:p w14:paraId="09DE807D">
            <w:pPr>
              <w:pStyle w:val="14"/>
              <w:widowControl/>
              <w:spacing w:beforeAutospacing="0" w:afterAutospacing="0" w:line="400" w:lineRule="exact"/>
              <w:jc w:val="center"/>
              <w:rPr>
                <w:rFonts w:ascii="仿宋" w:hAnsi="仿宋" w:eastAsia="仿宋" w:cs="仿宋"/>
                <w:color w:val="auto"/>
                <w:szCs w:val="24"/>
                <w:highlight w:val="none"/>
              </w:rPr>
            </w:pPr>
          </w:p>
        </w:tc>
      </w:tr>
      <w:tr w14:paraId="3139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235A02B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w:t>
            </w:r>
          </w:p>
        </w:tc>
        <w:tc>
          <w:tcPr>
            <w:tcW w:w="2724" w:type="dxa"/>
            <w:shd w:val="clear" w:color="auto" w:fill="FFFFFF"/>
            <w:tcMar>
              <w:top w:w="0" w:type="dxa"/>
              <w:left w:w="105" w:type="dxa"/>
              <w:bottom w:w="0" w:type="dxa"/>
              <w:right w:w="105" w:type="dxa"/>
            </w:tcMar>
            <w:vAlign w:val="center"/>
          </w:tcPr>
          <w:p w14:paraId="4F270A0F">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金杯车</w:t>
            </w:r>
          </w:p>
        </w:tc>
        <w:tc>
          <w:tcPr>
            <w:tcW w:w="1488" w:type="dxa"/>
            <w:shd w:val="clear" w:color="auto" w:fill="FFFFFF"/>
            <w:noWrap/>
            <w:tcMar>
              <w:top w:w="0" w:type="dxa"/>
              <w:left w:w="105" w:type="dxa"/>
              <w:bottom w:w="0" w:type="dxa"/>
              <w:right w:w="105" w:type="dxa"/>
            </w:tcMar>
            <w:vAlign w:val="center"/>
          </w:tcPr>
          <w:p w14:paraId="27B9CAA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1DA01D0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260</w:t>
            </w:r>
          </w:p>
        </w:tc>
        <w:tc>
          <w:tcPr>
            <w:tcW w:w="3297" w:type="dxa"/>
            <w:vMerge w:val="continue"/>
            <w:shd w:val="clear" w:color="auto" w:fill="FFFFFF"/>
            <w:noWrap/>
            <w:tcMar>
              <w:top w:w="0" w:type="dxa"/>
              <w:left w:w="105" w:type="dxa"/>
              <w:bottom w:w="0" w:type="dxa"/>
              <w:right w:w="105" w:type="dxa"/>
            </w:tcMar>
            <w:vAlign w:val="center"/>
          </w:tcPr>
          <w:p w14:paraId="22870790">
            <w:pPr>
              <w:pStyle w:val="14"/>
              <w:widowControl/>
              <w:spacing w:beforeAutospacing="0" w:afterAutospacing="0" w:line="400" w:lineRule="exact"/>
              <w:jc w:val="center"/>
              <w:rPr>
                <w:rFonts w:ascii="仿宋" w:hAnsi="仿宋" w:eastAsia="仿宋" w:cs="仿宋"/>
                <w:color w:val="auto"/>
                <w:szCs w:val="24"/>
                <w:highlight w:val="none"/>
              </w:rPr>
            </w:pPr>
          </w:p>
        </w:tc>
      </w:tr>
      <w:tr w14:paraId="1A08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956" w:type="dxa"/>
            <w:gridSpan w:val="5"/>
            <w:shd w:val="clear" w:color="auto" w:fill="D8E4BC"/>
            <w:tcMar>
              <w:top w:w="0" w:type="dxa"/>
              <w:left w:w="105" w:type="dxa"/>
              <w:bottom w:w="0" w:type="dxa"/>
              <w:right w:w="105" w:type="dxa"/>
            </w:tcMar>
            <w:vAlign w:val="center"/>
          </w:tcPr>
          <w:p w14:paraId="165D72C2">
            <w:pPr>
              <w:pStyle w:val="14"/>
              <w:widowControl/>
              <w:spacing w:beforeAutospacing="0" w:afterAutospacing="0" w:line="400" w:lineRule="exact"/>
              <w:jc w:val="left"/>
              <w:rPr>
                <w:rFonts w:ascii="仿宋" w:hAnsi="仿宋" w:eastAsia="仿宋" w:cs="仿宋"/>
                <w:color w:val="auto"/>
                <w:szCs w:val="24"/>
                <w:highlight w:val="none"/>
              </w:rPr>
            </w:pPr>
            <w:r>
              <w:rPr>
                <w:rFonts w:hint="eastAsia" w:ascii="仿宋" w:hAnsi="仿宋" w:eastAsia="仿宋" w:cs="仿宋"/>
                <w:b/>
                <w:bCs/>
                <w:color w:val="auto"/>
                <w:szCs w:val="24"/>
                <w:highlight w:val="none"/>
              </w:rPr>
              <w:t>3.3搬运起点、终点中至少其中之一位于绕城外、大成都范围以内，且距离&gt;5km。距离≤5km时，按第3.2款计价标准计算费用。</w:t>
            </w:r>
          </w:p>
        </w:tc>
      </w:tr>
      <w:tr w14:paraId="7D66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902" w:type="dxa"/>
            <w:shd w:val="clear" w:color="auto" w:fill="FFFFFF"/>
            <w:noWrap/>
            <w:tcMar>
              <w:top w:w="0" w:type="dxa"/>
              <w:left w:w="105" w:type="dxa"/>
              <w:bottom w:w="0" w:type="dxa"/>
              <w:right w:w="105" w:type="dxa"/>
            </w:tcMar>
            <w:vAlign w:val="center"/>
          </w:tcPr>
          <w:p w14:paraId="4A32522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序号</w:t>
            </w:r>
          </w:p>
        </w:tc>
        <w:tc>
          <w:tcPr>
            <w:tcW w:w="2724" w:type="dxa"/>
            <w:shd w:val="clear" w:color="auto" w:fill="FFFFFF"/>
            <w:tcMar>
              <w:top w:w="0" w:type="dxa"/>
              <w:left w:w="105" w:type="dxa"/>
              <w:bottom w:w="0" w:type="dxa"/>
              <w:right w:w="105" w:type="dxa"/>
            </w:tcMar>
            <w:vAlign w:val="center"/>
          </w:tcPr>
          <w:p w14:paraId="0785D9B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车型</w:t>
            </w:r>
          </w:p>
        </w:tc>
        <w:tc>
          <w:tcPr>
            <w:tcW w:w="1488" w:type="dxa"/>
            <w:shd w:val="clear" w:color="auto" w:fill="FFFFFF"/>
            <w:noWrap/>
            <w:tcMar>
              <w:top w:w="0" w:type="dxa"/>
              <w:left w:w="105" w:type="dxa"/>
              <w:bottom w:w="0" w:type="dxa"/>
              <w:right w:w="105" w:type="dxa"/>
            </w:tcMar>
            <w:vAlign w:val="center"/>
          </w:tcPr>
          <w:p w14:paraId="34FE028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计价单位</w:t>
            </w:r>
          </w:p>
        </w:tc>
        <w:tc>
          <w:tcPr>
            <w:tcW w:w="1545" w:type="dxa"/>
            <w:shd w:val="clear" w:color="auto" w:fill="FFFFFF"/>
            <w:noWrap/>
            <w:tcMar>
              <w:top w:w="0" w:type="dxa"/>
              <w:left w:w="105" w:type="dxa"/>
              <w:bottom w:w="0" w:type="dxa"/>
              <w:right w:w="105" w:type="dxa"/>
            </w:tcMar>
            <w:vAlign w:val="center"/>
          </w:tcPr>
          <w:p w14:paraId="0FB3754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lang w:bidi="ar"/>
              </w:rPr>
              <w:t>单价限价（元）</w:t>
            </w:r>
          </w:p>
        </w:tc>
        <w:tc>
          <w:tcPr>
            <w:tcW w:w="3297" w:type="dxa"/>
            <w:shd w:val="clear" w:color="auto" w:fill="FFFFFF"/>
            <w:tcMar>
              <w:top w:w="0" w:type="dxa"/>
              <w:left w:w="105" w:type="dxa"/>
              <w:bottom w:w="0" w:type="dxa"/>
              <w:right w:w="105" w:type="dxa"/>
            </w:tcMar>
            <w:vAlign w:val="center"/>
          </w:tcPr>
          <w:p w14:paraId="72A6A072">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备注</w:t>
            </w:r>
          </w:p>
        </w:tc>
      </w:tr>
      <w:tr w14:paraId="4C46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902" w:type="dxa"/>
            <w:shd w:val="clear" w:color="auto" w:fill="FFFFFF"/>
            <w:noWrap/>
            <w:tcMar>
              <w:top w:w="0" w:type="dxa"/>
              <w:left w:w="105" w:type="dxa"/>
              <w:bottom w:w="0" w:type="dxa"/>
              <w:right w:w="105" w:type="dxa"/>
            </w:tcMar>
            <w:vAlign w:val="center"/>
          </w:tcPr>
          <w:p w14:paraId="52102394">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w:t>
            </w:r>
          </w:p>
        </w:tc>
        <w:tc>
          <w:tcPr>
            <w:tcW w:w="2724" w:type="dxa"/>
            <w:shd w:val="clear" w:color="auto" w:fill="FFFFFF"/>
            <w:tcMar>
              <w:top w:w="0" w:type="dxa"/>
              <w:left w:w="105" w:type="dxa"/>
              <w:bottom w:w="0" w:type="dxa"/>
              <w:right w:w="105" w:type="dxa"/>
            </w:tcMar>
            <w:vAlign w:val="center"/>
          </w:tcPr>
          <w:p w14:paraId="5031D5D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厢式货车（420cm*180cm*180cm）</w:t>
            </w:r>
          </w:p>
        </w:tc>
        <w:tc>
          <w:tcPr>
            <w:tcW w:w="1488" w:type="dxa"/>
            <w:shd w:val="clear" w:color="auto" w:fill="FFFFFF"/>
            <w:noWrap/>
            <w:tcMar>
              <w:top w:w="0" w:type="dxa"/>
              <w:left w:w="105" w:type="dxa"/>
              <w:bottom w:w="0" w:type="dxa"/>
              <w:right w:w="105" w:type="dxa"/>
            </w:tcMar>
            <w:vAlign w:val="center"/>
          </w:tcPr>
          <w:p w14:paraId="22E529E4">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4C84DDA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520</w:t>
            </w:r>
          </w:p>
        </w:tc>
        <w:tc>
          <w:tcPr>
            <w:tcW w:w="3297" w:type="dxa"/>
            <w:vMerge w:val="restart"/>
            <w:shd w:val="clear" w:color="auto" w:fill="FFFFFF"/>
            <w:tcMar>
              <w:top w:w="0" w:type="dxa"/>
              <w:left w:w="105" w:type="dxa"/>
              <w:bottom w:w="0" w:type="dxa"/>
              <w:right w:w="105" w:type="dxa"/>
            </w:tcMar>
            <w:vAlign w:val="center"/>
          </w:tcPr>
          <w:p w14:paraId="20392B7D">
            <w:pPr>
              <w:pStyle w:val="14"/>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firstLineChars="200"/>
              <w:jc w:val="left"/>
              <w:textAlignment w:val="auto"/>
              <w:rPr>
                <w:rFonts w:ascii="仿宋" w:hAnsi="仿宋" w:eastAsia="仿宋" w:cs="仿宋"/>
                <w:color w:val="auto"/>
                <w:szCs w:val="24"/>
                <w:highlight w:val="none"/>
              </w:rPr>
            </w:pPr>
            <w:r>
              <w:rPr>
                <w:rFonts w:hint="eastAsia" w:ascii="仿宋" w:hAnsi="仿宋" w:eastAsia="仿宋" w:cs="仿宋"/>
                <w:color w:val="auto"/>
                <w:szCs w:val="24"/>
                <w:highlight w:val="none"/>
              </w:rPr>
              <w:t>包含货物从起点搬运到终点的每车所有费用。</w:t>
            </w:r>
          </w:p>
        </w:tc>
      </w:tr>
      <w:tr w14:paraId="6BE52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3792438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w:t>
            </w:r>
          </w:p>
        </w:tc>
        <w:tc>
          <w:tcPr>
            <w:tcW w:w="2724" w:type="dxa"/>
            <w:shd w:val="clear" w:color="auto" w:fill="FFFFFF"/>
            <w:tcMar>
              <w:top w:w="0" w:type="dxa"/>
              <w:left w:w="105" w:type="dxa"/>
              <w:bottom w:w="0" w:type="dxa"/>
              <w:right w:w="105" w:type="dxa"/>
            </w:tcMar>
            <w:vAlign w:val="center"/>
          </w:tcPr>
          <w:p w14:paraId="0134454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敞车（420cm*180cm）</w:t>
            </w:r>
          </w:p>
        </w:tc>
        <w:tc>
          <w:tcPr>
            <w:tcW w:w="1488" w:type="dxa"/>
            <w:shd w:val="clear" w:color="auto" w:fill="FFFFFF"/>
            <w:noWrap/>
            <w:tcMar>
              <w:top w:w="0" w:type="dxa"/>
              <w:left w:w="105" w:type="dxa"/>
              <w:bottom w:w="0" w:type="dxa"/>
              <w:right w:w="105" w:type="dxa"/>
            </w:tcMar>
            <w:vAlign w:val="center"/>
          </w:tcPr>
          <w:p w14:paraId="4D520B4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5F87B13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520</w:t>
            </w:r>
          </w:p>
        </w:tc>
        <w:tc>
          <w:tcPr>
            <w:tcW w:w="3297" w:type="dxa"/>
            <w:vMerge w:val="continue"/>
            <w:shd w:val="clear" w:color="auto" w:fill="FFFFFF"/>
            <w:noWrap/>
            <w:tcMar>
              <w:top w:w="0" w:type="dxa"/>
              <w:left w:w="105" w:type="dxa"/>
              <w:bottom w:w="0" w:type="dxa"/>
              <w:right w:w="105" w:type="dxa"/>
            </w:tcMar>
            <w:vAlign w:val="center"/>
          </w:tcPr>
          <w:p w14:paraId="73A71533">
            <w:pPr>
              <w:pStyle w:val="14"/>
              <w:widowControl/>
              <w:spacing w:beforeAutospacing="0" w:afterAutospacing="0" w:line="400" w:lineRule="exact"/>
              <w:jc w:val="center"/>
              <w:rPr>
                <w:rFonts w:ascii="仿宋" w:hAnsi="仿宋" w:eastAsia="仿宋" w:cs="仿宋"/>
                <w:color w:val="auto"/>
                <w:szCs w:val="24"/>
                <w:highlight w:val="none"/>
              </w:rPr>
            </w:pPr>
          </w:p>
        </w:tc>
      </w:tr>
      <w:tr w14:paraId="77782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5210726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w:t>
            </w:r>
          </w:p>
        </w:tc>
        <w:tc>
          <w:tcPr>
            <w:tcW w:w="2724" w:type="dxa"/>
            <w:shd w:val="clear" w:color="auto" w:fill="FFFFFF"/>
            <w:tcMar>
              <w:top w:w="0" w:type="dxa"/>
              <w:left w:w="105" w:type="dxa"/>
              <w:bottom w:w="0" w:type="dxa"/>
              <w:right w:w="105" w:type="dxa"/>
            </w:tcMar>
            <w:vAlign w:val="center"/>
          </w:tcPr>
          <w:p w14:paraId="5C00C11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依维柯</w:t>
            </w:r>
          </w:p>
        </w:tc>
        <w:tc>
          <w:tcPr>
            <w:tcW w:w="1488" w:type="dxa"/>
            <w:shd w:val="clear" w:color="auto" w:fill="FFFFFF"/>
            <w:noWrap/>
            <w:tcMar>
              <w:top w:w="0" w:type="dxa"/>
              <w:left w:w="105" w:type="dxa"/>
              <w:bottom w:w="0" w:type="dxa"/>
              <w:right w:w="105" w:type="dxa"/>
            </w:tcMar>
            <w:vAlign w:val="center"/>
          </w:tcPr>
          <w:p w14:paraId="23FC5EA2">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23C7271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350</w:t>
            </w:r>
          </w:p>
        </w:tc>
        <w:tc>
          <w:tcPr>
            <w:tcW w:w="3297" w:type="dxa"/>
            <w:vMerge w:val="continue"/>
            <w:shd w:val="clear" w:color="auto" w:fill="FFFFFF"/>
            <w:noWrap/>
            <w:tcMar>
              <w:top w:w="0" w:type="dxa"/>
              <w:left w:w="105" w:type="dxa"/>
              <w:bottom w:w="0" w:type="dxa"/>
              <w:right w:w="105" w:type="dxa"/>
            </w:tcMar>
            <w:vAlign w:val="center"/>
          </w:tcPr>
          <w:p w14:paraId="2A32BC8D">
            <w:pPr>
              <w:pStyle w:val="14"/>
              <w:widowControl/>
              <w:spacing w:beforeAutospacing="0" w:afterAutospacing="0" w:line="400" w:lineRule="exact"/>
              <w:jc w:val="center"/>
              <w:rPr>
                <w:rFonts w:ascii="仿宋" w:hAnsi="仿宋" w:eastAsia="仿宋" w:cs="仿宋"/>
                <w:color w:val="auto"/>
                <w:szCs w:val="24"/>
                <w:highlight w:val="none"/>
              </w:rPr>
            </w:pPr>
          </w:p>
        </w:tc>
      </w:tr>
      <w:tr w14:paraId="6B6CA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5862AF7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w:t>
            </w:r>
          </w:p>
        </w:tc>
        <w:tc>
          <w:tcPr>
            <w:tcW w:w="2724" w:type="dxa"/>
            <w:shd w:val="clear" w:color="auto" w:fill="FFFFFF"/>
            <w:tcMar>
              <w:top w:w="0" w:type="dxa"/>
              <w:left w:w="105" w:type="dxa"/>
              <w:bottom w:w="0" w:type="dxa"/>
              <w:right w:w="105" w:type="dxa"/>
            </w:tcMar>
            <w:vAlign w:val="center"/>
          </w:tcPr>
          <w:p w14:paraId="5CF3367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金杯车</w:t>
            </w:r>
          </w:p>
        </w:tc>
        <w:tc>
          <w:tcPr>
            <w:tcW w:w="1488" w:type="dxa"/>
            <w:shd w:val="clear" w:color="auto" w:fill="FFFFFF"/>
            <w:noWrap/>
            <w:tcMar>
              <w:top w:w="0" w:type="dxa"/>
              <w:left w:w="105" w:type="dxa"/>
              <w:bottom w:w="0" w:type="dxa"/>
              <w:right w:w="105" w:type="dxa"/>
            </w:tcMar>
            <w:vAlign w:val="center"/>
          </w:tcPr>
          <w:p w14:paraId="797E185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w:t>
            </w:r>
          </w:p>
        </w:tc>
        <w:tc>
          <w:tcPr>
            <w:tcW w:w="1545" w:type="dxa"/>
            <w:shd w:val="clear" w:color="auto" w:fill="FFFFFF"/>
            <w:noWrap/>
            <w:tcMar>
              <w:top w:w="0" w:type="dxa"/>
              <w:left w:w="105" w:type="dxa"/>
              <w:bottom w:w="0" w:type="dxa"/>
              <w:right w:w="105" w:type="dxa"/>
            </w:tcMar>
            <w:vAlign w:val="center"/>
          </w:tcPr>
          <w:p w14:paraId="7578FE5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320</w:t>
            </w:r>
          </w:p>
        </w:tc>
        <w:tc>
          <w:tcPr>
            <w:tcW w:w="3297" w:type="dxa"/>
            <w:vMerge w:val="continue"/>
            <w:shd w:val="clear" w:color="auto" w:fill="FFFFFF"/>
            <w:noWrap/>
            <w:tcMar>
              <w:top w:w="0" w:type="dxa"/>
              <w:left w:w="105" w:type="dxa"/>
              <w:bottom w:w="0" w:type="dxa"/>
              <w:right w:w="105" w:type="dxa"/>
            </w:tcMar>
            <w:vAlign w:val="center"/>
          </w:tcPr>
          <w:p w14:paraId="3DC28B73">
            <w:pPr>
              <w:pStyle w:val="14"/>
              <w:widowControl/>
              <w:spacing w:beforeAutospacing="0" w:afterAutospacing="0" w:line="400" w:lineRule="exact"/>
              <w:jc w:val="center"/>
              <w:rPr>
                <w:rFonts w:ascii="仿宋" w:hAnsi="仿宋" w:eastAsia="仿宋" w:cs="仿宋"/>
                <w:color w:val="auto"/>
                <w:szCs w:val="24"/>
                <w:highlight w:val="none"/>
              </w:rPr>
            </w:pPr>
          </w:p>
        </w:tc>
      </w:tr>
      <w:tr w14:paraId="047F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956" w:type="dxa"/>
            <w:gridSpan w:val="5"/>
            <w:shd w:val="clear" w:color="auto" w:fill="D8E4BC"/>
            <w:tcMar>
              <w:top w:w="0" w:type="dxa"/>
              <w:left w:w="105" w:type="dxa"/>
              <w:bottom w:w="0" w:type="dxa"/>
              <w:right w:w="105" w:type="dxa"/>
            </w:tcMar>
            <w:vAlign w:val="center"/>
          </w:tcPr>
          <w:p w14:paraId="41B62A3D">
            <w:pPr>
              <w:pStyle w:val="14"/>
              <w:widowControl/>
              <w:spacing w:beforeAutospacing="0" w:afterAutospacing="0" w:line="400" w:lineRule="exact"/>
              <w:jc w:val="left"/>
              <w:rPr>
                <w:rFonts w:ascii="仿宋" w:hAnsi="仿宋" w:eastAsia="仿宋" w:cs="仿宋"/>
                <w:color w:val="auto"/>
                <w:szCs w:val="24"/>
                <w:highlight w:val="none"/>
              </w:rPr>
            </w:pPr>
            <w:r>
              <w:rPr>
                <w:rFonts w:hint="eastAsia" w:ascii="仿宋" w:hAnsi="仿宋" w:eastAsia="仿宋" w:cs="仿宋"/>
                <w:b/>
                <w:bCs/>
                <w:color w:val="auto"/>
                <w:szCs w:val="24"/>
                <w:highlight w:val="none"/>
              </w:rPr>
              <w:t>3.4搬运起点、终点中至少其中之一位于大成都范围以外，按每车公里数及成交单价计费</w:t>
            </w:r>
          </w:p>
        </w:tc>
      </w:tr>
      <w:tr w14:paraId="2D56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902" w:type="dxa"/>
            <w:shd w:val="clear" w:color="auto" w:fill="FFFFFF"/>
            <w:noWrap/>
            <w:tcMar>
              <w:top w:w="0" w:type="dxa"/>
              <w:left w:w="105" w:type="dxa"/>
              <w:bottom w:w="0" w:type="dxa"/>
              <w:right w:w="105" w:type="dxa"/>
            </w:tcMar>
            <w:vAlign w:val="center"/>
          </w:tcPr>
          <w:p w14:paraId="22DDB99F">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序号</w:t>
            </w:r>
          </w:p>
        </w:tc>
        <w:tc>
          <w:tcPr>
            <w:tcW w:w="2724" w:type="dxa"/>
            <w:shd w:val="clear" w:color="auto" w:fill="FFFFFF"/>
            <w:tcMar>
              <w:top w:w="0" w:type="dxa"/>
              <w:left w:w="105" w:type="dxa"/>
              <w:bottom w:w="0" w:type="dxa"/>
              <w:right w:w="105" w:type="dxa"/>
            </w:tcMar>
            <w:vAlign w:val="center"/>
          </w:tcPr>
          <w:p w14:paraId="2F26BC8A">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车型</w:t>
            </w:r>
          </w:p>
        </w:tc>
        <w:tc>
          <w:tcPr>
            <w:tcW w:w="1488" w:type="dxa"/>
            <w:shd w:val="clear" w:color="auto" w:fill="FFFFFF"/>
            <w:noWrap/>
            <w:tcMar>
              <w:top w:w="0" w:type="dxa"/>
              <w:left w:w="105" w:type="dxa"/>
              <w:bottom w:w="0" w:type="dxa"/>
              <w:right w:w="105" w:type="dxa"/>
            </w:tcMar>
            <w:vAlign w:val="center"/>
          </w:tcPr>
          <w:p w14:paraId="7C1BC15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计价单位</w:t>
            </w:r>
          </w:p>
        </w:tc>
        <w:tc>
          <w:tcPr>
            <w:tcW w:w="1545" w:type="dxa"/>
            <w:shd w:val="clear" w:color="auto" w:fill="FFFFFF"/>
            <w:noWrap/>
            <w:tcMar>
              <w:top w:w="0" w:type="dxa"/>
              <w:left w:w="105" w:type="dxa"/>
              <w:bottom w:w="0" w:type="dxa"/>
              <w:right w:w="105" w:type="dxa"/>
            </w:tcMar>
            <w:vAlign w:val="center"/>
          </w:tcPr>
          <w:p w14:paraId="4FD4095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lang w:bidi="ar"/>
              </w:rPr>
              <w:t>单价限价（元）</w:t>
            </w:r>
          </w:p>
        </w:tc>
        <w:tc>
          <w:tcPr>
            <w:tcW w:w="3297" w:type="dxa"/>
            <w:shd w:val="clear" w:color="auto" w:fill="FFFFFF"/>
            <w:tcMar>
              <w:top w:w="0" w:type="dxa"/>
              <w:left w:w="105" w:type="dxa"/>
              <w:bottom w:w="0" w:type="dxa"/>
              <w:right w:w="105" w:type="dxa"/>
            </w:tcMar>
            <w:vAlign w:val="center"/>
          </w:tcPr>
          <w:p w14:paraId="1476D1A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备注</w:t>
            </w:r>
          </w:p>
        </w:tc>
      </w:tr>
      <w:tr w14:paraId="3F49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902" w:type="dxa"/>
            <w:shd w:val="clear" w:color="auto" w:fill="FFFFFF"/>
            <w:noWrap/>
            <w:tcMar>
              <w:top w:w="0" w:type="dxa"/>
              <w:left w:w="105" w:type="dxa"/>
              <w:bottom w:w="0" w:type="dxa"/>
              <w:right w:w="105" w:type="dxa"/>
            </w:tcMar>
            <w:vAlign w:val="center"/>
          </w:tcPr>
          <w:p w14:paraId="74CA7AF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w:t>
            </w:r>
          </w:p>
        </w:tc>
        <w:tc>
          <w:tcPr>
            <w:tcW w:w="2724" w:type="dxa"/>
            <w:shd w:val="clear" w:color="auto" w:fill="FFFFFF"/>
            <w:tcMar>
              <w:top w:w="0" w:type="dxa"/>
              <w:left w:w="105" w:type="dxa"/>
              <w:bottom w:w="0" w:type="dxa"/>
              <w:right w:w="105" w:type="dxa"/>
            </w:tcMar>
            <w:vAlign w:val="center"/>
          </w:tcPr>
          <w:p w14:paraId="16DD4B0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厢式货车（420cm*180cm*180cm）</w:t>
            </w:r>
          </w:p>
        </w:tc>
        <w:tc>
          <w:tcPr>
            <w:tcW w:w="1488" w:type="dxa"/>
            <w:vMerge w:val="restart"/>
            <w:shd w:val="clear" w:color="auto" w:fill="FFFFFF"/>
            <w:noWrap/>
            <w:tcMar>
              <w:top w:w="0" w:type="dxa"/>
              <w:left w:w="105" w:type="dxa"/>
              <w:bottom w:w="0" w:type="dxa"/>
              <w:right w:w="105" w:type="dxa"/>
            </w:tcMar>
            <w:vAlign w:val="center"/>
          </w:tcPr>
          <w:p w14:paraId="4293FC7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公里/车</w:t>
            </w:r>
          </w:p>
        </w:tc>
        <w:tc>
          <w:tcPr>
            <w:tcW w:w="1545" w:type="dxa"/>
            <w:vMerge w:val="restart"/>
            <w:shd w:val="clear" w:color="auto" w:fill="FFFFFF"/>
            <w:noWrap/>
            <w:tcMar>
              <w:top w:w="0" w:type="dxa"/>
              <w:left w:w="105" w:type="dxa"/>
              <w:bottom w:w="0" w:type="dxa"/>
              <w:right w:w="105" w:type="dxa"/>
            </w:tcMar>
            <w:vAlign w:val="center"/>
          </w:tcPr>
          <w:p w14:paraId="424978E3">
            <w:pPr>
              <w:pStyle w:val="14"/>
              <w:spacing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7</w:t>
            </w:r>
          </w:p>
        </w:tc>
        <w:tc>
          <w:tcPr>
            <w:tcW w:w="3297" w:type="dxa"/>
            <w:vMerge w:val="restart"/>
            <w:shd w:val="clear" w:color="auto" w:fill="FFFFFF"/>
            <w:tcMar>
              <w:top w:w="0" w:type="dxa"/>
              <w:left w:w="105" w:type="dxa"/>
              <w:bottom w:w="0" w:type="dxa"/>
              <w:right w:w="105" w:type="dxa"/>
            </w:tcMar>
            <w:vAlign w:val="center"/>
          </w:tcPr>
          <w:p w14:paraId="17AF6885">
            <w:pPr>
              <w:pStyle w:val="14"/>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firstLineChars="200"/>
              <w:jc w:val="left"/>
              <w:textAlignment w:val="auto"/>
              <w:rPr>
                <w:rFonts w:ascii="仿宋" w:hAnsi="仿宋" w:eastAsia="仿宋" w:cs="仿宋"/>
                <w:color w:val="auto"/>
                <w:szCs w:val="24"/>
                <w:highlight w:val="none"/>
              </w:rPr>
            </w:pPr>
            <w:r>
              <w:rPr>
                <w:rFonts w:hint="eastAsia" w:ascii="仿宋" w:hAnsi="仿宋" w:eastAsia="仿宋" w:cs="仿宋"/>
                <w:color w:val="auto"/>
                <w:szCs w:val="24"/>
                <w:highlight w:val="none"/>
              </w:rPr>
              <w:t>包含货物从起点搬运到终点的每车所有费用。</w:t>
            </w:r>
          </w:p>
        </w:tc>
      </w:tr>
      <w:tr w14:paraId="41CB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0085EA3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w:t>
            </w:r>
          </w:p>
        </w:tc>
        <w:tc>
          <w:tcPr>
            <w:tcW w:w="2724" w:type="dxa"/>
            <w:shd w:val="clear" w:color="auto" w:fill="FFFFFF"/>
            <w:tcMar>
              <w:top w:w="0" w:type="dxa"/>
              <w:left w:w="105" w:type="dxa"/>
              <w:bottom w:w="0" w:type="dxa"/>
              <w:right w:w="105" w:type="dxa"/>
            </w:tcMar>
            <w:vAlign w:val="center"/>
          </w:tcPr>
          <w:p w14:paraId="2C77D5D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敞车（420cm*180cm）</w:t>
            </w:r>
          </w:p>
        </w:tc>
        <w:tc>
          <w:tcPr>
            <w:tcW w:w="1488" w:type="dxa"/>
            <w:vMerge w:val="continue"/>
            <w:shd w:val="clear" w:color="auto" w:fill="FFFFFF"/>
            <w:noWrap/>
            <w:tcMar>
              <w:top w:w="0" w:type="dxa"/>
              <w:left w:w="105" w:type="dxa"/>
              <w:bottom w:w="0" w:type="dxa"/>
              <w:right w:w="105" w:type="dxa"/>
            </w:tcMar>
            <w:vAlign w:val="center"/>
          </w:tcPr>
          <w:p w14:paraId="0C527A7D">
            <w:pPr>
              <w:pStyle w:val="14"/>
              <w:spacing w:line="400" w:lineRule="exact"/>
              <w:jc w:val="center"/>
              <w:rPr>
                <w:rFonts w:ascii="仿宋" w:hAnsi="仿宋" w:eastAsia="仿宋" w:cs="仿宋"/>
                <w:color w:val="auto"/>
                <w:szCs w:val="24"/>
                <w:highlight w:val="none"/>
              </w:rPr>
            </w:pPr>
          </w:p>
        </w:tc>
        <w:tc>
          <w:tcPr>
            <w:tcW w:w="1545" w:type="dxa"/>
            <w:vMerge w:val="continue"/>
            <w:shd w:val="clear" w:color="auto" w:fill="FFFFFF"/>
            <w:noWrap/>
            <w:tcMar>
              <w:top w:w="0" w:type="dxa"/>
              <w:left w:w="105" w:type="dxa"/>
              <w:bottom w:w="0" w:type="dxa"/>
              <w:right w:w="105" w:type="dxa"/>
            </w:tcMar>
            <w:vAlign w:val="center"/>
          </w:tcPr>
          <w:p w14:paraId="5331B7EE">
            <w:pPr>
              <w:pStyle w:val="14"/>
              <w:spacing w:line="400" w:lineRule="exact"/>
              <w:jc w:val="center"/>
              <w:rPr>
                <w:rFonts w:ascii="仿宋" w:hAnsi="仿宋" w:eastAsia="仿宋" w:cs="仿宋"/>
                <w:color w:val="auto"/>
                <w:szCs w:val="24"/>
                <w:highlight w:val="none"/>
              </w:rPr>
            </w:pPr>
          </w:p>
        </w:tc>
        <w:tc>
          <w:tcPr>
            <w:tcW w:w="3297" w:type="dxa"/>
            <w:vMerge w:val="continue"/>
            <w:shd w:val="clear" w:color="auto" w:fill="FFFFFF"/>
            <w:noWrap/>
            <w:tcMar>
              <w:top w:w="0" w:type="dxa"/>
              <w:left w:w="105" w:type="dxa"/>
              <w:bottom w:w="0" w:type="dxa"/>
              <w:right w:w="105" w:type="dxa"/>
            </w:tcMar>
            <w:vAlign w:val="center"/>
          </w:tcPr>
          <w:p w14:paraId="356A1598">
            <w:pPr>
              <w:pStyle w:val="14"/>
              <w:widowControl/>
              <w:spacing w:beforeAutospacing="0" w:afterAutospacing="0" w:line="400" w:lineRule="exact"/>
              <w:jc w:val="center"/>
              <w:rPr>
                <w:rFonts w:ascii="仿宋" w:hAnsi="仿宋" w:eastAsia="仿宋" w:cs="仿宋"/>
                <w:color w:val="auto"/>
                <w:szCs w:val="24"/>
                <w:highlight w:val="none"/>
              </w:rPr>
            </w:pPr>
          </w:p>
        </w:tc>
      </w:tr>
      <w:tr w14:paraId="252C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29D257B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w:t>
            </w:r>
          </w:p>
        </w:tc>
        <w:tc>
          <w:tcPr>
            <w:tcW w:w="2724" w:type="dxa"/>
            <w:shd w:val="clear" w:color="auto" w:fill="FFFFFF"/>
            <w:tcMar>
              <w:top w:w="0" w:type="dxa"/>
              <w:left w:w="105" w:type="dxa"/>
              <w:bottom w:w="0" w:type="dxa"/>
              <w:right w:w="105" w:type="dxa"/>
            </w:tcMar>
            <w:vAlign w:val="center"/>
          </w:tcPr>
          <w:p w14:paraId="057CC96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依维柯</w:t>
            </w:r>
          </w:p>
        </w:tc>
        <w:tc>
          <w:tcPr>
            <w:tcW w:w="1488" w:type="dxa"/>
            <w:vMerge w:val="continue"/>
            <w:shd w:val="clear" w:color="auto" w:fill="FFFFFF"/>
            <w:noWrap/>
            <w:tcMar>
              <w:top w:w="0" w:type="dxa"/>
              <w:left w:w="105" w:type="dxa"/>
              <w:bottom w:w="0" w:type="dxa"/>
              <w:right w:w="105" w:type="dxa"/>
            </w:tcMar>
            <w:vAlign w:val="center"/>
          </w:tcPr>
          <w:p w14:paraId="1F4627F1">
            <w:pPr>
              <w:pStyle w:val="14"/>
              <w:spacing w:line="400" w:lineRule="exact"/>
              <w:jc w:val="center"/>
              <w:rPr>
                <w:rFonts w:ascii="仿宋" w:hAnsi="仿宋" w:eastAsia="仿宋" w:cs="仿宋"/>
                <w:color w:val="auto"/>
                <w:szCs w:val="24"/>
                <w:highlight w:val="none"/>
              </w:rPr>
            </w:pPr>
          </w:p>
        </w:tc>
        <w:tc>
          <w:tcPr>
            <w:tcW w:w="1545" w:type="dxa"/>
            <w:vMerge w:val="continue"/>
            <w:shd w:val="clear" w:color="auto" w:fill="FFFFFF"/>
            <w:noWrap/>
            <w:tcMar>
              <w:top w:w="0" w:type="dxa"/>
              <w:left w:w="105" w:type="dxa"/>
              <w:bottom w:w="0" w:type="dxa"/>
              <w:right w:w="105" w:type="dxa"/>
            </w:tcMar>
            <w:vAlign w:val="center"/>
          </w:tcPr>
          <w:p w14:paraId="617707A4">
            <w:pPr>
              <w:pStyle w:val="14"/>
              <w:spacing w:line="400" w:lineRule="exact"/>
              <w:jc w:val="center"/>
              <w:rPr>
                <w:rFonts w:ascii="仿宋" w:hAnsi="仿宋" w:eastAsia="仿宋" w:cs="仿宋"/>
                <w:color w:val="auto"/>
                <w:szCs w:val="24"/>
                <w:highlight w:val="none"/>
              </w:rPr>
            </w:pPr>
          </w:p>
        </w:tc>
        <w:tc>
          <w:tcPr>
            <w:tcW w:w="3297" w:type="dxa"/>
            <w:vMerge w:val="continue"/>
            <w:shd w:val="clear" w:color="auto" w:fill="FFFFFF"/>
            <w:noWrap/>
            <w:tcMar>
              <w:top w:w="0" w:type="dxa"/>
              <w:left w:w="105" w:type="dxa"/>
              <w:bottom w:w="0" w:type="dxa"/>
              <w:right w:w="105" w:type="dxa"/>
            </w:tcMar>
            <w:vAlign w:val="center"/>
          </w:tcPr>
          <w:p w14:paraId="2E6CF62C">
            <w:pPr>
              <w:pStyle w:val="14"/>
              <w:widowControl/>
              <w:spacing w:beforeAutospacing="0" w:afterAutospacing="0" w:line="400" w:lineRule="exact"/>
              <w:jc w:val="center"/>
              <w:rPr>
                <w:rFonts w:ascii="仿宋" w:hAnsi="仿宋" w:eastAsia="仿宋" w:cs="仿宋"/>
                <w:color w:val="auto"/>
                <w:szCs w:val="24"/>
                <w:highlight w:val="none"/>
              </w:rPr>
            </w:pPr>
          </w:p>
        </w:tc>
      </w:tr>
      <w:tr w14:paraId="56334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02" w:type="dxa"/>
            <w:shd w:val="clear" w:color="auto" w:fill="FFFFFF"/>
            <w:noWrap/>
            <w:tcMar>
              <w:top w:w="0" w:type="dxa"/>
              <w:left w:w="105" w:type="dxa"/>
              <w:bottom w:w="0" w:type="dxa"/>
              <w:right w:w="105" w:type="dxa"/>
            </w:tcMar>
            <w:vAlign w:val="center"/>
          </w:tcPr>
          <w:p w14:paraId="3F5F2F2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w:t>
            </w:r>
          </w:p>
        </w:tc>
        <w:tc>
          <w:tcPr>
            <w:tcW w:w="2724" w:type="dxa"/>
            <w:shd w:val="clear" w:color="auto" w:fill="FFFFFF"/>
            <w:tcMar>
              <w:top w:w="0" w:type="dxa"/>
              <w:left w:w="105" w:type="dxa"/>
              <w:bottom w:w="0" w:type="dxa"/>
              <w:right w:w="105" w:type="dxa"/>
            </w:tcMar>
            <w:vAlign w:val="center"/>
          </w:tcPr>
          <w:p w14:paraId="41A1479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金杯车</w:t>
            </w:r>
          </w:p>
        </w:tc>
        <w:tc>
          <w:tcPr>
            <w:tcW w:w="1488" w:type="dxa"/>
            <w:vMerge w:val="continue"/>
            <w:shd w:val="clear" w:color="auto" w:fill="FFFFFF"/>
            <w:noWrap/>
            <w:tcMar>
              <w:top w:w="0" w:type="dxa"/>
              <w:left w:w="105" w:type="dxa"/>
              <w:bottom w:w="0" w:type="dxa"/>
              <w:right w:w="105" w:type="dxa"/>
            </w:tcMar>
            <w:vAlign w:val="center"/>
          </w:tcPr>
          <w:p w14:paraId="6344EDFB">
            <w:pPr>
              <w:pStyle w:val="14"/>
              <w:widowControl/>
              <w:spacing w:beforeAutospacing="0" w:afterAutospacing="0" w:line="400" w:lineRule="exact"/>
              <w:jc w:val="center"/>
              <w:rPr>
                <w:rFonts w:ascii="仿宋" w:hAnsi="仿宋" w:eastAsia="仿宋" w:cs="仿宋"/>
                <w:color w:val="auto"/>
                <w:szCs w:val="24"/>
                <w:highlight w:val="none"/>
              </w:rPr>
            </w:pPr>
          </w:p>
        </w:tc>
        <w:tc>
          <w:tcPr>
            <w:tcW w:w="1545" w:type="dxa"/>
            <w:vMerge w:val="continue"/>
            <w:shd w:val="clear" w:color="auto" w:fill="FFFFFF"/>
            <w:noWrap/>
            <w:tcMar>
              <w:top w:w="0" w:type="dxa"/>
              <w:left w:w="105" w:type="dxa"/>
              <w:bottom w:w="0" w:type="dxa"/>
              <w:right w:w="105" w:type="dxa"/>
            </w:tcMar>
            <w:vAlign w:val="center"/>
          </w:tcPr>
          <w:p w14:paraId="666AACDE">
            <w:pPr>
              <w:pStyle w:val="14"/>
              <w:widowControl/>
              <w:spacing w:beforeAutospacing="0" w:afterAutospacing="0" w:line="400" w:lineRule="exact"/>
              <w:jc w:val="center"/>
              <w:rPr>
                <w:rFonts w:ascii="仿宋" w:hAnsi="仿宋" w:eastAsia="仿宋" w:cs="仿宋"/>
                <w:color w:val="auto"/>
                <w:szCs w:val="24"/>
                <w:highlight w:val="none"/>
              </w:rPr>
            </w:pPr>
          </w:p>
        </w:tc>
        <w:tc>
          <w:tcPr>
            <w:tcW w:w="3297" w:type="dxa"/>
            <w:vMerge w:val="continue"/>
            <w:shd w:val="clear" w:color="auto" w:fill="FFFFFF"/>
            <w:noWrap/>
            <w:tcMar>
              <w:top w:w="0" w:type="dxa"/>
              <w:left w:w="105" w:type="dxa"/>
              <w:bottom w:w="0" w:type="dxa"/>
              <w:right w:w="105" w:type="dxa"/>
            </w:tcMar>
            <w:vAlign w:val="center"/>
          </w:tcPr>
          <w:p w14:paraId="2576B610">
            <w:pPr>
              <w:pStyle w:val="14"/>
              <w:widowControl/>
              <w:spacing w:beforeAutospacing="0" w:afterAutospacing="0" w:line="400" w:lineRule="exact"/>
              <w:jc w:val="center"/>
              <w:rPr>
                <w:rFonts w:ascii="仿宋" w:hAnsi="仿宋" w:eastAsia="仿宋" w:cs="仿宋"/>
                <w:color w:val="auto"/>
                <w:szCs w:val="24"/>
                <w:highlight w:val="none"/>
              </w:rPr>
            </w:pPr>
          </w:p>
        </w:tc>
      </w:tr>
      <w:tr w14:paraId="28EA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9956" w:type="dxa"/>
            <w:gridSpan w:val="5"/>
            <w:shd w:val="clear" w:color="auto" w:fill="D8E4BC"/>
            <w:tcMar>
              <w:top w:w="0" w:type="dxa"/>
              <w:left w:w="105" w:type="dxa"/>
              <w:bottom w:w="0" w:type="dxa"/>
              <w:right w:w="105" w:type="dxa"/>
            </w:tcMar>
            <w:vAlign w:val="center"/>
          </w:tcPr>
          <w:p w14:paraId="097D59C9">
            <w:pPr>
              <w:pStyle w:val="14"/>
              <w:widowControl/>
              <w:spacing w:beforeAutospacing="0" w:afterAutospacing="0" w:line="400" w:lineRule="exact"/>
              <w:jc w:val="left"/>
              <w:rPr>
                <w:rFonts w:ascii="仿宋" w:hAnsi="仿宋" w:eastAsia="仿宋" w:cs="仿宋"/>
                <w:color w:val="auto"/>
                <w:szCs w:val="24"/>
                <w:highlight w:val="none"/>
              </w:rPr>
            </w:pPr>
            <w:r>
              <w:rPr>
                <w:rFonts w:hint="eastAsia" w:ascii="仿宋" w:hAnsi="仿宋" w:eastAsia="仿宋" w:cs="仿宋"/>
                <w:b/>
                <w:bCs/>
                <w:color w:val="auto"/>
                <w:szCs w:val="24"/>
                <w:highlight w:val="none"/>
              </w:rPr>
              <w:t>3.5其他收费</w:t>
            </w:r>
          </w:p>
        </w:tc>
      </w:tr>
      <w:tr w14:paraId="3520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3BA6518A">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序号</w:t>
            </w:r>
          </w:p>
        </w:tc>
        <w:tc>
          <w:tcPr>
            <w:tcW w:w="2724" w:type="dxa"/>
            <w:shd w:val="clear" w:color="auto" w:fill="FFFFFF"/>
            <w:tcMar>
              <w:top w:w="0" w:type="dxa"/>
              <w:left w:w="105" w:type="dxa"/>
              <w:bottom w:w="0" w:type="dxa"/>
              <w:right w:w="105" w:type="dxa"/>
            </w:tcMar>
            <w:vAlign w:val="center"/>
          </w:tcPr>
          <w:p w14:paraId="7692F44B">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lang w:bidi="ar"/>
              </w:rPr>
              <w:t>收费项目</w:t>
            </w:r>
          </w:p>
        </w:tc>
        <w:tc>
          <w:tcPr>
            <w:tcW w:w="1488" w:type="dxa"/>
            <w:shd w:val="clear" w:color="auto" w:fill="FFFFFF"/>
            <w:noWrap/>
            <w:tcMar>
              <w:top w:w="0" w:type="dxa"/>
              <w:left w:w="105" w:type="dxa"/>
              <w:bottom w:w="0" w:type="dxa"/>
              <w:right w:w="105" w:type="dxa"/>
            </w:tcMar>
            <w:vAlign w:val="center"/>
          </w:tcPr>
          <w:p w14:paraId="7EB2E74A">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单位</w:t>
            </w:r>
          </w:p>
        </w:tc>
        <w:tc>
          <w:tcPr>
            <w:tcW w:w="1545" w:type="dxa"/>
            <w:shd w:val="clear" w:color="auto" w:fill="FFFFFF"/>
            <w:noWrap/>
            <w:tcMar>
              <w:top w:w="0" w:type="dxa"/>
              <w:left w:w="105" w:type="dxa"/>
              <w:bottom w:w="0" w:type="dxa"/>
              <w:right w:w="105" w:type="dxa"/>
            </w:tcMar>
            <w:vAlign w:val="center"/>
          </w:tcPr>
          <w:p w14:paraId="3060007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lang w:bidi="ar"/>
              </w:rPr>
              <w:t>单价限价（元）</w:t>
            </w:r>
          </w:p>
        </w:tc>
        <w:tc>
          <w:tcPr>
            <w:tcW w:w="3297" w:type="dxa"/>
            <w:shd w:val="clear" w:color="auto" w:fill="FFFFFF"/>
            <w:noWrap/>
            <w:tcMar>
              <w:top w:w="0" w:type="dxa"/>
              <w:left w:w="105" w:type="dxa"/>
              <w:bottom w:w="0" w:type="dxa"/>
              <w:right w:w="105" w:type="dxa"/>
            </w:tcMar>
            <w:vAlign w:val="center"/>
          </w:tcPr>
          <w:p w14:paraId="6DFD9A9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备注</w:t>
            </w:r>
          </w:p>
        </w:tc>
      </w:tr>
      <w:tr w14:paraId="72E8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2F87FB76">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w:t>
            </w:r>
          </w:p>
        </w:tc>
        <w:tc>
          <w:tcPr>
            <w:tcW w:w="2724" w:type="dxa"/>
            <w:shd w:val="clear" w:color="auto" w:fill="FFFFFF"/>
            <w:tcMar>
              <w:top w:w="0" w:type="dxa"/>
              <w:left w:w="105" w:type="dxa"/>
              <w:bottom w:w="0" w:type="dxa"/>
              <w:right w:w="105" w:type="dxa"/>
            </w:tcMar>
            <w:vAlign w:val="center"/>
          </w:tcPr>
          <w:p w14:paraId="0EC6AABF">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人工搬运工时费</w:t>
            </w:r>
          </w:p>
        </w:tc>
        <w:tc>
          <w:tcPr>
            <w:tcW w:w="1488" w:type="dxa"/>
            <w:shd w:val="clear" w:color="auto" w:fill="FFFFFF"/>
            <w:noWrap/>
            <w:tcMar>
              <w:top w:w="0" w:type="dxa"/>
              <w:left w:w="105" w:type="dxa"/>
              <w:bottom w:w="0" w:type="dxa"/>
              <w:right w:w="105" w:type="dxa"/>
            </w:tcMar>
            <w:vAlign w:val="center"/>
          </w:tcPr>
          <w:p w14:paraId="769122C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人/小时</w:t>
            </w:r>
          </w:p>
        </w:tc>
        <w:tc>
          <w:tcPr>
            <w:tcW w:w="1545" w:type="dxa"/>
            <w:shd w:val="clear" w:color="auto" w:fill="FFFFFF"/>
            <w:noWrap/>
            <w:tcMar>
              <w:top w:w="0" w:type="dxa"/>
              <w:left w:w="105" w:type="dxa"/>
              <w:bottom w:w="0" w:type="dxa"/>
              <w:right w:w="105" w:type="dxa"/>
            </w:tcMar>
            <w:vAlign w:val="center"/>
          </w:tcPr>
          <w:p w14:paraId="38F0DBE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60</w:t>
            </w:r>
          </w:p>
        </w:tc>
        <w:tc>
          <w:tcPr>
            <w:tcW w:w="3297" w:type="dxa"/>
            <w:vMerge w:val="restart"/>
            <w:shd w:val="clear" w:color="auto" w:fill="FFFFFF"/>
            <w:noWrap/>
            <w:tcMar>
              <w:top w:w="0" w:type="dxa"/>
              <w:left w:w="105" w:type="dxa"/>
              <w:bottom w:w="0" w:type="dxa"/>
              <w:right w:w="105" w:type="dxa"/>
            </w:tcMar>
            <w:vAlign w:val="center"/>
          </w:tcPr>
          <w:p w14:paraId="0B31070F">
            <w:pPr>
              <w:pStyle w:val="14"/>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0" w:firstLineChars="200"/>
              <w:jc w:val="left"/>
              <w:textAlignment w:val="auto"/>
              <w:rPr>
                <w:rFonts w:ascii="仿宋" w:hAnsi="仿宋" w:eastAsia="仿宋" w:cs="仿宋"/>
                <w:color w:val="auto"/>
                <w:szCs w:val="24"/>
                <w:highlight w:val="none"/>
              </w:rPr>
            </w:pPr>
            <w:r>
              <w:rPr>
                <w:rFonts w:hint="eastAsia" w:ascii="仿宋" w:hAnsi="仿宋" w:eastAsia="仿宋" w:cs="仿宋"/>
                <w:color w:val="auto"/>
                <w:szCs w:val="24"/>
                <w:highlight w:val="none"/>
              </w:rPr>
              <w:t>除第3.1-3.4项以外的其他人工搬运服务，其中第4项人工包天指一天内工时达到8—10小时，即按包天计费。</w:t>
            </w:r>
          </w:p>
        </w:tc>
      </w:tr>
      <w:tr w14:paraId="0BEB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5F27BCC1">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w:t>
            </w:r>
          </w:p>
        </w:tc>
        <w:tc>
          <w:tcPr>
            <w:tcW w:w="2724" w:type="dxa"/>
            <w:shd w:val="clear" w:color="auto" w:fill="FFFFFF"/>
            <w:tcMar>
              <w:top w:w="0" w:type="dxa"/>
              <w:left w:w="105" w:type="dxa"/>
              <w:bottom w:w="0" w:type="dxa"/>
              <w:right w:w="105" w:type="dxa"/>
            </w:tcMar>
            <w:vAlign w:val="center"/>
          </w:tcPr>
          <w:p w14:paraId="12812E4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人工加班费（17:00-23:00）</w:t>
            </w:r>
          </w:p>
        </w:tc>
        <w:tc>
          <w:tcPr>
            <w:tcW w:w="1488" w:type="dxa"/>
            <w:shd w:val="clear" w:color="auto" w:fill="FFFFFF"/>
            <w:noWrap/>
            <w:tcMar>
              <w:top w:w="0" w:type="dxa"/>
              <w:left w:w="105" w:type="dxa"/>
              <w:bottom w:w="0" w:type="dxa"/>
              <w:right w:w="105" w:type="dxa"/>
            </w:tcMar>
            <w:vAlign w:val="center"/>
          </w:tcPr>
          <w:p w14:paraId="00D91E6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人/小时</w:t>
            </w:r>
          </w:p>
        </w:tc>
        <w:tc>
          <w:tcPr>
            <w:tcW w:w="1545" w:type="dxa"/>
            <w:shd w:val="clear" w:color="auto" w:fill="FFFFFF"/>
            <w:noWrap/>
            <w:tcMar>
              <w:top w:w="0" w:type="dxa"/>
              <w:left w:w="105" w:type="dxa"/>
              <w:bottom w:w="0" w:type="dxa"/>
              <w:right w:w="105" w:type="dxa"/>
            </w:tcMar>
            <w:vAlign w:val="center"/>
          </w:tcPr>
          <w:p w14:paraId="2471242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50</w:t>
            </w:r>
          </w:p>
        </w:tc>
        <w:tc>
          <w:tcPr>
            <w:tcW w:w="3297" w:type="dxa"/>
            <w:vMerge w:val="continue"/>
            <w:shd w:val="clear" w:color="auto" w:fill="FFFFFF"/>
            <w:noWrap/>
            <w:tcMar>
              <w:top w:w="0" w:type="dxa"/>
              <w:left w:w="105" w:type="dxa"/>
              <w:bottom w:w="0" w:type="dxa"/>
              <w:right w:w="105" w:type="dxa"/>
            </w:tcMar>
            <w:vAlign w:val="center"/>
          </w:tcPr>
          <w:p w14:paraId="2383A204">
            <w:pPr>
              <w:widowControl/>
              <w:spacing w:line="400" w:lineRule="exact"/>
              <w:jc w:val="center"/>
              <w:rPr>
                <w:rFonts w:ascii="仿宋" w:hAnsi="仿宋" w:eastAsia="仿宋" w:cs="仿宋"/>
                <w:color w:val="auto"/>
                <w:sz w:val="24"/>
                <w:szCs w:val="24"/>
                <w:highlight w:val="none"/>
              </w:rPr>
            </w:pPr>
          </w:p>
        </w:tc>
      </w:tr>
      <w:tr w14:paraId="7CE7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5898CAA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w:t>
            </w:r>
          </w:p>
        </w:tc>
        <w:tc>
          <w:tcPr>
            <w:tcW w:w="2724" w:type="dxa"/>
            <w:shd w:val="clear" w:color="auto" w:fill="FFFFFF"/>
            <w:tcMar>
              <w:top w:w="0" w:type="dxa"/>
              <w:left w:w="105" w:type="dxa"/>
              <w:bottom w:w="0" w:type="dxa"/>
              <w:right w:w="105" w:type="dxa"/>
            </w:tcMar>
            <w:vAlign w:val="center"/>
          </w:tcPr>
          <w:p w14:paraId="78A441A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人工加班费（23:01-7:00）</w:t>
            </w:r>
          </w:p>
        </w:tc>
        <w:tc>
          <w:tcPr>
            <w:tcW w:w="1488" w:type="dxa"/>
            <w:shd w:val="clear" w:color="auto" w:fill="FFFFFF"/>
            <w:noWrap/>
            <w:tcMar>
              <w:top w:w="0" w:type="dxa"/>
              <w:left w:w="105" w:type="dxa"/>
              <w:bottom w:w="0" w:type="dxa"/>
              <w:right w:w="105" w:type="dxa"/>
            </w:tcMar>
            <w:vAlign w:val="center"/>
          </w:tcPr>
          <w:p w14:paraId="50785E84">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人/小时</w:t>
            </w:r>
          </w:p>
        </w:tc>
        <w:tc>
          <w:tcPr>
            <w:tcW w:w="1545" w:type="dxa"/>
            <w:shd w:val="clear" w:color="auto" w:fill="FFFFFF"/>
            <w:noWrap/>
            <w:tcMar>
              <w:top w:w="0" w:type="dxa"/>
              <w:left w:w="105" w:type="dxa"/>
              <w:bottom w:w="0" w:type="dxa"/>
              <w:right w:w="105" w:type="dxa"/>
            </w:tcMar>
            <w:vAlign w:val="center"/>
          </w:tcPr>
          <w:p w14:paraId="34CED18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80</w:t>
            </w:r>
          </w:p>
        </w:tc>
        <w:tc>
          <w:tcPr>
            <w:tcW w:w="3297" w:type="dxa"/>
            <w:vMerge w:val="continue"/>
            <w:shd w:val="clear" w:color="auto" w:fill="FFFFFF"/>
            <w:noWrap/>
            <w:tcMar>
              <w:top w:w="0" w:type="dxa"/>
              <w:left w:w="105" w:type="dxa"/>
              <w:bottom w:w="0" w:type="dxa"/>
              <w:right w:w="105" w:type="dxa"/>
            </w:tcMar>
            <w:vAlign w:val="center"/>
          </w:tcPr>
          <w:p w14:paraId="7D49379A">
            <w:pPr>
              <w:widowControl/>
              <w:spacing w:line="400" w:lineRule="exact"/>
              <w:jc w:val="center"/>
              <w:rPr>
                <w:rFonts w:ascii="仿宋" w:hAnsi="仿宋" w:eastAsia="仿宋" w:cs="仿宋"/>
                <w:color w:val="auto"/>
                <w:sz w:val="24"/>
                <w:szCs w:val="24"/>
                <w:highlight w:val="none"/>
              </w:rPr>
            </w:pPr>
          </w:p>
        </w:tc>
      </w:tr>
      <w:tr w14:paraId="4979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57C843A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w:t>
            </w:r>
          </w:p>
        </w:tc>
        <w:tc>
          <w:tcPr>
            <w:tcW w:w="2724" w:type="dxa"/>
            <w:shd w:val="clear" w:color="auto" w:fill="FFFFFF"/>
            <w:tcMar>
              <w:top w:w="0" w:type="dxa"/>
              <w:left w:w="105" w:type="dxa"/>
              <w:bottom w:w="0" w:type="dxa"/>
              <w:right w:w="105" w:type="dxa"/>
            </w:tcMar>
            <w:vAlign w:val="center"/>
          </w:tcPr>
          <w:p w14:paraId="38D88DFA">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人工包天计费</w:t>
            </w:r>
          </w:p>
        </w:tc>
        <w:tc>
          <w:tcPr>
            <w:tcW w:w="1488" w:type="dxa"/>
            <w:shd w:val="clear" w:color="auto" w:fill="FFFFFF"/>
            <w:noWrap/>
            <w:tcMar>
              <w:top w:w="0" w:type="dxa"/>
              <w:left w:w="105" w:type="dxa"/>
              <w:bottom w:w="0" w:type="dxa"/>
              <w:right w:w="105" w:type="dxa"/>
            </w:tcMar>
            <w:vAlign w:val="center"/>
          </w:tcPr>
          <w:p w14:paraId="66CB72A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人/天</w:t>
            </w:r>
          </w:p>
        </w:tc>
        <w:tc>
          <w:tcPr>
            <w:tcW w:w="1545" w:type="dxa"/>
            <w:shd w:val="clear" w:color="auto" w:fill="FFFFFF"/>
            <w:noWrap/>
            <w:tcMar>
              <w:top w:w="0" w:type="dxa"/>
              <w:left w:w="105" w:type="dxa"/>
              <w:bottom w:w="0" w:type="dxa"/>
              <w:right w:w="105" w:type="dxa"/>
            </w:tcMar>
            <w:vAlign w:val="center"/>
          </w:tcPr>
          <w:p w14:paraId="25FA71C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450</w:t>
            </w:r>
          </w:p>
        </w:tc>
        <w:tc>
          <w:tcPr>
            <w:tcW w:w="3297" w:type="dxa"/>
            <w:vMerge w:val="continue"/>
            <w:shd w:val="clear" w:color="auto" w:fill="FFFFFF"/>
            <w:tcMar>
              <w:top w:w="0" w:type="dxa"/>
              <w:left w:w="105" w:type="dxa"/>
              <w:bottom w:w="0" w:type="dxa"/>
              <w:right w:w="105" w:type="dxa"/>
            </w:tcMar>
            <w:vAlign w:val="center"/>
          </w:tcPr>
          <w:p w14:paraId="13EB6B22">
            <w:pPr>
              <w:pStyle w:val="14"/>
              <w:widowControl/>
              <w:spacing w:beforeAutospacing="0" w:afterAutospacing="0" w:line="400" w:lineRule="exact"/>
              <w:ind w:firstLine="480" w:firstLineChars="200"/>
              <w:rPr>
                <w:rFonts w:ascii="仿宋" w:hAnsi="仿宋" w:eastAsia="仿宋" w:cs="仿宋"/>
                <w:color w:val="auto"/>
                <w:szCs w:val="24"/>
                <w:highlight w:val="none"/>
              </w:rPr>
            </w:pPr>
          </w:p>
        </w:tc>
      </w:tr>
      <w:tr w14:paraId="02A9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5FA06A6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5</w:t>
            </w:r>
          </w:p>
        </w:tc>
        <w:tc>
          <w:tcPr>
            <w:tcW w:w="2724" w:type="dxa"/>
            <w:shd w:val="clear" w:color="auto" w:fill="FFFFFF"/>
            <w:tcMar>
              <w:top w:w="0" w:type="dxa"/>
              <w:left w:w="105" w:type="dxa"/>
              <w:bottom w:w="0" w:type="dxa"/>
              <w:right w:w="105" w:type="dxa"/>
            </w:tcMar>
            <w:vAlign w:val="center"/>
          </w:tcPr>
          <w:p w14:paraId="281E463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吊车</w:t>
            </w:r>
          </w:p>
        </w:tc>
        <w:tc>
          <w:tcPr>
            <w:tcW w:w="1488" w:type="dxa"/>
            <w:shd w:val="clear" w:color="auto" w:fill="FFFFFF"/>
            <w:noWrap/>
            <w:tcMar>
              <w:top w:w="0" w:type="dxa"/>
              <w:left w:w="105" w:type="dxa"/>
              <w:bottom w:w="0" w:type="dxa"/>
              <w:right w:w="105" w:type="dxa"/>
            </w:tcMar>
            <w:vAlign w:val="center"/>
          </w:tcPr>
          <w:p w14:paraId="2C775A5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12吨/台班</w:t>
            </w:r>
          </w:p>
        </w:tc>
        <w:tc>
          <w:tcPr>
            <w:tcW w:w="1545" w:type="dxa"/>
            <w:shd w:val="clear" w:color="auto" w:fill="FFFFFF"/>
            <w:noWrap/>
            <w:tcMar>
              <w:top w:w="0" w:type="dxa"/>
              <w:left w:w="105" w:type="dxa"/>
              <w:bottom w:w="0" w:type="dxa"/>
              <w:right w:w="105" w:type="dxa"/>
            </w:tcMar>
            <w:vAlign w:val="center"/>
          </w:tcPr>
          <w:p w14:paraId="79D13FE0">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1100</w:t>
            </w:r>
          </w:p>
        </w:tc>
        <w:tc>
          <w:tcPr>
            <w:tcW w:w="3297" w:type="dxa"/>
            <w:shd w:val="clear" w:color="auto" w:fill="FFFFFF"/>
            <w:tcMar>
              <w:top w:w="0" w:type="dxa"/>
              <w:left w:w="105" w:type="dxa"/>
              <w:bottom w:w="0" w:type="dxa"/>
              <w:right w:w="105" w:type="dxa"/>
            </w:tcMar>
            <w:vAlign w:val="center"/>
          </w:tcPr>
          <w:p w14:paraId="6B8C5BC6">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包含货物搬运到采购人各院区指定位置吊车使用的所有费用。1台班=8小时，8小时内1100元，超时2小时（含）内每超时1小时加收200元。超时2-6（含）个小时，按0.5个台班加收费用，超过6个小时则按1个台班加收计费。</w:t>
            </w:r>
          </w:p>
        </w:tc>
      </w:tr>
      <w:tr w14:paraId="3215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428E6F5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6</w:t>
            </w:r>
          </w:p>
        </w:tc>
        <w:tc>
          <w:tcPr>
            <w:tcW w:w="2724" w:type="dxa"/>
            <w:shd w:val="clear" w:color="auto" w:fill="FFFFFF"/>
            <w:tcMar>
              <w:top w:w="0" w:type="dxa"/>
              <w:left w:w="105" w:type="dxa"/>
              <w:bottom w:w="0" w:type="dxa"/>
              <w:right w:w="105" w:type="dxa"/>
            </w:tcMar>
            <w:vAlign w:val="center"/>
          </w:tcPr>
          <w:p w14:paraId="6D524F3F">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吊车</w:t>
            </w:r>
          </w:p>
        </w:tc>
        <w:tc>
          <w:tcPr>
            <w:tcW w:w="1488" w:type="dxa"/>
            <w:shd w:val="clear" w:color="auto" w:fill="FFFFFF"/>
            <w:noWrap/>
            <w:tcMar>
              <w:top w:w="0" w:type="dxa"/>
              <w:left w:w="105" w:type="dxa"/>
              <w:bottom w:w="0" w:type="dxa"/>
              <w:right w:w="105" w:type="dxa"/>
            </w:tcMar>
            <w:vAlign w:val="center"/>
          </w:tcPr>
          <w:p w14:paraId="09B71149">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20吨/台班</w:t>
            </w:r>
          </w:p>
        </w:tc>
        <w:tc>
          <w:tcPr>
            <w:tcW w:w="1545" w:type="dxa"/>
            <w:shd w:val="clear" w:color="auto" w:fill="FFFFFF"/>
            <w:noWrap/>
            <w:tcMar>
              <w:top w:w="0" w:type="dxa"/>
              <w:left w:w="105" w:type="dxa"/>
              <w:bottom w:w="0" w:type="dxa"/>
              <w:right w:w="105" w:type="dxa"/>
            </w:tcMar>
            <w:vAlign w:val="center"/>
          </w:tcPr>
          <w:p w14:paraId="4F1ED87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1280</w:t>
            </w:r>
          </w:p>
        </w:tc>
        <w:tc>
          <w:tcPr>
            <w:tcW w:w="3297" w:type="dxa"/>
            <w:shd w:val="clear" w:color="auto" w:fill="FFFFFF"/>
            <w:tcMar>
              <w:top w:w="0" w:type="dxa"/>
              <w:left w:w="105" w:type="dxa"/>
              <w:bottom w:w="0" w:type="dxa"/>
              <w:right w:w="105" w:type="dxa"/>
            </w:tcMar>
            <w:vAlign w:val="center"/>
          </w:tcPr>
          <w:p w14:paraId="6D640B60">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包含货物搬运到采购人各院区指定位置吊车使用的所有费用。1台班=8小时，8小时内1280元，超时2小时（含）内每超时1小时加收200元。超时2-6（含）个小时，按0.5个台班加收费用，超过6个小时则按1个台班加收计费。</w:t>
            </w:r>
          </w:p>
        </w:tc>
      </w:tr>
      <w:tr w14:paraId="071A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750ADCEE">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7</w:t>
            </w:r>
          </w:p>
        </w:tc>
        <w:tc>
          <w:tcPr>
            <w:tcW w:w="2724" w:type="dxa"/>
            <w:shd w:val="clear" w:color="auto" w:fill="FFFFFF"/>
            <w:tcMar>
              <w:top w:w="0" w:type="dxa"/>
              <w:left w:w="105" w:type="dxa"/>
              <w:bottom w:w="0" w:type="dxa"/>
              <w:right w:w="105" w:type="dxa"/>
            </w:tcMar>
            <w:vAlign w:val="center"/>
          </w:tcPr>
          <w:p w14:paraId="3CCA88A7">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叉车</w:t>
            </w:r>
          </w:p>
        </w:tc>
        <w:tc>
          <w:tcPr>
            <w:tcW w:w="1488" w:type="dxa"/>
            <w:shd w:val="clear" w:color="auto" w:fill="FFFFFF"/>
            <w:noWrap/>
            <w:tcMar>
              <w:top w:w="0" w:type="dxa"/>
              <w:left w:w="105" w:type="dxa"/>
              <w:bottom w:w="0" w:type="dxa"/>
              <w:right w:w="105" w:type="dxa"/>
            </w:tcMar>
            <w:vAlign w:val="center"/>
          </w:tcPr>
          <w:p w14:paraId="40E9419D">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3.5吨/台班</w:t>
            </w:r>
          </w:p>
        </w:tc>
        <w:tc>
          <w:tcPr>
            <w:tcW w:w="1545" w:type="dxa"/>
            <w:shd w:val="clear" w:color="auto" w:fill="FFFFFF"/>
            <w:noWrap/>
            <w:tcMar>
              <w:top w:w="0" w:type="dxa"/>
              <w:left w:w="105" w:type="dxa"/>
              <w:bottom w:w="0" w:type="dxa"/>
              <w:right w:w="105" w:type="dxa"/>
            </w:tcMar>
            <w:vAlign w:val="center"/>
          </w:tcPr>
          <w:p w14:paraId="4F8700C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1200</w:t>
            </w:r>
          </w:p>
        </w:tc>
        <w:tc>
          <w:tcPr>
            <w:tcW w:w="3297" w:type="dxa"/>
            <w:shd w:val="clear" w:color="auto" w:fill="FFFFFF"/>
            <w:tcMar>
              <w:top w:w="0" w:type="dxa"/>
              <w:left w:w="105" w:type="dxa"/>
              <w:bottom w:w="0" w:type="dxa"/>
              <w:right w:w="105" w:type="dxa"/>
            </w:tcMar>
            <w:vAlign w:val="center"/>
          </w:tcPr>
          <w:p w14:paraId="09366702">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包含货物搬运到采购人各院区指定位置叉车使用的所有费用。1台班=8小时，8小时内1200元，超时2小时（含）内每超时1小时加收200元。超时2-6（含）个小时，按0.5个台班加收费用，超过6个小时则按1个台班加收计费。</w:t>
            </w:r>
          </w:p>
        </w:tc>
      </w:tr>
      <w:tr w14:paraId="712C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902" w:type="dxa"/>
            <w:shd w:val="clear" w:color="auto" w:fill="FFFFFF"/>
            <w:noWrap/>
            <w:tcMar>
              <w:top w:w="0" w:type="dxa"/>
              <w:left w:w="105" w:type="dxa"/>
              <w:bottom w:w="0" w:type="dxa"/>
              <w:right w:w="105" w:type="dxa"/>
            </w:tcMar>
            <w:vAlign w:val="center"/>
          </w:tcPr>
          <w:p w14:paraId="1A6768E3">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8</w:t>
            </w:r>
          </w:p>
        </w:tc>
        <w:tc>
          <w:tcPr>
            <w:tcW w:w="2724" w:type="dxa"/>
            <w:shd w:val="clear" w:color="auto" w:fill="FFFFFF"/>
            <w:tcMar>
              <w:top w:w="0" w:type="dxa"/>
              <w:left w:w="105" w:type="dxa"/>
              <w:bottom w:w="0" w:type="dxa"/>
              <w:right w:w="105" w:type="dxa"/>
            </w:tcMar>
            <w:vAlign w:val="center"/>
          </w:tcPr>
          <w:p w14:paraId="0C2F81F8">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云梯</w:t>
            </w:r>
          </w:p>
        </w:tc>
        <w:tc>
          <w:tcPr>
            <w:tcW w:w="1488" w:type="dxa"/>
            <w:shd w:val="clear" w:color="auto" w:fill="FFFFFF"/>
            <w:noWrap/>
            <w:tcMar>
              <w:top w:w="0" w:type="dxa"/>
              <w:left w:w="105" w:type="dxa"/>
              <w:bottom w:w="0" w:type="dxa"/>
              <w:right w:w="105" w:type="dxa"/>
            </w:tcMar>
            <w:vAlign w:val="center"/>
          </w:tcPr>
          <w:p w14:paraId="1599AEBC">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8吨/台班</w:t>
            </w:r>
          </w:p>
        </w:tc>
        <w:tc>
          <w:tcPr>
            <w:tcW w:w="1545" w:type="dxa"/>
            <w:shd w:val="clear" w:color="auto" w:fill="FFFFFF"/>
            <w:noWrap/>
            <w:tcMar>
              <w:top w:w="0" w:type="dxa"/>
              <w:left w:w="105" w:type="dxa"/>
              <w:bottom w:w="0" w:type="dxa"/>
              <w:right w:w="105" w:type="dxa"/>
            </w:tcMar>
            <w:vAlign w:val="center"/>
          </w:tcPr>
          <w:p w14:paraId="43D11925">
            <w:pPr>
              <w:pStyle w:val="14"/>
              <w:widowControl/>
              <w:spacing w:beforeAutospacing="0" w:afterAutospacing="0" w:line="40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1000</w:t>
            </w:r>
          </w:p>
        </w:tc>
        <w:tc>
          <w:tcPr>
            <w:tcW w:w="3297" w:type="dxa"/>
            <w:shd w:val="clear" w:color="auto" w:fill="FFFFFF"/>
            <w:tcMar>
              <w:top w:w="0" w:type="dxa"/>
              <w:left w:w="105" w:type="dxa"/>
              <w:bottom w:w="0" w:type="dxa"/>
              <w:right w:w="105" w:type="dxa"/>
            </w:tcMar>
            <w:vAlign w:val="center"/>
          </w:tcPr>
          <w:p w14:paraId="47BE78C8">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包含货物搬运到采购人各院区指定位置云梯使用的所有费用。1台班=8小时，8小时内1000元，超时2小时（含）内每超时1小时加收200元。超时2-6（含）个小时，按0.5个台班加收费用，超过6个小时则按1个台班加收计费。</w:t>
            </w:r>
          </w:p>
        </w:tc>
      </w:tr>
      <w:tr w14:paraId="6EF5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6" w:hRule="atLeast"/>
        </w:trPr>
        <w:tc>
          <w:tcPr>
            <w:tcW w:w="9956" w:type="dxa"/>
            <w:gridSpan w:val="5"/>
            <w:shd w:val="clear" w:color="auto" w:fill="FFFFFF"/>
            <w:noWrap/>
            <w:tcMar>
              <w:top w:w="0" w:type="dxa"/>
              <w:left w:w="105" w:type="dxa"/>
              <w:bottom w:w="0" w:type="dxa"/>
              <w:right w:w="105" w:type="dxa"/>
            </w:tcMar>
            <w:vAlign w:val="center"/>
          </w:tcPr>
          <w:p w14:paraId="4E75248C">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注：</w:t>
            </w:r>
          </w:p>
          <w:p w14:paraId="7F07E0AD">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1.采购人有权在每次搬运的导航线路（</w:t>
            </w:r>
            <w:r>
              <w:rPr>
                <w:rFonts w:ascii="仿宋" w:hAnsi="仿宋" w:eastAsia="仿宋" w:cs="仿宋"/>
                <w:bCs/>
                <w:color w:val="auto"/>
                <w:szCs w:val="24"/>
                <w:highlight w:val="none"/>
              </w:rPr>
              <w:t>按主流导航软件如百度、高德等</w:t>
            </w:r>
            <w:r>
              <w:rPr>
                <w:rFonts w:hint="eastAsia" w:ascii="仿宋" w:hAnsi="仿宋" w:eastAsia="仿宋" w:cs="仿宋"/>
                <w:bCs/>
                <w:color w:val="auto"/>
                <w:szCs w:val="24"/>
                <w:highlight w:val="none"/>
              </w:rPr>
              <w:t>规划</w:t>
            </w:r>
            <w:r>
              <w:rPr>
                <w:rFonts w:hint="eastAsia" w:ascii="仿宋" w:hAnsi="仿宋" w:eastAsia="仿宋" w:cs="仿宋"/>
                <w:color w:val="auto"/>
                <w:szCs w:val="24"/>
                <w:highlight w:val="none"/>
              </w:rPr>
              <w:t>）途中点位临时安排货物装卸任务，费用包含在本项目报价中，采购人不再另行支付。</w:t>
            </w:r>
          </w:p>
          <w:p w14:paraId="6C435A89">
            <w:pPr>
              <w:pStyle w:val="14"/>
              <w:widowControl/>
              <w:spacing w:beforeAutospacing="0" w:afterAutospacing="0" w:line="400" w:lineRule="exact"/>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2.本项目报价是为完成本项目服务所需的所有费用，包含人工费、措施费、修复费、物品损坏保险等。</w:t>
            </w:r>
          </w:p>
        </w:tc>
      </w:tr>
    </w:tbl>
    <w:p w14:paraId="4DC6F95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Times New Roman" w:hAnsi="Times New Roman" w:eastAsia="仿宋" w:cs="Times New Roman"/>
          <w:b/>
          <w:bCs/>
          <w:color w:val="auto"/>
          <w:sz w:val="24"/>
          <w:szCs w:val="24"/>
          <w:highlight w:val="none"/>
        </w:rPr>
      </w:pPr>
      <w:r>
        <w:rPr>
          <w:rFonts w:hint="eastAsia" w:ascii="仿宋" w:hAnsi="仿宋" w:eastAsia="仿宋" w:cs="仿宋"/>
          <w:b/>
          <w:bCs/>
          <w:color w:val="auto"/>
          <w:sz w:val="24"/>
          <w:szCs w:val="24"/>
          <w:highlight w:val="none"/>
        </w:rPr>
        <w:t>★</w:t>
      </w:r>
      <w:r>
        <w:rPr>
          <w:rFonts w:ascii="Times New Roman" w:hAnsi="Times New Roman" w:eastAsia="仿宋" w:cs="Times New Roman"/>
          <w:b/>
          <w:bCs/>
          <w:color w:val="auto"/>
          <w:sz w:val="24"/>
          <w:szCs w:val="24"/>
          <w:highlight w:val="none"/>
        </w:rPr>
        <w:t>三、</w:t>
      </w:r>
      <w:r>
        <w:rPr>
          <w:rFonts w:hint="eastAsia" w:ascii="Times New Roman" w:hAnsi="Times New Roman" w:eastAsia="仿宋" w:cs="Times New Roman"/>
          <w:b/>
          <w:bCs/>
          <w:color w:val="auto"/>
          <w:sz w:val="24"/>
          <w:szCs w:val="24"/>
          <w:highlight w:val="none"/>
        </w:rPr>
        <w:t>服务内容及服务要求</w:t>
      </w:r>
    </w:p>
    <w:p w14:paraId="65589330">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1.供应商</w:t>
      </w:r>
      <w:r>
        <w:rPr>
          <w:rFonts w:ascii="Times New Roman" w:hAnsi="Times New Roman" w:eastAsia="仿宋" w:cs="Times New Roman"/>
          <w:color w:val="auto"/>
          <w:sz w:val="24"/>
          <w:szCs w:val="24"/>
          <w:highlight w:val="none"/>
        </w:rPr>
        <w:t>在接到采购人的计划任务通知（计划任务至少提前</w:t>
      </w:r>
      <w:r>
        <w:rPr>
          <w:rFonts w:hint="eastAsia" w:ascii="Times New Roman" w:hAnsi="Times New Roman" w:eastAsia="仿宋" w:cs="Times New Roman"/>
          <w:color w:val="auto"/>
          <w:sz w:val="24"/>
          <w:szCs w:val="24"/>
          <w:highlight w:val="none"/>
        </w:rPr>
        <w:t>一</w:t>
      </w:r>
      <w:r>
        <w:rPr>
          <w:rFonts w:ascii="Times New Roman" w:hAnsi="Times New Roman" w:eastAsia="仿宋" w:cs="Times New Roman"/>
          <w:color w:val="auto"/>
          <w:sz w:val="24"/>
          <w:szCs w:val="24"/>
          <w:highlight w:val="none"/>
        </w:rPr>
        <w:t>天通知</w:t>
      </w:r>
      <w:r>
        <w:rPr>
          <w:rFonts w:hint="eastAsia" w:ascii="Times New Roman" w:hAnsi="Times New Roman" w:eastAsia="仿宋" w:cs="Times New Roman"/>
          <w:color w:val="auto"/>
          <w:sz w:val="24"/>
          <w:szCs w:val="24"/>
          <w:highlight w:val="none"/>
        </w:rPr>
        <w:t>供应商</w:t>
      </w:r>
      <w:r>
        <w:rPr>
          <w:rFonts w:ascii="Times New Roman" w:hAnsi="Times New Roman" w:eastAsia="仿宋" w:cs="Times New Roman"/>
          <w:color w:val="auto"/>
          <w:sz w:val="24"/>
          <w:szCs w:val="24"/>
          <w:highlight w:val="none"/>
        </w:rPr>
        <w:t>）后即按采购人要求派人和车进行作业，搬运前一天将承运司机的姓名、电话、车牌、发车时间以及</w:t>
      </w:r>
      <w:r>
        <w:rPr>
          <w:rFonts w:hint="eastAsia" w:ascii="Times New Roman" w:hAnsi="Times New Roman" w:eastAsia="仿宋" w:cs="Times New Roman"/>
          <w:color w:val="auto"/>
          <w:sz w:val="24"/>
          <w:szCs w:val="24"/>
          <w:highlight w:val="none"/>
        </w:rPr>
        <w:t>空车</w:t>
      </w:r>
      <w:r>
        <w:rPr>
          <w:rFonts w:ascii="Times New Roman" w:hAnsi="Times New Roman" w:eastAsia="仿宋" w:cs="Times New Roman"/>
          <w:color w:val="auto"/>
          <w:sz w:val="24"/>
          <w:szCs w:val="24"/>
          <w:highlight w:val="none"/>
        </w:rPr>
        <w:t>预计到达时间通知采购人</w:t>
      </w:r>
      <w:r>
        <w:rPr>
          <w:rFonts w:hint="eastAsia" w:ascii="Times New Roman" w:hAnsi="Times New Roman" w:eastAsia="仿宋" w:cs="Times New Roman"/>
          <w:color w:val="auto"/>
          <w:sz w:val="24"/>
          <w:szCs w:val="24"/>
          <w:highlight w:val="none"/>
        </w:rPr>
        <w:t>。在采购人要求的时间内完成所有物品的搬运，</w:t>
      </w:r>
      <w:r>
        <w:rPr>
          <w:rFonts w:ascii="Times New Roman" w:hAnsi="Times New Roman" w:eastAsia="仿宋" w:cs="Times New Roman"/>
          <w:color w:val="auto"/>
          <w:sz w:val="24"/>
          <w:szCs w:val="24"/>
          <w:highlight w:val="none"/>
        </w:rPr>
        <w:t>并对所有物品进行保护，到达交货地点后按采购人要求将物品安全、无损、准确地摆放到位。在整个过程中，</w:t>
      </w:r>
      <w:r>
        <w:rPr>
          <w:rFonts w:hint="eastAsia" w:ascii="Times New Roman" w:hAnsi="Times New Roman" w:eastAsia="仿宋" w:cs="Times New Roman"/>
          <w:color w:val="auto"/>
          <w:sz w:val="24"/>
          <w:szCs w:val="24"/>
          <w:highlight w:val="none"/>
        </w:rPr>
        <w:t>供应商</w:t>
      </w:r>
      <w:r>
        <w:rPr>
          <w:rFonts w:ascii="Times New Roman" w:hAnsi="Times New Roman" w:eastAsia="仿宋" w:cs="Times New Roman"/>
          <w:color w:val="auto"/>
          <w:sz w:val="24"/>
          <w:szCs w:val="24"/>
          <w:highlight w:val="none"/>
        </w:rPr>
        <w:t>应保证采购人物品的安全，做好保护措施。</w:t>
      </w:r>
    </w:p>
    <w:p w14:paraId="121379B3">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2.</w:t>
      </w:r>
      <w:r>
        <w:rPr>
          <w:rFonts w:ascii="Times New Roman" w:hAnsi="Times New Roman" w:eastAsia="仿宋" w:cs="Times New Roman"/>
          <w:color w:val="auto"/>
          <w:sz w:val="24"/>
          <w:szCs w:val="24"/>
          <w:highlight w:val="none"/>
        </w:rPr>
        <w:t>供应商对完成服务内容必须填写作业工单，并得到采购人确定的工作人员签字确认。对验收不合格项，由双方商定返工处理时限，若申请搬运的部门（科室）工作人员对搬运质量、服务态度等不满意，将在供应商考核评价表中进行相应的扣分处理。</w:t>
      </w:r>
    </w:p>
    <w:p w14:paraId="103072AA">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3.供应商</w:t>
      </w:r>
      <w:r>
        <w:rPr>
          <w:rFonts w:ascii="Times New Roman" w:hAnsi="Times New Roman" w:eastAsia="仿宋" w:cs="Times New Roman"/>
          <w:color w:val="auto"/>
          <w:sz w:val="24"/>
          <w:szCs w:val="24"/>
          <w:highlight w:val="none"/>
        </w:rPr>
        <w:t>在搬运过程中注意安全，如在搬运过程中发生安全事故由此造成的采购人、</w:t>
      </w:r>
      <w:r>
        <w:rPr>
          <w:rFonts w:hint="eastAsia" w:ascii="Times New Roman" w:hAnsi="Times New Roman" w:eastAsia="仿宋" w:cs="Times New Roman"/>
          <w:color w:val="auto"/>
          <w:sz w:val="24"/>
          <w:szCs w:val="24"/>
          <w:highlight w:val="none"/>
        </w:rPr>
        <w:t>供应商</w:t>
      </w:r>
      <w:r>
        <w:rPr>
          <w:rFonts w:ascii="Times New Roman" w:hAnsi="Times New Roman" w:eastAsia="仿宋" w:cs="Times New Roman"/>
          <w:color w:val="auto"/>
          <w:sz w:val="24"/>
          <w:szCs w:val="24"/>
          <w:highlight w:val="none"/>
        </w:rPr>
        <w:t>或第三方人身伤害责任或者物品、公共设施等损坏全部由</w:t>
      </w:r>
      <w:r>
        <w:rPr>
          <w:rFonts w:hint="eastAsia" w:ascii="Times New Roman" w:hAnsi="Times New Roman" w:eastAsia="仿宋" w:cs="Times New Roman"/>
          <w:color w:val="auto"/>
          <w:sz w:val="24"/>
          <w:szCs w:val="24"/>
          <w:highlight w:val="none"/>
        </w:rPr>
        <w:t>供应商</w:t>
      </w:r>
      <w:r>
        <w:rPr>
          <w:rFonts w:ascii="Times New Roman" w:hAnsi="Times New Roman" w:eastAsia="仿宋" w:cs="Times New Roman"/>
          <w:color w:val="auto"/>
          <w:sz w:val="24"/>
          <w:szCs w:val="24"/>
          <w:highlight w:val="none"/>
        </w:rPr>
        <w:t>承担。</w:t>
      </w:r>
    </w:p>
    <w:p w14:paraId="2DABA4CC">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4.供应商</w:t>
      </w:r>
      <w:r>
        <w:rPr>
          <w:rFonts w:ascii="Times New Roman" w:hAnsi="Times New Roman" w:eastAsia="仿宋" w:cs="Times New Roman"/>
          <w:color w:val="auto"/>
          <w:sz w:val="24"/>
          <w:szCs w:val="24"/>
          <w:highlight w:val="none"/>
        </w:rPr>
        <w:t>须具有专业的售后修复团队，能够对家具、设备设施等进行</w:t>
      </w:r>
      <w:r>
        <w:rPr>
          <w:rFonts w:hint="eastAsia" w:ascii="Times New Roman" w:hAnsi="Times New Roman" w:eastAsia="仿宋" w:cs="Times New Roman"/>
          <w:color w:val="auto"/>
          <w:sz w:val="24"/>
          <w:szCs w:val="24"/>
          <w:highlight w:val="none"/>
        </w:rPr>
        <w:t>修复</w:t>
      </w:r>
      <w:r>
        <w:rPr>
          <w:rFonts w:ascii="Times New Roman" w:hAnsi="Times New Roman" w:eastAsia="仿宋" w:cs="Times New Roman"/>
          <w:color w:val="auto"/>
          <w:sz w:val="24"/>
          <w:szCs w:val="24"/>
          <w:highlight w:val="none"/>
        </w:rPr>
        <w:t>。根据搬运现场情况，采购人有权要求</w:t>
      </w:r>
      <w:r>
        <w:rPr>
          <w:rFonts w:hint="eastAsia" w:ascii="Times New Roman" w:hAnsi="Times New Roman" w:eastAsia="仿宋" w:cs="Times New Roman"/>
          <w:color w:val="auto"/>
          <w:sz w:val="24"/>
          <w:szCs w:val="24"/>
          <w:highlight w:val="none"/>
        </w:rPr>
        <w:t>供应商</w:t>
      </w:r>
      <w:r>
        <w:rPr>
          <w:rFonts w:ascii="Times New Roman" w:hAnsi="Times New Roman" w:eastAsia="仿宋" w:cs="Times New Roman"/>
          <w:color w:val="auto"/>
          <w:sz w:val="24"/>
          <w:szCs w:val="24"/>
          <w:highlight w:val="none"/>
        </w:rPr>
        <w:t>做成品保护和</w:t>
      </w:r>
      <w:r>
        <w:rPr>
          <w:rFonts w:hint="eastAsia" w:ascii="Times New Roman" w:hAnsi="Times New Roman" w:eastAsia="仿宋" w:cs="Times New Roman"/>
          <w:color w:val="auto"/>
          <w:sz w:val="24"/>
          <w:szCs w:val="24"/>
          <w:highlight w:val="none"/>
        </w:rPr>
        <w:t>修复</w:t>
      </w:r>
      <w:r>
        <w:rPr>
          <w:rFonts w:ascii="Times New Roman" w:hAnsi="Times New Roman" w:eastAsia="仿宋" w:cs="Times New Roman"/>
          <w:color w:val="auto"/>
          <w:sz w:val="24"/>
          <w:szCs w:val="24"/>
          <w:highlight w:val="none"/>
        </w:rPr>
        <w:t>。成品保护和</w:t>
      </w:r>
      <w:r>
        <w:rPr>
          <w:rFonts w:hint="eastAsia" w:ascii="Times New Roman" w:hAnsi="Times New Roman" w:eastAsia="仿宋" w:cs="Times New Roman"/>
          <w:color w:val="auto"/>
          <w:sz w:val="24"/>
          <w:szCs w:val="24"/>
          <w:highlight w:val="none"/>
        </w:rPr>
        <w:t>修复</w:t>
      </w:r>
      <w:r>
        <w:rPr>
          <w:rFonts w:ascii="Times New Roman" w:hAnsi="Times New Roman" w:eastAsia="仿宋" w:cs="Times New Roman"/>
          <w:color w:val="auto"/>
          <w:sz w:val="24"/>
          <w:szCs w:val="24"/>
          <w:highlight w:val="none"/>
        </w:rPr>
        <w:t>包括但不限于：（1）电梯用地毯等材料做保护，轿厢侧面用纸板、木板、钢板、棱角条等材料做保护，如果损坏电梯轿厢，必须做翻新；（2）对地板用地毯等材料进行保护，若因搬家损坏地板，必须对地板进行</w:t>
      </w:r>
      <w:r>
        <w:rPr>
          <w:rFonts w:hint="eastAsia" w:ascii="Times New Roman" w:hAnsi="Times New Roman" w:eastAsia="仿宋" w:cs="Times New Roman"/>
          <w:color w:val="auto"/>
          <w:sz w:val="24"/>
          <w:szCs w:val="24"/>
          <w:highlight w:val="none"/>
        </w:rPr>
        <w:t>修复</w:t>
      </w:r>
      <w:r>
        <w:rPr>
          <w:rFonts w:ascii="Times New Roman" w:hAnsi="Times New Roman" w:eastAsia="仿宋" w:cs="Times New Roman"/>
          <w:color w:val="auto"/>
          <w:sz w:val="24"/>
          <w:szCs w:val="24"/>
          <w:highlight w:val="none"/>
        </w:rPr>
        <w:t>。成品保护和</w:t>
      </w:r>
      <w:r>
        <w:rPr>
          <w:rFonts w:hint="eastAsia" w:ascii="Times New Roman" w:hAnsi="Times New Roman" w:eastAsia="仿宋" w:cs="Times New Roman"/>
          <w:color w:val="auto"/>
          <w:sz w:val="24"/>
          <w:szCs w:val="24"/>
          <w:highlight w:val="none"/>
        </w:rPr>
        <w:t>修复</w:t>
      </w:r>
      <w:r>
        <w:rPr>
          <w:rFonts w:ascii="Times New Roman" w:hAnsi="Times New Roman" w:eastAsia="仿宋" w:cs="Times New Roman"/>
          <w:color w:val="auto"/>
          <w:sz w:val="24"/>
          <w:szCs w:val="24"/>
          <w:highlight w:val="none"/>
        </w:rPr>
        <w:t>等必须经采购人验收合格，费用由供应商承担，否则采购人有权</w:t>
      </w:r>
      <w:r>
        <w:rPr>
          <w:rFonts w:hint="eastAsia" w:ascii="Times New Roman" w:hAnsi="Times New Roman" w:eastAsia="仿宋" w:cs="Times New Roman"/>
          <w:color w:val="auto"/>
          <w:sz w:val="24"/>
          <w:szCs w:val="24"/>
          <w:highlight w:val="none"/>
        </w:rPr>
        <w:t>对供应商</w:t>
      </w:r>
      <w:r>
        <w:rPr>
          <w:rFonts w:ascii="Times New Roman" w:hAnsi="Times New Roman" w:eastAsia="仿宋" w:cs="Times New Roman"/>
          <w:color w:val="auto"/>
          <w:sz w:val="24"/>
          <w:szCs w:val="24"/>
          <w:highlight w:val="none"/>
        </w:rPr>
        <w:t>处以相应价值的罚款，从履约保证金/结算款中扣除。</w:t>
      </w:r>
    </w:p>
    <w:p w14:paraId="2CDDF310">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5.</w:t>
      </w:r>
      <w:r>
        <w:rPr>
          <w:rFonts w:ascii="Times New Roman" w:hAnsi="Times New Roman" w:eastAsia="仿宋" w:cs="Times New Roman"/>
          <w:color w:val="auto"/>
          <w:sz w:val="24"/>
          <w:szCs w:val="24"/>
          <w:highlight w:val="none"/>
        </w:rPr>
        <w:t>供应商3次遭到采购人满意度评价为</w:t>
      </w:r>
      <w:r>
        <w:rPr>
          <w:rFonts w:hint="eastAsia" w:ascii="Times New Roman" w:hAnsi="Times New Roman" w:eastAsia="仿宋" w:cs="Times New Roman"/>
          <w:color w:val="auto"/>
          <w:sz w:val="24"/>
          <w:szCs w:val="24"/>
          <w:highlight w:val="none"/>
        </w:rPr>
        <w:t>不合格</w:t>
      </w:r>
      <w:r>
        <w:rPr>
          <w:rFonts w:ascii="Times New Roman" w:hAnsi="Times New Roman" w:eastAsia="仿宋" w:cs="Times New Roman"/>
          <w:color w:val="auto"/>
          <w:sz w:val="24"/>
          <w:szCs w:val="24"/>
          <w:highlight w:val="none"/>
        </w:rPr>
        <w:t>或有效投诉，采购人有权解除合同。</w:t>
      </w:r>
    </w:p>
    <w:p w14:paraId="59C27531">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6.</w:t>
      </w:r>
      <w:r>
        <w:rPr>
          <w:rFonts w:ascii="Times New Roman" w:hAnsi="Times New Roman" w:eastAsia="仿宋" w:cs="Times New Roman"/>
          <w:color w:val="auto"/>
          <w:sz w:val="24"/>
          <w:szCs w:val="24"/>
          <w:highlight w:val="none"/>
        </w:rPr>
        <w:t>供应商项目经理、搬运人员与</w:t>
      </w:r>
      <w:r>
        <w:rPr>
          <w:rFonts w:hint="eastAsia" w:ascii="Times New Roman" w:hAnsi="Times New Roman" w:eastAsia="仿宋" w:cs="Times New Roman"/>
          <w:color w:val="auto"/>
          <w:sz w:val="24"/>
          <w:szCs w:val="24"/>
          <w:highlight w:val="none"/>
        </w:rPr>
        <w:t>搬运</w:t>
      </w:r>
      <w:r>
        <w:rPr>
          <w:rFonts w:ascii="Times New Roman" w:hAnsi="Times New Roman" w:eastAsia="仿宋" w:cs="Times New Roman"/>
          <w:color w:val="auto"/>
          <w:sz w:val="24"/>
          <w:szCs w:val="24"/>
          <w:highlight w:val="none"/>
        </w:rPr>
        <w:t>科室部门</w:t>
      </w:r>
      <w:r>
        <w:rPr>
          <w:rFonts w:hint="eastAsia" w:ascii="Times New Roman" w:hAnsi="Times New Roman" w:eastAsia="仿宋" w:cs="Times New Roman"/>
          <w:color w:val="auto"/>
          <w:sz w:val="24"/>
          <w:szCs w:val="24"/>
          <w:highlight w:val="none"/>
        </w:rPr>
        <w:t>工作人员</w:t>
      </w:r>
      <w:r>
        <w:rPr>
          <w:rFonts w:ascii="Times New Roman" w:hAnsi="Times New Roman" w:eastAsia="仿宋" w:cs="Times New Roman"/>
          <w:color w:val="auto"/>
          <w:sz w:val="24"/>
          <w:szCs w:val="24"/>
          <w:highlight w:val="none"/>
        </w:rPr>
        <w:t>沟通交流时，使用文明用语耐心交流。</w:t>
      </w:r>
    </w:p>
    <w:p w14:paraId="1416C47A">
      <w:pPr>
        <w:spacing w:line="400" w:lineRule="exact"/>
        <w:ind w:firstLine="480" w:firstLineChars="200"/>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7.供应商搬运联络人应保持手机24小时畅通。</w:t>
      </w:r>
    </w:p>
    <w:p w14:paraId="111A51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Times New Roman" w:hAnsi="Times New Roman" w:eastAsia="仿宋" w:cs="Times New Roman"/>
          <w:color w:val="auto"/>
          <w:sz w:val="24"/>
          <w:szCs w:val="24"/>
          <w:highlight w:val="none"/>
        </w:rPr>
        <w:t>8.搬运车辆到院时为全空车（搬运工具只能装在一辆车内），搬运货物所需车辆不止1车时，应保证装满一车后再装载下一辆车，码货整齐稳固，最大化利用空间装车。</w:t>
      </w:r>
    </w:p>
    <w:p w14:paraId="6B9375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★四、商务要求</w:t>
      </w:r>
    </w:p>
    <w:p w14:paraId="16B308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（一）服务期限</w:t>
      </w:r>
    </w:p>
    <w:p w14:paraId="55A0BE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自2026年9月25日起3年，合同一年一签，经考核合格后续签下一年度合同。</w:t>
      </w:r>
    </w:p>
    <w:p w14:paraId="54BCE9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若合同签订生效时间晚于2026年9月25日，则以合同签订生效时间作为服务期起始时间，服务期结束时间按本项目服务期限顺延。</w:t>
      </w:r>
    </w:p>
    <w:p w14:paraId="45096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（二）服务地点</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四川省人民医院各院区及四川省内采购人指定位置</w:t>
      </w:r>
      <w:r>
        <w:rPr>
          <w:rFonts w:hint="eastAsia" w:ascii="仿宋" w:hAnsi="仿宋" w:eastAsia="仿宋" w:cs="仿宋"/>
          <w:b w:val="0"/>
          <w:bCs w:val="0"/>
          <w:color w:val="auto"/>
          <w:sz w:val="24"/>
          <w:szCs w:val="24"/>
          <w:highlight w:val="none"/>
          <w:lang w:eastAsia="zh-CN"/>
        </w:rPr>
        <w:t>。</w:t>
      </w:r>
    </w:p>
    <w:p w14:paraId="2B76CE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（三）付款方式</w:t>
      </w:r>
    </w:p>
    <w:p w14:paraId="5BD94C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服务期内，每三个月结算一次费用，供应商须根据本项目成交单价及实际服务情况向采购人提供结算费用清单进行确认，并在确认后5日内按清单金额向采购人提供合法有效票据及其他相关请款资料，采购人自收到上述票据及资料后的55日内，向供应商全额支付上述结算费用。如存在因考核等原因导致的扣款，应在支付前予以扣除。</w:t>
      </w:r>
    </w:p>
    <w:p w14:paraId="6D12DC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按照基于本项目采购需求编制的采购文件要求及供应商响应文件情况，由供应商向采购人提供的每三个月的全部服务。</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供应商完成服务期内每三个月的服务内容后5日内通知采购人验收，采购人接供应商通知后10日内组织验收。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6.如本项目验收方式为考核验收，则考核结果须为合格。</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验收其他事项</w:t>
            </w:r>
          </w:p>
        </w:tc>
        <w:tc>
          <w:tcPr>
            <w:tcW w:w="6794" w:type="dxa"/>
            <w:shd w:val="clear" w:color="auto" w:fill="auto"/>
            <w:vAlign w:val="center"/>
          </w:tcPr>
          <w:p w14:paraId="12BCA99E">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考核评价完成后，</w:t>
            </w:r>
            <w:r>
              <w:rPr>
                <w:rFonts w:hint="eastAsia" w:ascii="仿宋" w:hAnsi="仿宋" w:eastAsia="仿宋" w:cs="仿宋"/>
                <w:b w:val="0"/>
                <w:bCs/>
                <w:color w:val="auto"/>
                <w:sz w:val="24"/>
                <w:szCs w:val="24"/>
                <w:highlight w:val="none"/>
                <w:lang w:val="en-US" w:eastAsia="zh-CN"/>
              </w:rPr>
              <w:t>考核评价表</w:t>
            </w:r>
            <w:r>
              <w:rPr>
                <w:rFonts w:hint="default" w:ascii="仿宋" w:hAnsi="仿宋" w:eastAsia="仿宋" w:cs="仿宋"/>
                <w:b w:val="0"/>
                <w:bCs/>
                <w:color w:val="auto"/>
                <w:sz w:val="24"/>
                <w:szCs w:val="24"/>
                <w:highlight w:val="none"/>
                <w:lang w:val="en-US" w:eastAsia="zh-CN"/>
              </w:rPr>
              <w:t>须经采购人使用科室签字确认</w:t>
            </w:r>
            <w:r>
              <w:rPr>
                <w:rFonts w:hint="eastAsia" w:ascii="仿宋" w:hAnsi="仿宋" w:eastAsia="仿宋" w:cs="仿宋"/>
                <w:b w:val="0"/>
                <w:bCs/>
                <w:color w:val="auto"/>
                <w:sz w:val="24"/>
                <w:szCs w:val="24"/>
                <w:highlight w:val="none"/>
                <w:lang w:val="en-US" w:eastAsia="zh-CN"/>
              </w:rPr>
              <w:t>后</w:t>
            </w:r>
            <w:r>
              <w:rPr>
                <w:rFonts w:hint="default" w:ascii="仿宋" w:hAnsi="仿宋" w:eastAsia="仿宋" w:cs="仿宋"/>
                <w:b w:val="0"/>
                <w:bCs/>
                <w:color w:val="auto"/>
                <w:sz w:val="24"/>
                <w:szCs w:val="24"/>
                <w:highlight w:val="none"/>
                <w:lang w:val="en-US" w:eastAsia="zh-CN"/>
              </w:rPr>
              <w:t>，为验收合格；</w:t>
            </w:r>
            <w:r>
              <w:rPr>
                <w:rFonts w:hint="eastAsia" w:ascii="仿宋" w:hAnsi="仿宋" w:eastAsia="仿宋" w:cs="仿宋"/>
                <w:b w:val="0"/>
                <w:bCs/>
                <w:color w:val="auto"/>
                <w:sz w:val="24"/>
                <w:szCs w:val="24"/>
                <w:highlight w:val="none"/>
                <w:lang w:val="en-US" w:eastAsia="zh-CN"/>
              </w:rPr>
              <w:t>采购人使用科室未签字</w:t>
            </w:r>
            <w:r>
              <w:rPr>
                <w:rFonts w:hint="default" w:ascii="仿宋" w:hAnsi="仿宋" w:eastAsia="仿宋" w:cs="仿宋"/>
                <w:b w:val="0"/>
                <w:bCs/>
                <w:color w:val="auto"/>
                <w:sz w:val="24"/>
                <w:szCs w:val="24"/>
                <w:highlight w:val="none"/>
                <w:lang w:val="en-US" w:eastAsia="zh-CN"/>
              </w:rPr>
              <w:t>则视为验收不合格。</w:t>
            </w:r>
          </w:p>
        </w:tc>
      </w:tr>
    </w:tbl>
    <w:p w14:paraId="4A513425">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五）考核内容</w:t>
      </w:r>
    </w:p>
    <w:p w14:paraId="42AACD9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rPr>
        <w:t>后勤保障部供应商考核评价表</w:t>
      </w:r>
    </w:p>
    <w:p w14:paraId="75D0634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科室部门：</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评价人：</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48"/>
        <w:gridCol w:w="1919"/>
        <w:gridCol w:w="3759"/>
        <w:gridCol w:w="1762"/>
        <w:gridCol w:w="1059"/>
      </w:tblGrid>
      <w:tr w14:paraId="7BC5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8" w:hRule="atLeast"/>
        </w:trPr>
        <w:tc>
          <w:tcPr>
            <w:tcW w:w="1360" w:type="dxa"/>
            <w:shd w:val="clear" w:color="auto" w:fill="auto"/>
            <w:tcMar>
              <w:top w:w="0" w:type="dxa"/>
              <w:left w:w="105" w:type="dxa"/>
              <w:bottom w:w="0" w:type="dxa"/>
              <w:right w:w="105" w:type="dxa"/>
            </w:tcMar>
            <w:vAlign w:val="center"/>
          </w:tcPr>
          <w:p w14:paraId="1A08F563">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941" w:type="dxa"/>
            <w:shd w:val="clear" w:color="auto" w:fill="auto"/>
            <w:tcMar>
              <w:top w:w="0" w:type="dxa"/>
              <w:left w:w="105" w:type="dxa"/>
              <w:bottom w:w="0" w:type="dxa"/>
              <w:right w:w="105" w:type="dxa"/>
            </w:tcMar>
            <w:vAlign w:val="center"/>
          </w:tcPr>
          <w:p w14:paraId="4823F44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评价内容</w:t>
            </w:r>
          </w:p>
        </w:tc>
        <w:tc>
          <w:tcPr>
            <w:tcW w:w="3809" w:type="dxa"/>
            <w:shd w:val="clear" w:color="auto" w:fill="auto"/>
            <w:tcMar>
              <w:top w:w="0" w:type="dxa"/>
              <w:left w:w="105" w:type="dxa"/>
              <w:bottom w:w="0" w:type="dxa"/>
              <w:right w:w="105" w:type="dxa"/>
            </w:tcMar>
            <w:vAlign w:val="center"/>
          </w:tcPr>
          <w:p w14:paraId="22C7E4A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考核方法</w:t>
            </w:r>
          </w:p>
        </w:tc>
        <w:tc>
          <w:tcPr>
            <w:tcW w:w="1777" w:type="dxa"/>
            <w:shd w:val="clear" w:color="auto" w:fill="auto"/>
            <w:tcMar>
              <w:top w:w="0" w:type="dxa"/>
              <w:left w:w="105" w:type="dxa"/>
              <w:bottom w:w="0" w:type="dxa"/>
              <w:right w:w="105" w:type="dxa"/>
            </w:tcMar>
            <w:vAlign w:val="center"/>
          </w:tcPr>
          <w:p w14:paraId="1488DB7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使用科室部门考评（是/否），考评为否则不得分</w:t>
            </w:r>
          </w:p>
        </w:tc>
        <w:tc>
          <w:tcPr>
            <w:tcW w:w="1069" w:type="dxa"/>
            <w:shd w:val="clear" w:color="auto" w:fill="auto"/>
            <w:tcMar>
              <w:top w:w="0" w:type="dxa"/>
              <w:left w:w="105" w:type="dxa"/>
              <w:bottom w:w="0" w:type="dxa"/>
              <w:right w:w="105" w:type="dxa"/>
            </w:tcMar>
            <w:vAlign w:val="center"/>
          </w:tcPr>
          <w:p w14:paraId="1F4EAAE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得分</w:t>
            </w:r>
          </w:p>
        </w:tc>
      </w:tr>
      <w:tr w14:paraId="0008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30" w:hRule="atLeast"/>
        </w:trPr>
        <w:tc>
          <w:tcPr>
            <w:tcW w:w="1360" w:type="dxa"/>
            <w:vMerge w:val="restart"/>
            <w:shd w:val="clear" w:color="auto" w:fill="auto"/>
            <w:tcMar>
              <w:top w:w="0" w:type="dxa"/>
              <w:left w:w="105" w:type="dxa"/>
              <w:bottom w:w="0" w:type="dxa"/>
              <w:right w:w="105" w:type="dxa"/>
            </w:tcMar>
            <w:vAlign w:val="center"/>
          </w:tcPr>
          <w:p w14:paraId="7E36FDE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沟通能力（40分）</w:t>
            </w:r>
          </w:p>
        </w:tc>
        <w:tc>
          <w:tcPr>
            <w:tcW w:w="1941" w:type="dxa"/>
            <w:shd w:val="clear" w:color="auto" w:fill="auto"/>
            <w:tcMar>
              <w:top w:w="0" w:type="dxa"/>
              <w:left w:w="105" w:type="dxa"/>
              <w:bottom w:w="0" w:type="dxa"/>
              <w:right w:w="105" w:type="dxa"/>
            </w:tcMar>
            <w:vAlign w:val="center"/>
          </w:tcPr>
          <w:p w14:paraId="0EC5A03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时效性（15分）</w:t>
            </w:r>
          </w:p>
        </w:tc>
        <w:tc>
          <w:tcPr>
            <w:tcW w:w="3809" w:type="dxa"/>
            <w:shd w:val="clear" w:color="auto" w:fill="auto"/>
            <w:tcMar>
              <w:top w:w="0" w:type="dxa"/>
              <w:left w:w="105" w:type="dxa"/>
              <w:bottom w:w="0" w:type="dxa"/>
              <w:right w:w="105" w:type="dxa"/>
            </w:tcMar>
            <w:vAlign w:val="center"/>
          </w:tcPr>
          <w:p w14:paraId="07BB19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是否按照采购人约定时间，准时安排搬运车辆及人员到指定地点工作。</w:t>
            </w:r>
          </w:p>
        </w:tc>
        <w:tc>
          <w:tcPr>
            <w:tcW w:w="1777" w:type="dxa"/>
            <w:shd w:val="clear" w:color="auto" w:fill="auto"/>
            <w:tcMar>
              <w:top w:w="0" w:type="dxa"/>
              <w:left w:w="105" w:type="dxa"/>
              <w:bottom w:w="0" w:type="dxa"/>
              <w:right w:w="105" w:type="dxa"/>
            </w:tcMar>
            <w:vAlign w:val="center"/>
          </w:tcPr>
          <w:p w14:paraId="3BBDAFEC">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74C8A023">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2AC0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90" w:hRule="atLeast"/>
        </w:trPr>
        <w:tc>
          <w:tcPr>
            <w:tcW w:w="1360" w:type="dxa"/>
            <w:vMerge w:val="continue"/>
            <w:shd w:val="clear" w:color="auto" w:fill="auto"/>
            <w:tcMar>
              <w:top w:w="0" w:type="dxa"/>
              <w:left w:w="105" w:type="dxa"/>
              <w:bottom w:w="0" w:type="dxa"/>
              <w:right w:w="105" w:type="dxa"/>
            </w:tcMar>
            <w:vAlign w:val="center"/>
          </w:tcPr>
          <w:p w14:paraId="33E07CBD">
            <w:pPr>
              <w:keepNext w:val="0"/>
              <w:keepLines w:val="0"/>
              <w:pageBreakBefore w:val="0"/>
              <w:kinsoku/>
              <w:wordWrap/>
              <w:overflowPunct/>
              <w:topLinePunct w:val="0"/>
              <w:autoSpaceDE/>
              <w:autoSpaceDN/>
              <w:bidi w:val="0"/>
              <w:adjustRightInd/>
              <w:spacing w:beforeAutospacing="0" w:afterAutospacing="0" w:line="400" w:lineRule="exact"/>
              <w:jc w:val="center"/>
              <w:textAlignment w:val="auto"/>
              <w:rPr>
                <w:rFonts w:hint="eastAsia" w:ascii="仿宋" w:hAnsi="仿宋" w:eastAsia="仿宋" w:cs="仿宋"/>
                <w:color w:val="auto"/>
                <w:sz w:val="24"/>
                <w:szCs w:val="24"/>
                <w:highlight w:val="none"/>
              </w:rPr>
            </w:pPr>
          </w:p>
        </w:tc>
        <w:tc>
          <w:tcPr>
            <w:tcW w:w="1941" w:type="dxa"/>
            <w:shd w:val="clear" w:color="auto" w:fill="auto"/>
            <w:tcMar>
              <w:top w:w="0" w:type="dxa"/>
              <w:left w:w="105" w:type="dxa"/>
              <w:bottom w:w="0" w:type="dxa"/>
              <w:right w:w="105" w:type="dxa"/>
            </w:tcMar>
            <w:vAlign w:val="center"/>
          </w:tcPr>
          <w:p w14:paraId="2FFDB70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服务态度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20分）</w:t>
            </w:r>
          </w:p>
        </w:tc>
        <w:tc>
          <w:tcPr>
            <w:tcW w:w="3809" w:type="dxa"/>
            <w:shd w:val="clear" w:color="auto" w:fill="auto"/>
            <w:tcMar>
              <w:top w:w="0" w:type="dxa"/>
              <w:left w:w="105" w:type="dxa"/>
              <w:bottom w:w="0" w:type="dxa"/>
              <w:right w:w="105" w:type="dxa"/>
            </w:tcMar>
            <w:vAlign w:val="center"/>
          </w:tcPr>
          <w:p w14:paraId="7FF923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供应商项目经理、搬运人员与</w:t>
            </w:r>
            <w:r>
              <w:rPr>
                <w:rFonts w:hint="eastAsia" w:ascii="仿宋" w:hAnsi="仿宋" w:eastAsia="仿宋" w:cs="仿宋"/>
                <w:color w:val="auto"/>
                <w:sz w:val="24"/>
                <w:szCs w:val="24"/>
                <w:highlight w:val="none"/>
                <w:lang w:val="en-US" w:eastAsia="zh-CN"/>
              </w:rPr>
              <w:t>搬运</w:t>
            </w:r>
            <w:r>
              <w:rPr>
                <w:rFonts w:hint="eastAsia" w:ascii="仿宋" w:hAnsi="仿宋" w:eastAsia="仿宋" w:cs="仿宋"/>
                <w:color w:val="auto"/>
                <w:sz w:val="24"/>
                <w:szCs w:val="24"/>
                <w:highlight w:val="none"/>
              </w:rPr>
              <w:t>科室部门</w:t>
            </w:r>
            <w:r>
              <w:rPr>
                <w:rFonts w:hint="eastAsia" w:ascii="仿宋" w:hAnsi="仿宋" w:eastAsia="仿宋" w:cs="仿宋"/>
                <w:color w:val="auto"/>
                <w:sz w:val="24"/>
                <w:szCs w:val="24"/>
                <w:highlight w:val="none"/>
                <w:lang w:val="en-US" w:eastAsia="zh-CN"/>
              </w:rPr>
              <w:t>工作人员</w:t>
            </w:r>
            <w:r>
              <w:rPr>
                <w:rFonts w:hint="eastAsia" w:ascii="仿宋" w:hAnsi="仿宋" w:eastAsia="仿宋" w:cs="仿宋"/>
                <w:color w:val="auto"/>
                <w:sz w:val="24"/>
                <w:szCs w:val="24"/>
                <w:highlight w:val="none"/>
              </w:rPr>
              <w:t>沟通交流时，是否全程使用文明用语耐心交流。</w:t>
            </w:r>
          </w:p>
        </w:tc>
        <w:tc>
          <w:tcPr>
            <w:tcW w:w="1777" w:type="dxa"/>
            <w:shd w:val="clear" w:color="auto" w:fill="auto"/>
            <w:tcMar>
              <w:top w:w="0" w:type="dxa"/>
              <w:left w:w="105" w:type="dxa"/>
              <w:bottom w:w="0" w:type="dxa"/>
              <w:right w:w="105" w:type="dxa"/>
            </w:tcMar>
            <w:vAlign w:val="center"/>
          </w:tcPr>
          <w:p w14:paraId="568A1265">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19D54813">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55E1B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500" w:hRule="atLeast"/>
        </w:trPr>
        <w:tc>
          <w:tcPr>
            <w:tcW w:w="1360" w:type="dxa"/>
            <w:vMerge w:val="continue"/>
            <w:shd w:val="clear" w:color="auto" w:fill="auto"/>
            <w:tcMar>
              <w:top w:w="0" w:type="dxa"/>
              <w:left w:w="105" w:type="dxa"/>
              <w:bottom w:w="0" w:type="dxa"/>
              <w:right w:w="105" w:type="dxa"/>
            </w:tcMar>
            <w:vAlign w:val="center"/>
          </w:tcPr>
          <w:p w14:paraId="285AAE3D">
            <w:pPr>
              <w:keepNext w:val="0"/>
              <w:keepLines w:val="0"/>
              <w:pageBreakBefore w:val="0"/>
              <w:kinsoku/>
              <w:wordWrap/>
              <w:overflowPunct/>
              <w:topLinePunct w:val="0"/>
              <w:autoSpaceDE/>
              <w:autoSpaceDN/>
              <w:bidi w:val="0"/>
              <w:adjustRightInd/>
              <w:spacing w:beforeAutospacing="0" w:afterAutospacing="0" w:line="400" w:lineRule="exact"/>
              <w:jc w:val="center"/>
              <w:textAlignment w:val="auto"/>
              <w:rPr>
                <w:rFonts w:hint="eastAsia" w:ascii="仿宋" w:hAnsi="仿宋" w:eastAsia="仿宋" w:cs="仿宋"/>
                <w:color w:val="auto"/>
                <w:sz w:val="24"/>
                <w:szCs w:val="24"/>
                <w:highlight w:val="none"/>
              </w:rPr>
            </w:pPr>
          </w:p>
        </w:tc>
        <w:tc>
          <w:tcPr>
            <w:tcW w:w="1941" w:type="dxa"/>
            <w:shd w:val="clear" w:color="auto" w:fill="auto"/>
            <w:tcMar>
              <w:top w:w="0" w:type="dxa"/>
              <w:left w:w="105" w:type="dxa"/>
              <w:bottom w:w="0" w:type="dxa"/>
              <w:right w:w="105" w:type="dxa"/>
            </w:tcMar>
            <w:vAlign w:val="center"/>
          </w:tcPr>
          <w:p w14:paraId="5DAAA66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应答能力（5分）</w:t>
            </w:r>
          </w:p>
        </w:tc>
        <w:tc>
          <w:tcPr>
            <w:tcW w:w="3809" w:type="dxa"/>
            <w:shd w:val="clear" w:color="auto" w:fill="auto"/>
            <w:tcMar>
              <w:top w:w="0" w:type="dxa"/>
              <w:left w:w="105" w:type="dxa"/>
              <w:bottom w:w="0" w:type="dxa"/>
              <w:right w:w="105" w:type="dxa"/>
            </w:tcMar>
            <w:vAlign w:val="center"/>
          </w:tcPr>
          <w:p w14:paraId="6CE3CA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供应商搬运联络人是否保持手机24小时畅通，未发生1小时以上联系不到搬运公司相关人员。</w:t>
            </w:r>
          </w:p>
        </w:tc>
        <w:tc>
          <w:tcPr>
            <w:tcW w:w="1777" w:type="dxa"/>
            <w:shd w:val="clear" w:color="auto" w:fill="auto"/>
            <w:tcMar>
              <w:top w:w="0" w:type="dxa"/>
              <w:left w:w="105" w:type="dxa"/>
              <w:bottom w:w="0" w:type="dxa"/>
              <w:right w:w="105" w:type="dxa"/>
            </w:tcMar>
            <w:vAlign w:val="center"/>
          </w:tcPr>
          <w:p w14:paraId="6C7D179B">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7212F517">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4D33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45" w:hRule="atLeast"/>
        </w:trPr>
        <w:tc>
          <w:tcPr>
            <w:tcW w:w="1360" w:type="dxa"/>
            <w:vMerge w:val="restart"/>
            <w:shd w:val="clear" w:color="auto" w:fill="auto"/>
            <w:tcMar>
              <w:top w:w="0" w:type="dxa"/>
              <w:left w:w="105" w:type="dxa"/>
              <w:bottom w:w="0" w:type="dxa"/>
              <w:right w:w="105" w:type="dxa"/>
            </w:tcMar>
            <w:vAlign w:val="center"/>
          </w:tcPr>
          <w:p w14:paraId="466555D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搬运能力（40分）</w:t>
            </w:r>
          </w:p>
        </w:tc>
        <w:tc>
          <w:tcPr>
            <w:tcW w:w="1941" w:type="dxa"/>
            <w:shd w:val="clear" w:color="auto" w:fill="auto"/>
            <w:tcMar>
              <w:top w:w="0" w:type="dxa"/>
              <w:left w:w="105" w:type="dxa"/>
              <w:bottom w:w="0" w:type="dxa"/>
              <w:right w:w="105" w:type="dxa"/>
            </w:tcMar>
            <w:vAlign w:val="center"/>
          </w:tcPr>
          <w:p w14:paraId="36D02F0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装货效能（20分）</w:t>
            </w:r>
          </w:p>
        </w:tc>
        <w:tc>
          <w:tcPr>
            <w:tcW w:w="3809" w:type="dxa"/>
            <w:shd w:val="clear" w:color="auto" w:fill="auto"/>
            <w:tcMar>
              <w:top w:w="0" w:type="dxa"/>
              <w:left w:w="105" w:type="dxa"/>
              <w:bottom w:w="0" w:type="dxa"/>
              <w:right w:w="105" w:type="dxa"/>
            </w:tcMar>
            <w:vAlign w:val="center"/>
          </w:tcPr>
          <w:p w14:paraId="4860C5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搬运车辆到院时是否为全空车（搬运工具只能装在一辆车内），搬运车辆装车完出发时是否为满车状态，码货是否整齐稳固，是否最大化利用空间装车。</w:t>
            </w:r>
          </w:p>
        </w:tc>
        <w:tc>
          <w:tcPr>
            <w:tcW w:w="1777" w:type="dxa"/>
            <w:shd w:val="clear" w:color="auto" w:fill="auto"/>
            <w:tcMar>
              <w:top w:w="0" w:type="dxa"/>
              <w:left w:w="105" w:type="dxa"/>
              <w:bottom w:w="0" w:type="dxa"/>
              <w:right w:w="105" w:type="dxa"/>
            </w:tcMar>
            <w:vAlign w:val="center"/>
          </w:tcPr>
          <w:p w14:paraId="3688113B">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32AAB039">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76CDC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35" w:hRule="atLeast"/>
        </w:trPr>
        <w:tc>
          <w:tcPr>
            <w:tcW w:w="1360" w:type="dxa"/>
            <w:vMerge w:val="continue"/>
            <w:shd w:val="clear" w:color="auto" w:fill="auto"/>
            <w:tcMar>
              <w:top w:w="0" w:type="dxa"/>
              <w:left w:w="105" w:type="dxa"/>
              <w:bottom w:w="0" w:type="dxa"/>
              <w:right w:w="105" w:type="dxa"/>
            </w:tcMar>
            <w:vAlign w:val="center"/>
          </w:tcPr>
          <w:p w14:paraId="7E60252B">
            <w:pPr>
              <w:keepNext w:val="0"/>
              <w:keepLines w:val="0"/>
              <w:pageBreakBefore w:val="0"/>
              <w:kinsoku/>
              <w:wordWrap/>
              <w:overflowPunct/>
              <w:topLinePunct w:val="0"/>
              <w:autoSpaceDE/>
              <w:autoSpaceDN/>
              <w:bidi w:val="0"/>
              <w:adjustRightInd/>
              <w:spacing w:beforeAutospacing="0" w:afterAutospacing="0" w:line="400" w:lineRule="exact"/>
              <w:jc w:val="center"/>
              <w:textAlignment w:val="auto"/>
              <w:rPr>
                <w:rFonts w:hint="eastAsia" w:ascii="仿宋" w:hAnsi="仿宋" w:eastAsia="仿宋" w:cs="仿宋"/>
                <w:color w:val="auto"/>
                <w:sz w:val="24"/>
                <w:szCs w:val="24"/>
                <w:highlight w:val="none"/>
              </w:rPr>
            </w:pPr>
          </w:p>
        </w:tc>
        <w:tc>
          <w:tcPr>
            <w:tcW w:w="1941" w:type="dxa"/>
            <w:shd w:val="clear" w:color="auto" w:fill="auto"/>
            <w:tcMar>
              <w:top w:w="0" w:type="dxa"/>
              <w:left w:w="105" w:type="dxa"/>
              <w:bottom w:w="0" w:type="dxa"/>
              <w:right w:w="105" w:type="dxa"/>
            </w:tcMar>
            <w:vAlign w:val="center"/>
          </w:tcPr>
          <w:p w14:paraId="4576219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过程保护（20分）</w:t>
            </w:r>
          </w:p>
        </w:tc>
        <w:tc>
          <w:tcPr>
            <w:tcW w:w="3809" w:type="dxa"/>
            <w:shd w:val="clear" w:color="auto" w:fill="auto"/>
            <w:tcMar>
              <w:top w:w="0" w:type="dxa"/>
              <w:left w:w="105" w:type="dxa"/>
              <w:bottom w:w="0" w:type="dxa"/>
              <w:right w:w="105" w:type="dxa"/>
            </w:tcMar>
            <w:vAlign w:val="center"/>
          </w:tcPr>
          <w:p w14:paraId="788C7E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搬运</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文件、设备等物资时是否发生损坏等情况。搬运精密设备时是否做好相应保护。</w:t>
            </w:r>
          </w:p>
        </w:tc>
        <w:tc>
          <w:tcPr>
            <w:tcW w:w="1777" w:type="dxa"/>
            <w:shd w:val="clear" w:color="auto" w:fill="auto"/>
            <w:tcMar>
              <w:top w:w="0" w:type="dxa"/>
              <w:left w:w="105" w:type="dxa"/>
              <w:bottom w:w="0" w:type="dxa"/>
              <w:right w:w="105" w:type="dxa"/>
            </w:tcMar>
            <w:vAlign w:val="center"/>
          </w:tcPr>
          <w:p w14:paraId="527F012E">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70DBF9AF">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0AF3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35" w:hRule="atLeast"/>
        </w:trPr>
        <w:tc>
          <w:tcPr>
            <w:tcW w:w="1360" w:type="dxa"/>
            <w:shd w:val="clear" w:color="auto" w:fill="auto"/>
            <w:tcMar>
              <w:top w:w="0" w:type="dxa"/>
              <w:left w:w="105" w:type="dxa"/>
              <w:bottom w:w="0" w:type="dxa"/>
              <w:right w:w="105" w:type="dxa"/>
            </w:tcMar>
            <w:vAlign w:val="center"/>
          </w:tcPr>
          <w:p w14:paraId="0B22746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售后服务（20分）</w:t>
            </w:r>
          </w:p>
        </w:tc>
        <w:tc>
          <w:tcPr>
            <w:tcW w:w="1941" w:type="dxa"/>
            <w:shd w:val="clear" w:color="auto" w:fill="auto"/>
            <w:tcMar>
              <w:top w:w="0" w:type="dxa"/>
              <w:left w:w="105" w:type="dxa"/>
              <w:bottom w:w="0" w:type="dxa"/>
              <w:right w:w="105" w:type="dxa"/>
            </w:tcMar>
            <w:vAlign w:val="center"/>
          </w:tcPr>
          <w:p w14:paraId="552834C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处理科室投诉（20分）</w:t>
            </w:r>
          </w:p>
        </w:tc>
        <w:tc>
          <w:tcPr>
            <w:tcW w:w="3809" w:type="dxa"/>
            <w:shd w:val="clear" w:color="auto" w:fill="auto"/>
            <w:tcMar>
              <w:top w:w="0" w:type="dxa"/>
              <w:left w:w="105" w:type="dxa"/>
              <w:bottom w:w="0" w:type="dxa"/>
              <w:right w:w="105" w:type="dxa"/>
            </w:tcMar>
            <w:vAlign w:val="center"/>
          </w:tcPr>
          <w:p w14:paraId="2CDBF2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发生上述问题未解决或解决方案令科室部门不满意；影响临床工作的。</w:t>
            </w:r>
          </w:p>
        </w:tc>
        <w:tc>
          <w:tcPr>
            <w:tcW w:w="1777" w:type="dxa"/>
            <w:shd w:val="clear" w:color="auto" w:fill="auto"/>
            <w:tcMar>
              <w:top w:w="0" w:type="dxa"/>
              <w:left w:w="105" w:type="dxa"/>
              <w:bottom w:w="0" w:type="dxa"/>
              <w:right w:w="105" w:type="dxa"/>
            </w:tcMar>
            <w:vAlign w:val="center"/>
          </w:tcPr>
          <w:p w14:paraId="3CF7F462">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23C3E362">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1C5D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3" w:hRule="atLeast"/>
        </w:trPr>
        <w:tc>
          <w:tcPr>
            <w:tcW w:w="1360" w:type="dxa"/>
            <w:shd w:val="clear" w:color="auto" w:fill="auto"/>
            <w:tcMar>
              <w:top w:w="0" w:type="dxa"/>
              <w:left w:w="105" w:type="dxa"/>
              <w:bottom w:w="0" w:type="dxa"/>
              <w:right w:w="105" w:type="dxa"/>
            </w:tcMar>
            <w:vAlign w:val="center"/>
          </w:tcPr>
          <w:p w14:paraId="131284D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加分项（10分）</w:t>
            </w:r>
          </w:p>
        </w:tc>
        <w:tc>
          <w:tcPr>
            <w:tcW w:w="5750" w:type="dxa"/>
            <w:gridSpan w:val="2"/>
            <w:shd w:val="clear" w:color="auto" w:fill="auto"/>
            <w:tcMar>
              <w:top w:w="0" w:type="dxa"/>
              <w:left w:w="105" w:type="dxa"/>
              <w:bottom w:w="0" w:type="dxa"/>
              <w:right w:w="105" w:type="dxa"/>
            </w:tcMar>
            <w:vAlign w:val="center"/>
          </w:tcPr>
          <w:p w14:paraId="22D21B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诚信守法经营，严格管理，销售行为规范，信誉良好，在合同期内无不良记录。在此基础上，积极配合</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的管理要求和临床需要，在服务过程中提出合理化建议，提供增值服务，受到临床肯定并经后勤保障部认可，可适当予以加分，最高可加分10分。</w:t>
            </w:r>
          </w:p>
        </w:tc>
        <w:tc>
          <w:tcPr>
            <w:tcW w:w="1777" w:type="dxa"/>
            <w:shd w:val="clear" w:color="auto" w:fill="auto"/>
            <w:tcMar>
              <w:top w:w="0" w:type="dxa"/>
              <w:left w:w="105" w:type="dxa"/>
              <w:bottom w:w="0" w:type="dxa"/>
              <w:right w:w="105" w:type="dxa"/>
            </w:tcMar>
            <w:vAlign w:val="center"/>
          </w:tcPr>
          <w:p w14:paraId="65367B71">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44E924F8">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70B2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1360" w:type="dxa"/>
            <w:shd w:val="clear" w:color="auto" w:fill="auto"/>
            <w:tcMar>
              <w:top w:w="0" w:type="dxa"/>
              <w:left w:w="105" w:type="dxa"/>
              <w:bottom w:w="0" w:type="dxa"/>
              <w:right w:w="105" w:type="dxa"/>
            </w:tcMar>
            <w:vAlign w:val="center"/>
          </w:tcPr>
          <w:p w14:paraId="58A399A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总分</w:t>
            </w:r>
          </w:p>
        </w:tc>
        <w:tc>
          <w:tcPr>
            <w:tcW w:w="5750" w:type="dxa"/>
            <w:gridSpan w:val="2"/>
            <w:shd w:val="clear" w:color="auto" w:fill="auto"/>
            <w:tcMar>
              <w:top w:w="0" w:type="dxa"/>
              <w:left w:w="105" w:type="dxa"/>
              <w:bottom w:w="0" w:type="dxa"/>
              <w:right w:w="105" w:type="dxa"/>
            </w:tcMar>
            <w:vAlign w:val="center"/>
          </w:tcPr>
          <w:p w14:paraId="3CD910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总分=“沟通能力”得分+“搬运能力”得分+“售后服务”得分+“加分项”得分</w:t>
            </w:r>
          </w:p>
        </w:tc>
        <w:tc>
          <w:tcPr>
            <w:tcW w:w="1777" w:type="dxa"/>
            <w:shd w:val="clear" w:color="auto" w:fill="auto"/>
            <w:tcMar>
              <w:top w:w="0" w:type="dxa"/>
              <w:left w:w="105" w:type="dxa"/>
              <w:bottom w:w="0" w:type="dxa"/>
              <w:right w:w="105" w:type="dxa"/>
            </w:tcMar>
            <w:vAlign w:val="center"/>
          </w:tcPr>
          <w:p w14:paraId="4ABA36C5">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6DF79E1A">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1A85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1360" w:type="dxa"/>
            <w:shd w:val="clear" w:color="auto" w:fill="auto"/>
            <w:tcMar>
              <w:top w:w="0" w:type="dxa"/>
              <w:left w:w="105" w:type="dxa"/>
              <w:bottom w:w="0" w:type="dxa"/>
              <w:right w:w="105" w:type="dxa"/>
            </w:tcMar>
            <w:vAlign w:val="center"/>
          </w:tcPr>
          <w:p w14:paraId="3A0BE5F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评价结果</w:t>
            </w:r>
          </w:p>
        </w:tc>
        <w:tc>
          <w:tcPr>
            <w:tcW w:w="5750" w:type="dxa"/>
            <w:gridSpan w:val="2"/>
            <w:shd w:val="clear" w:color="auto" w:fill="auto"/>
            <w:tcMar>
              <w:top w:w="0" w:type="dxa"/>
              <w:left w:w="105" w:type="dxa"/>
              <w:bottom w:w="0" w:type="dxa"/>
              <w:right w:w="105" w:type="dxa"/>
            </w:tcMar>
            <w:vAlign w:val="center"/>
          </w:tcPr>
          <w:p w14:paraId="594C8F8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不合格□</w:t>
            </w:r>
          </w:p>
          <w:p w14:paraId="6B5AB07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90分（含）以上为合格，90分以下为不合格。</w:t>
            </w:r>
          </w:p>
        </w:tc>
        <w:tc>
          <w:tcPr>
            <w:tcW w:w="1777" w:type="dxa"/>
            <w:shd w:val="clear" w:color="auto" w:fill="auto"/>
            <w:tcMar>
              <w:top w:w="0" w:type="dxa"/>
              <w:left w:w="105" w:type="dxa"/>
              <w:bottom w:w="0" w:type="dxa"/>
              <w:right w:w="105" w:type="dxa"/>
            </w:tcMar>
            <w:vAlign w:val="center"/>
          </w:tcPr>
          <w:p w14:paraId="2DD2B867">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5FF7DF62">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5D6E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90" w:hRule="atLeast"/>
        </w:trPr>
        <w:tc>
          <w:tcPr>
            <w:tcW w:w="1360" w:type="dxa"/>
            <w:shd w:val="clear" w:color="auto" w:fill="auto"/>
            <w:tcMar>
              <w:top w:w="0" w:type="dxa"/>
              <w:left w:w="105" w:type="dxa"/>
              <w:bottom w:w="0" w:type="dxa"/>
              <w:right w:w="105" w:type="dxa"/>
            </w:tcMar>
            <w:vAlign w:val="center"/>
          </w:tcPr>
          <w:p w14:paraId="2DF5FEF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评价结果应用</w:t>
            </w:r>
          </w:p>
        </w:tc>
        <w:tc>
          <w:tcPr>
            <w:tcW w:w="5750" w:type="dxa"/>
            <w:gridSpan w:val="2"/>
            <w:shd w:val="clear" w:color="auto" w:fill="auto"/>
            <w:tcMar>
              <w:top w:w="0" w:type="dxa"/>
              <w:left w:w="105" w:type="dxa"/>
              <w:bottom w:w="0" w:type="dxa"/>
              <w:right w:w="105" w:type="dxa"/>
            </w:tcMar>
            <w:vAlign w:val="center"/>
          </w:tcPr>
          <w:p w14:paraId="483853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每三个月</w:t>
            </w:r>
            <w:r>
              <w:rPr>
                <w:rFonts w:hint="eastAsia" w:ascii="仿宋" w:hAnsi="仿宋" w:eastAsia="仿宋" w:cs="仿宋"/>
                <w:color w:val="auto"/>
                <w:sz w:val="24"/>
                <w:szCs w:val="24"/>
                <w:highlight w:val="none"/>
              </w:rPr>
              <w:t>对搬运服务进行评价，考核结果为合格采购人按照合同约定向供应商支付请款款额，若考核结果为不合格则扣除当</w:t>
            </w:r>
            <w:r>
              <w:rPr>
                <w:rFonts w:hint="eastAsia" w:ascii="仿宋" w:hAnsi="仿宋" w:eastAsia="仿宋" w:cs="仿宋"/>
                <w:color w:val="auto"/>
                <w:sz w:val="24"/>
                <w:szCs w:val="24"/>
                <w:highlight w:val="none"/>
                <w:lang w:val="en-US" w:eastAsia="zh-CN"/>
              </w:rPr>
              <w:t>期</w:t>
            </w:r>
            <w:r>
              <w:rPr>
                <w:rFonts w:hint="eastAsia" w:ascii="仿宋" w:hAnsi="仿宋" w:eastAsia="仿宋" w:cs="仿宋"/>
                <w:color w:val="auto"/>
                <w:sz w:val="24"/>
                <w:szCs w:val="24"/>
                <w:highlight w:val="none"/>
              </w:rPr>
              <w:t>搬运款项的百分之</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十。</w:t>
            </w:r>
          </w:p>
          <w:p w14:paraId="4A7B4A3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合同期届满时</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归口管理部门进行一次年度汇总考核，合同期内考核结果为：合同期内，服务评价结果不合格＜3次，判定为年度供应商服务评价满意，评价结果不合格次数≥3次，判定为年度供应商服务评价不满意。</w:t>
            </w:r>
          </w:p>
          <w:p w14:paraId="6988AE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若年度考核评价为满意，合同期满后双方可正常续签合同；若评价为不满意，合同期满后采购人有权不再续签合同，且不承担任何责任。</w:t>
            </w:r>
          </w:p>
        </w:tc>
        <w:tc>
          <w:tcPr>
            <w:tcW w:w="1777" w:type="dxa"/>
            <w:shd w:val="clear" w:color="auto" w:fill="auto"/>
            <w:tcMar>
              <w:top w:w="0" w:type="dxa"/>
              <w:left w:w="105" w:type="dxa"/>
              <w:bottom w:w="0" w:type="dxa"/>
              <w:right w:w="105" w:type="dxa"/>
            </w:tcMar>
            <w:vAlign w:val="center"/>
          </w:tcPr>
          <w:p w14:paraId="1A736054">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c>
          <w:tcPr>
            <w:tcW w:w="1069" w:type="dxa"/>
            <w:shd w:val="clear" w:color="auto" w:fill="auto"/>
            <w:tcMar>
              <w:top w:w="0" w:type="dxa"/>
              <w:left w:w="105" w:type="dxa"/>
              <w:bottom w:w="0" w:type="dxa"/>
              <w:right w:w="105" w:type="dxa"/>
            </w:tcMar>
            <w:vAlign w:val="center"/>
          </w:tcPr>
          <w:p w14:paraId="58D95FCC">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center"/>
              <w:textAlignment w:val="auto"/>
              <w:rPr>
                <w:rFonts w:hint="eastAsia" w:ascii="仿宋" w:hAnsi="仿宋" w:eastAsia="仿宋" w:cs="仿宋"/>
                <w:color w:val="auto"/>
                <w:sz w:val="24"/>
                <w:szCs w:val="24"/>
                <w:highlight w:val="none"/>
              </w:rPr>
            </w:pPr>
          </w:p>
        </w:tc>
      </w:tr>
      <w:tr w14:paraId="604E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7110" w:type="dxa"/>
            <w:gridSpan w:val="3"/>
            <w:shd w:val="clear" w:color="auto" w:fill="auto"/>
            <w:tcMar>
              <w:top w:w="0" w:type="dxa"/>
              <w:left w:w="105" w:type="dxa"/>
              <w:bottom w:w="0" w:type="dxa"/>
              <w:right w:w="105" w:type="dxa"/>
            </w:tcMar>
            <w:vAlign w:val="center"/>
          </w:tcPr>
          <w:p w14:paraId="2A53CD5B">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部门经办人、负责人（签字）</w:t>
            </w:r>
            <w:r>
              <w:rPr>
                <w:rFonts w:hint="eastAsia" w:ascii="仿宋" w:hAnsi="仿宋" w:eastAsia="仿宋" w:cs="仿宋"/>
                <w:color w:val="auto"/>
                <w:sz w:val="24"/>
                <w:szCs w:val="24"/>
                <w:highlight w:val="none"/>
                <w:lang w:eastAsia="zh-CN"/>
              </w:rPr>
              <w:t>：</w:t>
            </w:r>
          </w:p>
        </w:tc>
        <w:tc>
          <w:tcPr>
            <w:tcW w:w="2846" w:type="dxa"/>
            <w:gridSpan w:val="2"/>
            <w:shd w:val="clear" w:color="auto" w:fill="auto"/>
            <w:tcMar>
              <w:top w:w="0" w:type="dxa"/>
              <w:left w:w="105" w:type="dxa"/>
              <w:bottom w:w="0" w:type="dxa"/>
              <w:right w:w="105" w:type="dxa"/>
            </w:tcMar>
            <w:vAlign w:val="center"/>
          </w:tcPr>
          <w:p w14:paraId="69D24486">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eastAsia="zh-CN"/>
              </w:rPr>
              <w:t>：</w:t>
            </w:r>
          </w:p>
        </w:tc>
      </w:tr>
    </w:tbl>
    <w:p w14:paraId="4B0EBCFC">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五、其他要求</w:t>
      </w:r>
    </w:p>
    <w:p w14:paraId="5C5169C7">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1.供应商提供自2023年1月1日（含）至响应文件递交截止之日类似项目业绩（类似项目是指搬运服务项目），提供合同复印件并加盖供应商公章。</w:t>
      </w:r>
    </w:p>
    <w:p w14:paraId="6914A9F6">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2.供应商在满足本项目要求的厢式货车的基础上，为本项目额外配备的厢式货车（自有或租赁）。</w:t>
      </w:r>
    </w:p>
    <w:p w14:paraId="13EBFAC7">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3.供应商在满足本项目要求的搬运人员的基础上，为本项目额外配备的搬运人员。</w:t>
      </w:r>
    </w:p>
    <w:p w14:paraId="0005718F">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针对本项目提供项目实施方案，包括：①搬运服务计划与组织；②搬运对象及现场保护方案；③搬运实施方案；④搬运时效性的保障措施；⑤团队人员责任划分及管理措施；⑥搬运设备投入清单与调配方案。</w:t>
      </w:r>
    </w:p>
    <w:p w14:paraId="7FF94A33">
      <w:pPr>
        <w:pStyle w:val="16"/>
        <w:keepNext w:val="0"/>
        <w:keepLines w:val="0"/>
        <w:pageBreakBefore w:val="0"/>
        <w:widowControl w:val="0"/>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5.供应商针对本项目提供应急处理方案，包括：①应急人员配置方案；②安全保障措施；③特殊天气、自然灾害应急措施。</w:t>
      </w:r>
    </w:p>
    <w:p w14:paraId="43C09AB3">
      <w:pPr>
        <w:pStyle w:val="16"/>
        <w:keepNext w:val="0"/>
        <w:keepLines w:val="0"/>
        <w:pageBreakBefore w:val="0"/>
        <w:kinsoku/>
        <w:wordWrap/>
        <w:overflowPunct/>
        <w:topLinePunct w:val="0"/>
        <w:autoSpaceDE/>
        <w:autoSpaceDN/>
        <w:bidi w:val="0"/>
        <w:adjustRightInd/>
        <w:spacing w:before="0" w:after="0" w:line="400" w:lineRule="exact"/>
        <w:ind w:firstLine="0"/>
        <w:rPr>
          <w:rFonts w:hint="eastAsia" w:ascii="仿宋" w:hAnsi="仿宋" w:eastAsia="仿宋" w:cs="仿宋"/>
          <w:color w:val="auto"/>
          <w:sz w:val="24"/>
          <w:szCs w:val="24"/>
          <w:highlight w:val="none"/>
        </w:rPr>
      </w:pPr>
    </w:p>
    <w:p w14:paraId="44EFDD0D">
      <w:pPr>
        <w:pStyle w:val="16"/>
        <w:keepNext w:val="0"/>
        <w:keepLines w:val="0"/>
        <w:pageBreakBefore w:val="0"/>
        <w:kinsoku/>
        <w:wordWrap/>
        <w:overflowPunct/>
        <w:topLinePunct w:val="0"/>
        <w:autoSpaceDE/>
        <w:autoSpaceDN/>
        <w:bidi w:val="0"/>
        <w:adjustRightInd/>
        <w:spacing w:before="0" w:after="0" w:line="400" w:lineRule="exact"/>
        <w:ind w:firstLine="0"/>
        <w:rPr>
          <w:rFonts w:hint="eastAsia" w:ascii="仿宋" w:hAnsi="仿宋" w:eastAsia="仿宋" w:cs="仿宋"/>
          <w:color w:val="auto"/>
          <w:sz w:val="24"/>
          <w:szCs w:val="24"/>
          <w:highlight w:val="none"/>
        </w:rPr>
      </w:pPr>
    </w:p>
    <w:p w14:paraId="4A6A2942">
      <w:pPr>
        <w:pStyle w:val="16"/>
        <w:keepNext w:val="0"/>
        <w:keepLines w:val="0"/>
        <w:pageBreakBefore w:val="0"/>
        <w:kinsoku/>
        <w:wordWrap/>
        <w:overflowPunct/>
        <w:topLinePunct w:val="0"/>
        <w:autoSpaceDE/>
        <w:autoSpaceDN/>
        <w:bidi w:val="0"/>
        <w:adjustRightInd/>
        <w:spacing w:before="0" w:after="0" w:line="400" w:lineRule="exact"/>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注：本章中带“</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499"/>
        <w:gridCol w:w="1236"/>
        <w:gridCol w:w="3772"/>
        <w:gridCol w:w="2367"/>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499"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236"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3772"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367"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6F7F373C">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499" w:type="dxa"/>
            <w:tcBorders>
              <w:top w:val="single" w:color="auto" w:sz="4" w:space="0"/>
              <w:left w:val="single" w:color="auto" w:sz="4" w:space="0"/>
              <w:bottom w:val="single" w:color="auto" w:sz="4" w:space="0"/>
              <w:right w:val="single" w:color="auto" w:sz="4" w:space="0"/>
            </w:tcBorders>
            <w:vAlign w:val="center"/>
          </w:tcPr>
          <w:p w14:paraId="7E76E211">
            <w:pPr>
              <w:ind w:firstLine="28"/>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rPr>
              <w:t>报价</w:t>
            </w:r>
          </w:p>
        </w:tc>
        <w:tc>
          <w:tcPr>
            <w:tcW w:w="1236" w:type="dxa"/>
            <w:tcBorders>
              <w:top w:val="single" w:color="auto" w:sz="4" w:space="0"/>
              <w:left w:val="single" w:color="auto" w:sz="4" w:space="0"/>
              <w:bottom w:val="single" w:color="auto" w:sz="4" w:space="0"/>
              <w:right w:val="single" w:color="auto" w:sz="4" w:space="0"/>
            </w:tcBorders>
            <w:vAlign w:val="center"/>
          </w:tcPr>
          <w:p w14:paraId="31CBAE52">
            <w:pPr>
              <w:ind w:firstLine="28"/>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lang w:val="en-US" w:eastAsia="zh-CN"/>
              </w:rPr>
              <w:t>10</w:t>
            </w:r>
            <w:r>
              <w:rPr>
                <w:rFonts w:ascii="Times New Roman" w:hAnsi="Times New Roman" w:eastAsia="仿宋" w:cs="Times New Roman"/>
                <w:bCs/>
                <w:sz w:val="24"/>
                <w:szCs w:val="24"/>
              </w:rPr>
              <w:t>分</w:t>
            </w:r>
          </w:p>
        </w:tc>
        <w:tc>
          <w:tcPr>
            <w:tcW w:w="3772"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以本次有效的最低响应报价（1-最大下浮率）为基准价，其价格分为满分。其他供应商的报价得分=【基准价／（1-下浮率）】×</w:t>
            </w: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0分。</w:t>
            </w:r>
          </w:p>
        </w:tc>
        <w:tc>
          <w:tcPr>
            <w:tcW w:w="2367" w:type="dxa"/>
            <w:tcBorders>
              <w:top w:val="single" w:color="auto" w:sz="4" w:space="0"/>
              <w:left w:val="single" w:color="auto" w:sz="4" w:space="0"/>
              <w:bottom w:val="single" w:color="auto" w:sz="4" w:space="0"/>
              <w:right w:val="single" w:color="auto" w:sz="4" w:space="0"/>
            </w:tcBorders>
            <w:vAlign w:val="center"/>
          </w:tcPr>
          <w:p w14:paraId="79198450">
            <w:pPr>
              <w:jc w:val="center"/>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right w:val="single" w:color="auto" w:sz="4" w:space="0"/>
            </w:tcBorders>
            <w:vAlign w:val="center"/>
          </w:tcPr>
          <w:p w14:paraId="0E0DA849">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499" w:type="dxa"/>
            <w:tcBorders>
              <w:top w:val="single" w:color="auto" w:sz="4" w:space="0"/>
              <w:left w:val="single" w:color="auto" w:sz="4" w:space="0"/>
              <w:right w:val="single" w:color="auto" w:sz="4" w:space="0"/>
            </w:tcBorders>
            <w:vAlign w:val="center"/>
          </w:tcPr>
          <w:p w14:paraId="3CFDA421">
            <w:pPr>
              <w:ind w:left="526" w:hanging="525" w:hangingChars="219"/>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rPr>
              <w:t>业绩</w:t>
            </w:r>
          </w:p>
        </w:tc>
        <w:tc>
          <w:tcPr>
            <w:tcW w:w="1236" w:type="dxa"/>
            <w:tcBorders>
              <w:top w:val="single" w:color="auto" w:sz="4" w:space="0"/>
              <w:left w:val="single" w:color="auto" w:sz="4" w:space="0"/>
              <w:bottom w:val="single" w:color="auto" w:sz="4" w:space="0"/>
              <w:right w:val="single" w:color="auto" w:sz="4" w:space="0"/>
            </w:tcBorders>
            <w:vAlign w:val="center"/>
          </w:tcPr>
          <w:p w14:paraId="698E54E3">
            <w:pPr>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45</w:t>
            </w:r>
            <w:r>
              <w:rPr>
                <w:rFonts w:ascii="Times New Roman" w:hAnsi="Times New Roman" w:eastAsia="仿宋" w:cs="Times New Roman"/>
                <w:bCs/>
                <w:sz w:val="24"/>
                <w:szCs w:val="24"/>
              </w:rPr>
              <w:t>分</w:t>
            </w:r>
          </w:p>
        </w:tc>
        <w:tc>
          <w:tcPr>
            <w:tcW w:w="3772"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rPr>
              <w:t>供应商自2023年1月1日（含）至响应文件递交截止之日，每具有1个类似项目业绩（类似项目是指搬运服务项目）得5分。本项最高得</w:t>
            </w: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rPr>
              <w:t>5分。</w:t>
            </w:r>
          </w:p>
        </w:tc>
        <w:tc>
          <w:tcPr>
            <w:tcW w:w="2367" w:type="dxa"/>
            <w:tcBorders>
              <w:top w:val="single" w:color="auto" w:sz="4" w:space="0"/>
              <w:left w:val="single" w:color="auto" w:sz="4" w:space="0"/>
              <w:bottom w:val="single" w:color="auto" w:sz="4" w:space="0"/>
              <w:right w:val="single" w:color="auto" w:sz="4" w:space="0"/>
            </w:tcBorders>
            <w:vAlign w:val="center"/>
          </w:tcPr>
          <w:p w14:paraId="1260EA4B">
            <w:pPr>
              <w:jc w:val="center"/>
              <w:rPr>
                <w:rFonts w:ascii="Times New Roman" w:hAnsi="Times New Roman" w:eastAsia="仿宋" w:cs="Times New Roman"/>
                <w:sz w:val="24"/>
                <w:szCs w:val="24"/>
              </w:rPr>
            </w:pPr>
            <w:r>
              <w:rPr>
                <w:rFonts w:hint="eastAsia" w:ascii="Times New Roman" w:hAnsi="Times New Roman" w:eastAsia="仿宋" w:cs="Times New Roman"/>
                <w:sz w:val="24"/>
                <w:szCs w:val="24"/>
              </w:rPr>
              <w:t>提供合同复印件并加盖供应商公章</w:t>
            </w:r>
            <w:r>
              <w:rPr>
                <w:rFonts w:hint="eastAsia" w:ascii="Times New Roman" w:hAnsi="Times New Roman" w:eastAsia="仿宋" w:cs="Times New Roman"/>
                <w:sz w:val="24"/>
                <w:szCs w:val="24"/>
                <w:lang w:eastAsia="zh-CN"/>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left w:val="single" w:color="auto" w:sz="4" w:space="0"/>
              <w:bottom w:val="single" w:color="auto" w:sz="4" w:space="0"/>
              <w:right w:val="single" w:color="auto" w:sz="4" w:space="0"/>
            </w:tcBorders>
            <w:vAlign w:val="center"/>
          </w:tcPr>
          <w:p w14:paraId="12E402E8">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499"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bCs/>
                <w:sz w:val="24"/>
                <w:szCs w:val="24"/>
              </w:rPr>
              <w:t>供应商综合实力</w:t>
            </w:r>
          </w:p>
        </w:tc>
        <w:tc>
          <w:tcPr>
            <w:tcW w:w="1236" w:type="dxa"/>
            <w:tcBorders>
              <w:top w:val="single" w:color="auto" w:sz="4" w:space="0"/>
              <w:left w:val="single" w:color="auto" w:sz="4" w:space="0"/>
              <w:bottom w:val="single" w:color="auto" w:sz="4" w:space="0"/>
              <w:right w:val="single" w:color="auto" w:sz="4" w:space="0"/>
            </w:tcBorders>
            <w:vAlign w:val="center"/>
          </w:tcPr>
          <w:p w14:paraId="2FE50D66">
            <w:pPr>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30</w:t>
            </w:r>
            <w:r>
              <w:rPr>
                <w:rFonts w:ascii="Times New Roman" w:hAnsi="Times New Roman" w:eastAsia="仿宋" w:cs="Times New Roman"/>
                <w:bCs/>
                <w:sz w:val="24"/>
                <w:szCs w:val="24"/>
              </w:rPr>
              <w:t>分</w:t>
            </w:r>
          </w:p>
        </w:tc>
        <w:tc>
          <w:tcPr>
            <w:tcW w:w="3772" w:type="dxa"/>
            <w:tcBorders>
              <w:top w:val="single" w:color="auto" w:sz="4" w:space="0"/>
              <w:left w:val="single" w:color="auto" w:sz="4" w:space="0"/>
              <w:bottom w:val="single" w:color="auto" w:sz="4" w:space="0"/>
              <w:right w:val="single" w:color="auto" w:sz="4" w:space="0"/>
            </w:tcBorders>
            <w:vAlign w:val="center"/>
          </w:tcPr>
          <w:p w14:paraId="6666D5C2">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1.供应商在满足本项目要求的厢式货车</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5</w:t>
            </w:r>
            <w:r>
              <w:rPr>
                <w:rFonts w:hint="eastAsia" w:ascii="Times New Roman" w:hAnsi="Times New Roman" w:eastAsia="仿宋" w:cs="Times New Roman"/>
                <w:sz w:val="24"/>
                <w:szCs w:val="24"/>
                <w:highlight w:val="none"/>
              </w:rPr>
              <w:t>辆）</w:t>
            </w:r>
            <w:r>
              <w:rPr>
                <w:rFonts w:hint="eastAsia" w:ascii="Times New Roman" w:hAnsi="Times New Roman" w:eastAsia="仿宋" w:cs="Times New Roman"/>
                <w:sz w:val="24"/>
                <w:szCs w:val="24"/>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rPr>
              <w:t>配备的厢式货车</w:t>
            </w:r>
            <w:r>
              <w:rPr>
                <w:rFonts w:hint="eastAsia" w:ascii="Times New Roman" w:hAnsi="Times New Roman" w:eastAsia="仿宋" w:cs="Times New Roman"/>
                <w:sz w:val="24"/>
                <w:szCs w:val="24"/>
                <w:highlight w:val="none"/>
              </w:rPr>
              <w:t>（自有或租赁）</w:t>
            </w:r>
            <w:r>
              <w:rPr>
                <w:rFonts w:hint="eastAsia" w:ascii="Times New Roman" w:hAnsi="Times New Roman" w:eastAsia="仿宋" w:cs="Times New Roman"/>
                <w:sz w:val="24"/>
                <w:szCs w:val="24"/>
              </w:rPr>
              <w:t>，每增加1辆得</w:t>
            </w: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rPr>
              <w:t>分，本项最多得1</w:t>
            </w: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分。</w:t>
            </w:r>
          </w:p>
          <w:p w14:paraId="013FD707">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2.</w:t>
            </w:r>
            <w:r>
              <w:rPr>
                <w:rFonts w:hint="eastAsia" w:ascii="Times New Roman" w:hAnsi="Times New Roman" w:eastAsia="仿宋" w:cs="Times New Roman"/>
                <w:sz w:val="24"/>
                <w:szCs w:val="24"/>
                <w:highlight w:val="none"/>
              </w:rPr>
              <w:t>供应商在满足本项目要求的搬运人员（</w:t>
            </w:r>
            <w:r>
              <w:rPr>
                <w:rFonts w:hint="eastAsia" w:ascii="Times New Roman" w:hAnsi="Times New Roman" w:eastAsia="仿宋" w:cs="Times New Roman"/>
                <w:sz w:val="24"/>
                <w:szCs w:val="24"/>
                <w:highlight w:val="none"/>
                <w:lang w:val="en-US" w:eastAsia="zh-CN"/>
              </w:rPr>
              <w:t>10名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配备的搬运人员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1.5</w:t>
            </w:r>
            <w:r>
              <w:rPr>
                <w:rFonts w:hint="eastAsia" w:ascii="Times New Roman" w:hAnsi="Times New Roman" w:eastAsia="仿宋" w:cs="Times New Roman"/>
                <w:sz w:val="24"/>
                <w:szCs w:val="24"/>
              </w:rPr>
              <w:t>分，本项最多得1</w:t>
            </w: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分。</w:t>
            </w:r>
          </w:p>
        </w:tc>
        <w:tc>
          <w:tcPr>
            <w:tcW w:w="2367" w:type="dxa"/>
            <w:tcBorders>
              <w:top w:val="single" w:color="auto" w:sz="4" w:space="0"/>
              <w:left w:val="single" w:color="auto" w:sz="4" w:space="0"/>
              <w:bottom w:val="single" w:color="auto" w:sz="4" w:space="0"/>
              <w:right w:val="single" w:color="auto" w:sz="4" w:space="0"/>
            </w:tcBorders>
            <w:vAlign w:val="center"/>
          </w:tcPr>
          <w:p w14:paraId="0928DA46">
            <w:pPr>
              <w:jc w:val="center"/>
              <w:rPr>
                <w:rFonts w:ascii="Times New Roman" w:hAnsi="Times New Roman" w:eastAsia="仿宋" w:cs="Times New Roman"/>
                <w:sz w:val="24"/>
                <w:szCs w:val="24"/>
              </w:rPr>
            </w:pP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left w:val="single" w:color="auto" w:sz="4" w:space="0"/>
              <w:bottom w:val="single" w:color="auto" w:sz="4" w:space="0"/>
              <w:right w:val="single" w:color="auto" w:sz="4" w:space="0"/>
            </w:tcBorders>
            <w:vAlign w:val="center"/>
          </w:tcPr>
          <w:p w14:paraId="63961D6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499" w:type="dxa"/>
            <w:tcBorders>
              <w:left w:val="single" w:color="auto" w:sz="4" w:space="0"/>
              <w:bottom w:val="single" w:color="auto" w:sz="4" w:space="0"/>
              <w:right w:val="single" w:color="auto" w:sz="4" w:space="0"/>
            </w:tcBorders>
            <w:vAlign w:val="center"/>
          </w:tcPr>
          <w:p w14:paraId="10F284C9">
            <w:pPr>
              <w:ind w:firstLine="28"/>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rPr>
              <w:t>项目实施方案</w:t>
            </w:r>
          </w:p>
        </w:tc>
        <w:tc>
          <w:tcPr>
            <w:tcW w:w="1236" w:type="dxa"/>
            <w:tcBorders>
              <w:top w:val="single" w:color="auto" w:sz="4" w:space="0"/>
              <w:left w:val="single" w:color="auto" w:sz="4" w:space="0"/>
              <w:bottom w:val="single" w:color="auto" w:sz="4" w:space="0"/>
              <w:right w:val="single" w:color="auto" w:sz="4" w:space="0"/>
            </w:tcBorders>
            <w:vAlign w:val="center"/>
          </w:tcPr>
          <w:p w14:paraId="42DCC55F">
            <w:pPr>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12</w:t>
            </w:r>
            <w:r>
              <w:rPr>
                <w:rFonts w:ascii="Times New Roman" w:hAnsi="Times New Roman" w:eastAsia="仿宋" w:cs="Times New Roman"/>
                <w:bCs/>
                <w:sz w:val="24"/>
                <w:szCs w:val="24"/>
              </w:rPr>
              <w:t>分</w:t>
            </w:r>
          </w:p>
        </w:tc>
        <w:tc>
          <w:tcPr>
            <w:tcW w:w="3772" w:type="dxa"/>
            <w:tcBorders>
              <w:top w:val="single" w:color="auto" w:sz="4" w:space="0"/>
              <w:left w:val="single" w:color="auto" w:sz="4" w:space="0"/>
              <w:bottom w:val="single" w:color="auto" w:sz="4" w:space="0"/>
              <w:right w:val="single" w:color="auto" w:sz="4" w:space="0"/>
            </w:tcBorders>
            <w:vAlign w:val="center"/>
          </w:tcPr>
          <w:p w14:paraId="7FD19E1F">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供应商针对本项目提供项目实施方案，包括：①搬运服务计划与组织；②搬运对象及现场保护方案；③搬运实施方案；④搬运时效性的保障措施；⑤团队人员责任划分及管理措施；⑥搬运设备投入清单与调配方案。涵盖以上内容且不存在缺陷得12分，在此基础上，每缺少一项内容扣2分，每有一处内容存在缺陷扣1分，扣完为止。</w:t>
            </w:r>
          </w:p>
          <w:p w14:paraId="2A8CA9C0">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vAlign w:val="center"/>
          </w:tcPr>
          <w:p w14:paraId="7158F53A">
            <w:pPr>
              <w:jc w:val="center"/>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E62D6EC">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499" w:type="dxa"/>
            <w:tcBorders>
              <w:top w:val="single" w:color="auto" w:sz="4" w:space="0"/>
              <w:left w:val="single" w:color="auto" w:sz="4" w:space="0"/>
              <w:bottom w:val="single" w:color="auto" w:sz="4" w:space="0"/>
              <w:right w:val="single" w:color="auto" w:sz="4" w:space="0"/>
            </w:tcBorders>
            <w:vAlign w:val="center"/>
          </w:tcPr>
          <w:p w14:paraId="50DBF0ED">
            <w:pPr>
              <w:ind w:firstLine="28"/>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rPr>
              <w:t>应急处理方案</w:t>
            </w:r>
          </w:p>
        </w:tc>
        <w:tc>
          <w:tcPr>
            <w:tcW w:w="1236" w:type="dxa"/>
            <w:tcBorders>
              <w:top w:val="single" w:color="auto" w:sz="4" w:space="0"/>
              <w:left w:val="single" w:color="auto" w:sz="4" w:space="0"/>
              <w:bottom w:val="single" w:color="auto" w:sz="4" w:space="0"/>
              <w:right w:val="single" w:color="auto" w:sz="4" w:space="0"/>
            </w:tcBorders>
            <w:vAlign w:val="center"/>
          </w:tcPr>
          <w:p w14:paraId="20B6A218">
            <w:pPr>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w:t>
            </w:r>
            <w:r>
              <w:rPr>
                <w:rFonts w:ascii="Times New Roman" w:hAnsi="Times New Roman" w:eastAsia="仿宋" w:cs="Times New Roman"/>
                <w:bCs/>
                <w:sz w:val="24"/>
                <w:szCs w:val="24"/>
              </w:rPr>
              <w:t>分</w:t>
            </w:r>
          </w:p>
        </w:tc>
        <w:tc>
          <w:tcPr>
            <w:tcW w:w="3772" w:type="dxa"/>
            <w:tcBorders>
              <w:top w:val="single" w:color="auto" w:sz="4" w:space="0"/>
              <w:left w:val="single" w:color="auto" w:sz="4" w:space="0"/>
              <w:bottom w:val="single" w:color="auto" w:sz="4" w:space="0"/>
              <w:right w:val="single" w:color="auto" w:sz="4" w:space="0"/>
            </w:tcBorders>
            <w:vAlign w:val="center"/>
          </w:tcPr>
          <w:p w14:paraId="2F058973">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供应商针对本项目提供应急处理方案，包括：①应急人员配置方案；②安全保障措施；③特殊天气、自然灾害应急措施。涵盖以上内容且不存在缺陷得3分，在此基础上，每缺少一项内容扣1分，每有一处内容存在缺陷扣0.5分，扣完为止。</w:t>
            </w:r>
          </w:p>
          <w:p w14:paraId="19753F13">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vAlign w:val="center"/>
          </w:tcPr>
          <w:p w14:paraId="420172E6">
            <w:pPr>
              <w:jc w:val="center"/>
              <w:rPr>
                <w:rFonts w:ascii="Times New Roman" w:hAnsi="Times New Roman" w:eastAsia="仿宋" w:cs="Times New Roman"/>
                <w:sz w:val="24"/>
                <w:szCs w:val="24"/>
              </w:rPr>
            </w:pPr>
          </w:p>
        </w:tc>
      </w:tr>
    </w:tbl>
    <w:p w14:paraId="1E53B04C">
      <w:pPr>
        <w:pStyle w:val="16"/>
        <w:ind w:firstLine="0"/>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7233"/>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11352"/>
      <w:bookmarkStart w:id="50" w:name="_Toc16029"/>
      <w:bookmarkStart w:id="51" w:name="_Toc6482"/>
      <w:bookmarkStart w:id="52" w:name="_Toc14829"/>
      <w:bookmarkStart w:id="53"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22676"/>
      <w:bookmarkStart w:id="56" w:name="_Toc30971"/>
      <w:bookmarkStart w:id="57" w:name="_Toc4305"/>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12015"/>
      <w:bookmarkStart w:id="69" w:name="_Toc15526"/>
      <w:bookmarkStart w:id="70" w:name="_Toc20589"/>
      <w:bookmarkStart w:id="71" w:name="_Toc25638"/>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12967"/>
      <w:bookmarkStart w:id="75" w:name="_Toc1074"/>
      <w:bookmarkStart w:id="76" w:name="_Toc2041"/>
      <w:bookmarkStart w:id="77" w:name="_Toc26969"/>
      <w:bookmarkStart w:id="78" w:name="_Toc23967"/>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1369"/>
      <w:bookmarkStart w:id="81" w:name="_Toc21082"/>
      <w:bookmarkStart w:id="82" w:name="_Toc24806"/>
      <w:bookmarkStart w:id="83" w:name="_Toc26839"/>
      <w:bookmarkStart w:id="84" w:name="_Toc31686"/>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1483D64D">
      <w:pPr>
        <w:pStyle w:val="3"/>
        <w:ind w:firstLine="0"/>
      </w:pPr>
      <w:bookmarkStart w:id="88" w:name="_Toc15065"/>
      <w:r>
        <w:t>报价单</w:t>
      </w:r>
      <w:bookmarkEnd w:id="88"/>
    </w:p>
    <w:p w14:paraId="20C0FE73">
      <w:pPr>
        <w:keepNext w:val="0"/>
        <w:keepLines w:val="0"/>
        <w:pageBreakBefore w:val="0"/>
        <w:kinsoku/>
        <w:wordWrap/>
        <w:overflowPunct/>
        <w:topLinePunct w:val="0"/>
        <w:autoSpaceDE/>
        <w:autoSpaceDN/>
        <w:bidi w:val="0"/>
        <w:adjustRightInd/>
        <w:snapToGrid/>
        <w:spacing w:beforeAutospacing="0" w:afterAutospacing="0" w:line="400" w:lineRule="exact"/>
        <w:ind w:firstLine="660"/>
        <w:rPr>
          <w:rFonts w:ascii="Times New Roman" w:hAnsi="Times New Roman" w:eastAsia="仿宋" w:cs="Times New Roman"/>
          <w:sz w:val="22"/>
          <w:szCs w:val="22"/>
          <w:lang w:val="zh-TW" w:eastAsia="zh-TW"/>
        </w:rPr>
      </w:pPr>
      <w:r>
        <w:rPr>
          <w:rFonts w:ascii="Times New Roman" w:hAnsi="Times New Roman" w:eastAsia="仿宋" w:cs="Times New Roman"/>
          <w:sz w:val="22"/>
          <w:szCs w:val="22"/>
          <w:lang w:val="zh-TW" w:eastAsia="zh-TW"/>
        </w:rPr>
        <w:t>我单位作为</w:t>
      </w:r>
      <w:r>
        <w:rPr>
          <w:rFonts w:ascii="Times New Roman" w:hAnsi="Times New Roman" w:eastAsia="仿宋" w:cs="Times New Roman"/>
          <w:sz w:val="22"/>
          <w:szCs w:val="22"/>
          <w:lang w:val="zh-TW"/>
        </w:rPr>
        <w:t>供应商</w:t>
      </w:r>
      <w:r>
        <w:rPr>
          <w:rFonts w:hint="eastAsia" w:ascii="Times New Roman" w:hAnsi="Times New Roman" w:eastAsia="仿宋" w:cs="Times New Roman"/>
          <w:sz w:val="22"/>
          <w:szCs w:val="22"/>
          <w:lang w:val="zh-TW" w:eastAsia="zh-CN"/>
        </w:rPr>
        <w:t>，</w:t>
      </w:r>
      <w:r>
        <w:rPr>
          <w:rFonts w:ascii="Times New Roman" w:hAnsi="Times New Roman" w:eastAsia="仿宋" w:cs="Times New Roman"/>
          <w:sz w:val="22"/>
          <w:szCs w:val="22"/>
          <w:lang w:val="zh-TW" w:eastAsia="zh-TW"/>
        </w:rPr>
        <w:t>对</w:t>
      </w:r>
      <w:r>
        <w:rPr>
          <w:rFonts w:hint="eastAsia" w:ascii="Times New Roman" w:hAnsi="Times New Roman" w:eastAsia="仿宋" w:cs="Times New Roman"/>
          <w:sz w:val="22"/>
          <w:szCs w:val="22"/>
          <w:lang w:val="zh-TW" w:eastAsia="zh-TW"/>
        </w:rPr>
        <w:t>本次谈判</w:t>
      </w:r>
      <w:r>
        <w:rPr>
          <w:rFonts w:ascii="Times New Roman" w:hAnsi="Times New Roman" w:eastAsia="仿宋" w:cs="Times New Roman"/>
          <w:sz w:val="22"/>
          <w:szCs w:val="22"/>
          <w:lang w:val="zh-TW" w:eastAsia="zh-TW"/>
        </w:rPr>
        <w:t>中我方所承诺的条款已经完全明确</w:t>
      </w:r>
      <w:r>
        <w:rPr>
          <w:rFonts w:hint="eastAsia" w:ascii="Times New Roman" w:hAnsi="Times New Roman" w:eastAsia="仿宋" w:cs="Times New Roman"/>
          <w:sz w:val="22"/>
          <w:szCs w:val="22"/>
          <w:lang w:val="zh-TW" w:eastAsia="zh-CN"/>
        </w:rPr>
        <w:t>，</w:t>
      </w:r>
      <w:r>
        <w:rPr>
          <w:rFonts w:ascii="Times New Roman" w:hAnsi="Times New Roman" w:eastAsia="仿宋" w:cs="Times New Roman"/>
          <w:sz w:val="22"/>
          <w:szCs w:val="22"/>
          <w:lang w:val="zh-TW" w:eastAsia="zh-TW"/>
        </w:rPr>
        <w:t>也</w:t>
      </w:r>
      <w:r>
        <w:rPr>
          <w:rFonts w:hint="eastAsia" w:ascii="Times New Roman" w:hAnsi="Times New Roman" w:eastAsia="仿宋" w:cs="Times New Roman"/>
          <w:sz w:val="22"/>
          <w:szCs w:val="22"/>
          <w:lang w:val="zh-TW" w:eastAsia="zh-TW"/>
        </w:rPr>
        <w:t>知晓</w:t>
      </w:r>
      <w:r>
        <w:rPr>
          <w:rFonts w:ascii="Times New Roman" w:hAnsi="Times New Roman" w:eastAsia="仿宋" w:cs="Times New Roman"/>
          <w:sz w:val="22"/>
          <w:szCs w:val="22"/>
          <w:lang w:val="zh-TW" w:eastAsia="zh-TW"/>
        </w:rPr>
        <w:t>所承诺的事项和作出的报价可能给我方带来的风险和后果。如果我方在</w:t>
      </w:r>
      <w:r>
        <w:rPr>
          <w:rFonts w:hint="eastAsia" w:ascii="Times New Roman" w:hAnsi="Times New Roman" w:eastAsia="仿宋" w:cs="Times New Roman"/>
          <w:sz w:val="22"/>
          <w:szCs w:val="22"/>
          <w:lang w:val="zh-TW" w:eastAsia="zh-TW"/>
        </w:rPr>
        <w:t>谈判</w:t>
      </w:r>
      <w:r>
        <w:rPr>
          <w:rFonts w:ascii="Times New Roman" w:hAnsi="Times New Roman" w:eastAsia="仿宋" w:cs="Times New Roman"/>
          <w:sz w:val="22"/>
          <w:szCs w:val="22"/>
          <w:lang w:val="zh-TW" w:eastAsia="zh-TW"/>
        </w:rPr>
        <w:t>中有弄虚作假等违法违规行为，以及</w:t>
      </w:r>
      <w:r>
        <w:rPr>
          <w:rFonts w:hint="eastAsia" w:ascii="Times New Roman" w:hAnsi="Times New Roman" w:eastAsia="仿宋" w:cs="Times New Roman"/>
          <w:sz w:val="22"/>
          <w:szCs w:val="22"/>
          <w:lang w:val="zh-TW"/>
        </w:rPr>
        <w:t>成交</w:t>
      </w:r>
      <w:r>
        <w:rPr>
          <w:rFonts w:ascii="Times New Roman" w:hAnsi="Times New Roman" w:eastAsia="仿宋" w:cs="Times New Roman"/>
          <w:sz w:val="22"/>
          <w:szCs w:val="22"/>
          <w:lang w:val="zh-TW" w:eastAsia="zh-TW"/>
        </w:rPr>
        <w:t>后因报价低或不执行承诺条款而不履约</w:t>
      </w:r>
      <w:r>
        <w:rPr>
          <w:rFonts w:hint="eastAsia" w:ascii="Times New Roman" w:hAnsi="Times New Roman" w:eastAsia="仿宋" w:cs="Times New Roman"/>
          <w:sz w:val="22"/>
          <w:szCs w:val="22"/>
          <w:lang w:val="zh-TW" w:eastAsia="zh-CN"/>
        </w:rPr>
        <w:t>，</w:t>
      </w:r>
      <w:r>
        <w:rPr>
          <w:rFonts w:hint="eastAsia" w:ascii="Times New Roman" w:hAnsi="Times New Roman" w:eastAsia="仿宋" w:cs="Times New Roman"/>
          <w:sz w:val="22"/>
          <w:szCs w:val="22"/>
        </w:rPr>
        <w:t>我方</w:t>
      </w:r>
      <w:r>
        <w:rPr>
          <w:rFonts w:ascii="Times New Roman" w:hAnsi="Times New Roman" w:eastAsia="仿宋" w:cs="Times New Roman"/>
          <w:sz w:val="22"/>
          <w:szCs w:val="22"/>
          <w:lang w:val="zh-TW" w:eastAsia="zh-TW"/>
        </w:rPr>
        <w:t>愿承担一切责任（包括赔偿损失、取消</w:t>
      </w:r>
      <w:r>
        <w:rPr>
          <w:rFonts w:hint="eastAsia" w:ascii="Times New Roman" w:hAnsi="Times New Roman" w:eastAsia="仿宋" w:cs="Times New Roman"/>
          <w:sz w:val="22"/>
          <w:szCs w:val="22"/>
          <w:lang w:val="zh-TW" w:eastAsia="zh-TW"/>
        </w:rPr>
        <w:t>谈判</w:t>
      </w:r>
      <w:r>
        <w:rPr>
          <w:rFonts w:ascii="Times New Roman" w:hAnsi="Times New Roman" w:eastAsia="仿宋" w:cs="Times New Roman"/>
          <w:sz w:val="22"/>
          <w:szCs w:val="22"/>
          <w:lang w:val="zh-TW" w:eastAsia="zh-TW"/>
        </w:rPr>
        <w:t>及</w:t>
      </w:r>
      <w:r>
        <w:rPr>
          <w:rFonts w:hint="eastAsia" w:ascii="Times New Roman" w:hAnsi="Times New Roman" w:eastAsia="仿宋" w:cs="Times New Roman"/>
          <w:sz w:val="22"/>
          <w:szCs w:val="22"/>
          <w:lang w:val="zh-TW"/>
        </w:rPr>
        <w:t>成交</w:t>
      </w:r>
      <w:r>
        <w:rPr>
          <w:rFonts w:ascii="Times New Roman" w:hAnsi="Times New Roman" w:eastAsia="仿宋" w:cs="Times New Roman"/>
          <w:sz w:val="22"/>
          <w:szCs w:val="22"/>
          <w:lang w:val="zh-TW" w:eastAsia="zh-TW"/>
        </w:rPr>
        <w:t>资格等），我</w:t>
      </w:r>
      <w:r>
        <w:rPr>
          <w:rFonts w:hint="eastAsia" w:ascii="Times New Roman" w:hAnsi="Times New Roman" w:eastAsia="仿宋" w:cs="Times New Roman"/>
          <w:sz w:val="22"/>
          <w:szCs w:val="22"/>
          <w:lang w:val="zh-TW" w:eastAsia="zh-TW"/>
        </w:rPr>
        <w:t>方</w:t>
      </w:r>
      <w:r>
        <w:rPr>
          <w:rFonts w:ascii="Times New Roman" w:hAnsi="Times New Roman" w:eastAsia="仿宋" w:cs="Times New Roman"/>
          <w:sz w:val="22"/>
          <w:szCs w:val="22"/>
          <w:lang w:val="zh-TW" w:eastAsia="zh-TW"/>
        </w:rPr>
        <w:t>本次报价为：</w:t>
      </w:r>
    </w:p>
    <w:p w14:paraId="1AC5C9CC">
      <w:pPr>
        <w:keepNext w:val="0"/>
        <w:keepLines w:val="0"/>
        <w:pageBreakBefore w:val="0"/>
        <w:kinsoku/>
        <w:wordWrap/>
        <w:overflowPunct/>
        <w:topLinePunct w:val="0"/>
        <w:autoSpaceDE/>
        <w:autoSpaceDN/>
        <w:bidi w:val="0"/>
        <w:adjustRightInd/>
        <w:snapToGrid/>
        <w:spacing w:beforeAutospacing="0" w:afterAutospacing="0" w:line="400" w:lineRule="exact"/>
        <w:ind w:firstLine="660"/>
        <w:rPr>
          <w:rFonts w:ascii="Times New Roman" w:hAnsi="Times New Roman" w:eastAsia="仿宋" w:cs="Times New Roman"/>
          <w:sz w:val="22"/>
          <w:szCs w:val="22"/>
          <w:lang w:val="zh-TW" w:eastAsia="zh-TW"/>
        </w:rPr>
      </w:pPr>
    </w:p>
    <w:p w14:paraId="26EE3747">
      <w:pPr>
        <w:pStyle w:val="7"/>
        <w:keepNext w:val="0"/>
        <w:keepLines w:val="0"/>
        <w:pageBreakBefore w:val="0"/>
        <w:kinsoku/>
        <w:wordWrap/>
        <w:overflowPunct/>
        <w:topLinePunct w:val="0"/>
        <w:autoSpaceDE/>
        <w:autoSpaceDN/>
        <w:bidi w:val="0"/>
        <w:adjustRightInd/>
        <w:snapToGrid/>
        <w:spacing w:beforeAutospacing="0" w:after="0" w:afterAutospacing="0" w:line="400" w:lineRule="exact"/>
        <w:rPr>
          <w:rFonts w:ascii="宋体" w:hAnsi="宋体" w:eastAsia="宋体" w:cs="Times New Roman"/>
          <w:b/>
          <w:bCs/>
          <w:sz w:val="22"/>
          <w:szCs w:val="22"/>
          <w:lang w:val="zh-TW"/>
        </w:rPr>
      </w:pPr>
      <w:r>
        <w:rPr>
          <w:rFonts w:ascii="宋体" w:hAnsi="宋体" w:eastAsia="宋体" w:cs="Times New Roman"/>
          <w:b/>
          <w:bCs/>
          <w:sz w:val="22"/>
          <w:szCs w:val="22"/>
          <w:lang w:val="zh-TW" w:eastAsia="zh-TW"/>
        </w:rPr>
        <w:t>注意事项</w:t>
      </w:r>
      <w:r>
        <w:rPr>
          <w:rFonts w:ascii="宋体" w:hAnsi="宋体" w:eastAsia="宋体" w:cs="Times New Roman"/>
          <w:b/>
          <w:bCs/>
          <w:sz w:val="22"/>
          <w:szCs w:val="22"/>
          <w:lang w:val="zh-TW"/>
        </w:rPr>
        <w:t>：</w:t>
      </w:r>
    </w:p>
    <w:p w14:paraId="1BCB6CCC">
      <w:pPr>
        <w:pStyle w:val="7"/>
        <w:keepNext w:val="0"/>
        <w:keepLines w:val="0"/>
        <w:pageBreakBefore w:val="0"/>
        <w:kinsoku/>
        <w:wordWrap/>
        <w:overflowPunct/>
        <w:topLinePunct w:val="0"/>
        <w:autoSpaceDE/>
        <w:autoSpaceDN/>
        <w:bidi w:val="0"/>
        <w:adjustRightInd/>
        <w:snapToGrid/>
        <w:spacing w:beforeAutospacing="0" w:after="0" w:afterAutospacing="0" w:line="400" w:lineRule="exact"/>
        <w:rPr>
          <w:rFonts w:ascii="宋体" w:hAnsi="宋体" w:eastAsia="宋体" w:cs="Times New Roman"/>
          <w:b/>
          <w:bCs/>
          <w:sz w:val="22"/>
          <w:szCs w:val="22"/>
          <w:lang w:val="zh-TW"/>
        </w:rPr>
      </w:pPr>
      <w:r>
        <w:rPr>
          <w:rFonts w:ascii="宋体" w:hAnsi="宋体" w:eastAsia="宋体" w:cs="Times New Roman"/>
          <w:b/>
          <w:bCs/>
          <w:sz w:val="22"/>
          <w:szCs w:val="22"/>
          <w:lang w:val="zh-TW"/>
        </w:rPr>
        <w:t>1</w:t>
      </w:r>
      <w:r>
        <w:rPr>
          <w:rFonts w:ascii="宋体" w:hAnsi="宋体" w:eastAsia="宋体" w:cs="Times New Roman"/>
          <w:b/>
          <w:bCs/>
          <w:sz w:val="22"/>
          <w:szCs w:val="22"/>
          <w:lang w:val="zh-TW" w:eastAsia="zh-TW"/>
        </w:rPr>
        <w:t>.</w:t>
      </w:r>
      <w:r>
        <w:rPr>
          <w:rFonts w:hint="eastAsia" w:ascii="宋体" w:hAnsi="宋体" w:eastAsia="宋体" w:cs="Times New Roman"/>
          <w:b/>
          <w:bCs/>
          <w:sz w:val="22"/>
          <w:szCs w:val="22"/>
          <w:lang w:val="zh-TW" w:eastAsia="zh-TW"/>
        </w:rPr>
        <w:t>如本次采购标的为货物</w:t>
      </w:r>
      <w:r>
        <w:rPr>
          <w:rFonts w:hint="eastAsia" w:ascii="宋体" w:hAnsi="宋体" w:eastAsia="宋体" w:cs="Times New Roman"/>
          <w:b/>
          <w:bCs/>
          <w:sz w:val="22"/>
          <w:szCs w:val="22"/>
          <w:lang w:val="zh-TW"/>
        </w:rPr>
        <w:t>，</w:t>
      </w:r>
      <w:r>
        <w:rPr>
          <w:rFonts w:ascii="宋体" w:hAnsi="宋体" w:eastAsia="宋体" w:cs="Times New Roman"/>
          <w:b/>
          <w:bCs/>
          <w:sz w:val="22"/>
          <w:szCs w:val="22"/>
          <w:lang w:val="zh-TW"/>
        </w:rPr>
        <w:t>下表中</w:t>
      </w:r>
      <w:r>
        <w:rPr>
          <w:rFonts w:hint="eastAsia" w:ascii="宋体" w:hAnsi="宋体" w:eastAsia="宋体" w:cs="Times New Roman"/>
          <w:b/>
          <w:bCs/>
          <w:sz w:val="22"/>
          <w:szCs w:val="22"/>
          <w:lang w:val="zh-TW"/>
        </w:rPr>
        <w:t>响应的</w:t>
      </w:r>
      <w:r>
        <w:rPr>
          <w:rFonts w:ascii="宋体" w:hAnsi="宋体" w:eastAsia="宋体" w:cs="Times New Roman"/>
          <w:b/>
          <w:bCs/>
          <w:sz w:val="22"/>
          <w:szCs w:val="22"/>
          <w:lang w:val="zh-TW"/>
        </w:rPr>
        <w:t>产品名称、生产厂家、规格型号等信息</w:t>
      </w:r>
      <w:r>
        <w:rPr>
          <w:rFonts w:hint="eastAsia" w:ascii="宋体" w:hAnsi="宋体" w:eastAsia="宋体" w:cs="Times New Roman"/>
          <w:b/>
          <w:bCs/>
          <w:sz w:val="22"/>
          <w:szCs w:val="22"/>
          <w:lang w:val="zh-TW"/>
        </w:rPr>
        <w:t>应</w:t>
      </w:r>
      <w:r>
        <w:rPr>
          <w:rFonts w:ascii="宋体" w:hAnsi="宋体" w:eastAsia="宋体" w:cs="Times New Roman"/>
          <w:b/>
          <w:bCs/>
          <w:sz w:val="22"/>
          <w:szCs w:val="22"/>
          <w:lang w:val="zh-TW"/>
        </w:rPr>
        <w:t>与产品医疗器械注册证或备案凭证对应信息保持一致</w:t>
      </w:r>
      <w:r>
        <w:rPr>
          <w:rFonts w:hint="eastAsia" w:ascii="宋体" w:hAnsi="宋体" w:eastAsia="宋体" w:cs="Times New Roman"/>
          <w:b/>
          <w:bCs/>
          <w:sz w:val="22"/>
          <w:szCs w:val="22"/>
          <w:lang w:val="zh-TW"/>
        </w:rPr>
        <w:t>，不作为医疗器械管理的，应与货物的说明书等官方技术文档对应信息保持一致</w:t>
      </w:r>
      <w:r>
        <w:rPr>
          <w:rFonts w:ascii="宋体" w:hAnsi="宋体" w:eastAsia="宋体" w:cs="Times New Roman"/>
          <w:b/>
          <w:bCs/>
          <w:sz w:val="22"/>
          <w:szCs w:val="22"/>
          <w:lang w:val="zh-TW"/>
        </w:rPr>
        <w:t>。</w:t>
      </w:r>
    </w:p>
    <w:p w14:paraId="661984F4">
      <w:pPr>
        <w:pStyle w:val="7"/>
        <w:keepNext w:val="0"/>
        <w:keepLines w:val="0"/>
        <w:pageBreakBefore w:val="0"/>
        <w:kinsoku/>
        <w:wordWrap/>
        <w:overflowPunct/>
        <w:topLinePunct w:val="0"/>
        <w:autoSpaceDE/>
        <w:autoSpaceDN/>
        <w:bidi w:val="0"/>
        <w:adjustRightInd/>
        <w:snapToGrid/>
        <w:spacing w:beforeAutospacing="0" w:after="0" w:afterAutospacing="0" w:line="400" w:lineRule="exact"/>
        <w:rPr>
          <w:rFonts w:ascii="宋体" w:hAnsi="宋体" w:eastAsia="宋体" w:cs="Times New Roman"/>
          <w:b/>
          <w:bCs/>
          <w:sz w:val="22"/>
          <w:szCs w:val="22"/>
          <w:lang w:val="zh-TW"/>
        </w:rPr>
      </w:pPr>
      <w:r>
        <w:rPr>
          <w:rFonts w:hint="eastAsia" w:ascii="宋体" w:hAnsi="宋体" w:eastAsia="宋体" w:cs="Times New Roman"/>
          <w:b/>
          <w:bCs/>
          <w:sz w:val="22"/>
          <w:szCs w:val="22"/>
          <w:lang w:val="zh-TW"/>
        </w:rPr>
        <w:t>2</w:t>
      </w:r>
      <w:r>
        <w:rPr>
          <w:rFonts w:ascii="宋体" w:hAnsi="宋体" w:eastAsia="宋体" w:cs="Times New Roman"/>
          <w:b/>
          <w:bCs/>
          <w:sz w:val="22"/>
          <w:szCs w:val="22"/>
          <w:lang w:val="zh-TW" w:eastAsia="zh-TW"/>
        </w:rPr>
        <w:t>.所有报价均用人民币表示。运输、安装、调试、检验、培训、调换、税金和保险等费用以及采购文件规定的其他费用均应包含在报价中。</w:t>
      </w:r>
    </w:p>
    <w:p w14:paraId="7C0E8357">
      <w:pPr>
        <w:keepNext w:val="0"/>
        <w:keepLines w:val="0"/>
        <w:pageBreakBefore w:val="0"/>
        <w:kinsoku/>
        <w:wordWrap/>
        <w:overflowPunct/>
        <w:topLinePunct w:val="0"/>
        <w:autoSpaceDE/>
        <w:autoSpaceDN/>
        <w:bidi w:val="0"/>
        <w:adjustRightInd/>
        <w:snapToGrid/>
        <w:spacing w:beforeAutospacing="0" w:afterAutospacing="0" w:line="400" w:lineRule="exact"/>
        <w:rPr>
          <w:sz w:val="22"/>
          <w:szCs w:val="22"/>
          <w:lang w:val="zh-TW"/>
        </w:rPr>
      </w:pPr>
    </w:p>
    <w:p w14:paraId="53D1A6BA">
      <w:pPr>
        <w:pStyle w:val="7"/>
        <w:keepNext w:val="0"/>
        <w:keepLines w:val="0"/>
        <w:pageBreakBefore w:val="0"/>
        <w:kinsoku/>
        <w:wordWrap/>
        <w:overflowPunct/>
        <w:topLinePunct w:val="0"/>
        <w:autoSpaceDE/>
        <w:autoSpaceDN/>
        <w:bidi w:val="0"/>
        <w:adjustRightInd/>
        <w:snapToGrid/>
        <w:spacing w:beforeAutospacing="0" w:after="0" w:afterAutospacing="0" w:line="400" w:lineRule="exact"/>
        <w:rPr>
          <w:rFonts w:ascii="Times New Roman" w:hAnsi="Times New Roman" w:eastAsia="仿宋" w:cs="Times New Roman"/>
          <w:b/>
          <w:bCs/>
          <w:sz w:val="22"/>
          <w:szCs w:val="22"/>
        </w:rPr>
      </w:pPr>
      <w:r>
        <w:rPr>
          <w:rFonts w:hint="eastAsia" w:ascii="Times New Roman" w:hAnsi="Times New Roman" w:eastAsia="仿宋" w:cs="Times New Roman"/>
          <w:b/>
          <w:bCs/>
          <w:sz w:val="22"/>
          <w:szCs w:val="22"/>
          <w:lang w:val="en-US" w:eastAsia="zh-CN"/>
        </w:rPr>
        <w:t>1.</w:t>
      </w:r>
      <w:r>
        <w:rPr>
          <w:rFonts w:ascii="Times New Roman" w:hAnsi="Times New Roman" w:eastAsia="仿宋" w:cs="Times New Roman"/>
          <w:b/>
          <w:bCs/>
          <w:sz w:val="22"/>
          <w:szCs w:val="22"/>
        </w:rPr>
        <w:t>报价一览表</w:t>
      </w:r>
    </w:p>
    <w:tbl>
      <w:tblPr>
        <w:tblStyle w:val="19"/>
        <w:tblW w:w="51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31"/>
        <w:gridCol w:w="4050"/>
        <w:gridCol w:w="1567"/>
        <w:gridCol w:w="1781"/>
        <w:gridCol w:w="1686"/>
      </w:tblGrid>
      <w:tr w14:paraId="4DF6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vAlign w:val="center"/>
          </w:tcPr>
          <w:p w14:paraId="1DF7633B">
            <w:pPr>
              <w:keepNext w:val="0"/>
              <w:keepLines w:val="0"/>
              <w:pageBreakBefore w:val="0"/>
              <w:kinsoku/>
              <w:wordWrap/>
              <w:overflowPunct/>
              <w:topLinePunct w:val="0"/>
              <w:autoSpaceDE/>
              <w:autoSpaceDN/>
              <w:bidi w:val="0"/>
              <w:adjustRightInd/>
              <w:snapToGrid/>
              <w:spacing w:beforeAutospacing="0" w:afterAutospacing="0" w:line="330" w:lineRule="exact"/>
              <w:ind w:firstLine="0"/>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2042" w:type="pct"/>
            <w:vAlign w:val="center"/>
          </w:tcPr>
          <w:p w14:paraId="4080E8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jc w:val="center"/>
              <w:textAlignment w:val="center"/>
              <w:rPr>
                <w:rFonts w:hint="default" w:ascii="仿宋" w:hAnsi="仿宋" w:eastAsia="仿宋" w:cs="仿宋"/>
                <w:b/>
                <w:bCs/>
                <w:kern w:val="0"/>
                <w:sz w:val="24"/>
                <w:szCs w:val="24"/>
                <w:lang w:val="en-US" w:eastAsia="zh-TW"/>
              </w:rPr>
            </w:pPr>
            <w:r>
              <w:rPr>
                <w:rFonts w:hint="eastAsia" w:ascii="仿宋" w:hAnsi="仿宋" w:eastAsia="仿宋" w:cs="仿宋"/>
                <w:b/>
                <w:bCs/>
                <w:color w:val="auto"/>
                <w:sz w:val="24"/>
                <w:szCs w:val="24"/>
                <w:lang w:val="en-US" w:eastAsia="zh-CN"/>
              </w:rPr>
              <w:t>标的名称</w:t>
            </w:r>
          </w:p>
        </w:tc>
        <w:tc>
          <w:tcPr>
            <w:tcW w:w="790" w:type="pct"/>
            <w:shd w:val="clear" w:color="auto" w:fill="auto"/>
            <w:vAlign w:val="center"/>
          </w:tcPr>
          <w:p w14:paraId="6B0DE96B">
            <w:pPr>
              <w:keepNext w:val="0"/>
              <w:keepLines w:val="0"/>
              <w:pageBreakBefore w:val="0"/>
              <w:kinsoku/>
              <w:wordWrap/>
              <w:overflowPunct/>
              <w:topLinePunct w:val="0"/>
              <w:autoSpaceDE/>
              <w:autoSpaceDN/>
              <w:bidi w:val="0"/>
              <w:adjustRightInd/>
              <w:snapToGrid/>
              <w:spacing w:beforeAutospacing="0" w:afterAutospacing="0" w:line="330" w:lineRule="exact"/>
              <w:ind w:firstLine="0"/>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单位</w:t>
            </w:r>
          </w:p>
        </w:tc>
        <w:tc>
          <w:tcPr>
            <w:tcW w:w="896" w:type="pct"/>
            <w:shd w:val="clear" w:color="auto" w:fill="auto"/>
            <w:vAlign w:val="center"/>
          </w:tcPr>
          <w:p w14:paraId="688907D2">
            <w:pPr>
              <w:keepNext w:val="0"/>
              <w:keepLines w:val="0"/>
              <w:pageBreakBefore w:val="0"/>
              <w:kinsoku/>
              <w:wordWrap/>
              <w:overflowPunct/>
              <w:topLinePunct w:val="0"/>
              <w:autoSpaceDE/>
              <w:autoSpaceDN/>
              <w:bidi w:val="0"/>
              <w:adjustRightInd/>
              <w:snapToGrid/>
              <w:spacing w:beforeAutospacing="0" w:afterAutospacing="0" w:line="330" w:lineRule="exact"/>
              <w:ind w:firstLine="0"/>
              <w:jc w:val="center"/>
              <w:rPr>
                <w:rFonts w:hint="default" w:ascii="仿宋" w:hAnsi="仿宋" w:eastAsia="仿宋" w:cs="仿宋"/>
                <w:b/>
                <w:bCs/>
                <w:kern w:val="0"/>
                <w:sz w:val="24"/>
                <w:szCs w:val="24"/>
                <w:lang w:val="en-US" w:eastAsia="zh-CN" w:bidi="ar-SA"/>
              </w:rPr>
            </w:pPr>
            <w:r>
              <w:rPr>
                <w:rFonts w:hint="default" w:ascii="仿宋" w:hAnsi="仿宋" w:eastAsia="仿宋" w:cs="仿宋"/>
                <w:b/>
                <w:bCs/>
                <w:kern w:val="0"/>
                <w:sz w:val="24"/>
                <w:szCs w:val="24"/>
                <w:lang w:val="en-US" w:eastAsia="zh-CN" w:bidi="ar-SA"/>
              </w:rPr>
              <w:t>单价限价（元）</w:t>
            </w:r>
          </w:p>
        </w:tc>
        <w:tc>
          <w:tcPr>
            <w:tcW w:w="850" w:type="pct"/>
            <w:vAlign w:val="center"/>
          </w:tcPr>
          <w:p w14:paraId="08AB5D93">
            <w:pPr>
              <w:keepNext w:val="0"/>
              <w:keepLines w:val="0"/>
              <w:pageBreakBefore w:val="0"/>
              <w:kinsoku/>
              <w:wordWrap/>
              <w:overflowPunct/>
              <w:topLinePunct w:val="0"/>
              <w:autoSpaceDE/>
              <w:autoSpaceDN/>
              <w:bidi w:val="0"/>
              <w:adjustRightInd/>
              <w:snapToGrid/>
              <w:spacing w:beforeAutospacing="0" w:afterAutospacing="0" w:line="330" w:lineRule="exact"/>
              <w:ind w:firstLine="0"/>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下浮率</w:t>
            </w:r>
          </w:p>
        </w:tc>
      </w:tr>
      <w:tr w14:paraId="48AE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49" w:type="pct"/>
            <w:gridSpan w:val="4"/>
            <w:vAlign w:val="center"/>
          </w:tcPr>
          <w:p w14:paraId="6CB8AEBC">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default" w:ascii="仿宋" w:hAnsi="仿宋" w:eastAsia="仿宋" w:cs="仿宋"/>
                <w:sz w:val="24"/>
                <w:szCs w:val="24"/>
              </w:rPr>
            </w:pPr>
            <w:r>
              <w:rPr>
                <w:rFonts w:hint="default" w:ascii="仿宋" w:hAnsi="仿宋" w:eastAsia="仿宋" w:cs="仿宋"/>
                <w:b/>
                <w:bCs/>
                <w:sz w:val="24"/>
                <w:szCs w:val="24"/>
              </w:rPr>
              <w:t>搬运任务起点、终点均位于三环路以内</w:t>
            </w:r>
          </w:p>
        </w:tc>
        <w:tc>
          <w:tcPr>
            <w:tcW w:w="850" w:type="pct"/>
            <w:vMerge w:val="restart"/>
            <w:vAlign w:val="center"/>
          </w:tcPr>
          <w:p w14:paraId="5E58F29E">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default"/>
                <w:sz w:val="24"/>
                <w:szCs w:val="24"/>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w:t>
            </w:r>
          </w:p>
        </w:tc>
      </w:tr>
      <w:tr w14:paraId="48B7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auto"/>
            <w:vAlign w:val="center"/>
          </w:tcPr>
          <w:p w14:paraId="1F43E601">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2042" w:type="pct"/>
            <w:shd w:val="clear" w:color="auto" w:fill="FFFFFF"/>
            <w:vAlign w:val="center"/>
          </w:tcPr>
          <w:p w14:paraId="7855840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厢式货车（420cm*180cm*180cm）</w:t>
            </w:r>
          </w:p>
        </w:tc>
        <w:tc>
          <w:tcPr>
            <w:tcW w:w="790" w:type="pct"/>
            <w:shd w:val="clear" w:color="auto" w:fill="FFFFFF"/>
            <w:vAlign w:val="center"/>
          </w:tcPr>
          <w:p w14:paraId="4E3644F3">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0E21431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400</w:t>
            </w:r>
          </w:p>
        </w:tc>
        <w:tc>
          <w:tcPr>
            <w:tcW w:w="850" w:type="pct"/>
            <w:vMerge w:val="continue"/>
            <w:vAlign w:val="center"/>
          </w:tcPr>
          <w:p w14:paraId="2711C42D">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3D8E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auto"/>
            <w:vAlign w:val="center"/>
          </w:tcPr>
          <w:p w14:paraId="25FDDB77">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2</w:t>
            </w:r>
          </w:p>
        </w:tc>
        <w:tc>
          <w:tcPr>
            <w:tcW w:w="2042" w:type="pct"/>
            <w:shd w:val="clear" w:color="auto" w:fill="FFFFFF"/>
            <w:vAlign w:val="center"/>
          </w:tcPr>
          <w:p w14:paraId="615F9D8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敞车（420cm*180cm）</w:t>
            </w:r>
          </w:p>
        </w:tc>
        <w:tc>
          <w:tcPr>
            <w:tcW w:w="790" w:type="pct"/>
            <w:shd w:val="clear" w:color="auto" w:fill="FFFFFF"/>
            <w:vAlign w:val="center"/>
          </w:tcPr>
          <w:p w14:paraId="2E913B5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721D8C1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400</w:t>
            </w:r>
          </w:p>
        </w:tc>
        <w:tc>
          <w:tcPr>
            <w:tcW w:w="850" w:type="pct"/>
            <w:vMerge w:val="continue"/>
            <w:vAlign w:val="center"/>
          </w:tcPr>
          <w:p w14:paraId="3EE66738">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3092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auto"/>
            <w:vAlign w:val="center"/>
          </w:tcPr>
          <w:p w14:paraId="4ED01FC8">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3</w:t>
            </w:r>
          </w:p>
        </w:tc>
        <w:tc>
          <w:tcPr>
            <w:tcW w:w="2042" w:type="pct"/>
            <w:shd w:val="clear" w:color="auto" w:fill="FFFFFF"/>
            <w:vAlign w:val="center"/>
          </w:tcPr>
          <w:p w14:paraId="2BE2E66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依维柯</w:t>
            </w:r>
          </w:p>
        </w:tc>
        <w:tc>
          <w:tcPr>
            <w:tcW w:w="790" w:type="pct"/>
            <w:shd w:val="clear" w:color="auto" w:fill="FFFFFF"/>
            <w:vAlign w:val="center"/>
          </w:tcPr>
          <w:p w14:paraId="4F0AF12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31DB3502">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260</w:t>
            </w:r>
          </w:p>
        </w:tc>
        <w:tc>
          <w:tcPr>
            <w:tcW w:w="850" w:type="pct"/>
            <w:vMerge w:val="continue"/>
            <w:vAlign w:val="center"/>
          </w:tcPr>
          <w:p w14:paraId="3DD676D2">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4481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auto"/>
            <w:vAlign w:val="center"/>
          </w:tcPr>
          <w:p w14:paraId="6CACA15D">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w:t>
            </w:r>
          </w:p>
        </w:tc>
        <w:tc>
          <w:tcPr>
            <w:tcW w:w="2042" w:type="pct"/>
            <w:shd w:val="clear" w:color="auto" w:fill="FFFFFF"/>
            <w:vAlign w:val="center"/>
          </w:tcPr>
          <w:p w14:paraId="03A02948">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金杯车</w:t>
            </w:r>
          </w:p>
        </w:tc>
        <w:tc>
          <w:tcPr>
            <w:tcW w:w="790" w:type="pct"/>
            <w:shd w:val="clear" w:color="auto" w:fill="FFFFFF"/>
            <w:vAlign w:val="center"/>
          </w:tcPr>
          <w:p w14:paraId="49595AD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3C6EFF0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220</w:t>
            </w:r>
          </w:p>
        </w:tc>
        <w:tc>
          <w:tcPr>
            <w:tcW w:w="850" w:type="pct"/>
            <w:vMerge w:val="continue"/>
            <w:vAlign w:val="center"/>
          </w:tcPr>
          <w:p w14:paraId="1D51CF84">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6B24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49" w:type="pct"/>
            <w:gridSpan w:val="4"/>
            <w:vAlign w:val="center"/>
          </w:tcPr>
          <w:p w14:paraId="5BBE72A6">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default" w:ascii="仿宋" w:hAnsi="仿宋" w:eastAsia="仿宋" w:cs="仿宋"/>
                <w:sz w:val="24"/>
                <w:szCs w:val="24"/>
              </w:rPr>
            </w:pPr>
            <w:r>
              <w:rPr>
                <w:rFonts w:hint="default" w:ascii="仿宋" w:hAnsi="仿宋" w:eastAsia="仿宋" w:cs="仿宋"/>
                <w:b/>
                <w:bCs/>
                <w:sz w:val="24"/>
                <w:szCs w:val="24"/>
              </w:rPr>
              <w:t>搬运起点、终点中至少其中之一位于三环路以外、绕城以内，且距离&gt;3km。距离≤3km时，按第</w:t>
            </w:r>
            <w:r>
              <w:rPr>
                <w:rFonts w:hint="eastAsia" w:ascii="仿宋" w:hAnsi="仿宋" w:eastAsia="仿宋" w:cs="仿宋"/>
                <w:b/>
                <w:bCs/>
                <w:sz w:val="24"/>
                <w:szCs w:val="24"/>
                <w:lang w:val="en-US" w:eastAsia="zh-CN"/>
              </w:rPr>
              <w:t>四章</w:t>
            </w:r>
            <w:r>
              <w:rPr>
                <w:rFonts w:hint="default" w:ascii="仿宋" w:hAnsi="仿宋" w:eastAsia="仿宋" w:cs="仿宋"/>
                <w:b/>
                <w:bCs/>
                <w:sz w:val="24"/>
                <w:szCs w:val="24"/>
              </w:rPr>
              <w:t>3.1款</w:t>
            </w:r>
            <w:r>
              <w:rPr>
                <w:rFonts w:hint="eastAsia" w:ascii="仿宋" w:hAnsi="仿宋" w:eastAsia="仿宋" w:cs="仿宋"/>
                <w:b/>
                <w:bCs/>
                <w:sz w:val="24"/>
                <w:szCs w:val="24"/>
                <w:lang w:val="en-US" w:eastAsia="zh-CN"/>
              </w:rPr>
              <w:t>成交</w:t>
            </w:r>
            <w:r>
              <w:rPr>
                <w:rFonts w:hint="default" w:ascii="仿宋" w:hAnsi="仿宋" w:eastAsia="仿宋" w:cs="仿宋"/>
                <w:b/>
                <w:bCs/>
                <w:sz w:val="24"/>
                <w:szCs w:val="24"/>
              </w:rPr>
              <w:t>计价标准计算费用。</w:t>
            </w:r>
          </w:p>
        </w:tc>
        <w:tc>
          <w:tcPr>
            <w:tcW w:w="850" w:type="pct"/>
            <w:vMerge w:val="continue"/>
            <w:vAlign w:val="center"/>
          </w:tcPr>
          <w:p w14:paraId="6694794B">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708C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3BA0A74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w:t>
            </w:r>
          </w:p>
        </w:tc>
        <w:tc>
          <w:tcPr>
            <w:tcW w:w="2042" w:type="pct"/>
            <w:shd w:val="clear" w:color="auto" w:fill="FFFFFF"/>
            <w:vAlign w:val="center"/>
          </w:tcPr>
          <w:p w14:paraId="0C68B66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厢式货车（420cm*180cm*180cm）</w:t>
            </w:r>
          </w:p>
        </w:tc>
        <w:tc>
          <w:tcPr>
            <w:tcW w:w="790" w:type="pct"/>
            <w:shd w:val="clear" w:color="auto" w:fill="FFFFFF"/>
            <w:vAlign w:val="center"/>
          </w:tcPr>
          <w:p w14:paraId="72C81E4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0885C393">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480</w:t>
            </w:r>
          </w:p>
        </w:tc>
        <w:tc>
          <w:tcPr>
            <w:tcW w:w="850" w:type="pct"/>
            <w:vMerge w:val="continue"/>
            <w:vAlign w:val="center"/>
          </w:tcPr>
          <w:p w14:paraId="0A5E0F1C">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2784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4D5100FC">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w:t>
            </w:r>
          </w:p>
        </w:tc>
        <w:tc>
          <w:tcPr>
            <w:tcW w:w="2042" w:type="pct"/>
            <w:shd w:val="clear" w:color="auto" w:fill="FFFFFF"/>
            <w:vAlign w:val="center"/>
          </w:tcPr>
          <w:p w14:paraId="78A13B62">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敞车（420cm*180cm）</w:t>
            </w:r>
          </w:p>
        </w:tc>
        <w:tc>
          <w:tcPr>
            <w:tcW w:w="790" w:type="pct"/>
            <w:shd w:val="clear" w:color="auto" w:fill="FFFFFF"/>
            <w:vAlign w:val="center"/>
          </w:tcPr>
          <w:p w14:paraId="59CE348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6973F5E4">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480</w:t>
            </w:r>
          </w:p>
        </w:tc>
        <w:tc>
          <w:tcPr>
            <w:tcW w:w="850" w:type="pct"/>
            <w:vMerge w:val="continue"/>
            <w:vAlign w:val="center"/>
          </w:tcPr>
          <w:p w14:paraId="73F9E27C">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56F2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75E58CA9">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w:t>
            </w:r>
          </w:p>
        </w:tc>
        <w:tc>
          <w:tcPr>
            <w:tcW w:w="2042" w:type="pct"/>
            <w:shd w:val="clear" w:color="auto" w:fill="FFFFFF"/>
            <w:vAlign w:val="center"/>
          </w:tcPr>
          <w:p w14:paraId="6B24F8A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依维柯</w:t>
            </w:r>
          </w:p>
        </w:tc>
        <w:tc>
          <w:tcPr>
            <w:tcW w:w="790" w:type="pct"/>
            <w:shd w:val="clear" w:color="auto" w:fill="FFFFFF"/>
            <w:vAlign w:val="center"/>
          </w:tcPr>
          <w:p w14:paraId="56A4FFB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51AF5E5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300</w:t>
            </w:r>
          </w:p>
        </w:tc>
        <w:tc>
          <w:tcPr>
            <w:tcW w:w="850" w:type="pct"/>
            <w:vMerge w:val="continue"/>
            <w:vAlign w:val="center"/>
          </w:tcPr>
          <w:p w14:paraId="193D042A">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5B09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3B1D693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w:t>
            </w:r>
          </w:p>
        </w:tc>
        <w:tc>
          <w:tcPr>
            <w:tcW w:w="2042" w:type="pct"/>
            <w:shd w:val="clear" w:color="auto" w:fill="FFFFFF"/>
            <w:vAlign w:val="center"/>
          </w:tcPr>
          <w:p w14:paraId="1120F9EF">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金杯车</w:t>
            </w:r>
          </w:p>
        </w:tc>
        <w:tc>
          <w:tcPr>
            <w:tcW w:w="790" w:type="pct"/>
            <w:shd w:val="clear" w:color="auto" w:fill="FFFFFF"/>
            <w:vAlign w:val="center"/>
          </w:tcPr>
          <w:p w14:paraId="7D61B8E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225E0EA4">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260</w:t>
            </w:r>
          </w:p>
        </w:tc>
        <w:tc>
          <w:tcPr>
            <w:tcW w:w="850" w:type="pct"/>
            <w:vMerge w:val="continue"/>
            <w:vAlign w:val="center"/>
          </w:tcPr>
          <w:p w14:paraId="564AD72C">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70C4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49" w:type="pct"/>
            <w:gridSpan w:val="4"/>
            <w:vAlign w:val="center"/>
          </w:tcPr>
          <w:p w14:paraId="1CA6ACAF">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default" w:ascii="仿宋" w:hAnsi="仿宋" w:eastAsia="仿宋" w:cs="仿宋"/>
                <w:sz w:val="24"/>
                <w:szCs w:val="24"/>
              </w:rPr>
            </w:pPr>
            <w:r>
              <w:rPr>
                <w:rFonts w:hint="eastAsia" w:ascii="仿宋" w:hAnsi="仿宋" w:eastAsia="仿宋" w:cs="仿宋"/>
                <w:b/>
                <w:bCs/>
                <w:color w:val="auto"/>
                <w:sz w:val="24"/>
                <w:szCs w:val="24"/>
                <w:highlight w:val="none"/>
              </w:rPr>
              <w:t>搬运起点、终点中至少其中之一位于绕城外、大成都范围以内，且距离&gt;5km。距离≤5km时，按第</w:t>
            </w:r>
            <w:r>
              <w:rPr>
                <w:rFonts w:hint="eastAsia" w:ascii="仿宋" w:hAnsi="仿宋" w:eastAsia="仿宋" w:cs="仿宋"/>
                <w:b/>
                <w:bCs/>
                <w:color w:val="auto"/>
                <w:sz w:val="24"/>
                <w:szCs w:val="24"/>
                <w:highlight w:val="none"/>
                <w:lang w:val="en-US" w:eastAsia="zh-CN"/>
              </w:rPr>
              <w:t>四章</w:t>
            </w:r>
            <w:r>
              <w:rPr>
                <w:rFonts w:hint="eastAsia" w:ascii="仿宋" w:hAnsi="仿宋" w:eastAsia="仿宋" w:cs="仿宋"/>
                <w:b/>
                <w:bCs/>
                <w:color w:val="auto"/>
                <w:sz w:val="24"/>
                <w:szCs w:val="24"/>
                <w:highlight w:val="none"/>
              </w:rPr>
              <w:t>3.2款</w:t>
            </w:r>
            <w:r>
              <w:rPr>
                <w:rFonts w:hint="eastAsia" w:ascii="仿宋" w:hAnsi="仿宋" w:eastAsia="仿宋" w:cs="仿宋"/>
                <w:b/>
                <w:bCs/>
                <w:color w:val="auto"/>
                <w:sz w:val="24"/>
                <w:szCs w:val="24"/>
                <w:highlight w:val="none"/>
                <w:lang w:val="en-US" w:eastAsia="zh-CN"/>
              </w:rPr>
              <w:t>成交</w:t>
            </w:r>
            <w:r>
              <w:rPr>
                <w:rFonts w:hint="eastAsia" w:ascii="仿宋" w:hAnsi="仿宋" w:eastAsia="仿宋" w:cs="仿宋"/>
                <w:b/>
                <w:bCs/>
                <w:color w:val="auto"/>
                <w:sz w:val="24"/>
                <w:szCs w:val="24"/>
                <w:highlight w:val="none"/>
              </w:rPr>
              <w:t>计价标准计算费用。</w:t>
            </w:r>
          </w:p>
        </w:tc>
        <w:tc>
          <w:tcPr>
            <w:tcW w:w="850" w:type="pct"/>
            <w:vMerge w:val="continue"/>
            <w:vAlign w:val="center"/>
          </w:tcPr>
          <w:p w14:paraId="3E003D27">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49B3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4E386B9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w:t>
            </w:r>
          </w:p>
        </w:tc>
        <w:tc>
          <w:tcPr>
            <w:tcW w:w="2042" w:type="pct"/>
            <w:shd w:val="clear" w:color="auto" w:fill="FFFFFF"/>
            <w:vAlign w:val="center"/>
          </w:tcPr>
          <w:p w14:paraId="3FDED92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厢式货车（420cm*180cm*180cm）</w:t>
            </w:r>
          </w:p>
        </w:tc>
        <w:tc>
          <w:tcPr>
            <w:tcW w:w="790" w:type="pct"/>
            <w:shd w:val="clear" w:color="auto" w:fill="FFFFFF"/>
            <w:vAlign w:val="center"/>
          </w:tcPr>
          <w:p w14:paraId="0B9C021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51A2116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520</w:t>
            </w:r>
          </w:p>
        </w:tc>
        <w:tc>
          <w:tcPr>
            <w:tcW w:w="850" w:type="pct"/>
            <w:vMerge w:val="continue"/>
            <w:vAlign w:val="center"/>
          </w:tcPr>
          <w:p w14:paraId="4585FB56">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0CD9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1C65259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w:t>
            </w:r>
          </w:p>
        </w:tc>
        <w:tc>
          <w:tcPr>
            <w:tcW w:w="2042" w:type="pct"/>
            <w:shd w:val="clear" w:color="auto" w:fill="FFFFFF"/>
            <w:vAlign w:val="center"/>
          </w:tcPr>
          <w:p w14:paraId="137894AF">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敞车（420cm*180cm）</w:t>
            </w:r>
          </w:p>
        </w:tc>
        <w:tc>
          <w:tcPr>
            <w:tcW w:w="790" w:type="pct"/>
            <w:shd w:val="clear" w:color="auto" w:fill="FFFFFF"/>
            <w:vAlign w:val="center"/>
          </w:tcPr>
          <w:p w14:paraId="7015E76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0A90BE29">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520</w:t>
            </w:r>
          </w:p>
        </w:tc>
        <w:tc>
          <w:tcPr>
            <w:tcW w:w="850" w:type="pct"/>
            <w:vMerge w:val="continue"/>
            <w:vAlign w:val="center"/>
          </w:tcPr>
          <w:p w14:paraId="103F375B">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0BF3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16B6E9BC">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w:t>
            </w:r>
          </w:p>
        </w:tc>
        <w:tc>
          <w:tcPr>
            <w:tcW w:w="2042" w:type="pct"/>
            <w:shd w:val="clear" w:color="auto" w:fill="FFFFFF"/>
            <w:vAlign w:val="center"/>
          </w:tcPr>
          <w:p w14:paraId="433D16A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依维柯</w:t>
            </w:r>
          </w:p>
        </w:tc>
        <w:tc>
          <w:tcPr>
            <w:tcW w:w="790" w:type="pct"/>
            <w:shd w:val="clear" w:color="auto" w:fill="FFFFFF"/>
            <w:vAlign w:val="center"/>
          </w:tcPr>
          <w:p w14:paraId="2AA8C339">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1527386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350</w:t>
            </w:r>
          </w:p>
        </w:tc>
        <w:tc>
          <w:tcPr>
            <w:tcW w:w="850" w:type="pct"/>
            <w:vMerge w:val="continue"/>
            <w:vAlign w:val="center"/>
          </w:tcPr>
          <w:p w14:paraId="0AE2C3DC">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6EA1C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5EF1D55F">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w:t>
            </w:r>
          </w:p>
        </w:tc>
        <w:tc>
          <w:tcPr>
            <w:tcW w:w="2042" w:type="pct"/>
            <w:shd w:val="clear" w:color="auto" w:fill="FFFFFF"/>
            <w:vAlign w:val="center"/>
          </w:tcPr>
          <w:p w14:paraId="3FEA4275">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金杯车</w:t>
            </w:r>
          </w:p>
        </w:tc>
        <w:tc>
          <w:tcPr>
            <w:tcW w:w="790" w:type="pct"/>
            <w:shd w:val="clear" w:color="auto" w:fill="FFFFFF"/>
            <w:vAlign w:val="center"/>
          </w:tcPr>
          <w:p w14:paraId="3956644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车</w:t>
            </w:r>
          </w:p>
        </w:tc>
        <w:tc>
          <w:tcPr>
            <w:tcW w:w="896" w:type="pct"/>
            <w:shd w:val="clear" w:color="auto" w:fill="FFFFFF"/>
            <w:vAlign w:val="center"/>
          </w:tcPr>
          <w:p w14:paraId="7A73C96C">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320</w:t>
            </w:r>
          </w:p>
        </w:tc>
        <w:tc>
          <w:tcPr>
            <w:tcW w:w="850" w:type="pct"/>
            <w:vMerge w:val="continue"/>
            <w:vAlign w:val="center"/>
          </w:tcPr>
          <w:p w14:paraId="3871AED1">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23D8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49" w:type="pct"/>
            <w:gridSpan w:val="4"/>
            <w:vAlign w:val="center"/>
          </w:tcPr>
          <w:p w14:paraId="0130F781">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default" w:ascii="仿宋" w:hAnsi="仿宋" w:eastAsia="仿宋" w:cs="仿宋"/>
                <w:sz w:val="24"/>
                <w:szCs w:val="24"/>
              </w:rPr>
            </w:pPr>
            <w:r>
              <w:rPr>
                <w:rFonts w:hint="eastAsia" w:ascii="仿宋" w:hAnsi="仿宋" w:eastAsia="仿宋" w:cs="仿宋"/>
                <w:b/>
                <w:bCs/>
                <w:color w:val="auto"/>
                <w:sz w:val="24"/>
                <w:szCs w:val="24"/>
                <w:highlight w:val="none"/>
              </w:rPr>
              <w:t>搬运起点、终点中至少其中之一位于大成都范围以外，按每车公里数及成交单价计费</w:t>
            </w:r>
          </w:p>
        </w:tc>
        <w:tc>
          <w:tcPr>
            <w:tcW w:w="850" w:type="pct"/>
            <w:vMerge w:val="continue"/>
            <w:vAlign w:val="center"/>
          </w:tcPr>
          <w:p w14:paraId="79032FDD">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1C9E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240B6F22">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w:t>
            </w:r>
          </w:p>
        </w:tc>
        <w:tc>
          <w:tcPr>
            <w:tcW w:w="2042" w:type="pct"/>
            <w:shd w:val="clear" w:color="auto" w:fill="FFFFFF"/>
            <w:vAlign w:val="center"/>
          </w:tcPr>
          <w:p w14:paraId="159D2D3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厢式货车（420cm*180cm*180cm）</w:t>
            </w:r>
          </w:p>
        </w:tc>
        <w:tc>
          <w:tcPr>
            <w:tcW w:w="790" w:type="pct"/>
            <w:vMerge w:val="restart"/>
            <w:shd w:val="clear" w:color="auto" w:fill="FFFFFF"/>
            <w:vAlign w:val="center"/>
          </w:tcPr>
          <w:p w14:paraId="50E3B77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公里/车</w:t>
            </w:r>
          </w:p>
        </w:tc>
        <w:tc>
          <w:tcPr>
            <w:tcW w:w="896" w:type="pct"/>
            <w:vMerge w:val="restart"/>
            <w:shd w:val="clear" w:color="auto" w:fill="FFFFFF"/>
            <w:vAlign w:val="center"/>
          </w:tcPr>
          <w:p w14:paraId="6FE175C8">
            <w:pPr>
              <w:pStyle w:val="14"/>
              <w:keepNext w:val="0"/>
              <w:keepLines w:val="0"/>
              <w:pageBreakBefore w:val="0"/>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7</w:t>
            </w:r>
          </w:p>
        </w:tc>
        <w:tc>
          <w:tcPr>
            <w:tcW w:w="850" w:type="pct"/>
            <w:vMerge w:val="continue"/>
            <w:vAlign w:val="center"/>
          </w:tcPr>
          <w:p w14:paraId="482404F2">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3856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521355D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w:t>
            </w:r>
          </w:p>
        </w:tc>
        <w:tc>
          <w:tcPr>
            <w:tcW w:w="2042" w:type="pct"/>
            <w:shd w:val="clear" w:color="auto" w:fill="FFFFFF"/>
            <w:vAlign w:val="center"/>
          </w:tcPr>
          <w:p w14:paraId="3DCB1F9F">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敞车（420cm*180cm）</w:t>
            </w:r>
          </w:p>
        </w:tc>
        <w:tc>
          <w:tcPr>
            <w:tcW w:w="790" w:type="pct"/>
            <w:vMerge w:val="continue"/>
            <w:shd w:val="clear" w:color="auto" w:fill="FFFFFF"/>
            <w:vAlign w:val="center"/>
          </w:tcPr>
          <w:p w14:paraId="0866FE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bidi="ar"/>
              </w:rPr>
            </w:pPr>
          </w:p>
        </w:tc>
        <w:tc>
          <w:tcPr>
            <w:tcW w:w="896" w:type="pct"/>
            <w:vMerge w:val="continue"/>
            <w:shd w:val="clear" w:color="auto" w:fill="FFFFFF"/>
            <w:vAlign w:val="center"/>
          </w:tcPr>
          <w:p w14:paraId="63F15C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default" w:ascii="仿宋" w:hAnsi="仿宋" w:eastAsia="仿宋" w:cs="仿宋"/>
                <w:color w:val="auto"/>
                <w:kern w:val="0"/>
                <w:sz w:val="24"/>
                <w:szCs w:val="24"/>
                <w:highlight w:val="none"/>
                <w:lang w:val="en-US" w:eastAsia="zh-CN" w:bidi="ar"/>
              </w:rPr>
            </w:pPr>
          </w:p>
        </w:tc>
        <w:tc>
          <w:tcPr>
            <w:tcW w:w="850" w:type="pct"/>
            <w:vMerge w:val="continue"/>
            <w:vAlign w:val="center"/>
          </w:tcPr>
          <w:p w14:paraId="671F7744">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0DD72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111482B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w:t>
            </w:r>
          </w:p>
        </w:tc>
        <w:tc>
          <w:tcPr>
            <w:tcW w:w="2042" w:type="pct"/>
            <w:shd w:val="clear" w:color="auto" w:fill="FFFFFF"/>
            <w:vAlign w:val="center"/>
          </w:tcPr>
          <w:p w14:paraId="1F55009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依维柯</w:t>
            </w:r>
          </w:p>
        </w:tc>
        <w:tc>
          <w:tcPr>
            <w:tcW w:w="790" w:type="pct"/>
            <w:vMerge w:val="continue"/>
            <w:shd w:val="clear" w:color="auto" w:fill="FFFFFF"/>
            <w:vAlign w:val="center"/>
          </w:tcPr>
          <w:p w14:paraId="5494C77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bidi="ar"/>
              </w:rPr>
            </w:pPr>
          </w:p>
        </w:tc>
        <w:tc>
          <w:tcPr>
            <w:tcW w:w="896" w:type="pct"/>
            <w:vMerge w:val="continue"/>
            <w:shd w:val="clear" w:color="auto" w:fill="FFFFFF"/>
            <w:vAlign w:val="center"/>
          </w:tcPr>
          <w:p w14:paraId="10E82C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default" w:ascii="仿宋" w:hAnsi="仿宋" w:eastAsia="仿宋" w:cs="仿宋"/>
                <w:color w:val="auto"/>
                <w:kern w:val="0"/>
                <w:sz w:val="24"/>
                <w:szCs w:val="24"/>
                <w:highlight w:val="none"/>
                <w:lang w:val="en-US" w:eastAsia="zh-CN" w:bidi="ar"/>
              </w:rPr>
            </w:pPr>
          </w:p>
        </w:tc>
        <w:tc>
          <w:tcPr>
            <w:tcW w:w="850" w:type="pct"/>
            <w:vMerge w:val="continue"/>
            <w:vAlign w:val="center"/>
          </w:tcPr>
          <w:p w14:paraId="59054EA9">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0833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9" w:type="pct"/>
            <w:shd w:val="clear" w:color="auto" w:fill="FFFFFF"/>
            <w:vAlign w:val="center"/>
          </w:tcPr>
          <w:p w14:paraId="6860E66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w:t>
            </w:r>
          </w:p>
        </w:tc>
        <w:tc>
          <w:tcPr>
            <w:tcW w:w="2042" w:type="pct"/>
            <w:shd w:val="clear" w:color="auto" w:fill="FFFFFF"/>
            <w:vAlign w:val="center"/>
          </w:tcPr>
          <w:p w14:paraId="24BF5F5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金杯车</w:t>
            </w:r>
          </w:p>
        </w:tc>
        <w:tc>
          <w:tcPr>
            <w:tcW w:w="790" w:type="pct"/>
            <w:vMerge w:val="continue"/>
            <w:shd w:val="clear" w:color="auto" w:fill="FFFFFF"/>
            <w:vAlign w:val="center"/>
          </w:tcPr>
          <w:p w14:paraId="58D359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bidi="ar"/>
              </w:rPr>
            </w:pPr>
          </w:p>
        </w:tc>
        <w:tc>
          <w:tcPr>
            <w:tcW w:w="896" w:type="pct"/>
            <w:vMerge w:val="continue"/>
            <w:shd w:val="clear" w:color="auto" w:fill="FFFFFF"/>
            <w:vAlign w:val="center"/>
          </w:tcPr>
          <w:p w14:paraId="28DD4C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default" w:ascii="仿宋" w:hAnsi="仿宋" w:eastAsia="仿宋" w:cs="仿宋"/>
                <w:color w:val="auto"/>
                <w:kern w:val="0"/>
                <w:sz w:val="24"/>
                <w:szCs w:val="24"/>
                <w:highlight w:val="none"/>
                <w:lang w:val="en-US" w:eastAsia="zh-CN" w:bidi="ar"/>
              </w:rPr>
            </w:pPr>
          </w:p>
        </w:tc>
        <w:tc>
          <w:tcPr>
            <w:tcW w:w="850" w:type="pct"/>
            <w:vMerge w:val="continue"/>
            <w:vAlign w:val="center"/>
          </w:tcPr>
          <w:p w14:paraId="08C21C31">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312B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4149" w:type="pct"/>
            <w:gridSpan w:val="4"/>
            <w:vAlign w:val="center"/>
          </w:tcPr>
          <w:p w14:paraId="66FF78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b/>
                <w:bCs/>
                <w:color w:val="auto"/>
                <w:sz w:val="24"/>
                <w:szCs w:val="24"/>
                <w:highlight w:val="none"/>
              </w:rPr>
              <w:t>其他收费</w:t>
            </w:r>
          </w:p>
        </w:tc>
        <w:tc>
          <w:tcPr>
            <w:tcW w:w="850" w:type="pct"/>
            <w:vMerge w:val="continue"/>
            <w:vAlign w:val="center"/>
          </w:tcPr>
          <w:p w14:paraId="471A85A9">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7E2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7ACFA10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1</w:t>
            </w:r>
          </w:p>
        </w:tc>
        <w:tc>
          <w:tcPr>
            <w:tcW w:w="4050" w:type="dxa"/>
            <w:shd w:val="clear" w:color="auto" w:fill="FFFFFF"/>
            <w:vAlign w:val="center"/>
          </w:tcPr>
          <w:p w14:paraId="13C8668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人工搬运工时费</w:t>
            </w:r>
          </w:p>
        </w:tc>
        <w:tc>
          <w:tcPr>
            <w:tcW w:w="1567" w:type="dxa"/>
            <w:shd w:val="clear" w:color="auto" w:fill="FFFFFF"/>
            <w:vAlign w:val="center"/>
          </w:tcPr>
          <w:p w14:paraId="11A4C22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人/小时</w:t>
            </w:r>
          </w:p>
        </w:tc>
        <w:tc>
          <w:tcPr>
            <w:tcW w:w="1781" w:type="dxa"/>
            <w:shd w:val="clear" w:color="auto" w:fill="FFFFFF"/>
            <w:vAlign w:val="center"/>
          </w:tcPr>
          <w:p w14:paraId="6E18552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60</w:t>
            </w:r>
          </w:p>
        </w:tc>
        <w:tc>
          <w:tcPr>
            <w:tcW w:w="850" w:type="pct"/>
            <w:vMerge w:val="continue"/>
            <w:vAlign w:val="center"/>
          </w:tcPr>
          <w:p w14:paraId="63748813">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6410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0909992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2</w:t>
            </w:r>
          </w:p>
        </w:tc>
        <w:tc>
          <w:tcPr>
            <w:tcW w:w="4050" w:type="dxa"/>
            <w:shd w:val="clear" w:color="auto" w:fill="FFFFFF"/>
            <w:vAlign w:val="center"/>
          </w:tcPr>
          <w:p w14:paraId="1C3D79B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人工加班费（17:00-23:00）</w:t>
            </w:r>
          </w:p>
        </w:tc>
        <w:tc>
          <w:tcPr>
            <w:tcW w:w="1567" w:type="dxa"/>
            <w:shd w:val="clear" w:color="auto" w:fill="FFFFFF"/>
            <w:vAlign w:val="center"/>
          </w:tcPr>
          <w:p w14:paraId="6E1E926F">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人/小时</w:t>
            </w:r>
          </w:p>
        </w:tc>
        <w:tc>
          <w:tcPr>
            <w:tcW w:w="1781" w:type="dxa"/>
            <w:shd w:val="clear" w:color="auto" w:fill="FFFFFF"/>
            <w:vAlign w:val="center"/>
          </w:tcPr>
          <w:p w14:paraId="24212D22">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50</w:t>
            </w:r>
          </w:p>
        </w:tc>
        <w:tc>
          <w:tcPr>
            <w:tcW w:w="850" w:type="pct"/>
            <w:vMerge w:val="continue"/>
            <w:vAlign w:val="center"/>
          </w:tcPr>
          <w:p w14:paraId="43713F0E">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3C5C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3335BEC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3</w:t>
            </w:r>
          </w:p>
        </w:tc>
        <w:tc>
          <w:tcPr>
            <w:tcW w:w="4050" w:type="dxa"/>
            <w:shd w:val="clear" w:color="auto" w:fill="FFFFFF"/>
            <w:vAlign w:val="center"/>
          </w:tcPr>
          <w:p w14:paraId="60E03F8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人工加班费（23:01-7:00）</w:t>
            </w:r>
          </w:p>
        </w:tc>
        <w:tc>
          <w:tcPr>
            <w:tcW w:w="1567" w:type="dxa"/>
            <w:shd w:val="clear" w:color="auto" w:fill="FFFFFF"/>
            <w:vAlign w:val="center"/>
          </w:tcPr>
          <w:p w14:paraId="3144A86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人/小时</w:t>
            </w:r>
          </w:p>
        </w:tc>
        <w:tc>
          <w:tcPr>
            <w:tcW w:w="1781" w:type="dxa"/>
            <w:shd w:val="clear" w:color="auto" w:fill="FFFFFF"/>
            <w:vAlign w:val="center"/>
          </w:tcPr>
          <w:p w14:paraId="668D71A4">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80</w:t>
            </w:r>
          </w:p>
        </w:tc>
        <w:tc>
          <w:tcPr>
            <w:tcW w:w="850" w:type="pct"/>
            <w:vMerge w:val="continue"/>
            <w:vAlign w:val="center"/>
          </w:tcPr>
          <w:p w14:paraId="2B956CF0">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1E08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2BADBF29">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4</w:t>
            </w:r>
          </w:p>
        </w:tc>
        <w:tc>
          <w:tcPr>
            <w:tcW w:w="4050" w:type="dxa"/>
            <w:shd w:val="clear" w:color="auto" w:fill="FFFFFF"/>
            <w:vAlign w:val="center"/>
          </w:tcPr>
          <w:p w14:paraId="13997764">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人工包天计费</w:t>
            </w:r>
          </w:p>
        </w:tc>
        <w:tc>
          <w:tcPr>
            <w:tcW w:w="1567" w:type="dxa"/>
            <w:shd w:val="clear" w:color="auto" w:fill="FFFFFF"/>
            <w:vAlign w:val="center"/>
          </w:tcPr>
          <w:p w14:paraId="65394028">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人/天</w:t>
            </w:r>
          </w:p>
        </w:tc>
        <w:tc>
          <w:tcPr>
            <w:tcW w:w="1781" w:type="dxa"/>
            <w:shd w:val="clear" w:color="auto" w:fill="FFFFFF"/>
            <w:vAlign w:val="center"/>
          </w:tcPr>
          <w:p w14:paraId="4731172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450</w:t>
            </w:r>
          </w:p>
        </w:tc>
        <w:tc>
          <w:tcPr>
            <w:tcW w:w="850" w:type="pct"/>
            <w:vMerge w:val="continue"/>
            <w:vAlign w:val="center"/>
          </w:tcPr>
          <w:p w14:paraId="0B2F3295">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1EF8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591586C3">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5</w:t>
            </w:r>
          </w:p>
        </w:tc>
        <w:tc>
          <w:tcPr>
            <w:tcW w:w="4050" w:type="dxa"/>
            <w:shd w:val="clear" w:color="auto" w:fill="FFFFFF"/>
            <w:vAlign w:val="center"/>
          </w:tcPr>
          <w:p w14:paraId="7B0D9249">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吊车</w:t>
            </w:r>
          </w:p>
        </w:tc>
        <w:tc>
          <w:tcPr>
            <w:tcW w:w="1567" w:type="dxa"/>
            <w:shd w:val="clear" w:color="auto" w:fill="FFFFFF"/>
            <w:vAlign w:val="center"/>
          </w:tcPr>
          <w:p w14:paraId="2B4EEDE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12吨/台班</w:t>
            </w:r>
          </w:p>
        </w:tc>
        <w:tc>
          <w:tcPr>
            <w:tcW w:w="1781" w:type="dxa"/>
            <w:shd w:val="clear" w:color="auto" w:fill="FFFFFF"/>
            <w:vAlign w:val="center"/>
          </w:tcPr>
          <w:p w14:paraId="186DC152">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1100</w:t>
            </w:r>
          </w:p>
        </w:tc>
        <w:tc>
          <w:tcPr>
            <w:tcW w:w="850" w:type="pct"/>
            <w:vMerge w:val="continue"/>
            <w:vAlign w:val="center"/>
          </w:tcPr>
          <w:p w14:paraId="7C5E3132">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5B34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5914F43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6</w:t>
            </w:r>
          </w:p>
        </w:tc>
        <w:tc>
          <w:tcPr>
            <w:tcW w:w="4050" w:type="dxa"/>
            <w:shd w:val="clear" w:color="auto" w:fill="FFFFFF"/>
            <w:vAlign w:val="center"/>
          </w:tcPr>
          <w:p w14:paraId="42212DD0">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吊车</w:t>
            </w:r>
          </w:p>
        </w:tc>
        <w:tc>
          <w:tcPr>
            <w:tcW w:w="1567" w:type="dxa"/>
            <w:shd w:val="clear" w:color="auto" w:fill="FFFFFF"/>
            <w:vAlign w:val="center"/>
          </w:tcPr>
          <w:p w14:paraId="16D75D64">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20吨/台班</w:t>
            </w:r>
          </w:p>
        </w:tc>
        <w:tc>
          <w:tcPr>
            <w:tcW w:w="1781" w:type="dxa"/>
            <w:shd w:val="clear" w:color="auto" w:fill="FFFFFF"/>
            <w:vAlign w:val="center"/>
          </w:tcPr>
          <w:p w14:paraId="0B88121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1280</w:t>
            </w:r>
          </w:p>
        </w:tc>
        <w:tc>
          <w:tcPr>
            <w:tcW w:w="850" w:type="pct"/>
            <w:vMerge w:val="continue"/>
            <w:vAlign w:val="center"/>
          </w:tcPr>
          <w:p w14:paraId="2BEAF912">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54BF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34F4DC7C">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7</w:t>
            </w:r>
          </w:p>
        </w:tc>
        <w:tc>
          <w:tcPr>
            <w:tcW w:w="4050" w:type="dxa"/>
            <w:shd w:val="clear" w:color="auto" w:fill="FFFFFF"/>
            <w:vAlign w:val="center"/>
          </w:tcPr>
          <w:p w14:paraId="485E959A">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叉车</w:t>
            </w:r>
          </w:p>
        </w:tc>
        <w:tc>
          <w:tcPr>
            <w:tcW w:w="1567" w:type="dxa"/>
            <w:shd w:val="clear" w:color="auto" w:fill="FFFFFF"/>
            <w:vAlign w:val="center"/>
          </w:tcPr>
          <w:p w14:paraId="427126C7">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3.5吨/台班</w:t>
            </w:r>
          </w:p>
        </w:tc>
        <w:tc>
          <w:tcPr>
            <w:tcW w:w="1781" w:type="dxa"/>
            <w:shd w:val="clear" w:color="auto" w:fill="FFFFFF"/>
            <w:vAlign w:val="center"/>
          </w:tcPr>
          <w:p w14:paraId="0D5BE9ED">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1200</w:t>
            </w:r>
          </w:p>
        </w:tc>
        <w:tc>
          <w:tcPr>
            <w:tcW w:w="850" w:type="pct"/>
            <w:vMerge w:val="continue"/>
            <w:vAlign w:val="center"/>
          </w:tcPr>
          <w:p w14:paraId="39331554">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r w14:paraId="5E22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831" w:type="dxa"/>
            <w:vAlign w:val="center"/>
          </w:tcPr>
          <w:p w14:paraId="2A35E321">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default" w:ascii="仿宋" w:hAnsi="仿宋" w:eastAsia="仿宋" w:cs="仿宋"/>
                <w:sz w:val="24"/>
                <w:szCs w:val="24"/>
                <w:lang w:val="en-US" w:eastAsia="zh-CN"/>
              </w:rPr>
            </w:pPr>
            <w:r>
              <w:rPr>
                <w:rFonts w:hint="eastAsia" w:ascii="仿宋" w:hAnsi="仿宋" w:eastAsia="仿宋" w:cs="仿宋"/>
                <w:color w:val="auto"/>
                <w:sz w:val="24"/>
                <w:szCs w:val="24"/>
                <w:highlight w:val="none"/>
              </w:rPr>
              <w:t>8</w:t>
            </w:r>
          </w:p>
        </w:tc>
        <w:tc>
          <w:tcPr>
            <w:tcW w:w="4050" w:type="dxa"/>
            <w:shd w:val="clear" w:color="auto" w:fill="FFFFFF"/>
            <w:vAlign w:val="center"/>
          </w:tcPr>
          <w:p w14:paraId="0F6D511B">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云梯</w:t>
            </w:r>
          </w:p>
        </w:tc>
        <w:tc>
          <w:tcPr>
            <w:tcW w:w="1567" w:type="dxa"/>
            <w:shd w:val="clear" w:color="auto" w:fill="FFFFFF"/>
            <w:vAlign w:val="center"/>
          </w:tcPr>
          <w:p w14:paraId="45AB4CFE">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8吨/台班</w:t>
            </w:r>
          </w:p>
        </w:tc>
        <w:tc>
          <w:tcPr>
            <w:tcW w:w="1781" w:type="dxa"/>
            <w:shd w:val="clear" w:color="auto" w:fill="FFFFFF"/>
            <w:vAlign w:val="center"/>
          </w:tcPr>
          <w:p w14:paraId="7BA65DA6">
            <w:pPr>
              <w:pStyle w:val="14"/>
              <w:keepNext w:val="0"/>
              <w:keepLines w:val="0"/>
              <w:pageBreakBefore w:val="0"/>
              <w:widowControl/>
              <w:kinsoku/>
              <w:wordWrap/>
              <w:overflowPunct/>
              <w:topLinePunct w:val="0"/>
              <w:autoSpaceDE/>
              <w:autoSpaceDN/>
              <w:bidi w:val="0"/>
              <w:adjustRightInd/>
              <w:snapToGrid/>
              <w:spacing w:beforeAutospacing="0" w:afterAutospacing="0" w:line="330" w:lineRule="exac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1000</w:t>
            </w:r>
          </w:p>
        </w:tc>
        <w:tc>
          <w:tcPr>
            <w:tcW w:w="850" w:type="pct"/>
            <w:vMerge w:val="continue"/>
            <w:vAlign w:val="center"/>
          </w:tcPr>
          <w:p w14:paraId="139202EB">
            <w:pPr>
              <w:pStyle w:val="7"/>
              <w:keepNext w:val="0"/>
              <w:keepLines w:val="0"/>
              <w:pageBreakBefore w:val="0"/>
              <w:kinsoku/>
              <w:wordWrap/>
              <w:overflowPunct/>
              <w:topLinePunct w:val="0"/>
              <w:autoSpaceDE/>
              <w:autoSpaceDN/>
              <w:bidi w:val="0"/>
              <w:adjustRightInd/>
              <w:snapToGrid/>
              <w:spacing w:beforeAutospacing="0" w:after="0" w:afterAutospacing="0" w:line="330" w:lineRule="exact"/>
              <w:ind w:firstLine="0"/>
              <w:jc w:val="center"/>
              <w:rPr>
                <w:rFonts w:hint="eastAsia" w:ascii="仿宋" w:hAnsi="仿宋" w:eastAsia="仿宋" w:cs="仿宋"/>
                <w:sz w:val="24"/>
                <w:szCs w:val="24"/>
              </w:rPr>
            </w:pPr>
          </w:p>
        </w:tc>
      </w:tr>
    </w:tbl>
    <w:p w14:paraId="3E006520">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仿宋"/>
          <w:b w:val="0"/>
          <w:bCs w:val="0"/>
          <w:sz w:val="22"/>
          <w:szCs w:val="22"/>
          <w:highlight w:val="none"/>
          <w:lang w:val="en-US" w:eastAsia="zh-CN"/>
        </w:rPr>
      </w:pPr>
      <w:r>
        <w:rPr>
          <w:rFonts w:hint="eastAsia" w:ascii="Times New Roman" w:hAnsi="Times New Roman" w:eastAsia="仿宋" w:cs="Times New Roman"/>
          <w:sz w:val="22"/>
          <w:szCs w:val="22"/>
          <w:lang w:val="en-US" w:eastAsia="zh-CN"/>
        </w:rPr>
        <w:t>注：</w:t>
      </w:r>
      <w:r>
        <w:rPr>
          <w:rFonts w:hint="eastAsia" w:ascii="仿宋" w:hAnsi="仿宋" w:eastAsia="仿宋" w:cs="仿宋"/>
          <w:b w:val="0"/>
          <w:bCs w:val="0"/>
          <w:sz w:val="22"/>
          <w:szCs w:val="22"/>
          <w:highlight w:val="none"/>
          <w:lang w:val="en-US" w:eastAsia="zh-CN"/>
        </w:rPr>
        <w:t>本项目采用“统一下浮率”方式进行报价。供应商在“单价限价”的基础上报出一个统一下浮率，下浮率≥0%且＜100%（例如：下浮率20%，则结算单价=单价限价×（1-20%））。</w:t>
      </w:r>
    </w:p>
    <w:p w14:paraId="7EF9E5B8">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仿宋"/>
          <w:b/>
          <w:bCs/>
          <w:sz w:val="22"/>
          <w:szCs w:val="22"/>
          <w:highlight w:val="none"/>
          <w:lang w:val="en-US" w:eastAsia="zh-CN"/>
        </w:rPr>
      </w:pPr>
    </w:p>
    <w:p w14:paraId="17E5E158">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2.其他报价事项</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2147"/>
        <w:gridCol w:w="2382"/>
        <w:gridCol w:w="4316"/>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2147" w:type="dxa"/>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投入事项名称</w:t>
            </w:r>
          </w:p>
        </w:tc>
        <w:tc>
          <w:tcPr>
            <w:tcW w:w="2382" w:type="dxa"/>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投入数量</w:t>
            </w:r>
          </w:p>
        </w:tc>
        <w:tc>
          <w:tcPr>
            <w:tcW w:w="4316" w:type="dxa"/>
            <w:vAlign w:val="center"/>
          </w:tcPr>
          <w:p w14:paraId="46DE0CC1">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备注</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14:paraId="7F2C7653">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2147" w:type="dxa"/>
            <w:vAlign w:val="center"/>
          </w:tcPr>
          <w:p w14:paraId="66702B97">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Times New Roman" w:hAnsi="Times New Roman" w:eastAsia="仿宋" w:cs="Times New Roman"/>
                <w:sz w:val="24"/>
                <w:szCs w:val="24"/>
              </w:rPr>
              <w:t>厢式货车</w:t>
            </w:r>
          </w:p>
        </w:tc>
        <w:tc>
          <w:tcPr>
            <w:tcW w:w="2382" w:type="dxa"/>
            <w:vAlign w:val="center"/>
          </w:tcPr>
          <w:p w14:paraId="6D1A592B">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u w:val="single"/>
                <w:lang w:val="en-US" w:eastAsia="zh-CN"/>
              </w:rPr>
              <w:t xml:space="preserve">    </w:t>
            </w:r>
            <w:r>
              <w:rPr>
                <w:rFonts w:hint="eastAsia" w:ascii="Times New Roman" w:hAnsi="Times New Roman" w:eastAsia="仿宋" w:cs="Times New Roman"/>
                <w:sz w:val="24"/>
                <w:szCs w:val="24"/>
                <w:lang w:val="en-US" w:eastAsia="zh-CN"/>
              </w:rPr>
              <w:t>辆</w:t>
            </w:r>
          </w:p>
        </w:tc>
        <w:tc>
          <w:tcPr>
            <w:tcW w:w="4316" w:type="dxa"/>
            <w:vAlign w:val="center"/>
          </w:tcPr>
          <w:p w14:paraId="6D8D9C29">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highlight w:val="none"/>
              </w:rPr>
              <w:t>不少于5辆厢式货车（自有或租赁）</w:t>
            </w: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14:paraId="0D80FADA">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2147" w:type="dxa"/>
            <w:vAlign w:val="center"/>
          </w:tcPr>
          <w:p w14:paraId="18512144">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Times New Roman" w:hAnsi="Times New Roman" w:eastAsia="仿宋" w:cs="Times New Roman"/>
                <w:sz w:val="24"/>
                <w:szCs w:val="24"/>
                <w:highlight w:val="none"/>
              </w:rPr>
              <w:t>搬运人员</w:t>
            </w:r>
          </w:p>
        </w:tc>
        <w:tc>
          <w:tcPr>
            <w:tcW w:w="2382" w:type="dxa"/>
            <w:vAlign w:val="center"/>
          </w:tcPr>
          <w:p w14:paraId="544EF406">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u w:val="single"/>
                <w:vertAlign w:val="baseline"/>
                <w:lang w:val="en-US" w:eastAsia="zh-CN"/>
              </w:rPr>
              <w:t xml:space="preserve">    </w:t>
            </w:r>
            <w:r>
              <w:rPr>
                <w:rFonts w:hint="eastAsia" w:ascii="仿宋" w:hAnsi="仿宋" w:eastAsia="仿宋" w:cs="仿宋"/>
                <w:b w:val="0"/>
                <w:bCs w:val="0"/>
                <w:sz w:val="24"/>
                <w:szCs w:val="24"/>
                <w:highlight w:val="none"/>
                <w:vertAlign w:val="baseline"/>
                <w:lang w:val="en-US" w:eastAsia="zh-CN"/>
              </w:rPr>
              <w:t>名</w:t>
            </w:r>
          </w:p>
        </w:tc>
        <w:tc>
          <w:tcPr>
            <w:tcW w:w="4316" w:type="dxa"/>
            <w:vAlign w:val="center"/>
          </w:tcPr>
          <w:p w14:paraId="6F5C256A">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highlight w:val="none"/>
              </w:rPr>
              <w:t>不少于10名搬运人员</w:t>
            </w:r>
          </w:p>
        </w:tc>
      </w:tr>
    </w:tbl>
    <w:p w14:paraId="5BA4A83B">
      <w:pPr>
        <w:keepNext w:val="0"/>
        <w:keepLines w:val="0"/>
        <w:pageBreakBefore w:val="0"/>
        <w:widowControl/>
        <w:kinsoku/>
        <w:wordWrap/>
        <w:overflowPunct/>
        <w:topLinePunct w:val="0"/>
        <w:autoSpaceDE/>
        <w:autoSpaceDN/>
        <w:bidi w:val="0"/>
        <w:adjustRightInd/>
        <w:snapToGrid/>
        <w:spacing w:line="400" w:lineRule="exact"/>
        <w:jc w:val="left"/>
        <w:rPr>
          <w:rFonts w:hint="default" w:ascii="仿宋" w:hAnsi="仿宋" w:eastAsia="仿宋" w:cs="仿宋"/>
          <w:b w:val="0"/>
          <w:bCs w:val="0"/>
          <w:sz w:val="22"/>
          <w:szCs w:val="22"/>
          <w:highlight w:val="none"/>
          <w:lang w:val="en-US" w:eastAsia="zh-CN"/>
        </w:rPr>
      </w:pPr>
    </w:p>
    <w:p w14:paraId="41788243">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仿宋"/>
          <w:b w:val="0"/>
          <w:bCs w:val="0"/>
          <w:sz w:val="22"/>
          <w:szCs w:val="22"/>
          <w:highlight w:val="none"/>
          <w:lang w:val="en-US" w:eastAsia="zh-CN"/>
        </w:rPr>
      </w:pPr>
    </w:p>
    <w:p w14:paraId="183A882A">
      <w:pPr>
        <w:keepNext w:val="0"/>
        <w:keepLines w:val="0"/>
        <w:pageBreakBefore w:val="0"/>
        <w:widowControl/>
        <w:kinsoku/>
        <w:wordWrap/>
        <w:overflowPunct/>
        <w:topLinePunct w:val="0"/>
        <w:autoSpaceDE/>
        <w:autoSpaceDN/>
        <w:bidi w:val="0"/>
        <w:adjustRightInd/>
        <w:snapToGrid/>
        <w:spacing w:line="400" w:lineRule="exact"/>
        <w:jc w:val="left"/>
        <w:rPr>
          <w:rFonts w:ascii="Times New Roman" w:hAnsi="Times New Roman" w:eastAsia="仿宋" w:cs="Times New Roman"/>
          <w:sz w:val="22"/>
          <w:szCs w:val="22"/>
          <w:lang w:val="zh-TW" w:eastAsia="zh-TW"/>
        </w:rPr>
      </w:pPr>
      <w:r>
        <w:rPr>
          <w:rFonts w:ascii="Times New Roman" w:hAnsi="Times New Roman" w:eastAsia="仿宋" w:cs="Times New Roman"/>
          <w:sz w:val="22"/>
          <w:szCs w:val="22"/>
          <w:lang w:val="zh-TW"/>
        </w:rPr>
        <w:t>供应商</w:t>
      </w:r>
      <w:r>
        <w:rPr>
          <w:rFonts w:ascii="Times New Roman" w:hAnsi="Times New Roman" w:eastAsia="仿宋" w:cs="Times New Roman"/>
          <w:sz w:val="22"/>
          <w:szCs w:val="22"/>
          <w:lang w:val="zh-TW" w:eastAsia="zh-TW"/>
        </w:rPr>
        <w:t>名称：                             （供应商公章）</w:t>
      </w:r>
    </w:p>
    <w:p w14:paraId="7A396846">
      <w:pPr>
        <w:keepNext w:val="0"/>
        <w:keepLines w:val="0"/>
        <w:pageBreakBefore w:val="0"/>
        <w:widowControl/>
        <w:kinsoku/>
        <w:wordWrap/>
        <w:overflowPunct/>
        <w:topLinePunct w:val="0"/>
        <w:autoSpaceDE/>
        <w:autoSpaceDN/>
        <w:bidi w:val="0"/>
        <w:adjustRightInd/>
        <w:snapToGrid/>
        <w:spacing w:line="400" w:lineRule="exact"/>
        <w:jc w:val="left"/>
        <w:rPr>
          <w:rFonts w:ascii="Times New Roman" w:hAnsi="Times New Roman" w:eastAsia="仿宋" w:cs="Times New Roman"/>
          <w:sz w:val="22"/>
          <w:szCs w:val="22"/>
          <w:lang w:val="zh-TW" w:eastAsia="zh-TW"/>
        </w:rPr>
      </w:pPr>
      <w:r>
        <w:rPr>
          <w:rFonts w:ascii="Times New Roman" w:hAnsi="Times New Roman" w:eastAsia="仿宋" w:cs="Times New Roman"/>
          <w:sz w:val="22"/>
          <w:szCs w:val="22"/>
          <w:lang w:val="zh-TW" w:eastAsia="zh-TW"/>
        </w:rPr>
        <w:t>法定代</w:t>
      </w:r>
      <w:r>
        <w:rPr>
          <w:rFonts w:hint="eastAsia" w:ascii="Times New Roman" w:hAnsi="Times New Roman" w:eastAsia="仿宋" w:cs="Times New Roman"/>
          <w:sz w:val="22"/>
          <w:szCs w:val="22"/>
          <w:lang w:val="zh-TW" w:eastAsia="zh-CN"/>
        </w:rPr>
        <w:t>表人</w:t>
      </w:r>
      <w:r>
        <w:rPr>
          <w:rFonts w:ascii="Times New Roman" w:hAnsi="Times New Roman" w:eastAsia="仿宋" w:cs="Times New Roman"/>
          <w:sz w:val="22"/>
          <w:szCs w:val="22"/>
          <w:lang w:val="zh-TW" w:eastAsia="zh-TW"/>
        </w:rPr>
        <w:t>（负责人）或授权代表人</w:t>
      </w:r>
    </w:p>
    <w:p w14:paraId="07622C4F">
      <w:pPr>
        <w:keepNext w:val="0"/>
        <w:keepLines w:val="0"/>
        <w:pageBreakBefore w:val="0"/>
        <w:widowControl/>
        <w:kinsoku/>
        <w:wordWrap/>
        <w:overflowPunct/>
        <w:topLinePunct w:val="0"/>
        <w:autoSpaceDE/>
        <w:autoSpaceDN/>
        <w:bidi w:val="0"/>
        <w:adjustRightInd/>
        <w:snapToGrid/>
        <w:spacing w:line="400" w:lineRule="exact"/>
        <w:jc w:val="left"/>
        <w:rPr>
          <w:rFonts w:ascii="Times New Roman" w:hAnsi="Times New Roman" w:eastAsia="仿宋" w:cs="Times New Roman"/>
          <w:sz w:val="22"/>
          <w:szCs w:val="22"/>
          <w:lang w:val="zh-TW" w:eastAsia="zh-TW"/>
        </w:rPr>
      </w:pPr>
      <w:r>
        <w:rPr>
          <w:rFonts w:ascii="Times New Roman" w:hAnsi="Times New Roman" w:eastAsia="仿宋" w:cs="Times New Roman"/>
          <w:sz w:val="22"/>
          <w:szCs w:val="22"/>
          <w:lang w:val="zh-TW" w:eastAsia="zh-TW"/>
        </w:rPr>
        <w:t>（签字或加盖个人名章）：</w:t>
      </w:r>
    </w:p>
    <w:p w14:paraId="5C4A954F">
      <w:pPr>
        <w:keepNext w:val="0"/>
        <w:keepLines w:val="0"/>
        <w:pageBreakBefore w:val="0"/>
        <w:kinsoku/>
        <w:wordWrap/>
        <w:overflowPunct/>
        <w:topLinePunct w:val="0"/>
        <w:autoSpaceDE/>
        <w:autoSpaceDN/>
        <w:bidi w:val="0"/>
        <w:adjustRightInd/>
        <w:snapToGrid/>
        <w:spacing w:line="400" w:lineRule="exact"/>
        <w:jc w:val="left"/>
        <w:rPr>
          <w:rFonts w:ascii="Times New Roman" w:hAnsi="Times New Roman" w:eastAsia="仿宋" w:cs="Times New Roman"/>
          <w:sz w:val="22"/>
          <w:szCs w:val="22"/>
          <w:u w:val="single"/>
        </w:rPr>
      </w:pPr>
      <w:r>
        <w:rPr>
          <w:rFonts w:ascii="Times New Roman" w:hAnsi="Times New Roman" w:eastAsia="仿宋" w:cs="Times New Roman"/>
          <w:sz w:val="22"/>
          <w:szCs w:val="22"/>
        </w:rPr>
        <w:t>_____</w:t>
      </w:r>
      <w:r>
        <w:rPr>
          <w:rFonts w:ascii="Times New Roman" w:hAnsi="Times New Roman" w:eastAsia="仿宋" w:cs="Times New Roman"/>
          <w:sz w:val="22"/>
          <w:szCs w:val="22"/>
          <w:lang w:val="zh-TW" w:eastAsia="zh-TW"/>
        </w:rPr>
        <w:t>年</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lang w:val="zh-TW" w:eastAsia="zh-TW"/>
        </w:rPr>
        <w:t>月</w:t>
      </w:r>
      <w:r>
        <w:rPr>
          <w:rFonts w:ascii="Times New Roman" w:hAnsi="Times New Roman" w:eastAsia="仿宋" w:cs="Times New Roman"/>
          <w:sz w:val="22"/>
          <w:szCs w:val="22"/>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2"/>
          <w:szCs w:val="22"/>
          <w:u w:val="single"/>
        </w:rPr>
      </w:pPr>
      <w:r>
        <w:rPr>
          <w:rFonts w:ascii="Times New Roman" w:hAnsi="Times New Roman" w:eastAsia="仿宋" w:cs="Times New Roman"/>
          <w:sz w:val="22"/>
          <w:szCs w:val="22"/>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0"/>
        <w:rPr>
          <w:sz w:val="48"/>
          <w:szCs w:val="48"/>
        </w:rPr>
      </w:pPr>
      <w:r>
        <w:rPr>
          <w:rFonts w:hint="eastAsia"/>
          <w:sz w:val="48"/>
          <w:szCs w:val="48"/>
        </w:rPr>
        <w:t>*</w:t>
      </w:r>
      <w:r>
        <w:rPr>
          <w:sz w:val="48"/>
          <w:szCs w:val="48"/>
        </w:rPr>
        <w:t>**</w:t>
      </w:r>
      <w:r>
        <w:rPr>
          <w:rFonts w:hint="eastAsia"/>
          <w:sz w:val="48"/>
          <w:szCs w:val="48"/>
        </w:rPr>
        <w:t>服务项目</w:t>
      </w:r>
    </w:p>
    <w:p w14:paraId="51A81929">
      <w:pPr>
        <w:pStyle w:val="40"/>
        <w:rPr>
          <w:color w:val="000000"/>
          <w:szCs w:val="21"/>
        </w:rPr>
      </w:pPr>
      <w:r>
        <w:rPr>
          <w:rFonts w:hint="eastAsia"/>
          <w:sz w:val="48"/>
          <w:szCs w:val="48"/>
        </w:rPr>
        <w:t>采购</w:t>
      </w:r>
      <w:r>
        <w:rPr>
          <w:sz w:val="48"/>
          <w:szCs w:val="48"/>
        </w:rPr>
        <w:t>合同</w:t>
      </w: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4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keepNext w:val="0"/>
              <w:keepLines w:val="0"/>
              <w:pageBreakBefore w:val="0"/>
              <w:kinsoku/>
              <w:wordWrap/>
              <w:overflowPunct/>
              <w:topLinePunct w:val="0"/>
              <w:autoSpaceDE/>
              <w:autoSpaceDN/>
              <w:bidi w:val="0"/>
              <w:spacing w:line="240" w:lineRule="auto"/>
              <w:ind w:left="0" w:leftChars="0"/>
              <w:contextualSpacing/>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合同编号</w:t>
            </w:r>
            <w:r>
              <w:rPr>
                <w:rFonts w:hint="eastAsia" w:ascii="宋体" w:hAnsi="宋体" w:eastAsia="宋体" w:cs="宋体"/>
                <w:color w:val="000000"/>
                <w:sz w:val="24"/>
                <w:szCs w:val="24"/>
              </w:rPr>
              <w:t>：CGZX-***</w:t>
            </w:r>
          </w:p>
          <w:p w14:paraId="2F6BC159">
            <w:pPr>
              <w:keepNext w:val="0"/>
              <w:keepLines w:val="0"/>
              <w:pageBreakBefore w:val="0"/>
              <w:kinsoku/>
              <w:wordWrap/>
              <w:overflowPunct/>
              <w:topLinePunct w:val="0"/>
              <w:autoSpaceDE/>
              <w:autoSpaceDN/>
              <w:bidi w:val="0"/>
              <w:spacing w:line="240" w:lineRule="auto"/>
              <w:ind w:left="0" w:leftChars="0"/>
              <w:contextualSpacing/>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签订地点</w:t>
            </w:r>
            <w:r>
              <w:rPr>
                <w:rFonts w:hint="eastAsia" w:ascii="宋体" w:hAnsi="宋体" w:eastAsia="宋体" w:cs="宋体"/>
                <w:color w:val="000000"/>
                <w:sz w:val="24"/>
                <w:szCs w:val="24"/>
              </w:rPr>
              <w:t>：四川省人民医院</w:t>
            </w:r>
          </w:p>
        </w:tc>
      </w:tr>
      <w:tr w14:paraId="0D99C533">
        <w:tblPrEx>
          <w:tblCellMar>
            <w:top w:w="0" w:type="dxa"/>
            <w:left w:w="0" w:type="dxa"/>
            <w:bottom w:w="0" w:type="dxa"/>
            <w:right w:w="0" w:type="dxa"/>
          </w:tblCellMar>
        </w:tblPrEx>
        <w:trPr>
          <w:jc w:val="center"/>
        </w:trPr>
        <w:tc>
          <w:tcPr>
            <w:tcW w:w="4962" w:type="dxa"/>
          </w:tcPr>
          <w:p w14:paraId="1D8C7125">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采购人（以下简称甲方）</w:t>
            </w:r>
            <w:r>
              <w:rPr>
                <w:rFonts w:hint="eastAsia" w:ascii="宋体" w:hAnsi="宋体" w:eastAsia="宋体" w:cs="宋体"/>
                <w:sz w:val="24"/>
                <w:szCs w:val="24"/>
              </w:rPr>
              <w:t>：四川省人民医院</w:t>
            </w:r>
          </w:p>
          <w:p w14:paraId="2FDD4CAB">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地址</w:t>
            </w:r>
            <w:r>
              <w:rPr>
                <w:rFonts w:hint="eastAsia" w:ascii="宋体" w:hAnsi="宋体" w:eastAsia="宋体" w:cs="宋体"/>
                <w:sz w:val="24"/>
                <w:szCs w:val="24"/>
              </w:rPr>
              <w:t>：四川省成都市一环路西二段32号</w:t>
            </w:r>
          </w:p>
          <w:p w14:paraId="57D306C0">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项目联系人</w:t>
            </w:r>
            <w:r>
              <w:rPr>
                <w:rFonts w:hint="eastAsia" w:ascii="宋体" w:hAnsi="宋体" w:eastAsia="宋体" w:cs="宋体"/>
                <w:sz w:val="24"/>
                <w:szCs w:val="24"/>
              </w:rPr>
              <w:t xml:space="preserve">：*** </w:t>
            </w:r>
            <w:r>
              <w:rPr>
                <w:rFonts w:hint="eastAsia" w:ascii="宋体" w:hAnsi="宋体" w:eastAsia="宋体" w:cs="宋体"/>
                <w:b/>
                <w:bCs/>
                <w:sz w:val="24"/>
                <w:szCs w:val="24"/>
              </w:rPr>
              <w:t>电话</w:t>
            </w:r>
            <w:r>
              <w:rPr>
                <w:rFonts w:hint="eastAsia" w:ascii="宋体" w:hAnsi="宋体" w:eastAsia="宋体" w:cs="宋体"/>
                <w:sz w:val="24"/>
                <w:szCs w:val="24"/>
              </w:rPr>
              <w:t>：***</w:t>
            </w:r>
          </w:p>
          <w:p w14:paraId="55B6CA4B">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电子邮件：</w:t>
            </w:r>
            <w:r>
              <w:rPr>
                <w:rFonts w:hint="eastAsia" w:ascii="宋体" w:hAnsi="宋体" w:eastAsia="宋体" w:cs="宋体"/>
                <w:sz w:val="24"/>
                <w:szCs w:val="24"/>
              </w:rPr>
              <w:t>***</w:t>
            </w:r>
          </w:p>
        </w:tc>
        <w:tc>
          <w:tcPr>
            <w:tcW w:w="5242" w:type="dxa"/>
          </w:tcPr>
          <w:p w14:paraId="607B7137">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供应商（以下简称乙方）：***</w:t>
            </w:r>
          </w:p>
          <w:p w14:paraId="7AB3403D">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地址：***</w:t>
            </w:r>
          </w:p>
          <w:p w14:paraId="49B46EA1">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移动电话：***</w:t>
            </w:r>
          </w:p>
          <w:p w14:paraId="2A04E3BE">
            <w:pPr>
              <w:keepNext w:val="0"/>
              <w:keepLines w:val="0"/>
              <w:pageBreakBefore w:val="0"/>
              <w:kinsoku/>
              <w:wordWrap/>
              <w:overflowPunct/>
              <w:topLinePunct w:val="0"/>
              <w:autoSpaceDE/>
              <w:autoSpaceDN/>
              <w:bidi w:val="0"/>
              <w:spacing w:line="240" w:lineRule="auto"/>
              <w:ind w:left="0" w:leftChars="0"/>
              <w:contextualSpacing/>
              <w:textAlignment w:val="auto"/>
              <w:rPr>
                <w:rFonts w:hint="eastAsia" w:ascii="宋体" w:hAnsi="宋体" w:eastAsia="宋体" w:cs="宋体"/>
                <w:b/>
                <w:bCs/>
                <w:sz w:val="24"/>
                <w:szCs w:val="24"/>
              </w:rPr>
            </w:pPr>
            <w:r>
              <w:rPr>
                <w:rFonts w:hint="eastAsia" w:ascii="宋体" w:hAnsi="宋体" w:eastAsia="宋体" w:cs="宋体"/>
                <w:b/>
                <w:bCs/>
                <w:sz w:val="24"/>
                <w:szCs w:val="24"/>
              </w:rPr>
              <w:t>联系人：***</w:t>
            </w:r>
          </w:p>
          <w:p w14:paraId="18A1ADEB">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Cs/>
                <w:sz w:val="24"/>
                <w:szCs w:val="24"/>
              </w:rPr>
            </w:pPr>
            <w:r>
              <w:rPr>
                <w:rFonts w:hint="eastAsia" w:ascii="宋体" w:hAnsi="宋体" w:eastAsia="宋体" w:cs="宋体"/>
                <w:b/>
                <w:bCs/>
                <w:sz w:val="24"/>
                <w:szCs w:val="24"/>
              </w:rPr>
              <w:t>电子邮件：</w:t>
            </w:r>
            <w:r>
              <w:rPr>
                <w:rFonts w:hint="eastAsia" w:ascii="宋体" w:hAnsi="宋体" w:eastAsia="宋体" w:cs="宋体"/>
                <w:sz w:val="24"/>
                <w:szCs w:val="24"/>
              </w:rPr>
              <w:t>***</w:t>
            </w:r>
          </w:p>
        </w:tc>
      </w:tr>
    </w:tbl>
    <w:p w14:paraId="5F2EEB2D">
      <w:pPr>
        <w:keepNext w:val="0"/>
        <w:keepLines w:val="0"/>
        <w:pageBreakBefore w:val="0"/>
        <w:kinsoku/>
        <w:wordWrap/>
        <w:overflowPunct/>
        <w:topLinePunct w:val="0"/>
        <w:autoSpaceDE/>
        <w:autoSpaceDN/>
        <w:bidi w:val="0"/>
        <w:spacing w:line="240" w:lineRule="auto"/>
        <w:ind w:left="0" w:leftChars="0" w:firstLine="480" w:firstLineChars="200"/>
        <w:contextualSpacing/>
        <w:jc w:val="left"/>
        <w:textAlignment w:val="auto"/>
        <w:rPr>
          <w:rFonts w:hint="eastAsia" w:ascii="宋体" w:hAnsi="宋体" w:eastAsia="宋体" w:cs="宋体"/>
          <w:color w:val="000000"/>
          <w:sz w:val="24"/>
          <w:szCs w:val="24"/>
        </w:rPr>
      </w:pPr>
    </w:p>
    <w:p w14:paraId="2600F949">
      <w:pPr>
        <w:keepNext w:val="0"/>
        <w:keepLines w:val="0"/>
        <w:pageBreakBefore w:val="0"/>
        <w:kinsoku/>
        <w:wordWrap/>
        <w:overflowPunct/>
        <w:topLinePunct w:val="0"/>
        <w:autoSpaceDE/>
        <w:autoSpaceDN/>
        <w:bidi w:val="0"/>
        <w:adjustRightInd w:val="0"/>
        <w:spacing w:line="240" w:lineRule="auto"/>
        <w:ind w:left="0" w:leftChars="0" w:firstLine="480" w:firstLineChars="200"/>
        <w:contextualSpacing/>
        <w:jc w:val="left"/>
        <w:textAlignment w:val="auto"/>
        <w:rPr>
          <w:rFonts w:hint="eastAsia" w:ascii="宋体" w:hAnsi="宋体" w:eastAsia="宋体" w:cs="宋体"/>
          <w:b/>
          <w:sz w:val="24"/>
          <w:szCs w:val="24"/>
        </w:rPr>
      </w:pPr>
      <w:r>
        <w:rPr>
          <w:rFonts w:hint="eastAsia" w:ascii="宋体" w:hAnsi="宋体" w:eastAsia="宋体" w:cs="宋体"/>
          <w:color w:val="000000"/>
          <w:sz w:val="24"/>
          <w:szCs w:val="24"/>
        </w:rPr>
        <w:t>根据《中华人民共和国民法典》及甲方发布的***项目（项目编号</w:t>
      </w:r>
      <w:permStart w:id="0" w:edGrp="everyone"/>
      <w:r>
        <w:rPr>
          <w:rFonts w:hint="eastAsia" w:ascii="宋体" w:hAnsi="宋体" w:eastAsia="宋体" w:cs="宋体"/>
          <w:color w:val="000000"/>
          <w:sz w:val="24"/>
          <w:szCs w:val="24"/>
        </w:rPr>
        <w:t>：</w:t>
      </w:r>
      <w:r>
        <w:rPr>
          <w:rFonts w:hint="eastAsia" w:ascii="宋体" w:hAnsi="宋体" w:eastAsia="宋体" w:cs="宋体"/>
          <w:sz w:val="24"/>
          <w:szCs w:val="24"/>
        </w:rPr>
        <w:t>***</w:t>
      </w:r>
      <w:permEnd w:id="0"/>
      <w:r>
        <w:rPr>
          <w:rFonts w:hint="eastAsia" w:ascii="宋体" w:hAnsi="宋体" w:eastAsia="宋体" w:cs="宋体"/>
          <w:color w:val="000000"/>
          <w:sz w:val="24"/>
          <w:szCs w:val="24"/>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kinsoku/>
        <w:wordWrap/>
        <w:overflowPunct/>
        <w:topLinePunct w:val="0"/>
        <w:autoSpaceDE/>
        <w:autoSpaceDN/>
        <w:bidi w:val="0"/>
        <w:spacing w:line="240" w:lineRule="auto"/>
        <w:ind w:left="0" w:leftChars="0"/>
        <w:contextualSpacing/>
        <w:jc w:val="left"/>
        <w:textAlignment w:val="auto"/>
        <w:rPr>
          <w:rFonts w:hint="eastAsia" w:ascii="宋体" w:hAnsi="宋体" w:eastAsia="宋体" w:cs="宋体"/>
          <w:b/>
          <w:sz w:val="24"/>
          <w:szCs w:val="24"/>
        </w:rPr>
      </w:pPr>
    </w:p>
    <w:p w14:paraId="4F98A680">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合同标的</w:t>
      </w:r>
    </w:p>
    <w:p w14:paraId="2E385537">
      <w:pPr>
        <w:pStyle w:val="9"/>
        <w:keepNext w:val="0"/>
        <w:keepLines w:val="0"/>
        <w:pageBreakBefore w:val="0"/>
        <w:numPr>
          <w:ilvl w:val="0"/>
          <w:numId w:val="13"/>
        </w:numPr>
        <w:kinsoku/>
        <w:wordWrap/>
        <w:overflowPunct/>
        <w:topLinePunct w:val="0"/>
        <w:autoSpaceDE/>
        <w:autoSpaceDN/>
        <w:bidi w:val="0"/>
        <w:spacing w:after="0" w:line="240" w:lineRule="auto"/>
        <w:ind w:left="240" w:leftChars="0" w:hanging="240" w:hangingChars="1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标的名称：</w:t>
      </w:r>
      <w:permStart w:id="1" w:edGrp="everyone"/>
      <w:r>
        <w:rPr>
          <w:rFonts w:hint="eastAsia" w:ascii="宋体" w:hAnsi="宋体" w:eastAsia="宋体" w:cs="宋体"/>
          <w:sz w:val="24"/>
          <w:szCs w:val="24"/>
        </w:rPr>
        <w:t>***</w:t>
      </w:r>
      <w:permEnd w:id="1"/>
      <w:r>
        <w:rPr>
          <w:rFonts w:hint="eastAsia" w:ascii="宋体" w:hAnsi="宋体" w:eastAsia="宋体" w:cs="宋体"/>
          <w:sz w:val="24"/>
          <w:szCs w:val="24"/>
        </w:rPr>
        <w:t>。</w:t>
      </w:r>
    </w:p>
    <w:p w14:paraId="4229FB38">
      <w:pPr>
        <w:pStyle w:val="9"/>
        <w:keepNext w:val="0"/>
        <w:keepLines w:val="0"/>
        <w:pageBreakBefore w:val="0"/>
        <w:numPr>
          <w:ilvl w:val="0"/>
          <w:numId w:val="13"/>
        </w:numPr>
        <w:kinsoku/>
        <w:wordWrap/>
        <w:overflowPunct/>
        <w:topLinePunct w:val="0"/>
        <w:autoSpaceDE/>
        <w:autoSpaceDN/>
        <w:bidi w:val="0"/>
        <w:spacing w:after="0" w:line="240" w:lineRule="auto"/>
        <w:ind w:left="240" w:leftChars="0" w:hanging="240" w:hangingChars="1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乙方向甲方提供服务的主要内容：***。</w:t>
      </w:r>
    </w:p>
    <w:p w14:paraId="5F975DD2">
      <w:pPr>
        <w:pStyle w:val="9"/>
        <w:keepNext w:val="0"/>
        <w:keepLines w:val="0"/>
        <w:pageBreakBefore w:val="0"/>
        <w:numPr>
          <w:ilvl w:val="0"/>
          <w:numId w:val="13"/>
        </w:numPr>
        <w:kinsoku/>
        <w:wordWrap/>
        <w:overflowPunct/>
        <w:topLinePunct w:val="0"/>
        <w:autoSpaceDE/>
        <w:autoSpaceDN/>
        <w:bidi w:val="0"/>
        <w:spacing w:after="0" w:line="240" w:lineRule="auto"/>
        <w:ind w:left="240" w:leftChars="0" w:hanging="240" w:hangingChars="1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服务分项明细：</w:t>
      </w:r>
      <w:r>
        <w:rPr>
          <w:rFonts w:hint="eastAsia" w:ascii="宋体" w:hAnsi="宋体" w:eastAsia="宋体" w:cs="宋体"/>
          <w:i/>
          <w:iCs/>
          <w:color w:val="000000"/>
          <w:sz w:val="24"/>
          <w:szCs w:val="24"/>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800"/>
        <w:gridCol w:w="3463"/>
        <w:gridCol w:w="932"/>
        <w:gridCol w:w="1901"/>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977" w:type="dxa"/>
            <w:vAlign w:val="center"/>
          </w:tcPr>
          <w:p w14:paraId="42032E31">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分项服务名称</w:t>
            </w:r>
          </w:p>
        </w:tc>
        <w:tc>
          <w:tcPr>
            <w:tcW w:w="3686" w:type="dxa"/>
            <w:vAlign w:val="center"/>
          </w:tcPr>
          <w:p w14:paraId="0F0FDBF4">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具体内容</w:t>
            </w:r>
          </w:p>
        </w:tc>
        <w:tc>
          <w:tcPr>
            <w:tcW w:w="963" w:type="dxa"/>
            <w:vAlign w:val="center"/>
          </w:tcPr>
          <w:p w14:paraId="6E75E46C">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分项价格（万元）</w:t>
            </w:r>
          </w:p>
        </w:tc>
        <w:tc>
          <w:tcPr>
            <w:tcW w:w="2016" w:type="dxa"/>
          </w:tcPr>
          <w:p w14:paraId="3BC8F9B2">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977" w:type="dxa"/>
            <w:vAlign w:val="center"/>
          </w:tcPr>
          <w:p w14:paraId="629F7C51">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3686" w:type="dxa"/>
            <w:vAlign w:val="center"/>
          </w:tcPr>
          <w:p w14:paraId="1B711F72">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963" w:type="dxa"/>
            <w:vAlign w:val="center"/>
          </w:tcPr>
          <w:p w14:paraId="5DD02118">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p>
        </w:tc>
        <w:tc>
          <w:tcPr>
            <w:tcW w:w="2016" w:type="dxa"/>
          </w:tcPr>
          <w:p w14:paraId="149276E7">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977" w:type="dxa"/>
            <w:vAlign w:val="center"/>
          </w:tcPr>
          <w:p w14:paraId="0E44D544">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3686" w:type="dxa"/>
            <w:vAlign w:val="center"/>
          </w:tcPr>
          <w:p w14:paraId="01B65D9C">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963" w:type="dxa"/>
            <w:vAlign w:val="center"/>
          </w:tcPr>
          <w:p w14:paraId="4C31DD39">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p>
        </w:tc>
        <w:tc>
          <w:tcPr>
            <w:tcW w:w="2016" w:type="dxa"/>
          </w:tcPr>
          <w:p w14:paraId="3000AC5A">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977" w:type="dxa"/>
            <w:vAlign w:val="center"/>
          </w:tcPr>
          <w:p w14:paraId="71D5F885">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3686" w:type="dxa"/>
            <w:vAlign w:val="center"/>
          </w:tcPr>
          <w:p w14:paraId="38AC0A57">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963" w:type="dxa"/>
            <w:vAlign w:val="center"/>
          </w:tcPr>
          <w:p w14:paraId="3B158765">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p>
        </w:tc>
        <w:tc>
          <w:tcPr>
            <w:tcW w:w="2016" w:type="dxa"/>
          </w:tcPr>
          <w:p w14:paraId="43F7F4B9">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977" w:type="dxa"/>
            <w:vAlign w:val="center"/>
          </w:tcPr>
          <w:p w14:paraId="492CFE5D">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3686" w:type="dxa"/>
            <w:vAlign w:val="center"/>
          </w:tcPr>
          <w:p w14:paraId="5E27032F">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c>
          <w:tcPr>
            <w:tcW w:w="963" w:type="dxa"/>
            <w:vAlign w:val="center"/>
          </w:tcPr>
          <w:p w14:paraId="19B21445">
            <w:pPr>
              <w:pStyle w:val="28"/>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sz w:val="24"/>
                <w:szCs w:val="24"/>
              </w:rPr>
            </w:pPr>
          </w:p>
        </w:tc>
        <w:tc>
          <w:tcPr>
            <w:tcW w:w="2016" w:type="dxa"/>
          </w:tcPr>
          <w:p w14:paraId="5FC047A6">
            <w:pPr>
              <w:pStyle w:val="28"/>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color w:val="000000"/>
                <w:sz w:val="24"/>
                <w:szCs w:val="24"/>
              </w:rPr>
            </w:pPr>
          </w:p>
        </w:tc>
      </w:tr>
    </w:tbl>
    <w:p w14:paraId="2D35C912">
      <w:pPr>
        <w:pStyle w:val="28"/>
        <w:keepNext w:val="0"/>
        <w:keepLines w:val="0"/>
        <w:pageBreakBefore w:val="0"/>
        <w:widowControl w:val="0"/>
        <w:numPr>
          <w:ilvl w:val="0"/>
          <w:numId w:val="12"/>
        </w:numPr>
        <w:kinsoku/>
        <w:wordWrap/>
        <w:overflowPunct/>
        <w:topLinePunct w:val="0"/>
        <w:autoSpaceDE/>
        <w:autoSpaceDN/>
        <w:bidi w:val="0"/>
        <w:adjustRightInd/>
        <w:snapToGrid/>
        <w:spacing w:line="240" w:lineRule="auto"/>
        <w:ind w:left="482" w:leftChars="0" w:hanging="482" w:firstLineChars="0"/>
        <w:jc w:val="left"/>
        <w:textAlignment w:val="auto"/>
        <w:rPr>
          <w:rFonts w:hint="eastAsia" w:ascii="宋体" w:hAnsi="宋体" w:eastAsia="宋体" w:cs="宋体"/>
          <w:b/>
          <w:sz w:val="24"/>
          <w:szCs w:val="24"/>
        </w:rPr>
      </w:pPr>
      <w:r>
        <w:rPr>
          <w:rFonts w:hint="eastAsia" w:ascii="宋体" w:hAnsi="宋体" w:eastAsia="宋体" w:cs="宋体"/>
          <w:b/>
          <w:sz w:val="24"/>
          <w:szCs w:val="24"/>
        </w:rPr>
        <w:t>合同价款</w:t>
      </w:r>
    </w:p>
    <w:p w14:paraId="70F77AF6">
      <w:pPr>
        <w:keepNext w:val="0"/>
        <w:keepLines w:val="0"/>
        <w:pageBreakBefore w:val="0"/>
        <w:kinsoku/>
        <w:wordWrap/>
        <w:overflowPunct/>
        <w:topLinePunct w:val="0"/>
        <w:autoSpaceDE/>
        <w:autoSpaceDN/>
        <w:bidi w:val="0"/>
        <w:spacing w:line="240" w:lineRule="auto"/>
        <w:ind w:left="0" w:leftChars="0" w:firstLine="480" w:firstLineChars="200"/>
        <w:contextualSpacing/>
        <w:jc w:val="left"/>
        <w:textAlignment w:val="auto"/>
        <w:rPr>
          <w:rFonts w:hint="eastAsia" w:ascii="宋体" w:hAnsi="宋体" w:eastAsia="宋体" w:cs="宋体"/>
          <w:sz w:val="24"/>
          <w:szCs w:val="24"/>
        </w:rPr>
      </w:pPr>
      <w:bookmarkStart w:id="95" w:name="OLE_LINK1"/>
      <w:bookmarkStart w:id="96" w:name="OLE_LINK2"/>
      <w:r>
        <w:rPr>
          <w:rFonts w:hint="eastAsia" w:ascii="宋体" w:hAnsi="宋体" w:eastAsia="宋体" w:cs="宋体"/>
          <w:sz w:val="24"/>
          <w:szCs w:val="24"/>
        </w:rPr>
        <w:t>本合同支付总额不超过人民币大写：*** 圆整，即RMB *** 元，依据本合同单价进行结算，结算单价详见附件1《结算单价清单》。</w:t>
      </w:r>
    </w:p>
    <w:bookmarkEnd w:id="95"/>
    <w:bookmarkEnd w:id="96"/>
    <w:p w14:paraId="61352334">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jc w:val="left"/>
        <w:textAlignment w:val="auto"/>
        <w:rPr>
          <w:rFonts w:hint="eastAsia" w:ascii="宋体" w:hAnsi="宋体" w:eastAsia="宋体" w:cs="宋体"/>
          <w:b/>
          <w:sz w:val="24"/>
          <w:szCs w:val="24"/>
        </w:rPr>
      </w:pPr>
      <w:r>
        <w:rPr>
          <w:rFonts w:hint="eastAsia" w:ascii="宋体" w:hAnsi="宋体" w:eastAsia="宋体" w:cs="宋体"/>
          <w:b/>
          <w:sz w:val="24"/>
          <w:szCs w:val="24"/>
        </w:rPr>
        <w:t>服务期限</w:t>
      </w:r>
      <w:r>
        <w:rPr>
          <w:rFonts w:hint="eastAsia" w:ascii="宋体" w:hAnsi="宋体" w:eastAsia="宋体" w:cs="宋体"/>
          <w:i/>
          <w:iCs/>
          <w:sz w:val="24"/>
          <w:szCs w:val="24"/>
          <w:highlight w:val="yellow"/>
        </w:rPr>
        <w:t>&lt;根据项目实际情况选择&gt;</w:t>
      </w:r>
    </w:p>
    <w:p w14:paraId="27DB179C">
      <w:pPr>
        <w:pStyle w:val="28"/>
        <w:keepNext w:val="0"/>
        <w:keepLines w:val="0"/>
        <w:pageBreakBefore w:val="0"/>
        <w:kinsoku/>
        <w:wordWrap/>
        <w:overflowPunct/>
        <w:topLinePunct w:val="0"/>
        <w:autoSpaceDE/>
        <w:autoSpaceDN/>
        <w:bidi w:val="0"/>
        <w:spacing w:line="240" w:lineRule="auto"/>
        <w:ind w:left="0" w:leftChars="0" w:firstLine="360" w:firstLineChars="150"/>
        <w:jc w:val="left"/>
        <w:textAlignment w:val="auto"/>
        <w:rPr>
          <w:rFonts w:hint="eastAsia" w:ascii="宋体" w:hAnsi="宋体" w:eastAsia="宋体" w:cs="宋体"/>
          <w:b/>
          <w:sz w:val="24"/>
          <w:szCs w:val="24"/>
        </w:rPr>
      </w:pPr>
      <w:r>
        <w:rPr>
          <w:rFonts w:hint="eastAsia" w:ascii="宋体" w:hAnsi="宋体" w:eastAsia="宋体" w:cs="宋体"/>
          <w:bCs/>
          <w:sz w:val="24"/>
          <w:szCs w:val="24"/>
        </w:rPr>
        <w:t>本项目服务期为</w:t>
      </w:r>
      <w:r>
        <w:rPr>
          <w:rFonts w:hint="eastAsia" w:ascii="宋体" w:hAnsi="宋体" w:eastAsia="宋体" w:cs="宋体"/>
          <w:bCs/>
          <w:sz w:val="24"/>
          <w:szCs w:val="24"/>
          <w:u w:val="single"/>
        </w:rPr>
        <w:t>叁</w:t>
      </w:r>
      <w:r>
        <w:rPr>
          <w:rFonts w:hint="eastAsia" w:ascii="宋体" w:hAnsi="宋体" w:eastAsia="宋体" w:cs="宋体"/>
          <w:bCs/>
          <w:sz w:val="24"/>
          <w:szCs w:val="24"/>
        </w:rPr>
        <w:t>年（自202*年**月**日到202*年**月**日），合同一年一签，每年服务费为人民币 *** 元（大写：*** 圆整）。本合同为第***期，服务期为自202*年***月***日至202*年**月**日</w:t>
      </w:r>
      <w:r>
        <w:rPr>
          <w:rFonts w:hint="eastAsia" w:ascii="宋体" w:hAnsi="宋体" w:eastAsia="宋体" w:cs="宋体"/>
          <w:bCs/>
          <w:sz w:val="24"/>
          <w:szCs w:val="24"/>
          <w:u w:val="single"/>
        </w:rPr>
        <w:t>，经甲方考核合格后续签下一年合同</w:t>
      </w:r>
      <w:bookmarkStart w:id="97" w:name="OLE_LINK29"/>
      <w:r>
        <w:rPr>
          <w:rFonts w:hint="eastAsia" w:ascii="宋体" w:hAnsi="宋体" w:eastAsia="宋体" w:cs="宋体"/>
          <w:bCs/>
          <w:sz w:val="24"/>
          <w:szCs w:val="24"/>
        </w:rPr>
        <w:t>，考核标准详见附件</w:t>
      </w:r>
      <w:r>
        <w:rPr>
          <w:rFonts w:hint="eastAsia" w:ascii="宋体" w:hAnsi="宋体" w:eastAsia="宋体" w:cs="宋体"/>
          <w:bCs/>
          <w:sz w:val="24"/>
          <w:szCs w:val="24"/>
          <w:u w:val="single"/>
        </w:rPr>
        <w:t>2</w:t>
      </w:r>
      <w:r>
        <w:rPr>
          <w:rFonts w:hint="eastAsia" w:ascii="宋体" w:hAnsi="宋体" w:eastAsia="宋体" w:cs="宋体"/>
          <w:bCs/>
          <w:sz w:val="24"/>
          <w:szCs w:val="24"/>
        </w:rPr>
        <w:t>《考核标准》</w:t>
      </w:r>
      <w:bookmarkEnd w:id="97"/>
      <w:r>
        <w:rPr>
          <w:rFonts w:hint="eastAsia" w:ascii="宋体" w:hAnsi="宋体" w:eastAsia="宋体" w:cs="宋体"/>
          <w:bCs/>
          <w:sz w:val="24"/>
          <w:szCs w:val="24"/>
        </w:rPr>
        <w:t>。</w:t>
      </w:r>
    </w:p>
    <w:p w14:paraId="1B257405">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服务方案</w:t>
      </w:r>
    </w:p>
    <w:p w14:paraId="06E0AE13">
      <w:pPr>
        <w:keepNext w:val="0"/>
        <w:keepLines w:val="0"/>
        <w:pageBreakBefore w:val="0"/>
        <w:kinsoku/>
        <w:wordWrap/>
        <w:overflowPunct/>
        <w:topLinePunct w:val="0"/>
        <w:autoSpaceDE/>
        <w:autoSpaceDN/>
        <w:bidi w:val="0"/>
        <w:spacing w:line="240" w:lineRule="auto"/>
        <w:ind w:left="0" w:leftChars="0" w:firstLine="480" w:firstLineChars="200"/>
        <w:contextualSpacing/>
        <w:jc w:val="left"/>
        <w:textAlignment w:val="auto"/>
        <w:rPr>
          <w:rFonts w:hint="eastAsia" w:ascii="宋体" w:hAnsi="宋体" w:eastAsia="宋体" w:cs="宋体"/>
          <w:sz w:val="24"/>
          <w:szCs w:val="24"/>
        </w:rPr>
      </w:pPr>
      <w:r>
        <w:rPr>
          <w:rFonts w:hint="eastAsia" w:ascii="宋体" w:hAnsi="宋体" w:eastAsia="宋体" w:cs="宋体"/>
          <w:bCs/>
          <w:sz w:val="24"/>
          <w:szCs w:val="24"/>
        </w:rPr>
        <w:t>乙方应严格按照本合同服务方案和甲方要求提供服务，服务方案详见附件3《服务方案》。</w:t>
      </w:r>
    </w:p>
    <w:p w14:paraId="7482C29A">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验收</w:t>
      </w:r>
    </w:p>
    <w:p w14:paraId="57707485">
      <w:pPr>
        <w:pStyle w:val="28"/>
        <w:keepNext w:val="0"/>
        <w:keepLines w:val="0"/>
        <w:pageBreakBefore w:val="0"/>
        <w:numPr>
          <w:ilvl w:val="0"/>
          <w:numId w:val="14"/>
        </w:numPr>
        <w:kinsoku/>
        <w:wordWrap/>
        <w:overflowPunct/>
        <w:topLinePunct w:val="0"/>
        <w:autoSpaceDE/>
        <w:autoSpaceDN/>
        <w:bidi w:val="0"/>
        <w:spacing w:line="240" w:lineRule="auto"/>
        <w:ind w:left="0" w:leftChars="0" w:firstLine="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甲、乙双方确定，按照本合同约定的验收方案对乙方按本合同约定所提供的服务进行验收。</w:t>
      </w:r>
    </w:p>
    <w:p w14:paraId="103305C9">
      <w:pPr>
        <w:pStyle w:val="28"/>
        <w:keepNext w:val="0"/>
        <w:keepLines w:val="0"/>
        <w:pageBreakBefore w:val="0"/>
        <w:numPr>
          <w:ilvl w:val="0"/>
          <w:numId w:val="14"/>
        </w:numPr>
        <w:kinsoku/>
        <w:wordWrap/>
        <w:overflowPunct/>
        <w:topLinePunct w:val="0"/>
        <w:autoSpaceDE/>
        <w:autoSpaceDN/>
        <w:bidi w:val="0"/>
        <w:spacing w:line="240" w:lineRule="auto"/>
        <w:ind w:left="0" w:leftChars="0" w:firstLine="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验收方案：</w:t>
      </w:r>
    </w:p>
    <w:p w14:paraId="10719FFA">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验收主体：甲方</w:t>
      </w:r>
    </w:p>
    <w:p w14:paraId="7212F6E2">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验收组织方式：自行验收</w:t>
      </w:r>
    </w:p>
    <w:p w14:paraId="5C963DBA">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验收程序：</w:t>
      </w:r>
      <w:r>
        <w:rPr>
          <w:rFonts w:hint="eastAsia" w:ascii="宋体" w:hAnsi="宋体" w:eastAsia="宋体" w:cs="宋体"/>
          <w:sz w:val="24"/>
          <w:szCs w:val="24"/>
        </w:rPr>
        <w:sym w:font="Wingdings 2" w:char="F052"/>
      </w:r>
      <w:r>
        <w:rPr>
          <w:rFonts w:hint="eastAsia" w:ascii="宋体" w:hAnsi="宋体" w:eastAsia="宋体" w:cs="宋体"/>
          <w:color w:val="000000"/>
          <w:sz w:val="24"/>
          <w:szCs w:val="24"/>
        </w:rPr>
        <w:t xml:space="preserve">一次性验收   </w:t>
      </w:r>
      <w:r>
        <w:rPr>
          <w:rFonts w:hint="eastAsia" w:ascii="宋体" w:hAnsi="宋体" w:eastAsia="宋体" w:cs="宋体"/>
          <w:sz w:val="24"/>
          <w:szCs w:val="24"/>
        </w:rPr>
        <w:sym w:font="Wingdings" w:char="F0A8"/>
      </w:r>
      <w:r>
        <w:rPr>
          <w:rFonts w:hint="eastAsia" w:ascii="宋体" w:hAnsi="宋体" w:eastAsia="宋体" w:cs="宋体"/>
          <w:color w:val="000000"/>
          <w:sz w:val="24"/>
          <w:szCs w:val="24"/>
        </w:rPr>
        <w:t>分段/分期验收</w:t>
      </w:r>
    </w:p>
    <w:p w14:paraId="0ACAEB8E">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验收方式：</w:t>
      </w:r>
      <w:r>
        <w:rPr>
          <w:rFonts w:hint="eastAsia" w:ascii="宋体" w:hAnsi="宋体" w:eastAsia="宋体" w:cs="宋体"/>
          <w:color w:val="000000"/>
          <w:sz w:val="24"/>
          <w:szCs w:val="24"/>
        </w:rPr>
        <w:sym w:font="Wingdings 2" w:char="F052"/>
      </w:r>
      <w:r>
        <w:rPr>
          <w:rFonts w:hint="eastAsia" w:ascii="宋体" w:hAnsi="宋体" w:eastAsia="宋体" w:cs="宋体"/>
          <w:color w:val="000000"/>
          <w:sz w:val="24"/>
          <w:szCs w:val="24"/>
        </w:rPr>
        <w:t>现场整体验收</w:t>
      </w:r>
      <w:r>
        <w:rPr>
          <w:rFonts w:hint="eastAsia" w:ascii="宋体" w:hAnsi="宋体" w:eastAsia="宋体" w:cs="宋体"/>
          <w:color w:val="000000"/>
          <w:kern w:val="0"/>
          <w:sz w:val="24"/>
          <w:szCs w:val="24"/>
          <w:shd w:val="clear" w:color="auto" w:fill="FFFFFF"/>
        </w:rPr>
        <w:t xml:space="preserve">   </w:t>
      </w:r>
      <w:r>
        <w:rPr>
          <w:rFonts w:hint="eastAsia" w:ascii="宋体" w:hAnsi="宋体" w:eastAsia="宋体" w:cs="宋体"/>
          <w:color w:val="000000"/>
          <w:sz w:val="24"/>
          <w:szCs w:val="24"/>
          <w:shd w:val="clear" w:color="auto" w:fill="FFFFFF"/>
        </w:rPr>
        <w:sym w:font="Wingdings" w:char="F0A8"/>
      </w:r>
      <w:r>
        <w:rPr>
          <w:rFonts w:hint="eastAsia" w:ascii="宋体" w:hAnsi="宋体" w:eastAsia="宋体" w:cs="宋体"/>
          <w:color w:val="000000"/>
          <w:sz w:val="24"/>
          <w:szCs w:val="24"/>
          <w:shd w:val="clear" w:color="auto" w:fill="FFFFFF"/>
        </w:rPr>
        <w:t>考核验收</w:t>
      </w:r>
      <w:r>
        <w:rPr>
          <w:rFonts w:hint="eastAsia" w:ascii="宋体" w:hAnsi="宋体" w:eastAsia="宋体" w:cs="宋体"/>
          <w:color w:val="000000"/>
          <w:kern w:val="0"/>
          <w:sz w:val="24"/>
          <w:szCs w:val="24"/>
          <w:shd w:val="clear" w:color="auto" w:fill="FFFFFF"/>
        </w:rPr>
        <w:t xml:space="preserve">   </w:t>
      </w:r>
      <w:r>
        <w:rPr>
          <w:rFonts w:hint="eastAsia" w:ascii="宋体" w:hAnsi="宋体" w:eastAsia="宋体" w:cs="宋体"/>
          <w:color w:val="000000"/>
          <w:sz w:val="24"/>
          <w:szCs w:val="24"/>
          <w:shd w:val="clear" w:color="auto" w:fill="FFFFFF"/>
        </w:rPr>
        <w:sym w:font="Wingdings" w:char="F0A8"/>
      </w:r>
      <w:r>
        <w:rPr>
          <w:rFonts w:hint="eastAsia" w:ascii="宋体" w:hAnsi="宋体" w:eastAsia="宋体" w:cs="宋体"/>
          <w:color w:val="000000"/>
          <w:sz w:val="24"/>
          <w:szCs w:val="24"/>
          <w:shd w:val="clear" w:color="auto" w:fill="FFFFFF"/>
        </w:rPr>
        <w:t>其它验收方式：</w:t>
      </w:r>
      <w:r>
        <w:rPr>
          <w:rFonts w:hint="eastAsia" w:ascii="宋体" w:hAnsi="宋体" w:eastAsia="宋体" w:cs="宋体"/>
          <w:color w:val="000000"/>
          <w:sz w:val="24"/>
          <w:szCs w:val="24"/>
          <w:u w:val="single"/>
          <w:shd w:val="clear" w:color="auto" w:fill="FFFFFF"/>
        </w:rPr>
        <w:t>***</w:t>
      </w:r>
    </w:p>
    <w:p w14:paraId="25BB580A">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履约验收内容：按照甲方的采购文件要求及乙方响应文件响应情况，由乙方向甲方提供的</w:t>
      </w:r>
      <w:r>
        <w:rPr>
          <w:rFonts w:hint="eastAsia" w:ascii="宋体" w:hAnsi="宋体" w:eastAsia="宋体" w:cs="宋体"/>
          <w:sz w:val="24"/>
          <w:szCs w:val="24"/>
          <w:u w:val="single"/>
        </w:rPr>
        <w:t>全部服务</w:t>
      </w:r>
      <w:r>
        <w:rPr>
          <w:rFonts w:hint="eastAsia" w:ascii="宋体" w:hAnsi="宋体" w:eastAsia="宋体" w:cs="宋体"/>
          <w:sz w:val="24"/>
          <w:szCs w:val="24"/>
        </w:rPr>
        <w:t>的履约情况。</w:t>
      </w:r>
    </w:p>
    <w:p w14:paraId="1F2D4CFA">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履约验收时间：</w:t>
      </w:r>
    </w:p>
    <w:p w14:paraId="27EEE864">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2" w:char="F052"/>
      </w:r>
      <w:r>
        <w:rPr>
          <w:rFonts w:hint="eastAsia" w:ascii="宋体" w:hAnsi="宋体" w:eastAsia="宋体" w:cs="宋体"/>
          <w:color w:val="000000"/>
          <w:sz w:val="24"/>
          <w:szCs w:val="24"/>
        </w:rPr>
        <w:t>服务期满且乙方完成所有服务内容后X日内通知甲方验收，甲方接乙方通知后X日内组织验收</w:t>
      </w:r>
    </w:p>
    <w:p w14:paraId="13560871">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乙方完成每一阶段或轮次服务内容后X日内通知甲方验收，甲方接乙方通知后X日内组织验收</w:t>
      </w:r>
    </w:p>
    <w:p w14:paraId="668E8ECC">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甲方完成考核后X日内组织验收</w:t>
      </w:r>
    </w:p>
    <w:p w14:paraId="06090759">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其它验收时间：            </w:t>
      </w:r>
    </w:p>
    <w:p w14:paraId="0A943DA8">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是否邀请本项目的其他供应商： </w:t>
      </w:r>
      <w:r>
        <w:rPr>
          <w:rFonts w:hint="eastAsia" w:ascii="宋体" w:hAnsi="宋体" w:eastAsia="宋体" w:cs="宋体"/>
          <w:kern w:val="0"/>
          <w:sz w:val="24"/>
          <w:szCs w:val="24"/>
          <w:shd w:val="clear" w:color="auto" w:fill="FFFFFF"/>
        </w:rPr>
        <w:sym w:font="Wingdings" w:char="F0A8"/>
      </w:r>
      <w:r>
        <w:rPr>
          <w:rFonts w:hint="eastAsia" w:ascii="宋体" w:hAnsi="宋体" w:eastAsia="宋体" w:cs="宋体"/>
          <w:sz w:val="24"/>
          <w:szCs w:val="24"/>
          <w:shd w:val="clear" w:color="auto" w:fill="FFFFFF"/>
        </w:rPr>
        <w:t xml:space="preserve">是   </w:t>
      </w:r>
      <w:r>
        <w:rPr>
          <w:rFonts w:hint="eastAsia" w:ascii="宋体" w:hAnsi="宋体" w:eastAsia="宋体" w:cs="宋体"/>
          <w:kern w:val="0"/>
          <w:sz w:val="24"/>
          <w:szCs w:val="24"/>
        </w:rPr>
        <w:sym w:font="Wingdings 2" w:char="F052"/>
      </w:r>
      <w:r>
        <w:rPr>
          <w:rFonts w:hint="eastAsia" w:ascii="宋体" w:hAnsi="宋体" w:eastAsia="宋体" w:cs="宋体"/>
          <w:sz w:val="24"/>
          <w:szCs w:val="24"/>
          <w:shd w:val="clear" w:color="auto" w:fill="FFFFFF"/>
        </w:rPr>
        <w:t>否</w:t>
      </w:r>
    </w:p>
    <w:p w14:paraId="740E083B">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是否邀请专家： </w:t>
      </w:r>
      <w:r>
        <w:rPr>
          <w:rFonts w:hint="eastAsia" w:ascii="宋体" w:hAnsi="宋体" w:eastAsia="宋体" w:cs="宋体"/>
          <w:kern w:val="0"/>
          <w:sz w:val="24"/>
          <w:szCs w:val="24"/>
          <w:shd w:val="clear" w:color="auto" w:fill="FFFFFF"/>
        </w:rPr>
        <w:sym w:font="Wingdings" w:char="F0A8"/>
      </w:r>
      <w:r>
        <w:rPr>
          <w:rFonts w:hint="eastAsia" w:ascii="宋体" w:hAnsi="宋体" w:eastAsia="宋体" w:cs="宋体"/>
          <w:sz w:val="24"/>
          <w:szCs w:val="24"/>
          <w:shd w:val="clear" w:color="auto" w:fill="FFFFFF"/>
        </w:rPr>
        <w:t xml:space="preserve">是   </w:t>
      </w:r>
      <w:r>
        <w:rPr>
          <w:rFonts w:hint="eastAsia" w:ascii="宋体" w:hAnsi="宋体" w:eastAsia="宋体" w:cs="宋体"/>
          <w:kern w:val="0"/>
          <w:sz w:val="24"/>
          <w:szCs w:val="24"/>
        </w:rPr>
        <w:sym w:font="Wingdings 2" w:char="F052"/>
      </w:r>
      <w:r>
        <w:rPr>
          <w:rFonts w:hint="eastAsia" w:ascii="宋体" w:hAnsi="宋体" w:eastAsia="宋体" w:cs="宋体"/>
          <w:sz w:val="24"/>
          <w:szCs w:val="24"/>
          <w:shd w:val="clear" w:color="auto" w:fill="FFFFFF"/>
        </w:rPr>
        <w:t>否</w:t>
      </w:r>
    </w:p>
    <w:p w14:paraId="595EB419">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是否邀请服务对象： </w:t>
      </w:r>
      <w:r>
        <w:rPr>
          <w:rFonts w:hint="eastAsia" w:ascii="宋体" w:hAnsi="宋体" w:eastAsia="宋体" w:cs="宋体"/>
          <w:kern w:val="0"/>
          <w:sz w:val="24"/>
          <w:szCs w:val="24"/>
          <w:shd w:val="clear" w:color="auto" w:fill="FFFFFF"/>
        </w:rPr>
        <w:sym w:font="Wingdings" w:char="F0A8"/>
      </w:r>
      <w:r>
        <w:rPr>
          <w:rFonts w:hint="eastAsia" w:ascii="宋体" w:hAnsi="宋体" w:eastAsia="宋体" w:cs="宋体"/>
          <w:sz w:val="24"/>
          <w:szCs w:val="24"/>
          <w:shd w:val="clear" w:color="auto" w:fill="FFFFFF"/>
        </w:rPr>
        <w:t xml:space="preserve">是   </w:t>
      </w:r>
      <w:r>
        <w:rPr>
          <w:rFonts w:hint="eastAsia" w:ascii="宋体" w:hAnsi="宋体" w:eastAsia="宋体" w:cs="宋体"/>
          <w:kern w:val="0"/>
          <w:sz w:val="24"/>
          <w:szCs w:val="24"/>
        </w:rPr>
        <w:sym w:font="Wingdings 2" w:char="F052"/>
      </w:r>
      <w:r>
        <w:rPr>
          <w:rFonts w:hint="eastAsia" w:ascii="宋体" w:hAnsi="宋体" w:eastAsia="宋体" w:cs="宋体"/>
          <w:sz w:val="24"/>
          <w:szCs w:val="24"/>
          <w:shd w:val="clear" w:color="auto" w:fill="FFFFFF"/>
        </w:rPr>
        <w:t>否</w:t>
      </w:r>
    </w:p>
    <w:p w14:paraId="212FF5E1">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是否邀请第三方检测机构：</w:t>
      </w:r>
      <w:r>
        <w:rPr>
          <w:rFonts w:hint="eastAsia" w:ascii="宋体" w:hAnsi="宋体" w:eastAsia="宋体" w:cs="宋体"/>
          <w:kern w:val="0"/>
          <w:sz w:val="24"/>
          <w:szCs w:val="24"/>
          <w:shd w:val="clear" w:color="auto" w:fill="FFFFFF"/>
        </w:rPr>
        <w:t xml:space="preserve"> </w:t>
      </w:r>
      <w:r>
        <w:rPr>
          <w:rFonts w:hint="eastAsia" w:ascii="宋体" w:hAnsi="宋体" w:eastAsia="宋体" w:cs="宋体"/>
          <w:kern w:val="0"/>
          <w:sz w:val="24"/>
          <w:szCs w:val="24"/>
          <w:shd w:val="clear" w:color="auto" w:fill="FFFFFF"/>
        </w:rPr>
        <w:sym w:font="Wingdings" w:char="F0A8"/>
      </w:r>
      <w:r>
        <w:rPr>
          <w:rFonts w:hint="eastAsia" w:ascii="宋体" w:hAnsi="宋体" w:eastAsia="宋体" w:cs="宋体"/>
          <w:sz w:val="24"/>
          <w:szCs w:val="24"/>
          <w:shd w:val="clear" w:color="auto" w:fill="FFFFFF"/>
        </w:rPr>
        <w:t xml:space="preserve">是   </w:t>
      </w:r>
      <w:r>
        <w:rPr>
          <w:rFonts w:hint="eastAsia" w:ascii="宋体" w:hAnsi="宋体" w:eastAsia="宋体" w:cs="宋体"/>
          <w:kern w:val="0"/>
          <w:sz w:val="24"/>
          <w:szCs w:val="24"/>
        </w:rPr>
        <w:sym w:font="Wingdings 2" w:char="F052"/>
      </w:r>
      <w:r>
        <w:rPr>
          <w:rFonts w:hint="eastAsia" w:ascii="宋体" w:hAnsi="宋体" w:eastAsia="宋体" w:cs="宋体"/>
          <w:sz w:val="24"/>
          <w:szCs w:val="24"/>
          <w:shd w:val="clear" w:color="auto" w:fill="FFFFFF"/>
        </w:rPr>
        <w:t>否</w:t>
      </w:r>
    </w:p>
    <w:p w14:paraId="47F88790">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验收标准：</w:t>
      </w:r>
    </w:p>
    <w:p w14:paraId="24757C73">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bookmarkStart w:id="98" w:name="OLE_LINK4"/>
      <w:r>
        <w:rPr>
          <w:rFonts w:hint="eastAsia" w:ascii="宋体" w:hAnsi="宋体" w:eastAsia="宋体" w:cs="宋体"/>
          <w:sz w:val="24"/>
          <w:szCs w:val="24"/>
          <w:shd w:val="clear" w:color="auto" w:fill="FFFFFF"/>
        </w:rPr>
        <w:t>国家相关法律法规、行业标准、技术规范。</w:t>
      </w:r>
    </w:p>
    <w:p w14:paraId="4A341926">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甲方采购文件相关技术、服务要求、乙方响应文件相关响应内容。</w:t>
      </w:r>
    </w:p>
    <w:p w14:paraId="4BB5AAAF">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如本项目验收方式为考核验收，则考核结果须为合格。</w:t>
      </w:r>
    </w:p>
    <w:bookmarkEnd w:id="98"/>
    <w:p w14:paraId="2BFFECC6">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参照《财政部关于进一步加强政府采购需求和履约验收管理的指导意见》（财库〔2016〕205号）的要求进行验收。</w:t>
      </w:r>
    </w:p>
    <w:p w14:paraId="5A8F93D9">
      <w:pPr>
        <w:pStyle w:val="16"/>
        <w:keepNext w:val="0"/>
        <w:keepLines w:val="0"/>
        <w:pageBreakBefore w:val="0"/>
        <w:numPr>
          <w:ilvl w:val="0"/>
          <w:numId w:val="16"/>
        </w:numPr>
        <w:kinsoku/>
        <w:wordWrap/>
        <w:overflowPunct/>
        <w:topLinePunct w:val="0"/>
        <w:autoSpaceDE/>
        <w:autoSpaceDN/>
        <w:bidi w:val="0"/>
        <w:spacing w:before="0" w:after="0"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其它标准：</w:t>
      </w:r>
      <w:r>
        <w:rPr>
          <w:rFonts w:hint="eastAsia" w:ascii="宋体" w:hAnsi="宋体" w:eastAsia="宋体" w:cs="宋体"/>
          <w:sz w:val="24"/>
          <w:szCs w:val="24"/>
          <w:u w:val="single"/>
        </w:rPr>
        <w:t>无。</w:t>
      </w:r>
    </w:p>
    <w:p w14:paraId="5FCD4D1B">
      <w:pPr>
        <w:pStyle w:val="28"/>
        <w:keepNext w:val="0"/>
        <w:keepLines w:val="0"/>
        <w:pageBreakBefore w:val="0"/>
        <w:numPr>
          <w:ilvl w:val="0"/>
          <w:numId w:val="15"/>
        </w:numPr>
        <w:kinsoku/>
        <w:wordWrap/>
        <w:overflowPunct/>
        <w:topLinePunct w:val="0"/>
        <w:autoSpaceDE/>
        <w:autoSpaceDN/>
        <w:bidi w:val="0"/>
        <w:spacing w:line="240" w:lineRule="auto"/>
        <w:ind w:left="0" w:leftChars="0" w:firstLineChars="0"/>
        <w:contextualSpacing/>
        <w:textAlignment w:val="auto"/>
        <w:rPr>
          <w:rFonts w:hint="eastAsia" w:ascii="宋体" w:hAnsi="宋体" w:eastAsia="宋体" w:cs="宋体"/>
          <w:sz w:val="24"/>
          <w:szCs w:val="24"/>
        </w:rPr>
      </w:pPr>
      <w:r>
        <w:rPr>
          <w:rFonts w:hint="eastAsia" w:ascii="宋体" w:hAnsi="宋体" w:eastAsia="宋体" w:cs="宋体"/>
          <w:sz w:val="24"/>
          <w:szCs w:val="24"/>
        </w:rPr>
        <w:t>其它验收要求：</w:t>
      </w:r>
      <w:r>
        <w:rPr>
          <w:rFonts w:hint="eastAsia" w:ascii="宋体" w:hAnsi="宋体" w:eastAsia="宋体" w:cs="宋体"/>
          <w:color w:val="000000"/>
          <w:kern w:val="0"/>
          <w:sz w:val="24"/>
          <w:szCs w:val="24"/>
          <w:u w:val="single"/>
        </w:rPr>
        <w:t>无</w:t>
      </w:r>
      <w:r>
        <w:rPr>
          <w:rFonts w:hint="eastAsia" w:ascii="宋体" w:hAnsi="宋体" w:eastAsia="宋体" w:cs="宋体"/>
          <w:i/>
          <w:iCs/>
          <w:color w:val="000000"/>
          <w:kern w:val="0"/>
          <w:sz w:val="24"/>
          <w:szCs w:val="24"/>
          <w:highlight w:val="yellow"/>
        </w:rPr>
        <w:t>&lt;如有请填写</w:t>
      </w:r>
      <w:r>
        <w:rPr>
          <w:rFonts w:hint="eastAsia" w:ascii="宋体" w:hAnsi="宋体" w:eastAsia="宋体" w:cs="宋体"/>
          <w:i/>
          <w:iCs/>
          <w:color w:val="000000"/>
          <w:kern w:val="0"/>
          <w:sz w:val="24"/>
          <w:szCs w:val="24"/>
        </w:rPr>
        <w:t>&gt;</w:t>
      </w:r>
    </w:p>
    <w:p w14:paraId="6213DBF3">
      <w:pPr>
        <w:pStyle w:val="28"/>
        <w:keepNext w:val="0"/>
        <w:keepLines w:val="0"/>
        <w:pageBreakBefore w:val="0"/>
        <w:numPr>
          <w:ilvl w:val="0"/>
          <w:numId w:val="14"/>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付款方式</w:t>
      </w:r>
    </w:p>
    <w:p w14:paraId="5CC20725">
      <w:pPr>
        <w:pStyle w:val="9"/>
        <w:keepNext w:val="0"/>
        <w:keepLines w:val="0"/>
        <w:pageBreakBefore w:val="0"/>
        <w:numPr>
          <w:ilvl w:val="0"/>
          <w:numId w:val="17"/>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履约保证金：</w:t>
      </w:r>
    </w:p>
    <w:p w14:paraId="1A98FD8C">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2" w:char="F052"/>
      </w:r>
      <w:r>
        <w:rPr>
          <w:rFonts w:hint="eastAsia" w:ascii="宋体" w:hAnsi="宋体" w:eastAsia="宋体" w:cs="宋体"/>
          <w:color w:val="000000"/>
          <w:sz w:val="24"/>
          <w:szCs w:val="24"/>
        </w:rPr>
        <w:t>乙方在合同签订生效之日起的</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个工作日内，按合同总价</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%支付履约保证金；本合同服务期满且验收合格后，甲方接到乙方付款申请后</w:t>
      </w:r>
      <w:r>
        <w:rPr>
          <w:rFonts w:hint="eastAsia" w:ascii="宋体" w:hAnsi="宋体" w:eastAsia="宋体" w:cs="宋体"/>
          <w:color w:val="000000"/>
          <w:sz w:val="24"/>
          <w:szCs w:val="24"/>
          <w:u w:val="single"/>
        </w:rPr>
        <w:t>30</w:t>
      </w:r>
      <w:r>
        <w:rPr>
          <w:rFonts w:hint="eastAsia" w:ascii="宋体" w:hAnsi="宋体" w:eastAsia="宋体" w:cs="宋体"/>
          <w:color w:val="000000"/>
          <w:sz w:val="24"/>
          <w:szCs w:val="24"/>
        </w:rPr>
        <w:t>个工作日内，甲方一次性无息退还乙方的履约保证金；经验收后乙方履约不合格的，履约保证金不予退还。</w:t>
      </w:r>
    </w:p>
    <w:p w14:paraId="7A4394EF">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本合同不涉及履约保证金。</w:t>
      </w:r>
    </w:p>
    <w:p w14:paraId="0DB5940E">
      <w:pPr>
        <w:pStyle w:val="9"/>
        <w:keepNext w:val="0"/>
        <w:keepLines w:val="0"/>
        <w:pageBreakBefore w:val="0"/>
        <w:numPr>
          <w:ilvl w:val="0"/>
          <w:numId w:val="17"/>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本合同价款采用以下方式支付，以人民币结算：</w:t>
      </w:r>
    </w:p>
    <w:p w14:paraId="09FDA0E6">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2" w:char="F052"/>
      </w:r>
      <w:r>
        <w:rPr>
          <w:rFonts w:hint="eastAsia" w:ascii="宋体" w:hAnsi="宋体" w:eastAsia="宋体" w:cs="宋体"/>
          <w:color w:val="000000"/>
          <w:sz w:val="24"/>
          <w:szCs w:val="24"/>
        </w:rPr>
        <w:t>一次性支付：</w:t>
      </w:r>
    </w:p>
    <w:p w14:paraId="621259CA">
      <w:pPr>
        <w:pStyle w:val="16"/>
        <w:keepNext w:val="0"/>
        <w:keepLines w:val="0"/>
        <w:pageBreakBefore w:val="0"/>
        <w:kinsoku/>
        <w:wordWrap/>
        <w:overflowPunct/>
        <w:topLinePunct w:val="0"/>
        <w:autoSpaceDE/>
        <w:autoSpaceDN/>
        <w:bidi w:val="0"/>
        <w:spacing w:before="0" w:after="0" w:line="240" w:lineRule="auto"/>
        <w:ind w:left="0" w:leftChars="0" w:firstLineChars="200"/>
        <w:contextualSpacing/>
        <w:textAlignment w:val="auto"/>
        <w:rPr>
          <w:rFonts w:hint="eastAsia" w:ascii="宋体" w:hAnsi="宋体" w:eastAsia="宋体" w:cs="宋体"/>
          <w:color w:val="000000"/>
          <w:sz w:val="24"/>
          <w:szCs w:val="24"/>
        </w:rPr>
      </w:pPr>
      <w:r>
        <w:rPr>
          <w:rFonts w:hint="eastAsia" w:ascii="宋体" w:hAnsi="宋体" w:eastAsia="宋体" w:cs="宋体"/>
          <w:sz w:val="24"/>
          <w:szCs w:val="24"/>
        </w:rPr>
        <w:t>本合同服务期满且经甲方验收合格后</w:t>
      </w:r>
      <w:r>
        <w:rPr>
          <w:rFonts w:hint="eastAsia" w:ascii="宋体" w:hAnsi="宋体" w:eastAsia="宋体" w:cs="宋体"/>
          <w:sz w:val="24"/>
          <w:szCs w:val="24"/>
          <w:u w:val="single"/>
        </w:rPr>
        <w:t>5</w:t>
      </w:r>
      <w:r>
        <w:rPr>
          <w:rFonts w:hint="eastAsia" w:ascii="宋体" w:hAnsi="宋体" w:eastAsia="宋体" w:cs="宋体"/>
          <w:sz w:val="24"/>
          <w:szCs w:val="24"/>
        </w:rPr>
        <w:t>日内</w:t>
      </w:r>
      <w:r>
        <w:rPr>
          <w:rFonts w:hint="eastAsia" w:ascii="宋体" w:hAnsi="宋体" w:eastAsia="宋体" w:cs="宋体"/>
          <w:color w:val="000000"/>
          <w:sz w:val="24"/>
          <w:szCs w:val="24"/>
        </w:rPr>
        <w:t>，乙方须向甲方提供合法有效票据及其他相关请款资料，甲方自收到乙方请款资料后</w:t>
      </w:r>
      <w:r>
        <w:rPr>
          <w:rFonts w:hint="eastAsia" w:ascii="宋体" w:hAnsi="宋体" w:eastAsia="宋体" w:cs="宋体"/>
          <w:color w:val="000000"/>
          <w:sz w:val="24"/>
          <w:szCs w:val="24"/>
          <w:u w:val="single"/>
        </w:rPr>
        <w:t>55</w:t>
      </w:r>
      <w:r>
        <w:rPr>
          <w:rFonts w:hint="eastAsia" w:ascii="宋体" w:hAnsi="宋体" w:eastAsia="宋体" w:cs="宋体"/>
          <w:color w:val="000000"/>
          <w:sz w:val="24"/>
          <w:szCs w:val="24"/>
        </w:rPr>
        <w:t>日内支付合同总价100%的金额给乙方。</w:t>
      </w:r>
    </w:p>
    <w:p w14:paraId="750B8A19">
      <w:pPr>
        <w:pStyle w:val="16"/>
        <w:keepNext w:val="0"/>
        <w:keepLines w:val="0"/>
        <w:pageBreakBefore w:val="0"/>
        <w:kinsoku/>
        <w:wordWrap/>
        <w:overflowPunct/>
        <w:topLinePunct w:val="0"/>
        <w:autoSpaceDE/>
        <w:autoSpaceDN/>
        <w:bidi w:val="0"/>
        <w:spacing w:before="0" w:after="0" w:line="240" w:lineRule="auto"/>
        <w:ind w:left="0" w:leftChars="0" w:firstLine="0" w:firstLineChars="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分阶段支付，支付期限、方式及额度如下：</w:t>
      </w:r>
    </w:p>
    <w:p w14:paraId="56BDDA9D">
      <w:pPr>
        <w:pStyle w:val="16"/>
        <w:keepNext w:val="0"/>
        <w:keepLines w:val="0"/>
        <w:pageBreakBefore w:val="0"/>
        <w:kinsoku/>
        <w:wordWrap/>
        <w:overflowPunct/>
        <w:topLinePunct w:val="0"/>
        <w:autoSpaceDE/>
        <w:autoSpaceDN/>
        <w:bidi w:val="0"/>
        <w:spacing w:before="0" w:after="0" w:line="240" w:lineRule="auto"/>
        <w:ind w:left="0" w:leftChars="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99" w:name="OLE_LINK30"/>
      <w:r>
        <w:rPr>
          <w:rFonts w:hint="eastAsia" w:ascii="宋体" w:hAnsi="宋体" w:eastAsia="宋体" w:cs="宋体"/>
          <w:sz w:val="24"/>
          <w:szCs w:val="24"/>
        </w:rPr>
        <w:t>固定部分价款</w:t>
      </w:r>
      <w:bookmarkEnd w:id="99"/>
      <w:r>
        <w:rPr>
          <w:rFonts w:hint="eastAsia" w:ascii="宋体" w:hAnsi="宋体" w:eastAsia="宋体" w:cs="宋体"/>
          <w:color w:val="000000"/>
          <w:sz w:val="24"/>
          <w:szCs w:val="24"/>
        </w:rPr>
        <w:t>：</w:t>
      </w:r>
      <w:r>
        <w:rPr>
          <w:rFonts w:hint="eastAsia" w:ascii="宋体" w:hAnsi="宋体" w:eastAsia="宋体" w:cs="宋体"/>
          <w:sz w:val="24"/>
          <w:szCs w:val="24"/>
        </w:rPr>
        <w:t>本合同服务期满且经甲方验收合格后5日内</w:t>
      </w:r>
      <w:r>
        <w:rPr>
          <w:rFonts w:hint="eastAsia" w:ascii="宋体" w:hAnsi="宋体" w:eastAsia="宋体" w:cs="宋体"/>
          <w:color w:val="000000"/>
          <w:sz w:val="24"/>
          <w:szCs w:val="24"/>
        </w:rPr>
        <w:t>，乙方须向甲方提供合法有效票据及其他相关请款资料，甲方自收到乙方请款资料后55日内向乙方支付本合同</w:t>
      </w:r>
      <w:r>
        <w:rPr>
          <w:rFonts w:hint="eastAsia" w:ascii="宋体" w:hAnsi="宋体" w:eastAsia="宋体" w:cs="宋体"/>
          <w:color w:val="000000"/>
          <w:sz w:val="24"/>
          <w:szCs w:val="24"/>
          <w:u w:val="single"/>
        </w:rPr>
        <w:t>第二条</w:t>
      </w:r>
      <w:r>
        <w:rPr>
          <w:rFonts w:hint="eastAsia" w:ascii="宋体" w:hAnsi="宋体" w:eastAsia="宋体" w:cs="宋体"/>
          <w:color w:val="000000"/>
          <w:sz w:val="24"/>
          <w:szCs w:val="24"/>
        </w:rPr>
        <w:t>写明的全部</w:t>
      </w:r>
      <w:r>
        <w:rPr>
          <w:rFonts w:hint="eastAsia" w:ascii="宋体" w:hAnsi="宋体" w:eastAsia="宋体" w:cs="宋体"/>
          <w:sz w:val="24"/>
          <w:szCs w:val="24"/>
        </w:rPr>
        <w:t>固定部分价款</w:t>
      </w:r>
      <w:r>
        <w:rPr>
          <w:rFonts w:hint="eastAsia" w:ascii="宋体" w:hAnsi="宋体" w:eastAsia="宋体" w:cs="宋体"/>
          <w:color w:val="000000"/>
          <w:sz w:val="24"/>
          <w:szCs w:val="24"/>
        </w:rPr>
        <w:t>。</w:t>
      </w:r>
    </w:p>
    <w:p w14:paraId="4C3983EC">
      <w:pPr>
        <w:pStyle w:val="16"/>
        <w:keepNext w:val="0"/>
        <w:keepLines w:val="0"/>
        <w:pageBreakBefore w:val="0"/>
        <w:kinsoku/>
        <w:wordWrap/>
        <w:overflowPunct/>
        <w:topLinePunct w:val="0"/>
        <w:autoSpaceDE/>
        <w:autoSpaceDN/>
        <w:bidi w:val="0"/>
        <w:spacing w:before="0" w:after="0" w:line="240" w:lineRule="auto"/>
        <w:ind w:left="0" w:leftChars="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（2）按实结算部分：每</w:t>
      </w:r>
      <w:r>
        <w:rPr>
          <w:rFonts w:hint="eastAsia" w:ascii="宋体" w:hAnsi="宋体" w:eastAsia="宋体" w:cs="宋体"/>
          <w:color w:val="000000"/>
          <w:sz w:val="24"/>
          <w:szCs w:val="24"/>
          <w:u w:val="single"/>
        </w:rPr>
        <w:t>XX</w:t>
      </w:r>
      <w:r>
        <w:rPr>
          <w:rFonts w:hint="eastAsia" w:ascii="宋体" w:hAnsi="宋体" w:eastAsia="宋体" w:cs="宋体"/>
          <w:i/>
          <w:iCs/>
          <w:sz w:val="24"/>
          <w:szCs w:val="24"/>
          <w:highlight w:val="yellow"/>
        </w:rPr>
        <w:t>&lt;约定按固定周期支付的（如每季度），可根据项目具体情况编制本条款&gt;</w:t>
      </w:r>
      <w:r>
        <w:rPr>
          <w:rFonts w:hint="eastAsia" w:ascii="宋体" w:hAnsi="宋体" w:eastAsia="宋体" w:cs="宋体"/>
          <w:color w:val="000000"/>
          <w:sz w:val="24"/>
          <w:szCs w:val="24"/>
        </w:rPr>
        <w:t>结算一次费用，结算单价以</w:t>
      </w:r>
      <w:r>
        <w:rPr>
          <w:rFonts w:hint="eastAsia" w:ascii="宋体" w:hAnsi="宋体" w:eastAsia="宋体" w:cs="宋体"/>
          <w:sz w:val="24"/>
          <w:szCs w:val="24"/>
        </w:rPr>
        <w:t>《结算单价清单》</w:t>
      </w:r>
      <w:r>
        <w:rPr>
          <w:rFonts w:hint="eastAsia" w:ascii="宋体" w:hAnsi="宋体" w:eastAsia="宋体" w:cs="宋体"/>
          <w:color w:val="000000"/>
          <w:sz w:val="24"/>
          <w:szCs w:val="24"/>
        </w:rPr>
        <w:t>为准。</w:t>
      </w:r>
      <w:r>
        <w:rPr>
          <w:rFonts w:hint="eastAsia" w:ascii="宋体" w:hAnsi="宋体" w:eastAsia="宋体" w:cs="宋体"/>
          <w:sz w:val="24"/>
          <w:szCs w:val="24"/>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4"/>
          <w:szCs w:val="24"/>
          <w:u w:val="single"/>
          <w:lang w:bidi="ar"/>
        </w:rPr>
        <w:t>55</w:t>
      </w:r>
      <w:r>
        <w:rPr>
          <w:rFonts w:hint="eastAsia" w:ascii="宋体" w:hAnsi="宋体" w:eastAsia="宋体" w:cs="宋体"/>
          <w:sz w:val="24"/>
          <w:szCs w:val="24"/>
          <w:lang w:bidi="ar"/>
        </w:rPr>
        <w:t>日内，向乙方全额支付上述结算费用。</w:t>
      </w:r>
    </w:p>
    <w:p w14:paraId="5586C7FB">
      <w:pPr>
        <w:pStyle w:val="9"/>
        <w:keepNext w:val="0"/>
        <w:keepLines w:val="0"/>
        <w:pageBreakBefore w:val="0"/>
        <w:numPr>
          <w:ilvl w:val="0"/>
          <w:numId w:val="17"/>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甲方付款前，乙方需</w:t>
      </w:r>
      <w:r>
        <w:rPr>
          <w:rFonts w:hint="eastAsia" w:ascii="宋体" w:hAnsi="宋体" w:eastAsia="宋体" w:cs="宋体"/>
          <w:sz w:val="24"/>
          <w:szCs w:val="24"/>
          <w:lang w:bidi="ar"/>
        </w:rPr>
        <w:t>提供合法有效票据及其他相关请款资料</w:t>
      </w:r>
      <w:r>
        <w:rPr>
          <w:rFonts w:hint="eastAsia" w:ascii="宋体" w:hAnsi="宋体" w:eastAsia="宋体" w:cs="宋体"/>
          <w:sz w:val="24"/>
          <w:szCs w:val="24"/>
        </w:rPr>
        <w:t>，否则甲方有权拒绝支付且不承担任何违约责任，且乙方不得因此停止服务。</w:t>
      </w:r>
    </w:p>
    <w:p w14:paraId="2EB2BA75">
      <w:pPr>
        <w:pStyle w:val="9"/>
        <w:keepNext w:val="0"/>
        <w:keepLines w:val="0"/>
        <w:pageBreakBefore w:val="0"/>
        <w:numPr>
          <w:ilvl w:val="0"/>
          <w:numId w:val="17"/>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乙方开票信息应与合同预留账户信息一致。如有变更，乙方应当在变更后3日内通知甲方。否则，由此造成的损失由乙方自行承担。</w:t>
      </w:r>
    </w:p>
    <w:p w14:paraId="19A7DEEB">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双方权利与义务</w:t>
      </w:r>
    </w:p>
    <w:p w14:paraId="581F8AA0">
      <w:pPr>
        <w:pStyle w:val="9"/>
        <w:keepNext w:val="0"/>
        <w:keepLines w:val="0"/>
        <w:pageBreakBefore w:val="0"/>
        <w:numPr>
          <w:ilvl w:val="0"/>
          <w:numId w:val="18"/>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甲方权利与义务</w:t>
      </w:r>
    </w:p>
    <w:p w14:paraId="4D16113D">
      <w:pPr>
        <w:pStyle w:val="28"/>
        <w:keepNext w:val="0"/>
        <w:keepLines w:val="0"/>
        <w:pageBreakBefore w:val="0"/>
        <w:numPr>
          <w:ilvl w:val="0"/>
          <w:numId w:val="19"/>
        </w:numPr>
        <w:kinsoku/>
        <w:wordWrap/>
        <w:overflowPunct/>
        <w:topLinePunct w:val="0"/>
        <w:autoSpaceDE/>
        <w:autoSpaceDN/>
        <w:bidi w:val="0"/>
        <w:adjustRightInd w:val="0"/>
        <w:spacing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按合同约定向乙方支付费用。</w:t>
      </w:r>
    </w:p>
    <w:p w14:paraId="62A02753">
      <w:pPr>
        <w:pStyle w:val="28"/>
        <w:keepNext w:val="0"/>
        <w:keepLines w:val="0"/>
        <w:pageBreakBefore w:val="0"/>
        <w:numPr>
          <w:ilvl w:val="0"/>
          <w:numId w:val="19"/>
        </w:numPr>
        <w:kinsoku/>
        <w:wordWrap/>
        <w:overflowPunct/>
        <w:topLinePunct w:val="0"/>
        <w:autoSpaceDE/>
        <w:autoSpaceDN/>
        <w:bidi w:val="0"/>
        <w:adjustRightInd w:val="0"/>
        <w:spacing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保证乙方实施服务所必须的外部条件如电源、水源的正常供应及开启、关闭等。</w:t>
      </w:r>
    </w:p>
    <w:p w14:paraId="35119703">
      <w:pPr>
        <w:pStyle w:val="28"/>
        <w:keepNext w:val="0"/>
        <w:keepLines w:val="0"/>
        <w:pageBreakBefore w:val="0"/>
        <w:numPr>
          <w:ilvl w:val="0"/>
          <w:numId w:val="19"/>
        </w:numPr>
        <w:kinsoku/>
        <w:wordWrap/>
        <w:overflowPunct/>
        <w:topLinePunct w:val="0"/>
        <w:autoSpaceDE/>
        <w:autoSpaceDN/>
        <w:bidi w:val="0"/>
        <w:adjustRightInd w:val="0"/>
        <w:spacing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对于乙方在提供服务期间所提供的信息，甲方应予保密，未经乙方书面同意，甲方不得擅自使用或透露给第三方。</w:t>
      </w:r>
    </w:p>
    <w:p w14:paraId="7EDB0B3A">
      <w:pPr>
        <w:pStyle w:val="28"/>
        <w:keepNext w:val="0"/>
        <w:keepLines w:val="0"/>
        <w:pageBreakBefore w:val="0"/>
        <w:numPr>
          <w:ilvl w:val="0"/>
          <w:numId w:val="19"/>
        </w:numPr>
        <w:kinsoku/>
        <w:wordWrap/>
        <w:overflowPunct/>
        <w:topLinePunct w:val="0"/>
        <w:autoSpaceDE/>
        <w:autoSpaceDN/>
        <w:bidi w:val="0"/>
        <w:adjustRightInd w:val="0"/>
        <w:spacing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甲方对服务人员不满意的，有权要求乙方在7日内更换相关服务人员。</w:t>
      </w:r>
    </w:p>
    <w:p w14:paraId="344AB8AA">
      <w:pPr>
        <w:pStyle w:val="9"/>
        <w:keepNext w:val="0"/>
        <w:keepLines w:val="0"/>
        <w:pageBreakBefore w:val="0"/>
        <w:numPr>
          <w:ilvl w:val="0"/>
          <w:numId w:val="18"/>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乙方权利与义务</w:t>
      </w:r>
    </w:p>
    <w:p w14:paraId="319B30B1">
      <w:pPr>
        <w:pStyle w:val="9"/>
        <w:keepNext w:val="0"/>
        <w:keepLines w:val="0"/>
        <w:pageBreakBefore w:val="0"/>
        <w:numPr>
          <w:ilvl w:val="0"/>
          <w:numId w:val="20"/>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按本合同约定向甲方提供服务。</w:t>
      </w:r>
    </w:p>
    <w:p w14:paraId="29A7D576">
      <w:pPr>
        <w:pStyle w:val="9"/>
        <w:keepNext w:val="0"/>
        <w:keepLines w:val="0"/>
        <w:pageBreakBefore w:val="0"/>
        <w:numPr>
          <w:ilvl w:val="0"/>
          <w:numId w:val="20"/>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乙方应保证提供的服务人员具备相应的服务能力和服务资质（如涉及）。</w:t>
      </w:r>
    </w:p>
    <w:p w14:paraId="26B4DD92">
      <w:pPr>
        <w:pStyle w:val="9"/>
        <w:keepNext w:val="0"/>
        <w:keepLines w:val="0"/>
        <w:pageBreakBefore w:val="0"/>
        <w:numPr>
          <w:ilvl w:val="0"/>
          <w:numId w:val="20"/>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numPr>
          <w:ilvl w:val="0"/>
          <w:numId w:val="20"/>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如服务涉及计算机软件产品的，乙方须承诺在服务中设备安装的软件已获得软件厂商的正规授权。</w:t>
      </w:r>
    </w:p>
    <w:p w14:paraId="68E6AAB3">
      <w:pPr>
        <w:pStyle w:val="9"/>
        <w:keepNext w:val="0"/>
        <w:keepLines w:val="0"/>
        <w:pageBreakBefore w:val="0"/>
        <w:numPr>
          <w:ilvl w:val="0"/>
          <w:numId w:val="20"/>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乙方对在按本合同约定向甲方提供服务过程中所获得的所有数据、商业秘密或其它技术及经营信息负有保密的义务，不得向任何第三方透露或泄露。</w:t>
      </w:r>
    </w:p>
    <w:p w14:paraId="742F7349">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违约责任</w:t>
      </w:r>
      <w:r>
        <w:rPr>
          <w:rFonts w:hint="eastAsia" w:ascii="宋体" w:hAnsi="宋体" w:eastAsia="宋体" w:cs="宋体"/>
          <w:bCs/>
          <w:i/>
          <w:iCs/>
          <w:sz w:val="24"/>
          <w:szCs w:val="24"/>
          <w:highlight w:val="yellow"/>
        </w:rPr>
        <w:t>&lt;本条款中违约金比例可根据项目实际情况确定，如合同无固定总金额的，请按实际需求调整表述&gt;</w:t>
      </w:r>
    </w:p>
    <w:p w14:paraId="5B66A4B0">
      <w:pPr>
        <w:pStyle w:val="9"/>
        <w:keepNext w:val="0"/>
        <w:keepLines w:val="0"/>
        <w:pageBreakBefore w:val="0"/>
        <w:numPr>
          <w:ilvl w:val="0"/>
          <w:numId w:val="21"/>
        </w:numPr>
        <w:kinsoku/>
        <w:wordWrap/>
        <w:overflowPunct/>
        <w:topLinePunct w:val="0"/>
        <w:autoSpaceDE/>
        <w:autoSpaceDN/>
        <w:bidi w:val="0"/>
        <w:spacing w:after="0" w:line="240" w:lineRule="auto"/>
        <w:ind w:left="0" w:leftChars="0" w:hanging="227"/>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甲方违约责任：甲方无正当理由拒绝乙方按本合同约定提供服务的，甲方应偿付</w:t>
      </w:r>
      <w:r>
        <w:rPr>
          <w:rFonts w:hint="eastAsia" w:ascii="宋体" w:hAnsi="宋体" w:eastAsia="宋体" w:cs="宋体"/>
          <w:sz w:val="24"/>
          <w:szCs w:val="24"/>
          <w:lang w:eastAsia="zh-CN"/>
        </w:rPr>
        <w:t>合同支付上限</w:t>
      </w:r>
      <w:r>
        <w:rPr>
          <w:rFonts w:hint="eastAsia" w:ascii="宋体" w:hAnsi="宋体" w:eastAsia="宋体" w:cs="宋体"/>
          <w:sz w:val="24"/>
          <w:szCs w:val="24"/>
        </w:rPr>
        <w:t>的</w:t>
      </w:r>
      <w:r>
        <w:rPr>
          <w:rFonts w:hint="eastAsia" w:ascii="宋体" w:hAnsi="宋体" w:eastAsia="宋体" w:cs="宋体"/>
          <w:sz w:val="24"/>
          <w:szCs w:val="24"/>
          <w:u w:val="single"/>
        </w:rPr>
        <w:t>10%</w:t>
      </w:r>
      <w:r>
        <w:rPr>
          <w:rFonts w:hint="eastAsia" w:ascii="宋体" w:hAnsi="宋体" w:eastAsia="宋体" w:cs="宋体"/>
          <w:sz w:val="24"/>
          <w:szCs w:val="24"/>
        </w:rPr>
        <w:t>作为违约金。</w:t>
      </w:r>
    </w:p>
    <w:p w14:paraId="0BC8E6CE">
      <w:pPr>
        <w:pStyle w:val="28"/>
        <w:keepNext w:val="0"/>
        <w:keepLines w:val="0"/>
        <w:pageBreakBefore w:val="0"/>
        <w:numPr>
          <w:ilvl w:val="0"/>
          <w:numId w:val="21"/>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乙方违约责任：</w:t>
      </w:r>
    </w:p>
    <w:p w14:paraId="354B31C5">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bookmarkStart w:id="100" w:name="OLE_LINK18"/>
      <w:bookmarkStart w:id="101" w:name="OLE_LINK17"/>
      <w:r>
        <w:rPr>
          <w:rFonts w:hint="eastAsia" w:ascii="宋体" w:hAnsi="宋体" w:eastAsia="宋体" w:cs="宋体"/>
          <w:sz w:val="24"/>
          <w:szCs w:val="24"/>
        </w:rPr>
        <w:t>乙方应派遣具备相关资质的技术人员为甲方提供服务，服务过程中，乙方技术人员因操作不当、未采取必要的安全防范措施等原因导致安全责任事故的，由乙方承担由此造成的全部法律责任。同时，乙方应向甲方支付合同支付上限10%的违约金，甲方有权视严重程度单方解除本合同，乙方交纳的履约保证金不予退还。</w:t>
      </w:r>
    </w:p>
    <w:p w14:paraId="20C1309B">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因乙方在服务中更换的备品备件或原材料在质保期内并在正常使用情况下出现质量原因导致甲方或第三方财产或人身损害的，由乙方承担赔偿责任。同时，乙方应向甲方支付合同支付上限10%的违约金，甲方有权视严重程度单方解除本合同，乙方交纳的履约保证金不予退还。</w:t>
      </w:r>
    </w:p>
    <w:p w14:paraId="2E725C36">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在本合同的履行中，如乙方提供的服务存在设计、工艺或材料缺陷（包括潜在缺陷），乙方应当对由于上述缺陷造成的损失负责。同时，乙方应向甲方支付</w:t>
      </w:r>
      <w:r>
        <w:rPr>
          <w:rFonts w:hint="eastAsia" w:ascii="宋体" w:hAnsi="宋体" w:eastAsia="宋体" w:cs="宋体"/>
          <w:sz w:val="24"/>
          <w:szCs w:val="24"/>
          <w:lang w:eastAsia="zh-CN"/>
        </w:rPr>
        <w:t>合同支付上限</w:t>
      </w:r>
      <w:r>
        <w:rPr>
          <w:rFonts w:hint="eastAsia" w:ascii="宋体" w:hAnsi="宋体" w:eastAsia="宋体" w:cs="宋体"/>
          <w:sz w:val="24"/>
          <w:szCs w:val="24"/>
        </w:rPr>
        <w:t>10%的违约金，甲方有权视严重程度单方解除本合同，乙方交纳的履约保证金不予退还。</w:t>
      </w:r>
    </w:p>
    <w:p w14:paraId="74485C68">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在本合同履行中，如乙方未按本合同约定及时向甲方提供服务，每发生一次，乙方应按</w:t>
      </w:r>
      <w:r>
        <w:rPr>
          <w:rFonts w:hint="eastAsia" w:ascii="宋体" w:hAnsi="宋体" w:eastAsia="宋体" w:cs="宋体"/>
          <w:sz w:val="24"/>
          <w:szCs w:val="24"/>
          <w:u w:val="single"/>
          <w:lang w:eastAsia="zh-CN"/>
        </w:rPr>
        <w:t>合同支付上限</w:t>
      </w:r>
      <w:r>
        <w:rPr>
          <w:rFonts w:hint="eastAsia" w:ascii="宋体" w:hAnsi="宋体" w:eastAsia="宋体" w:cs="宋体"/>
          <w:sz w:val="24"/>
          <w:szCs w:val="24"/>
        </w:rPr>
        <w:t>的</w:t>
      </w:r>
      <w:r>
        <w:rPr>
          <w:rFonts w:hint="eastAsia" w:ascii="宋体" w:hAnsi="宋体" w:eastAsia="宋体" w:cs="宋体"/>
          <w:sz w:val="24"/>
          <w:szCs w:val="24"/>
          <w:u w:val="single"/>
          <w:lang w:val="en-US" w:eastAsia="zh-CN"/>
        </w:rPr>
        <w:t>3</w:t>
      </w:r>
      <w:r>
        <w:rPr>
          <w:rFonts w:hint="eastAsia" w:ascii="宋体" w:hAnsi="宋体" w:eastAsia="宋体" w:cs="宋体"/>
          <w:sz w:val="24"/>
          <w:szCs w:val="24"/>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乙方在提供服务过程中侵犯他人知识产权，甲方有权单方解除合同，并要求乙方赔偿所造成的损失，同时甲方有权要求对方按照</w:t>
      </w:r>
      <w:r>
        <w:rPr>
          <w:rFonts w:hint="eastAsia" w:ascii="宋体" w:hAnsi="宋体" w:eastAsia="宋体" w:cs="宋体"/>
          <w:sz w:val="24"/>
          <w:szCs w:val="24"/>
          <w:u w:val="single"/>
          <w:lang w:eastAsia="zh-CN"/>
        </w:rPr>
        <w:t>合同支付上限</w:t>
      </w:r>
      <w:r>
        <w:rPr>
          <w:rFonts w:hint="eastAsia" w:ascii="宋体" w:hAnsi="宋体" w:eastAsia="宋体" w:cs="宋体"/>
          <w:sz w:val="24"/>
          <w:szCs w:val="24"/>
        </w:rPr>
        <w:t>的</w:t>
      </w:r>
      <w:r>
        <w:rPr>
          <w:rFonts w:hint="eastAsia" w:ascii="宋体" w:hAnsi="宋体" w:eastAsia="宋体" w:cs="宋体"/>
          <w:sz w:val="24"/>
          <w:szCs w:val="24"/>
          <w:u w:val="single"/>
        </w:rPr>
        <w:t>10</w:t>
      </w:r>
      <w:r>
        <w:rPr>
          <w:rFonts w:hint="eastAsia" w:ascii="宋体" w:hAnsi="宋体" w:eastAsia="宋体" w:cs="宋体"/>
          <w:sz w:val="24"/>
          <w:szCs w:val="24"/>
        </w:rPr>
        <w:t>%支付违约金。</w:t>
      </w:r>
    </w:p>
    <w:p w14:paraId="0B168445">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乙方违反保密义务，甲方有权单方解除合同，乙方应按甲方实际损失向甲方进行赔偿并向甲方支付</w:t>
      </w:r>
      <w:r>
        <w:rPr>
          <w:rFonts w:hint="eastAsia" w:ascii="宋体" w:hAnsi="宋体" w:eastAsia="宋体" w:cs="宋体"/>
          <w:sz w:val="24"/>
          <w:szCs w:val="24"/>
          <w:u w:val="single"/>
          <w:lang w:eastAsia="zh-CN"/>
        </w:rPr>
        <w:t>合同支付上限</w:t>
      </w:r>
      <w:r>
        <w:rPr>
          <w:rFonts w:hint="eastAsia" w:ascii="宋体" w:hAnsi="宋体" w:eastAsia="宋体" w:cs="宋体"/>
          <w:sz w:val="24"/>
          <w:szCs w:val="24"/>
        </w:rPr>
        <w:t>的</w:t>
      </w:r>
      <w:r>
        <w:rPr>
          <w:rFonts w:hint="eastAsia" w:ascii="宋体" w:hAnsi="宋体" w:eastAsia="宋体" w:cs="宋体"/>
          <w:sz w:val="24"/>
          <w:szCs w:val="24"/>
          <w:u w:val="single"/>
        </w:rPr>
        <w:t>10</w:t>
      </w:r>
      <w:r>
        <w:rPr>
          <w:rFonts w:hint="eastAsia" w:ascii="宋体" w:hAnsi="宋体" w:eastAsia="宋体" w:cs="宋体"/>
          <w:sz w:val="24"/>
          <w:szCs w:val="24"/>
        </w:rPr>
        <w:t>%作为违约金。</w:t>
      </w:r>
    </w:p>
    <w:bookmarkEnd w:id="100"/>
    <w:bookmarkEnd w:id="101"/>
    <w:p w14:paraId="79DD140B">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乙方偿付的违约金不足以弥补甲方损失的，还应按甲方损失尚未弥补的部分，支付赔偿金给甲方。</w:t>
      </w:r>
    </w:p>
    <w:p w14:paraId="3156E70D">
      <w:pPr>
        <w:pStyle w:val="9"/>
        <w:keepNext w:val="0"/>
        <w:keepLines w:val="0"/>
        <w:pageBreakBefore w:val="0"/>
        <w:numPr>
          <w:ilvl w:val="0"/>
          <w:numId w:val="22"/>
        </w:numPr>
        <w:kinsoku/>
        <w:wordWrap/>
        <w:overflowPunct/>
        <w:topLinePunct w:val="0"/>
        <w:autoSpaceDE/>
        <w:autoSpaceDN/>
        <w:bidi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numPr>
          <w:ilvl w:val="0"/>
          <w:numId w:val="22"/>
        </w:numPr>
        <w:kinsoku/>
        <w:wordWrap/>
        <w:overflowPunct/>
        <w:topLinePunct w:val="0"/>
        <w:autoSpaceDE/>
        <w:autoSpaceDN/>
        <w:bidi w:val="0"/>
        <w:snapToGrid w:val="0"/>
        <w:spacing w:after="0" w:line="240" w:lineRule="auto"/>
        <w:ind w:left="600" w:leftChars="0" w:hanging="600" w:hangingChars="25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kinsoku/>
        <w:wordWrap/>
        <w:overflowPunct/>
        <w:topLinePunct w:val="0"/>
        <w:autoSpaceDE/>
        <w:autoSpaceDN/>
        <w:bidi w:val="0"/>
        <w:spacing w:after="0" w:line="240" w:lineRule="auto"/>
        <w:ind w:left="0" w:leftChars="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3.本合同履行中如有任何一方违约，那么守约方为保障自己合法权益而产生的律师费、诉讼费、差旅费、公告费等，均由违约方承担。</w:t>
      </w:r>
    </w:p>
    <w:p w14:paraId="754D0209">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不可抗力</w:t>
      </w:r>
    </w:p>
    <w:p w14:paraId="26541785">
      <w:pPr>
        <w:pStyle w:val="28"/>
        <w:keepNext w:val="0"/>
        <w:keepLines w:val="0"/>
        <w:pageBreakBefore w:val="0"/>
        <w:kinsoku/>
        <w:wordWrap/>
        <w:overflowPunct/>
        <w:topLinePunct w:val="0"/>
        <w:autoSpaceDE/>
        <w:autoSpaceDN/>
        <w:bidi w:val="0"/>
        <w:snapToGrid w:val="0"/>
        <w:spacing w:line="240" w:lineRule="auto"/>
        <w:ind w:left="0" w:leftChars="0"/>
        <w:textAlignment w:val="auto"/>
        <w:rPr>
          <w:rFonts w:hint="eastAsia" w:ascii="宋体" w:hAnsi="宋体" w:eastAsia="宋体" w:cs="宋体"/>
          <w:bCs/>
          <w:sz w:val="24"/>
          <w:szCs w:val="24"/>
        </w:rPr>
      </w:pPr>
      <w:r>
        <w:rPr>
          <w:rFonts w:hint="eastAsia" w:ascii="宋体" w:hAnsi="宋体" w:eastAsia="宋体" w:cs="宋体"/>
          <w:bCs/>
          <w:sz w:val="24"/>
          <w:szCs w:val="24"/>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4"/>
          <w:szCs w:val="24"/>
          <w:lang w:val="en-US" w:eastAsia="zh-CN"/>
        </w:rPr>
        <w:t>30</w:t>
      </w:r>
      <w:r>
        <w:rPr>
          <w:rFonts w:hint="eastAsia" w:ascii="宋体" w:hAnsi="宋体" w:eastAsia="宋体" w:cs="宋体"/>
          <w:bCs/>
          <w:sz w:val="24"/>
          <w:szCs w:val="24"/>
        </w:rPr>
        <w:t>日，甲方有权解除合同，双方互不承担违约责任。</w:t>
      </w:r>
    </w:p>
    <w:p w14:paraId="031713B9">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合同终止及解除</w:t>
      </w:r>
    </w:p>
    <w:p w14:paraId="275C61D9">
      <w:pPr>
        <w:pStyle w:val="28"/>
        <w:keepNext w:val="0"/>
        <w:keepLines w:val="0"/>
        <w:pageBreakBefore w:val="0"/>
        <w:numPr>
          <w:ilvl w:val="0"/>
          <w:numId w:val="23"/>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keepNext w:val="0"/>
        <w:keepLines w:val="0"/>
        <w:pageBreakBefore w:val="0"/>
        <w:numPr>
          <w:ilvl w:val="0"/>
          <w:numId w:val="23"/>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在甲、乙任何一方有严重违约行为时，另一方有权单方解除合同。</w:t>
      </w:r>
    </w:p>
    <w:p w14:paraId="2BA7B89E">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争议解决办法</w:t>
      </w:r>
    </w:p>
    <w:p w14:paraId="5C6244A3">
      <w:pPr>
        <w:pStyle w:val="28"/>
        <w:keepNext w:val="0"/>
        <w:keepLines w:val="0"/>
        <w:pageBreakBefore w:val="0"/>
        <w:numPr>
          <w:ilvl w:val="0"/>
          <w:numId w:val="24"/>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因服务质量问题发生争议，由质量技术监督部门或其指定的质量鉴定机构进行质量鉴定，结果符合标准的，鉴定费由甲方承担；不符合标准的，鉴定费由乙方承担。</w:t>
      </w:r>
    </w:p>
    <w:p w14:paraId="40F006BE">
      <w:pPr>
        <w:pStyle w:val="28"/>
        <w:keepNext w:val="0"/>
        <w:keepLines w:val="0"/>
        <w:pageBreakBefore w:val="0"/>
        <w:numPr>
          <w:ilvl w:val="0"/>
          <w:numId w:val="24"/>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合同履行期间,若双方发生争议，可协商或由有关部门调解解决，协商或调解不成的，任何一方均有权向甲方所在地具有管辖权的人民法院起诉。</w:t>
      </w:r>
    </w:p>
    <w:p w14:paraId="533F8595">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送达（送达地址是司法机关、执法机关和仲裁机关将法律文书送达给当事人的收件地址）</w:t>
      </w:r>
    </w:p>
    <w:p w14:paraId="46F487CF">
      <w:pPr>
        <w:pStyle w:val="33"/>
        <w:keepNext w:val="0"/>
        <w:keepLines w:val="0"/>
        <w:pageBreakBefore w:val="0"/>
        <w:numPr>
          <w:ilvl w:val="0"/>
          <w:numId w:val="25"/>
        </w:numPr>
        <w:kinsoku/>
        <w:wordWrap/>
        <w:overflowPunct/>
        <w:topLinePunct w:val="0"/>
        <w:autoSpaceDE/>
        <w:autoSpaceDN/>
        <w:bidi w:val="0"/>
        <w:spacing w:line="240" w:lineRule="auto"/>
        <w:ind w:left="0" w:leftChars="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甲方送达地址：四川省成都市青羊区一环路西二段32号。</w:t>
      </w:r>
    </w:p>
    <w:p w14:paraId="2E0AF282">
      <w:pPr>
        <w:pStyle w:val="33"/>
        <w:keepNext w:val="0"/>
        <w:keepLines w:val="0"/>
        <w:pageBreakBefore w:val="0"/>
        <w:numPr>
          <w:ilvl w:val="0"/>
          <w:numId w:val="25"/>
        </w:numPr>
        <w:kinsoku/>
        <w:wordWrap/>
        <w:overflowPunct/>
        <w:topLinePunct w:val="0"/>
        <w:autoSpaceDE/>
        <w:autoSpaceDN/>
        <w:bidi w:val="0"/>
        <w:spacing w:line="240" w:lineRule="auto"/>
        <w:ind w:left="0" w:leftChars="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乙方送达地址：***</w:t>
      </w:r>
    </w:p>
    <w:p w14:paraId="750624B0">
      <w:pPr>
        <w:pStyle w:val="33"/>
        <w:keepNext w:val="0"/>
        <w:keepLines w:val="0"/>
        <w:pageBreakBefore w:val="0"/>
        <w:numPr>
          <w:ilvl w:val="0"/>
          <w:numId w:val="25"/>
        </w:numPr>
        <w:kinsoku/>
        <w:wordWrap/>
        <w:overflowPunct/>
        <w:topLinePunct w:val="0"/>
        <w:autoSpaceDE/>
        <w:autoSpaceDN/>
        <w:bidi w:val="0"/>
        <w:spacing w:line="240" w:lineRule="auto"/>
        <w:ind w:left="0" w:leftChars="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其他</w:t>
      </w:r>
    </w:p>
    <w:p w14:paraId="162904B6">
      <w:pPr>
        <w:pStyle w:val="28"/>
        <w:keepNext w:val="0"/>
        <w:keepLines w:val="0"/>
        <w:pageBreakBefore w:val="0"/>
        <w:numPr>
          <w:ilvl w:val="0"/>
          <w:numId w:val="26"/>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如有未尽事宜，由双方依法订立补充合同。补充合同及本合同附件均为本合同的组成部分，与本合同具有同等法律效力。</w:t>
      </w:r>
    </w:p>
    <w:p w14:paraId="3EA6778F">
      <w:pPr>
        <w:pStyle w:val="28"/>
        <w:keepNext w:val="0"/>
        <w:keepLines w:val="0"/>
        <w:pageBreakBefore w:val="0"/>
        <w:numPr>
          <w:ilvl w:val="0"/>
          <w:numId w:val="26"/>
        </w:numPr>
        <w:kinsoku/>
        <w:wordWrap/>
        <w:overflowPunct/>
        <w:topLinePunct w:val="0"/>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lang w:val="en-US" w:eastAsia="zh-CN"/>
        </w:rPr>
        <w:t>五</w:t>
      </w:r>
      <w:r>
        <w:rPr>
          <w:rFonts w:hint="eastAsia" w:ascii="宋体" w:hAnsi="宋体" w:eastAsia="宋体" w:cs="宋体"/>
          <w:sz w:val="24"/>
          <w:szCs w:val="24"/>
        </w:rPr>
        <w:t>份，自双方签字且盖章之日起生效。甲方</w:t>
      </w:r>
      <w:r>
        <w:rPr>
          <w:rFonts w:hint="eastAsia" w:ascii="宋体" w:hAnsi="宋体" w:eastAsia="宋体" w:cs="宋体"/>
          <w:sz w:val="24"/>
          <w:szCs w:val="24"/>
          <w:lang w:val="en-US" w:eastAsia="zh-CN"/>
        </w:rPr>
        <w:t>四</w:t>
      </w:r>
      <w:r>
        <w:rPr>
          <w:rFonts w:hint="eastAsia" w:ascii="宋体" w:hAnsi="宋体" w:eastAsia="宋体" w:cs="宋体"/>
          <w:sz w:val="24"/>
          <w:szCs w:val="24"/>
        </w:rPr>
        <w:t>份，乙方一份。</w:t>
      </w:r>
    </w:p>
    <w:p w14:paraId="134580B1">
      <w:pPr>
        <w:pStyle w:val="28"/>
        <w:keepNext w:val="0"/>
        <w:keepLines w:val="0"/>
        <w:pageBreakBefore w:val="0"/>
        <w:numPr>
          <w:ilvl w:val="0"/>
          <w:numId w:val="12"/>
        </w:numPr>
        <w:kinsoku/>
        <w:wordWrap/>
        <w:overflowPunct/>
        <w:topLinePunct w:val="0"/>
        <w:autoSpaceDE/>
        <w:autoSpaceDN/>
        <w:bidi w:val="0"/>
        <w:spacing w:line="240" w:lineRule="auto"/>
        <w:ind w:left="0" w:leftChars="0" w:firstLine="0" w:firstLineChars="0"/>
        <w:contextualSpacing/>
        <w:jc w:val="left"/>
        <w:textAlignment w:val="auto"/>
        <w:rPr>
          <w:rFonts w:hint="eastAsia" w:ascii="宋体" w:hAnsi="宋体" w:eastAsia="宋体" w:cs="宋体"/>
          <w:b/>
          <w:sz w:val="24"/>
          <w:szCs w:val="24"/>
        </w:rPr>
      </w:pPr>
      <w:r>
        <w:rPr>
          <w:rFonts w:hint="eastAsia" w:ascii="宋体" w:hAnsi="宋体" w:eastAsia="宋体" w:cs="宋体"/>
          <w:b/>
          <w:sz w:val="24"/>
          <w:szCs w:val="24"/>
        </w:rPr>
        <w:t>合同附件</w:t>
      </w:r>
    </w:p>
    <w:p w14:paraId="6C66D4AC">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本合同为</w:t>
      </w:r>
      <w:r>
        <w:rPr>
          <w:rFonts w:hint="eastAsia" w:ascii="宋体" w:hAnsi="宋体" w:eastAsia="宋体" w:cs="宋体"/>
          <w:sz w:val="24"/>
          <w:szCs w:val="24"/>
          <w:u w:val="single"/>
        </w:rPr>
        <w:t>有</w:t>
      </w:r>
      <w:r>
        <w:rPr>
          <w:rFonts w:hint="eastAsia" w:ascii="宋体" w:hAnsi="宋体" w:eastAsia="宋体" w:cs="宋体"/>
          <w:sz w:val="24"/>
          <w:szCs w:val="24"/>
        </w:rPr>
        <w:t>附件合同，附件如下：</w:t>
      </w:r>
      <w:r>
        <w:rPr>
          <w:rFonts w:hint="eastAsia" w:ascii="宋体" w:hAnsi="宋体" w:eastAsia="宋体" w:cs="宋体"/>
          <w:i/>
          <w:iCs/>
          <w:sz w:val="24"/>
          <w:szCs w:val="24"/>
          <w:highlight w:val="yellow"/>
        </w:rPr>
        <w:t>&lt;根据项目实际情况编制&gt;</w:t>
      </w:r>
    </w:p>
    <w:p w14:paraId="3FF9CA8A">
      <w:pPr>
        <w:keepNext w:val="0"/>
        <w:keepLines w:val="0"/>
        <w:pageBreakBefore w:val="0"/>
        <w:kinsoku/>
        <w:wordWrap/>
        <w:overflowPunct/>
        <w:topLinePunct w:val="0"/>
        <w:autoSpaceDE/>
        <w:autoSpaceDN/>
        <w:bidi w:val="0"/>
        <w:spacing w:line="240" w:lineRule="auto"/>
        <w:ind w:left="0" w:leftChars="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附件1《</w:t>
      </w:r>
      <w:bookmarkStart w:id="102" w:name="OLE_LINK32"/>
      <w:r>
        <w:rPr>
          <w:rFonts w:hint="eastAsia" w:ascii="宋体" w:hAnsi="宋体" w:eastAsia="宋体" w:cs="宋体"/>
          <w:sz w:val="24"/>
          <w:szCs w:val="24"/>
        </w:rPr>
        <w:t>结算单价清单</w:t>
      </w:r>
      <w:bookmarkEnd w:id="102"/>
      <w:r>
        <w:rPr>
          <w:rFonts w:hint="eastAsia" w:ascii="宋体" w:hAnsi="宋体" w:eastAsia="宋体" w:cs="宋体"/>
          <w:sz w:val="24"/>
          <w:szCs w:val="24"/>
        </w:rPr>
        <w:t>》</w:t>
      </w:r>
    </w:p>
    <w:p w14:paraId="6CDBD3F1">
      <w:pPr>
        <w:keepNext w:val="0"/>
        <w:keepLines w:val="0"/>
        <w:pageBreakBefore w:val="0"/>
        <w:kinsoku/>
        <w:wordWrap/>
        <w:overflowPunct/>
        <w:topLinePunct w:val="0"/>
        <w:autoSpaceDE/>
        <w:autoSpaceDN/>
        <w:bidi w:val="0"/>
        <w:spacing w:line="240" w:lineRule="auto"/>
        <w:ind w:left="0" w:leftChars="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附件2《考核标准》</w:t>
      </w:r>
    </w:p>
    <w:p w14:paraId="485EAD27">
      <w:pPr>
        <w:keepNext w:val="0"/>
        <w:keepLines w:val="0"/>
        <w:pageBreakBefore w:val="0"/>
        <w:kinsoku/>
        <w:wordWrap/>
        <w:overflowPunct/>
        <w:topLinePunct w:val="0"/>
        <w:autoSpaceDE/>
        <w:autoSpaceDN/>
        <w:bidi w:val="0"/>
        <w:spacing w:line="240" w:lineRule="auto"/>
        <w:ind w:left="0" w:leftChars="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附件3《服务方案》</w:t>
      </w:r>
    </w:p>
    <w:p w14:paraId="73257A85">
      <w:pPr>
        <w:keepNext w:val="0"/>
        <w:keepLines w:val="0"/>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——以下无正文——</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签订时间：202*年***月***日</w:t>
            </w:r>
          </w:p>
        </w:tc>
      </w:tr>
      <w:tr w14:paraId="106C5796">
        <w:tblPrEx>
          <w:tblCellMar>
            <w:top w:w="0" w:type="dxa"/>
            <w:left w:w="0" w:type="dxa"/>
            <w:bottom w:w="0" w:type="dxa"/>
            <w:right w:w="0" w:type="dxa"/>
          </w:tblCellMar>
        </w:tblPrEx>
        <w:trPr>
          <w:jc w:val="center"/>
        </w:trPr>
        <w:tc>
          <w:tcPr>
            <w:tcW w:w="4967" w:type="dxa"/>
          </w:tcPr>
          <w:p w14:paraId="3F93961B">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甲方：四川省人民医院（盖章）</w:t>
            </w:r>
          </w:p>
          <w:p w14:paraId="1BF2641A">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3CF6E833">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地    址：四川省成都市一环路西二段32号</w:t>
            </w:r>
          </w:p>
          <w:p w14:paraId="6736D38D">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开户银行：建设银行成都青羊支行</w:t>
            </w:r>
          </w:p>
          <w:p w14:paraId="3D5EBF0F">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账号：5100 1446 4360 5037 4282</w:t>
            </w:r>
          </w:p>
        </w:tc>
        <w:tc>
          <w:tcPr>
            <w:tcW w:w="5247" w:type="dxa"/>
          </w:tcPr>
          <w:p w14:paraId="76D47F6F">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乙方：</w:t>
            </w:r>
            <w:permStart w:id="2" w:edGrp="everyone"/>
            <w:r>
              <w:rPr>
                <w:rFonts w:hint="eastAsia" w:ascii="宋体" w:hAnsi="宋体" w:eastAsia="宋体" w:cs="宋体"/>
                <w:sz w:val="24"/>
                <w:szCs w:val="24"/>
              </w:rPr>
              <w:t>***</w:t>
            </w:r>
            <w:permEnd w:id="2"/>
            <w:r>
              <w:rPr>
                <w:rFonts w:hint="eastAsia" w:ascii="宋体" w:hAnsi="宋体" w:eastAsia="宋体" w:cs="宋体"/>
                <w:sz w:val="24"/>
                <w:szCs w:val="24"/>
              </w:rPr>
              <w:t>（盖章）</w:t>
            </w:r>
          </w:p>
          <w:p w14:paraId="5129AF1F">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47302462">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地址：</w:t>
            </w:r>
            <w:permStart w:id="3" w:edGrp="everyone"/>
            <w:r>
              <w:rPr>
                <w:rFonts w:hint="eastAsia" w:ascii="宋体" w:hAnsi="宋体" w:eastAsia="宋体" w:cs="宋体"/>
                <w:sz w:val="24"/>
                <w:szCs w:val="24"/>
              </w:rPr>
              <w:t>***</w:t>
            </w:r>
            <w:permEnd w:id="3"/>
          </w:p>
          <w:p w14:paraId="1CF0A190">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开户银行：</w:t>
            </w:r>
            <w:permStart w:id="4" w:edGrp="everyone"/>
            <w:r>
              <w:rPr>
                <w:rFonts w:hint="eastAsia" w:ascii="宋体" w:hAnsi="宋体" w:eastAsia="宋体" w:cs="宋体"/>
                <w:sz w:val="24"/>
                <w:szCs w:val="24"/>
              </w:rPr>
              <w:t>***</w:t>
            </w:r>
          </w:p>
          <w:permEnd w:id="4"/>
          <w:p w14:paraId="5672E29C">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r>
              <w:rPr>
                <w:rFonts w:hint="eastAsia" w:ascii="宋体" w:hAnsi="宋体" w:eastAsia="宋体" w:cs="宋体"/>
                <w:sz w:val="24"/>
                <w:szCs w:val="24"/>
              </w:rPr>
              <w:t>账号：</w:t>
            </w:r>
            <w:permStart w:id="5" w:edGrp="everyone"/>
            <w:r>
              <w:rPr>
                <w:rFonts w:hint="eastAsia" w:ascii="宋体" w:hAnsi="宋体" w:eastAsia="宋体" w:cs="宋体"/>
                <w:sz w:val="24"/>
                <w:szCs w:val="24"/>
              </w:rPr>
              <w:t>***</w:t>
            </w:r>
            <w:permEnd w:id="5"/>
          </w:p>
        </w:tc>
      </w:tr>
    </w:tbl>
    <w:p w14:paraId="145681A4">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br w:type="page"/>
      </w:r>
    </w:p>
    <w:p w14:paraId="7B4B943E">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附件1：结算单价清单（人民币：元）</w:t>
      </w:r>
      <w:r>
        <w:rPr>
          <w:rFonts w:hint="eastAsia" w:ascii="宋体" w:hAnsi="宋体" w:eastAsia="宋体" w:cs="宋体"/>
          <w:b/>
          <w:bCs/>
          <w:i/>
          <w:iCs/>
          <w:sz w:val="24"/>
          <w:szCs w:val="24"/>
          <w:highlight w:val="yellow"/>
        </w:rPr>
        <w:t>&lt;根据项目实际情况编制&gt;</w:t>
      </w:r>
    </w:p>
    <w:p w14:paraId="1D831279">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86" w:type="dxa"/>
            <w:vAlign w:val="center"/>
          </w:tcPr>
          <w:p w14:paraId="6C23FD50">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结算项目名称</w:t>
            </w:r>
          </w:p>
        </w:tc>
        <w:tc>
          <w:tcPr>
            <w:tcW w:w="3402" w:type="dxa"/>
            <w:vAlign w:val="center"/>
          </w:tcPr>
          <w:p w14:paraId="3BB9E943">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i/>
                <w:iCs/>
                <w:sz w:val="24"/>
                <w:szCs w:val="24"/>
              </w:rPr>
            </w:pPr>
            <w:r>
              <w:rPr>
                <w:rFonts w:hint="eastAsia" w:ascii="宋体" w:hAnsi="宋体" w:eastAsia="宋体" w:cs="宋体"/>
                <w:b/>
                <w:bCs/>
                <w:sz w:val="24"/>
                <w:szCs w:val="24"/>
              </w:rPr>
              <w:t>项目信息</w:t>
            </w:r>
            <w:r>
              <w:rPr>
                <w:rFonts w:hint="eastAsia" w:ascii="宋体" w:hAnsi="宋体" w:eastAsia="宋体" w:cs="宋体"/>
                <w:b/>
                <w:bCs/>
                <w:i/>
                <w:iCs/>
                <w:sz w:val="24"/>
                <w:szCs w:val="24"/>
                <w:highlight w:val="yellow"/>
              </w:rPr>
              <w:t>&lt;生产厂商、品牌、型号规格等&gt;</w:t>
            </w:r>
          </w:p>
        </w:tc>
        <w:tc>
          <w:tcPr>
            <w:tcW w:w="992" w:type="dxa"/>
            <w:vAlign w:val="center"/>
          </w:tcPr>
          <w:p w14:paraId="66368B46">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结算单位</w:t>
            </w:r>
            <w:r>
              <w:rPr>
                <w:rFonts w:hint="eastAsia" w:ascii="宋体" w:hAnsi="宋体" w:eastAsia="宋体" w:cs="宋体"/>
                <w:b/>
                <w:bCs/>
                <w:i/>
                <w:iCs/>
                <w:sz w:val="24"/>
                <w:szCs w:val="24"/>
                <w:highlight w:val="yellow"/>
              </w:rPr>
              <w:t>&lt;指货物的单位&gt;</w:t>
            </w:r>
          </w:p>
        </w:tc>
        <w:tc>
          <w:tcPr>
            <w:tcW w:w="986" w:type="dxa"/>
            <w:vAlign w:val="center"/>
          </w:tcPr>
          <w:p w14:paraId="5589F7C3">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686" w:type="dxa"/>
            <w:vAlign w:val="center"/>
          </w:tcPr>
          <w:p w14:paraId="4A635D96">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3402" w:type="dxa"/>
            <w:vAlign w:val="center"/>
          </w:tcPr>
          <w:p w14:paraId="610A0DF8">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992" w:type="dxa"/>
            <w:vAlign w:val="center"/>
          </w:tcPr>
          <w:p w14:paraId="59C6D210">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c>
          <w:tcPr>
            <w:tcW w:w="986" w:type="dxa"/>
            <w:vAlign w:val="center"/>
          </w:tcPr>
          <w:p w14:paraId="3B758A07">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3686" w:type="dxa"/>
            <w:vAlign w:val="center"/>
          </w:tcPr>
          <w:p w14:paraId="2C25F4E1">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3402" w:type="dxa"/>
            <w:vAlign w:val="center"/>
          </w:tcPr>
          <w:p w14:paraId="473015E2">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992" w:type="dxa"/>
            <w:vAlign w:val="center"/>
          </w:tcPr>
          <w:p w14:paraId="1AC45725">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c>
          <w:tcPr>
            <w:tcW w:w="986" w:type="dxa"/>
            <w:vAlign w:val="center"/>
          </w:tcPr>
          <w:p w14:paraId="794FEA53">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3686" w:type="dxa"/>
            <w:vAlign w:val="center"/>
          </w:tcPr>
          <w:p w14:paraId="09F89178">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3402" w:type="dxa"/>
            <w:vAlign w:val="center"/>
          </w:tcPr>
          <w:p w14:paraId="1FF16C42">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sz w:val="24"/>
                <w:szCs w:val="24"/>
              </w:rPr>
            </w:pPr>
          </w:p>
        </w:tc>
        <w:tc>
          <w:tcPr>
            <w:tcW w:w="992" w:type="dxa"/>
            <w:vAlign w:val="center"/>
          </w:tcPr>
          <w:p w14:paraId="0BD2D448">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c>
          <w:tcPr>
            <w:tcW w:w="986" w:type="dxa"/>
            <w:vAlign w:val="center"/>
          </w:tcPr>
          <w:p w14:paraId="32267964">
            <w:pPr>
              <w:keepNext w:val="0"/>
              <w:keepLines w:val="0"/>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sz w:val="24"/>
                <w:szCs w:val="24"/>
              </w:rPr>
            </w:pPr>
          </w:p>
        </w:tc>
      </w:tr>
    </w:tbl>
    <w:p w14:paraId="5BE45F1E">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br w:type="page"/>
      </w:r>
    </w:p>
    <w:p w14:paraId="6BEFDD75">
      <w:pPr>
        <w:keepNext w:val="0"/>
        <w:keepLines w:val="0"/>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附件2：考核标准</w:t>
      </w:r>
    </w:p>
    <w:p w14:paraId="6C0FC75D">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p>
    <w:p w14:paraId="0AF72E97">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w:t>
      </w:r>
    </w:p>
    <w:p w14:paraId="5A435290">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692BA005">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附件3：服务方案</w:t>
      </w:r>
    </w:p>
    <w:p w14:paraId="49A6C9EA">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p>
    <w:p w14:paraId="1E9CF7A4">
      <w:pPr>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5152478-F966-4EDF-8F70-1B060FF041A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A3FCF95-42C1-4CD2-A954-378E26DE60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3AF00AF-6C9F-46C4-90FA-726B819552C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95546BF-1906-47FF-B3F2-54F5B2AC6CE2}"/>
  </w:font>
  <w:font w:name="Segoe UI Symbol">
    <w:panose1 w:val="020B0502040204020203"/>
    <w:charset w:val="00"/>
    <w:family w:val="swiss"/>
    <w:pitch w:val="default"/>
    <w:sig w:usb0="800001E3" w:usb1="1200FFEF" w:usb2="00040000" w:usb3="04000000" w:csb0="00000001" w:csb1="40000000"/>
    <w:embedRegular r:id="rId5" w:fontKey="{0088C70C-ABAE-4715-A0DE-C992B6D254DE}"/>
  </w:font>
  <w:font w:name="Wingdings 2">
    <w:altName w:val="Wingdings"/>
    <w:panose1 w:val="05020102010507070707"/>
    <w:charset w:val="4D"/>
    <w:family w:val="decorative"/>
    <w:pitch w:val="default"/>
    <w:sig w:usb0="00000000" w:usb1="00000000" w:usb2="00000000" w:usb3="00000000" w:csb0="80000000" w:csb1="00000000"/>
    <w:embedRegular r:id="rId6" w:fontKey="{9B0D7278-66E1-4A53-932A-C476BE011F4E}"/>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D848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23D848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66845"/>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03240"/>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276CDB"/>
    <w:rsid w:val="02966986"/>
    <w:rsid w:val="02AF383B"/>
    <w:rsid w:val="04AC0226"/>
    <w:rsid w:val="058C78B0"/>
    <w:rsid w:val="05E13064"/>
    <w:rsid w:val="078A573C"/>
    <w:rsid w:val="093A3733"/>
    <w:rsid w:val="0A9336E1"/>
    <w:rsid w:val="0B4508AE"/>
    <w:rsid w:val="0BA456E8"/>
    <w:rsid w:val="0BB03C97"/>
    <w:rsid w:val="0CF161C9"/>
    <w:rsid w:val="0E0B7FF0"/>
    <w:rsid w:val="0F904004"/>
    <w:rsid w:val="103F10FB"/>
    <w:rsid w:val="117A5014"/>
    <w:rsid w:val="127F05A0"/>
    <w:rsid w:val="136D78F8"/>
    <w:rsid w:val="13EB21F9"/>
    <w:rsid w:val="1557566D"/>
    <w:rsid w:val="15CC4977"/>
    <w:rsid w:val="162A4F7D"/>
    <w:rsid w:val="16A82A66"/>
    <w:rsid w:val="174762AE"/>
    <w:rsid w:val="17804C49"/>
    <w:rsid w:val="180369C9"/>
    <w:rsid w:val="1994787E"/>
    <w:rsid w:val="19FE7872"/>
    <w:rsid w:val="1B0D783C"/>
    <w:rsid w:val="1BCC54CD"/>
    <w:rsid w:val="1D10428C"/>
    <w:rsid w:val="1DA55279"/>
    <w:rsid w:val="1DCA2E80"/>
    <w:rsid w:val="1DD000AF"/>
    <w:rsid w:val="1E09745A"/>
    <w:rsid w:val="1E176351"/>
    <w:rsid w:val="20BA2295"/>
    <w:rsid w:val="22935D1D"/>
    <w:rsid w:val="22DF774E"/>
    <w:rsid w:val="23D4489F"/>
    <w:rsid w:val="262001B9"/>
    <w:rsid w:val="27B87AF9"/>
    <w:rsid w:val="27E80EA9"/>
    <w:rsid w:val="27FE2AE4"/>
    <w:rsid w:val="280414A1"/>
    <w:rsid w:val="28570368"/>
    <w:rsid w:val="29AC6F7A"/>
    <w:rsid w:val="29C5318E"/>
    <w:rsid w:val="2AF428F3"/>
    <w:rsid w:val="2B502F98"/>
    <w:rsid w:val="2C9A0A9E"/>
    <w:rsid w:val="2CE318D4"/>
    <w:rsid w:val="2D690CCF"/>
    <w:rsid w:val="2DA70D65"/>
    <w:rsid w:val="2F065D79"/>
    <w:rsid w:val="2F307202"/>
    <w:rsid w:val="2F5702EB"/>
    <w:rsid w:val="32067D64"/>
    <w:rsid w:val="3427766B"/>
    <w:rsid w:val="343706EB"/>
    <w:rsid w:val="351A08D0"/>
    <w:rsid w:val="35BE0BBF"/>
    <w:rsid w:val="36334CE5"/>
    <w:rsid w:val="380A04C1"/>
    <w:rsid w:val="3A551407"/>
    <w:rsid w:val="3B033C36"/>
    <w:rsid w:val="3C395948"/>
    <w:rsid w:val="3CD462F3"/>
    <w:rsid w:val="3DAA7B8D"/>
    <w:rsid w:val="3E5D4E8E"/>
    <w:rsid w:val="3FE25336"/>
    <w:rsid w:val="41076015"/>
    <w:rsid w:val="42075FF8"/>
    <w:rsid w:val="42842020"/>
    <w:rsid w:val="4429187F"/>
    <w:rsid w:val="451A09C2"/>
    <w:rsid w:val="468567BB"/>
    <w:rsid w:val="46B01730"/>
    <w:rsid w:val="46EE3B74"/>
    <w:rsid w:val="4782487D"/>
    <w:rsid w:val="4B31068E"/>
    <w:rsid w:val="4BA55220"/>
    <w:rsid w:val="4BAD0151"/>
    <w:rsid w:val="4C184E09"/>
    <w:rsid w:val="4C8F75A2"/>
    <w:rsid w:val="4D365861"/>
    <w:rsid w:val="4D4C1232"/>
    <w:rsid w:val="4DAD4403"/>
    <w:rsid w:val="4DBC0187"/>
    <w:rsid w:val="4E8C008E"/>
    <w:rsid w:val="4FEF758C"/>
    <w:rsid w:val="50771A9C"/>
    <w:rsid w:val="51C47F6D"/>
    <w:rsid w:val="53E72F59"/>
    <w:rsid w:val="5455382C"/>
    <w:rsid w:val="56E54DB3"/>
    <w:rsid w:val="5D0A3490"/>
    <w:rsid w:val="5D7E0D39"/>
    <w:rsid w:val="5E9D3F29"/>
    <w:rsid w:val="60384CD1"/>
    <w:rsid w:val="60655808"/>
    <w:rsid w:val="60F86CEE"/>
    <w:rsid w:val="62E610F7"/>
    <w:rsid w:val="62F6339C"/>
    <w:rsid w:val="63A9427A"/>
    <w:rsid w:val="63D462B1"/>
    <w:rsid w:val="641A3596"/>
    <w:rsid w:val="64D96647"/>
    <w:rsid w:val="65246D5E"/>
    <w:rsid w:val="655B51E5"/>
    <w:rsid w:val="65E3729F"/>
    <w:rsid w:val="65E40ADA"/>
    <w:rsid w:val="66330B86"/>
    <w:rsid w:val="66E22203"/>
    <w:rsid w:val="67BC076C"/>
    <w:rsid w:val="68142CCD"/>
    <w:rsid w:val="68AA6162"/>
    <w:rsid w:val="68B812C9"/>
    <w:rsid w:val="69D50CF4"/>
    <w:rsid w:val="6C487AFD"/>
    <w:rsid w:val="6C9740C0"/>
    <w:rsid w:val="6CB24363"/>
    <w:rsid w:val="6D064A17"/>
    <w:rsid w:val="6D763A57"/>
    <w:rsid w:val="6EA93466"/>
    <w:rsid w:val="6FCF0795"/>
    <w:rsid w:val="6FFE40FE"/>
    <w:rsid w:val="71381023"/>
    <w:rsid w:val="71696852"/>
    <w:rsid w:val="727C0DA1"/>
    <w:rsid w:val="73714961"/>
    <w:rsid w:val="75135AA0"/>
    <w:rsid w:val="7521074C"/>
    <w:rsid w:val="754D1D92"/>
    <w:rsid w:val="758350A9"/>
    <w:rsid w:val="78E0447A"/>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1280</Words>
  <Characters>1364</Characters>
  <Lines>72</Lines>
  <Paragraphs>20</Paragraphs>
  <TotalTime>25</TotalTime>
  <ScaleCrop>false</ScaleCrop>
  <LinksUpToDate>false</LinksUpToDate>
  <CharactersWithSpaces>1436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2026-09-08T01:37:41Z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2AEF012C46F2436B83C79D7930517C78_13</vt:lpwstr>
  </property>
  <property fmtid="{D5CDD505-2E9C-101B-9397-08002B2CF9AE}" pid="4" name="KSOTemplateDocerSaveRecord">
    <vt:lpwstr>eyJoZGlkIjoiYzBmNjVkODg4YTI3YTdkZTY0YmRiY2Y4YmFkMWQ1OTIiLCJ1c2VySWQiOiI2NDE5ODgzNDAifQ==</vt:lpwstr>
  </property>
</Properties>
</file>