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四川省人民医院污水处理站扩建项目基坑变形监测及沉降观测采购项目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2</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3"/>
        <w:rPr>
          <w:rFonts w:ascii="Times New Roman" w:hAnsi="Times New Roman" w:cs="Times New Roman"/>
        </w:rPr>
      </w:pPr>
      <w:bookmarkStart w:id="0" w:name="_Toc471310326"/>
      <w:bookmarkStart w:id="1" w:name="_Toc1907"/>
      <w:bookmarkStart w:id="2" w:name="_Toc21919"/>
      <w:bookmarkStart w:id="3" w:name="_Toc62832406"/>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7"/>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四川省人民医院污水处理站扩建项目基坑变形监测及沉降观测采购项目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CGZX-JJG20260120</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360800.00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2"/>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合同暂定总金额的 8 %</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供应商应当以支票、汇票、本票或者金融机构、担保机构出具的保函等非现金形式（包括网银转账，电汇等方式）提交履约保证金。</w:t>
            </w:r>
            <w:r>
              <w:rPr>
                <w:rFonts w:ascii="Times New Roman" w:hAnsi="Times New Roman" w:eastAsia="仿宋" w:cs="Times New Roman"/>
                <w:sz w:val="22"/>
                <w:szCs w:val="22"/>
                <w:lang w:val="zh-CN"/>
              </w:rPr>
              <w:t>；</w:t>
            </w:r>
          </w:p>
          <w:p>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待第三方竣工决算且完成所有服务内容后采购人接到供应商退款申请之日起30个工作日内一次性无息退还</w:t>
            </w:r>
            <w:r>
              <w:rPr>
                <w:rFonts w:ascii="Times New Roman" w:hAnsi="Times New Roman" w:eastAsia="仿宋" w:cs="Times New Roman"/>
                <w:sz w:val="22"/>
                <w:szCs w:val="22"/>
                <w:lang w:val="zh-CN"/>
              </w:rPr>
              <w:t>；</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成交供应商不履行与采购人订立的合同的，给采购人造成的损失超过履约保证金数额的，还应当对超过部分予以赔偿</w:t>
            </w:r>
            <w:r>
              <w:rPr>
                <w:rFonts w:ascii="Times New Roman" w:hAnsi="Times New Roman" w:eastAsia="仿宋" w:cs="Times New Roman"/>
                <w:sz w:val="22"/>
                <w:szCs w:val="22"/>
                <w:lang w:val="zh-CN"/>
              </w:rPr>
              <w:t>；</w:t>
            </w:r>
          </w:p>
          <w:p>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项目验收结果不合格的</w:t>
            </w:r>
            <w:r>
              <w:rPr>
                <w:rFonts w:ascii="Times New Roman" w:hAnsi="Times New Roman" w:eastAsia="仿宋" w:cs="Times New Roman"/>
                <w:sz w:val="22"/>
                <w:szCs w:val="22"/>
                <w:lang w:val="zh-CN"/>
              </w:rPr>
              <w:t>；</w:t>
            </w:r>
          </w:p>
          <w:p>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其他违反国家相关法律法规的情形</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通过资格、符合性审查且满足谈判文件全部实质性要求的供应商达到3家以上(含3家)，若合格供应商只有2家，但</w:t>
            </w:r>
            <w:r>
              <w:rPr>
                <w:rFonts w:hint="eastAsia" w:ascii="Times New Roman" w:hAnsi="Times New Roman" w:eastAsia="仿宋" w:cs="Times New Roman"/>
                <w:sz w:val="22"/>
              </w:rPr>
              <w:t>谈判文</w:t>
            </w:r>
            <w:r>
              <w:rPr>
                <w:rFonts w:ascii="Times New Roman" w:hAnsi="Times New Roman" w:eastAsia="仿宋" w:cs="Times New Roman"/>
                <w:sz w:val="22"/>
              </w:rPr>
              <w:t>件没有不合理条款，且采购程序符合规定的，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通过资格、符合性审查且所有技术、服务和商务条件均符合谈判文件要求的供应商视为合格供应商，合格供应商应达到3家以上(含3家)。若合格供应商只有2家，但</w:t>
            </w:r>
            <w:r>
              <w:rPr>
                <w:rFonts w:hint="eastAsia" w:ascii="Times New Roman" w:hAnsi="Times New Roman" w:eastAsia="仿宋" w:cs="Times New Roman"/>
                <w:sz w:val="22"/>
              </w:rPr>
              <w:t>谈判</w:t>
            </w:r>
            <w:r>
              <w:rPr>
                <w:rFonts w:ascii="Times New Roman" w:hAnsi="Times New Roman" w:eastAsia="仿宋" w:cs="Times New Roman"/>
                <w:sz w:val="22"/>
              </w:rPr>
              <w:t>文件没有不合理条款，且采购程序符合规定的，可以继续开展采购活动。谈判小组按照有效报价进行评审，有效报价最低的合格供应商为成交供应商。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7"/>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谈判小组根据谈判文件对供应商的响应文件进行资格审查、符合性审查及其他有效性审查。审查合格的供应商满足3家以上(含3家)，谈判小组按照评审方式进行评审，若合格供应商只有2家，但采购文件没有不合理条款，且采购程序符合规定的，可以继续开展采购活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（5）异常低价情形：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供应商提交说明材料的时间不少于30分钟。对于第 1）款第3项情形，供应商可以在响应时提前提交成本构成说明材料。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p>
            <w:pPr>
              <w:pStyle w:val="2"/>
              <w:rPr>
                <w:lang w:val="zh-CN"/>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2"/>
        <w:rPr>
          <w:rFonts w:ascii="Times New Roman" w:hAnsi="Times New Roman" w:eastAsia="黑体" w:cs="Times New Roman"/>
          <w:b/>
          <w:sz w:val="36"/>
          <w:szCs w:val="32"/>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pPr>
              <w:widowControl/>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pPr>
              <w:rPr>
                <w:rFonts w:ascii="Times New Roman" w:hAnsi="Times New Roman" w:eastAsia="仿宋" w:cs="Times New Roman"/>
                <w:sz w:val="22"/>
              </w:rPr>
            </w:pPr>
          </w:p>
        </w:tc>
        <w:tc>
          <w:tcPr>
            <w:tcW w:w="902"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pPr>
              <w:rPr>
                <w:rFonts w:ascii="Times New Roman" w:hAnsi="Times New Roman" w:eastAsia="仿宋" w:cs="Times New Roman"/>
                <w:sz w:val="22"/>
              </w:rPr>
            </w:pPr>
          </w:p>
        </w:tc>
        <w:tc>
          <w:tcPr>
            <w:tcW w:w="902"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pPr>
              <w:rPr>
                <w:rFonts w:ascii="Times New Roman" w:hAnsi="Times New Roman" w:eastAsia="仿宋" w:cs="Times New Roman"/>
                <w:sz w:val="22"/>
              </w:rPr>
            </w:pPr>
          </w:p>
        </w:tc>
        <w:tc>
          <w:tcPr>
            <w:tcW w:w="902"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pPr>
              <w:rPr>
                <w:rFonts w:ascii="Times New Roman" w:hAnsi="Times New Roman" w:eastAsia="仿宋" w:cs="Times New Roman"/>
                <w:sz w:val="22"/>
              </w:rPr>
            </w:pPr>
          </w:p>
        </w:tc>
        <w:tc>
          <w:tcPr>
            <w:tcW w:w="902"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pPr>
              <w:rPr>
                <w:rFonts w:ascii="Times New Roman" w:hAnsi="Times New Roman" w:eastAsia="仿宋" w:cs="Times New Roman"/>
                <w:sz w:val="22"/>
              </w:rPr>
            </w:pPr>
          </w:p>
        </w:tc>
        <w:tc>
          <w:tcPr>
            <w:tcW w:w="902"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1.具有行政主管部门颁发的工程勘察综合资质或工程勘察（岩土工程）专业甲级资质。 2.具有行政主管部门颁发的测绘（工程测量专业乙级）以上资质。</w:t>
            </w:r>
          </w:p>
        </w:tc>
        <w:tc>
          <w:tcPr>
            <w:tcW w:w="4398" w:type="dxa"/>
            <w:vAlign w:val="center"/>
          </w:tcPr>
          <w:p>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仿宋" w:hAnsi="仿宋" w:eastAsia="仿宋" w:cs="仿宋"/>
                <w:b/>
                <w:bCs/>
                <w:color w:val="auto"/>
                <w:sz w:val="22"/>
                <w:highlight w:val="none"/>
                <w:lang w:val="en-US" w:eastAsia="zh-CN"/>
              </w:rPr>
              <w:t>有效期内的证明材料并加盖供应商公章</w:t>
            </w:r>
          </w:p>
        </w:tc>
        <w:tc>
          <w:tcPr>
            <w:tcW w:w="902" w:type="dxa"/>
            <w:vAlign w:val="center"/>
          </w:tcPr>
          <w:p>
            <w:pPr>
              <w:jc w:val="left"/>
              <w:rPr>
                <w:rFonts w:ascii="Times New Roman" w:hAnsi="Times New Roman" w:eastAsia="仿宋" w:cs="Times New Roman"/>
                <w:bCs/>
                <w:kern w:val="0"/>
                <w:sz w:val="22"/>
              </w:rPr>
            </w:pPr>
          </w:p>
        </w:tc>
      </w:tr>
    </w:tbl>
    <w:p>
      <w:pPr>
        <w:rPr>
          <w:rFonts w:ascii="Times New Roman" w:hAnsi="Times New Roman" w:cs="Times New Roman"/>
        </w:rPr>
      </w:pPr>
      <w:r>
        <w:rPr>
          <w:rFonts w:ascii="Times New Roman" w:hAnsi="Times New Roman" w:cs="Times New Roman"/>
        </w:rPr>
        <w:br w:type="page"/>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pPr>
              <w:widowControl/>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pPr>
              <w:widowControl/>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pPr>
              <w:widowControl/>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pPr>
              <w:widowControl/>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pPr>
              <w:widowControl/>
              <w:jc w:val="left"/>
              <w:rPr>
                <w:rFonts w:ascii="Times New Roman" w:hAnsi="Times New Roman" w:eastAsia="仿宋" w:cs="Times New Roman"/>
                <w:bCs/>
                <w:kern w:val="0"/>
                <w:sz w:val="22"/>
              </w:rPr>
            </w:pP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b/>
          <w:bCs/>
          <w:sz w:val="24"/>
          <w:szCs w:val="24"/>
          <w:lang w:eastAsia="zh-CN"/>
        </w:rPr>
      </w:pPr>
      <w:r>
        <w:rPr>
          <w:rFonts w:hint="eastAsia" w:ascii="Times New Roman" w:hAnsi="Times New Roman" w:eastAsia="仿宋" w:cs="Times New Roman"/>
          <w:sz w:val="24"/>
          <w:szCs w:val="24"/>
          <w:lang w:val="en-US" w:eastAsia="zh-CN"/>
        </w:rPr>
        <w:t>四川省人民医院综合科研大楼建成后，现污水处理站无法满足增加的污水处理量需求，拟在院内木工房片区扩建一处污水处理站，设计规模为4300m3/d。污水站拟采用全地埋式污水站。地上主要布置医疗卫生废物储存间、值班室、办公室、标本间等附属功能房间。</w:t>
      </w:r>
      <w:r>
        <w:rPr>
          <w:rFonts w:ascii="Times New Roman" w:hAnsi="Times New Roman" w:eastAsia="仿宋" w:cs="Times New Roman"/>
          <w:sz w:val="24"/>
          <w:szCs w:val="24"/>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服务内容</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宋体" w:hAnsi="宋体" w:eastAsia="宋体" w:cs="宋体"/>
          <w:b w:val="0"/>
          <w:kern w:val="2"/>
          <w:sz w:val="24"/>
          <w:szCs w:val="24"/>
          <w:vertAlign w:val="baseline"/>
          <w:lang w:val="en-US" w:eastAsia="zh-CN" w:bidi="ar-SA"/>
        </w:rPr>
        <w:t>1</w:t>
      </w:r>
      <w:r>
        <w:rPr>
          <w:rFonts w:hint="eastAsia" w:ascii="宋体" w:hAnsi="宋体" w:eastAsia="宋体" w:cs="宋体"/>
          <w:b w:val="0"/>
          <w:sz w:val="24"/>
          <w:szCs w:val="24"/>
          <w:vertAlign w:val="baseline"/>
          <w:lang w:val="en-US" w:eastAsia="zh-CN"/>
        </w:rPr>
        <w:t>、</w:t>
      </w:r>
      <w:r>
        <w:rPr>
          <w:rFonts w:hint="eastAsia" w:ascii="仿宋" w:hAnsi="仿宋" w:eastAsia="仿宋" w:cs="仿宋"/>
          <w:b w:val="0"/>
          <w:sz w:val="24"/>
          <w:szCs w:val="24"/>
          <w:vertAlign w:val="baseline"/>
          <w:lang w:val="en-US" w:eastAsia="zh-CN"/>
        </w:rPr>
        <w:t>执行《建筑变形测量规范》JGJ8—2016，《工程测量标准》GB 50026-2020，《建筑基坑工程监测技术标准》GB50497-2019 等现行国家和行业规范。</w:t>
      </w:r>
    </w:p>
    <w:p>
      <w:pPr>
        <w:pStyle w:val="15"/>
        <w:numPr>
          <w:ilvl w:val="0"/>
          <w:numId w:val="12"/>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应根据采购人提供的相关资料编写基坑变形监测和主体建筑沉降观测方案，包括点位布置图纸。方案的测量方法及仪器选用、监测点数布置不得低于低于国家规范要求。</w:t>
      </w:r>
    </w:p>
    <w:p>
      <w:pPr>
        <w:pStyle w:val="15"/>
        <w:numPr>
          <w:ilvl w:val="0"/>
          <w:numId w:val="12"/>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项目基坑变形监测和沉降观测内容及范围包括但不限于：锚、索应力、支护桩（墙）顶部水平位移、支护桩（墙）顶部竖向位移、支护桩（墙）体（深层）水平位移、坑边地面沉降、支撑轴力、地下水位、（临近）建筑物竖向位移、立柱结构竖向位移、立柱结构水平位移、（新建）主体建筑沉降。</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4、应将基准点应设在建筑物变形影响范围以外且便于长期保存的稳定位置，作为永久性基准点，并作醒目警示。避开交通干道、地下管线、施工材料堆场、施工材料运输线路、水坑以及施工机械等。</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5、供应商在监测期间对观测点要严加保护，发现变形、损坏或其它因素影响，要立即采取处理措施，否则由此引发的一切损失由供应商自行承担。</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6、供应商监测时，仪器应避免安置在有空压机、搅拌机、卷扬机等震动影响的范围内，塔式起重机等施工机械附近也不宜设站。</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7、供应商每次监测应记载施工进度、增加荷载量、建筑物变形、地面沉降及其它有关异常情况。</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8、供应商监测过程中若发现沉降值超出规范要求，应立即书面通知采购人并提供相应的监测数据，以便及时采取预防措施；在检查和处理有关工程质量事故中，以便做出正确的分析与判断；为验证建筑地基基础、工程结构设计的理论及设计参数，提供可靠的基础数据。</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9、提供监测资料，提供咨询服务，每次基坑位移、周边建筑物、道路及高层主体沉降观测完毕后，次日内向采购人提交监测结果成果，发现超出规范允许差异或异常情况时应立即以电话或短信形式通知采购人，以便迅速查明原因配合拟定补救措施。</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10、监测数量、依据及时限要求(1)监测工作内容、数量及频率：必须满足国家现行标准、规范、规程、相关文件规定、基坑支护设计、上级主管部门及采购人要求。 (2)监测工作的依据：国家现行标准、规范、规程及相关规定。 (3)时限要求：</w:t>
      </w:r>
      <w:bookmarkStart w:id="15" w:name="OLE_LINK3"/>
      <w:r>
        <w:rPr>
          <w:rFonts w:hint="eastAsia" w:ascii="仿宋" w:hAnsi="仿宋" w:eastAsia="仿宋" w:cs="仿宋"/>
          <w:b w:val="0"/>
          <w:sz w:val="24"/>
          <w:szCs w:val="24"/>
          <w:vertAlign w:val="baseline"/>
          <w:lang w:val="en-US" w:eastAsia="zh-CN"/>
        </w:rPr>
        <w:t>满足基坑支护设计</w:t>
      </w:r>
      <w:bookmarkEnd w:id="15"/>
      <w:r>
        <w:rPr>
          <w:rFonts w:hint="eastAsia" w:ascii="仿宋" w:hAnsi="仿宋" w:eastAsia="仿宋" w:cs="仿宋"/>
          <w:b w:val="0"/>
          <w:sz w:val="24"/>
          <w:szCs w:val="24"/>
          <w:vertAlign w:val="baseline"/>
          <w:lang w:val="en-US" w:eastAsia="zh-CN"/>
        </w:rPr>
        <w:t>及工程进度要求，并按监理单位及采购人要求时间完成本监测任务。</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11、服务周期：(1)具体进场时间以采购人的书面进场通知为准，基坑变形监测计划服务周期为：基坑支护工程施工开始至基坑回填完成为止(预估为5个月，以工程实际进度为准)；地上主体建筑监测周期以主体建筑正负零完成开始，至项目竣工后2年后结束(以至沉降达到稳定状态或满足观测要求为止)，监测周期预估为两年零三个月。最终服务周期按工程实际进度及规范要求确定。 (2)随主体施工进度实施，严格按照国家现行相关规范要求进行观测。 (3)在本项目实施监测过程中应满足本项目总控进度计划及采购人现场项目部的具体要求。</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0" w:firstLineChars="0"/>
        <w:textAlignment w:val="auto"/>
        <w:rPr>
          <w:rFonts w:hint="eastAsia" w:ascii="仿宋" w:hAnsi="仿宋" w:eastAsia="仿宋" w:cs="仿宋"/>
          <w:sz w:val="24"/>
          <w:szCs w:val="24"/>
        </w:rPr>
      </w:pPr>
      <w:r>
        <w:rPr>
          <w:rFonts w:hint="eastAsia" w:ascii="仿宋" w:hAnsi="仿宋" w:eastAsia="仿宋" w:cs="仿宋"/>
          <w:b w:val="0"/>
          <w:sz w:val="24"/>
          <w:szCs w:val="24"/>
          <w:vertAlign w:val="baseline"/>
          <w:lang w:val="en-US" w:eastAsia="zh-CN"/>
        </w:rPr>
        <w:t>12、交付的成果和质量：(1)每次监测完成后次日提供监测成果一式肆份。 (2)基坑变形监测完成后次日提供变形监测报告一式肆份。 (3)主体建筑沉降观测完成后次日提供观测报告一式肆份。 (4)根据采购人的要求提供其他资料和补充材料。 (5)监测成果质量达到国家规范规定要求。</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本项目限高价清单：</w:t>
      </w:r>
    </w:p>
    <w:tbl>
      <w:tblPr>
        <w:tblStyle w:val="17"/>
        <w:tblW w:w="94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15"/>
        <w:gridCol w:w="1566"/>
        <w:gridCol w:w="1456"/>
        <w:gridCol w:w="1163"/>
        <w:gridCol w:w="1491"/>
        <w:gridCol w:w="1201"/>
        <w:gridCol w:w="13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9415" w:type="dxa"/>
            <w:gridSpan w:val="7"/>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四川省人民医院污水处理站扩建项目监测情况统计表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基坑（序号）</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监测项目</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监测点数量</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监测次数（按严控制）（次）</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监测点监测总次数（按严控制）</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限高单价（元）</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2"/>
                <w:szCs w:val="22"/>
                <w:u w:val="none"/>
                <w:lang w:val="en-US" w:eastAsia="zh-CN" w:bidi="ar"/>
              </w:rPr>
              <w:t>限高合价（元/点次）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支护桩水平位移</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1200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30.33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 xml:space="preserve">36396.00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基坑顶部竖向位移</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1200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30.33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 xml:space="preserve">36396.00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周边管线位移</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30.33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 xml:space="preserve">33363.00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支护桩深层水平位移（桩长25m）</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10000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7.75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 xml:space="preserve">77500.00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锚索应力监测</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600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35.33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 xml:space="preserve">21198.00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周边建筑竖向位移</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5100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30.33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 xml:space="preserve">154683.00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000000"/>
                <w:sz w:val="24"/>
                <w:szCs w:val="24"/>
                <w:u w:val="none"/>
              </w:rPr>
            </w:pP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000000"/>
                <w:sz w:val="24"/>
                <w:szCs w:val="24"/>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000000"/>
                <w:sz w:val="24"/>
                <w:szCs w:val="24"/>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b/>
                <w:bCs/>
                <w:i w:val="0"/>
                <w:iCs w:val="0"/>
                <w:color w:val="000000"/>
                <w:sz w:val="24"/>
                <w:szCs w:val="24"/>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主体监测（序号）</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监测项目</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监测点数量</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监测次数</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监测点监测总次数</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限高单价（元）</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b/>
                <w:bCs/>
                <w:i w:val="0"/>
                <w:iCs w:val="0"/>
                <w:color w:val="000000"/>
                <w:kern w:val="0"/>
                <w:sz w:val="22"/>
                <w:szCs w:val="22"/>
                <w:u w:val="none"/>
                <w:lang w:val="en-US" w:eastAsia="zh-CN" w:bidi="ar"/>
              </w:rPr>
              <w:t>限高合价（元/点次）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新建主体沉降观测</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40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30.67 </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kern w:val="0"/>
                <w:sz w:val="22"/>
                <w:szCs w:val="22"/>
                <w:u w:val="none"/>
                <w:lang w:val="en-US" w:eastAsia="zh-CN" w:bidi="ar"/>
              </w:rPr>
              <w:t xml:space="preserve">1226.80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941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2"/>
                <w:szCs w:val="22"/>
                <w:u w:val="none"/>
                <w:lang w:val="en-US" w:eastAsia="zh-CN" w:bidi="ar"/>
              </w:rPr>
              <w:t>总价合计：360762.8</w:t>
            </w:r>
          </w:p>
        </w:tc>
      </w:tr>
    </w:tbl>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本项目监测点参照设计布设。</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收费依据：根据《工程勘察设计收费管理规定》计价格[2002]10号为取费标准。</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rPr>
        <w:t>【P25：变形观测单价为/点•次（每次观测不足8点时，按8点计算）】</w:t>
      </w:r>
      <w:r>
        <w:rPr>
          <w:rFonts w:ascii="Times New Roman" w:hAnsi="Times New Roman" w:eastAsia="仿宋" w:cs="Times New Roman"/>
          <w:sz w:val="24"/>
          <w:szCs w:val="24"/>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三、商务要求：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1.服务期：自合同签订之日起至所有监测服务内容完成止；</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kern w:val="2"/>
          <w:sz w:val="24"/>
          <w:szCs w:val="24"/>
          <w:lang w:val="en-US" w:eastAsia="zh-CN" w:bidi="ar-SA"/>
        </w:rPr>
        <w:t>2.</w:t>
      </w:r>
      <w:r>
        <w:rPr>
          <w:rFonts w:hint="eastAsia" w:ascii="Times New Roman" w:hAnsi="Times New Roman" w:eastAsia="仿宋" w:cs="Times New Roman"/>
          <w:sz w:val="24"/>
          <w:szCs w:val="24"/>
          <w:lang w:val="en-US" w:eastAsia="zh-CN"/>
        </w:rPr>
        <w:t>服务地点：四川省人民医院（青羊院区）；</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kern w:val="2"/>
          <w:sz w:val="24"/>
          <w:szCs w:val="24"/>
          <w:lang w:val="en-US" w:eastAsia="zh-CN" w:bidi="ar-SA"/>
        </w:rPr>
        <w:t>3.</w:t>
      </w:r>
      <w:r>
        <w:rPr>
          <w:rFonts w:hint="eastAsia" w:ascii="Times New Roman" w:hAnsi="Times New Roman" w:eastAsia="仿宋" w:cs="Times New Roman"/>
          <w:sz w:val="24"/>
          <w:szCs w:val="24"/>
          <w:lang w:val="en-US" w:eastAsia="zh-CN"/>
        </w:rPr>
        <w:t>工程项目施工预计开工日期和建设周期：2026年2月，建设周期8个月</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kern w:val="2"/>
          <w:sz w:val="24"/>
          <w:szCs w:val="24"/>
          <w:lang w:val="en-US" w:eastAsia="zh-CN" w:bidi="ar-SA"/>
        </w:rPr>
        <w:t>4</w:t>
      </w:r>
      <w:r>
        <w:rPr>
          <w:rFonts w:hint="default" w:ascii="Times New Roman" w:hAnsi="Times New Roman" w:eastAsia="仿宋" w:cs="Times New Roman"/>
          <w:kern w:val="2"/>
          <w:sz w:val="24"/>
          <w:szCs w:val="24"/>
          <w:lang w:val="en-US" w:eastAsia="zh-CN" w:bidi="ar-SA"/>
        </w:rPr>
        <w:t>.</w:t>
      </w:r>
      <w:r>
        <w:rPr>
          <w:rFonts w:hint="eastAsia" w:ascii="Times New Roman" w:hAnsi="Times New Roman" w:eastAsia="仿宋" w:cs="Times New Roman"/>
          <w:sz w:val="24"/>
          <w:szCs w:val="24"/>
          <w:lang w:val="en-US" w:eastAsia="zh-CN"/>
        </w:rPr>
        <w:t>付款条件：（1）基坑回填±0.00 完成后5日内，供应商须向采购人提供合法有效票据及其他相关请款资料，采购人自收到上述票据及资料后55 日支付至合同暂定总金额的30%。</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（2）主体完成后，供应商提交采购人确认合格的观测成果资料后5日内，供应商向采购人提供合法有效票据及其他相关请款资料，采购人自收到上述票据及资料后55日内支付至合同暂定总金额的60%。</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（3）竣工验收合格后，供应商提交采购人确认合格的观测成果资料后5日内，供应商向采购人提供合法有效票据及其他相关请款资料，</w:t>
      </w:r>
      <w:bookmarkStart w:id="16" w:name="OLE_LINK2"/>
      <w:r>
        <w:rPr>
          <w:rFonts w:hint="eastAsia" w:ascii="Times New Roman" w:hAnsi="Times New Roman" w:eastAsia="仿宋" w:cs="Times New Roman"/>
          <w:sz w:val="24"/>
          <w:szCs w:val="24"/>
          <w:lang w:val="en-US" w:eastAsia="zh-CN"/>
        </w:rPr>
        <w:t>采购人自收到上述票据及资料</w:t>
      </w:r>
      <w:bookmarkEnd w:id="16"/>
      <w:r>
        <w:rPr>
          <w:rFonts w:hint="eastAsia" w:ascii="Times New Roman" w:hAnsi="Times New Roman" w:eastAsia="仿宋" w:cs="Times New Roman"/>
          <w:sz w:val="24"/>
          <w:szCs w:val="24"/>
          <w:lang w:val="en-US" w:eastAsia="zh-CN"/>
        </w:rPr>
        <w:t>后55日内支付至合同暂定总金额的90%。</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项目交付使用，且供应商提交采购人确认合格的所有观测成果资料，并经审计单位完成竣工结算后5日内，供应商向采购人提供合法有效票据及其他相关请款资料，采购人自收到上述票据及资料后55日内按最终审计金额付清本项目剩余款项。本项目支付上限为36.08万元。本项目服务费参照《测绘生产成本费用定额》财建【2009】17 号文件的相关规定，本项目基坑变形监测及沉降观测采用含税包干单价的计价方式执行（详见“四川省人民医院污水处理站扩建项目监测清单”）。</w:t>
      </w:r>
    </w:p>
    <w:p>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（5）本合同结算价：结算金额=∑监测点数*监测次数*含税包干单价。</w:t>
      </w:r>
    </w:p>
    <w:p>
      <w:pPr>
        <w:pStyle w:val="15"/>
        <w:keepNext w:val="0"/>
        <w:keepLines w:val="0"/>
        <w:pageBreakBefore w:val="0"/>
        <w:widowControl w:val="0"/>
        <w:kinsoku/>
        <w:wordWrap/>
        <w:overflowPunct/>
        <w:topLinePunct w:val="0"/>
        <w:autoSpaceDE/>
        <w:autoSpaceDN/>
        <w:bidi w:val="0"/>
        <w:adjustRightInd/>
        <w:snapToGrid w:val="0"/>
        <w:spacing w:before="0" w:after="0"/>
        <w:ind w:firstLine="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5.履约验收方案：</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验收程序：分期/分段验收。</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履约验收内容：按照基于本项目采购需求编制的采购文件要求及供应商响应文件情况，由供应商向采购人提供的全部服务。</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新宋体" w:hAnsi="新宋体" w:eastAsia="新宋体" w:cs="新宋体"/>
          <w:b w:val="0"/>
          <w:sz w:val="24"/>
          <w:szCs w:val="24"/>
          <w:vertAlign w:val="baseline"/>
          <w:lang w:val="en-US" w:eastAsia="zh-CN"/>
        </w:rPr>
      </w:pPr>
      <w:r>
        <w:rPr>
          <w:rFonts w:hint="eastAsia" w:ascii="仿宋" w:hAnsi="仿宋" w:eastAsia="仿宋" w:cs="仿宋"/>
          <w:sz w:val="24"/>
          <w:szCs w:val="24"/>
          <w:highlight w:val="none"/>
          <w:lang w:val="en-US" w:eastAsia="zh-CN"/>
        </w:rPr>
        <w:t>(6)履约验收时间：供应商完成每阶段服务工作后15日内通知采购人验收，采购人在收到验收申请20日内组织验收。</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7）其它标准：满足《工程测量标准》GB50026-2020、《建筑基坑工程监测技术标准》GB50497-2019、《建筑变形测量规范》JGJ8-2016 和《基坑支护及降水》设计文件相关要求。</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pPr>
        <w:pStyle w:val="15"/>
        <w:ind w:firstLine="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四、其他要求</w:t>
      </w:r>
    </w:p>
    <w:p>
      <w:pPr>
        <w:pStyle w:val="15"/>
        <w:ind w:firstLine="0"/>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2"/>
        </w:rPr>
        <w:t>★</w:t>
      </w:r>
      <w:r>
        <w:rPr>
          <w:rFonts w:hint="eastAsia" w:ascii="仿宋" w:hAnsi="仿宋" w:eastAsia="仿宋" w:cs="仿宋"/>
          <w:b w:val="0"/>
          <w:sz w:val="24"/>
          <w:szCs w:val="24"/>
          <w:vertAlign w:val="baseline"/>
          <w:lang w:val="en-US" w:eastAsia="zh-CN"/>
        </w:rPr>
        <w:t>1.供应商提供1项自2023年1月1日（含）至递交响应文件截止日类似项目业绩(</w:t>
      </w:r>
      <w:r>
        <w:rPr>
          <w:rFonts w:hint="eastAsia" w:ascii="仿宋" w:hAnsi="仿宋" w:eastAsia="仿宋" w:cs="仿宋"/>
          <w:sz w:val="24"/>
          <w:szCs w:val="24"/>
          <w:highlight w:val="none"/>
          <w:lang w:val="en-US" w:eastAsia="zh-CN"/>
        </w:rPr>
        <w:t>类似业绩指：供应商具有一个建筑面积不低于 3000平方米且基坑深度不低于 10 米或投资金额不低于4000万建筑工程基坑变形监测服务项目；</w:t>
      </w:r>
      <w:r>
        <w:rPr>
          <w:rFonts w:hint="eastAsia" w:ascii="仿宋" w:hAnsi="仿宋" w:eastAsia="仿宋" w:cs="仿宋"/>
          <w:b w:val="0"/>
          <w:bCs w:val="0"/>
          <w:snapToGrid/>
          <w:kern w:val="2"/>
          <w:sz w:val="24"/>
          <w:szCs w:val="24"/>
          <w:lang w:eastAsia="zh-CN"/>
          <w14:ligatures w14:val="none"/>
        </w:rPr>
        <w:t>以上业绩可以是已完成的，也可以是新承接尚未实施或正在实施的</w:t>
      </w:r>
      <w:r>
        <w:rPr>
          <w:rFonts w:hint="eastAsia" w:ascii="仿宋" w:hAnsi="仿宋" w:eastAsia="仿宋" w:cs="仿宋"/>
          <w:b w:val="0"/>
          <w:sz w:val="24"/>
          <w:szCs w:val="24"/>
          <w:vertAlign w:val="baseline"/>
          <w:lang w:val="en-US" w:eastAsia="zh-CN"/>
        </w:rPr>
        <w:t>，提供盖章合同复印件并加盖公章，业绩时间以合同签订时间为准）。</w:t>
      </w:r>
    </w:p>
    <w:p>
      <w:pPr>
        <w:pStyle w:val="15"/>
        <w:ind w:firstLine="0"/>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2"/>
        </w:rPr>
        <w:t>★</w:t>
      </w:r>
      <w:r>
        <w:rPr>
          <w:rFonts w:hint="eastAsia" w:ascii="仿宋" w:hAnsi="仿宋" w:eastAsia="仿宋" w:cs="仿宋"/>
          <w:b w:val="0"/>
          <w:sz w:val="24"/>
          <w:szCs w:val="24"/>
          <w:vertAlign w:val="baseline"/>
          <w:lang w:val="en-US" w:eastAsia="zh-CN"/>
        </w:rPr>
        <w:t>2.项目负责人提供1项自2023年1月1日（含）至递交响应文件截止日类似项目业绩(</w:t>
      </w:r>
      <w:r>
        <w:rPr>
          <w:rFonts w:hint="eastAsia" w:ascii="仿宋" w:hAnsi="仿宋" w:eastAsia="仿宋" w:cs="仿宋"/>
          <w:sz w:val="24"/>
          <w:szCs w:val="24"/>
          <w:highlight w:val="none"/>
          <w:lang w:val="en-US" w:eastAsia="zh-CN"/>
        </w:rPr>
        <w:t>类似业绩指：供应商具有一个建筑面积不低于 3000平方米且基坑深度不低于 10 米或投资金额不低于4000万建筑工程基坑变形监测服务项目；</w:t>
      </w:r>
      <w:r>
        <w:rPr>
          <w:rFonts w:hint="eastAsia" w:ascii="仿宋" w:hAnsi="仿宋" w:eastAsia="仿宋" w:cs="仿宋"/>
          <w:b w:val="0"/>
          <w:bCs w:val="0"/>
          <w:snapToGrid/>
          <w:kern w:val="2"/>
          <w:sz w:val="24"/>
          <w:szCs w:val="24"/>
          <w:lang w:eastAsia="zh-CN"/>
          <w14:ligatures w14:val="none"/>
        </w:rPr>
        <w:t>以上业绩可以是已完成的，也可以是新承接尚未实施或正在实施的</w:t>
      </w:r>
      <w:r>
        <w:rPr>
          <w:rFonts w:hint="eastAsia" w:ascii="仿宋" w:hAnsi="仿宋" w:eastAsia="仿宋" w:cs="仿宋"/>
          <w:b w:val="0"/>
          <w:sz w:val="24"/>
          <w:szCs w:val="24"/>
          <w:vertAlign w:val="baseline"/>
          <w:lang w:val="en-US" w:eastAsia="zh-CN"/>
        </w:rPr>
        <w:t>，提供盖章合同复印件并加盖公章，业绩时间以合同签订时间为准项目负责人业绩可与公司业绩重复得分）。</w:t>
      </w:r>
    </w:p>
    <w:p>
      <w:pPr>
        <w:pStyle w:val="15"/>
        <w:ind w:firstLine="0"/>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2"/>
        </w:rPr>
        <w:t>★</w:t>
      </w:r>
      <w:r>
        <w:rPr>
          <w:rFonts w:hint="eastAsia" w:ascii="仿宋" w:hAnsi="仿宋" w:eastAsia="仿宋" w:cs="仿宋"/>
          <w:b w:val="0"/>
          <w:sz w:val="24"/>
          <w:szCs w:val="24"/>
          <w:vertAlign w:val="baseline"/>
          <w:lang w:val="en-US" w:eastAsia="zh-CN"/>
        </w:rPr>
        <w:t xml:space="preserve">3.拟派项目人员原则上不能更换，若需更换须经采购人同意。 </w:t>
      </w:r>
    </w:p>
    <w:p>
      <w:pPr>
        <w:pStyle w:val="15"/>
        <w:ind w:firstLine="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w:t>
      </w:r>
      <w:bookmarkStart w:id="17" w:name="OLE_LINK1"/>
      <w:r>
        <w:rPr>
          <w:rFonts w:hint="eastAsia" w:ascii="仿宋" w:hAnsi="仿宋" w:eastAsia="仿宋" w:cs="仿宋"/>
          <w:b w:val="0"/>
          <w:sz w:val="24"/>
          <w:szCs w:val="24"/>
          <w:vertAlign w:val="baseline"/>
          <w:lang w:val="en-US" w:eastAsia="zh-CN"/>
        </w:rPr>
        <w:t xml:space="preserve">供应商需提供拟派项目团队人员信息，包含检测技术负责人及相关团队人员执业资格证书及相关专业技术职称。 </w:t>
      </w:r>
      <w:r>
        <w:rPr>
          <w:rFonts w:hint="eastAsia" w:ascii="仿宋" w:hAnsi="仿宋" w:eastAsia="仿宋" w:cs="仿宋"/>
          <w:b w:val="0"/>
          <w:sz w:val="24"/>
          <w:szCs w:val="24"/>
          <w:highlight w:val="none"/>
          <w:vertAlign w:val="baseline"/>
          <w:lang w:val="en-US" w:eastAsia="zh-CN"/>
        </w:rPr>
        <w:t>项目负责人：具有注册土木工程师（岩土）证书，同时具有岩土工程相关专业中级及以上技术职称</w:t>
      </w:r>
      <w:r>
        <w:rPr>
          <w:rFonts w:hint="eastAsia" w:ascii="仿宋" w:hAnsi="仿宋" w:eastAsia="仿宋" w:cs="仿宋"/>
          <w:b w:val="0"/>
          <w:sz w:val="24"/>
          <w:szCs w:val="24"/>
          <w:vertAlign w:val="baseline"/>
          <w:lang w:val="en-US" w:eastAsia="zh-CN"/>
        </w:rPr>
        <w:t>； 技术负责人：具有注册土木工程师（岩土）证书，同时具有岩土工程相关专业中级及以上技术职称。 工程测量负责人：具有注册测绘师执业资格证书，同时具有测绘工程相关专业中级及以上技术职称。 安全负责人：具有注册安全工程师执业资格证书，同时具有工程相关专业中级及以上技术职称。 （其余团队成员具有</w:t>
      </w:r>
      <w:r>
        <w:rPr>
          <w:rFonts w:hint="eastAsia" w:ascii="仿宋" w:hAnsi="仿宋" w:eastAsia="仿宋" w:cs="仿宋"/>
          <w:b w:val="0"/>
          <w:bCs w:val="0"/>
          <w:snapToGrid/>
          <w:kern w:val="2"/>
          <w:sz w:val="24"/>
          <w:szCs w:val="24"/>
          <w:lang w:eastAsia="zh-CN"/>
          <w14:ligatures w14:val="none"/>
        </w:rPr>
        <w:t>注册土木工程师（岩土）证书</w:t>
      </w:r>
      <w:r>
        <w:rPr>
          <w:rFonts w:hint="eastAsia" w:ascii="仿宋" w:hAnsi="仿宋" w:eastAsia="仿宋" w:cs="仿宋"/>
          <w:b w:val="0"/>
          <w:sz w:val="24"/>
          <w:szCs w:val="24"/>
          <w:vertAlign w:val="baseline"/>
          <w:lang w:val="en-US" w:eastAsia="zh-CN"/>
        </w:rPr>
        <w:t>或</w:t>
      </w:r>
      <w:r>
        <w:rPr>
          <w:rFonts w:hint="eastAsia" w:ascii="仿宋" w:hAnsi="仿宋" w:eastAsia="仿宋" w:cs="仿宋"/>
          <w:b w:val="0"/>
          <w:bCs w:val="0"/>
          <w:snapToGrid/>
          <w:kern w:val="2"/>
          <w:sz w:val="24"/>
          <w:szCs w:val="24"/>
          <w:lang w:eastAsia="zh-CN"/>
          <w14:ligatures w14:val="none"/>
        </w:rPr>
        <w:t>工程相关专业中级技术职</w:t>
      </w:r>
      <w:r>
        <w:rPr>
          <w:rFonts w:hint="eastAsia" w:ascii="仿宋" w:hAnsi="仿宋" w:eastAsia="仿宋" w:cs="仿宋"/>
          <w:b w:val="0"/>
          <w:sz w:val="24"/>
          <w:szCs w:val="24"/>
          <w:vertAlign w:val="baseline"/>
          <w:lang w:val="en-US" w:eastAsia="zh-CN"/>
        </w:rPr>
        <w:t>称；具有</w:t>
      </w:r>
      <w:r>
        <w:rPr>
          <w:rFonts w:hint="eastAsia" w:ascii="仿宋" w:hAnsi="仿宋" w:eastAsia="仿宋" w:cs="仿宋"/>
          <w:b w:val="0"/>
          <w:bCs w:val="0"/>
          <w:snapToGrid/>
          <w:kern w:val="2"/>
          <w:sz w:val="24"/>
          <w:szCs w:val="24"/>
          <w:lang w:eastAsia="zh-CN"/>
          <w14:ligatures w14:val="none"/>
        </w:rPr>
        <w:t>注册测绘师执业资格证书</w:t>
      </w:r>
      <w:r>
        <w:rPr>
          <w:rFonts w:hint="eastAsia" w:ascii="仿宋" w:hAnsi="仿宋" w:eastAsia="仿宋" w:cs="仿宋"/>
          <w:b w:val="0"/>
          <w:bCs w:val="0"/>
          <w:snapToGrid/>
          <w:kern w:val="2"/>
          <w:sz w:val="24"/>
          <w:szCs w:val="24"/>
          <w:lang w:val="en-US" w:eastAsia="zh-CN"/>
          <w14:ligatures w14:val="none"/>
        </w:rPr>
        <w:t>或</w:t>
      </w:r>
      <w:r>
        <w:rPr>
          <w:rFonts w:hint="eastAsia" w:ascii="仿宋" w:hAnsi="仿宋" w:eastAsia="仿宋" w:cs="仿宋"/>
          <w:b w:val="0"/>
          <w:bCs w:val="0"/>
          <w:snapToGrid/>
          <w:kern w:val="2"/>
          <w:sz w:val="24"/>
          <w:szCs w:val="24"/>
          <w:lang w:eastAsia="zh-CN"/>
          <w14:ligatures w14:val="none"/>
        </w:rPr>
        <w:t>工程相关专业中级及以上技术职称</w:t>
      </w:r>
      <w:r>
        <w:rPr>
          <w:rFonts w:hint="eastAsia" w:ascii="仿宋" w:hAnsi="仿宋" w:eastAsia="仿宋" w:cs="仿宋"/>
          <w:b w:val="0"/>
          <w:sz w:val="24"/>
          <w:szCs w:val="24"/>
          <w:vertAlign w:val="baseline"/>
          <w:lang w:val="en-US" w:eastAsia="zh-CN"/>
        </w:rPr>
        <w:t>作为加分项）注：项目团队成员均须为供应商本单位人员（①提供以上人员相关证书（注册类证书须注册在本单位）扫描件并加盖供应商公章。②提供人员在供应商本单位的在职证明材料加盖供应商公章。）。</w:t>
      </w:r>
      <w:bookmarkEnd w:id="17"/>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kern w:val="2"/>
          <w:sz w:val="24"/>
          <w:szCs w:val="24"/>
          <w:vertAlign w:val="baseline"/>
          <w:lang w:val="en-US" w:eastAsia="zh-CN" w:bidi="ar-SA"/>
        </w:rPr>
        <w:t>5.</w:t>
      </w:r>
      <w:r>
        <w:rPr>
          <w:rFonts w:hint="eastAsia" w:ascii="仿宋" w:hAnsi="仿宋" w:eastAsia="仿宋" w:cs="仿宋"/>
          <w:b w:val="0"/>
          <w:sz w:val="24"/>
          <w:szCs w:val="24"/>
          <w:vertAlign w:val="baseline"/>
          <w:lang w:val="en-US" w:eastAsia="zh-CN"/>
        </w:rPr>
        <w:t>供应商需针对本项目提供服务方案，包含但不限于</w:t>
      </w:r>
      <w:r>
        <w:rPr>
          <w:rFonts w:hint="eastAsia" w:ascii="仿宋" w:hAnsi="仿宋" w:eastAsia="仿宋" w:cs="仿宋"/>
          <w:b w:val="0"/>
          <w:bCs w:val="0"/>
          <w:snapToGrid/>
          <w:kern w:val="2"/>
          <w:sz w:val="24"/>
          <w:szCs w:val="24"/>
          <w:lang w:val="en-US" w:eastAsia="zh-CN" w:bidi="ar-SA"/>
          <w14:ligatures w14:val="none"/>
        </w:rPr>
        <w:t>①</w:t>
      </w:r>
      <w:r>
        <w:rPr>
          <w:rFonts w:hint="eastAsia" w:ascii="仿宋" w:hAnsi="仿宋" w:eastAsia="仿宋" w:cs="仿宋"/>
          <w:b w:val="0"/>
          <w:bCs w:val="0"/>
          <w:snapToGrid/>
          <w:kern w:val="2"/>
          <w:sz w:val="24"/>
          <w:szCs w:val="24"/>
          <w:lang w:eastAsia="zh-CN"/>
          <w14:ligatures w14:val="none"/>
        </w:rPr>
        <w:t>项目实施流程及技术路线，</w:t>
      </w:r>
      <w:r>
        <w:rPr>
          <w:rFonts w:hint="eastAsia" w:ascii="仿宋" w:hAnsi="仿宋" w:eastAsia="仿宋" w:cs="仿宋"/>
          <w:b w:val="0"/>
          <w:bCs w:val="0"/>
          <w:snapToGrid/>
          <w:kern w:val="2"/>
          <w:sz w:val="24"/>
          <w:szCs w:val="24"/>
          <w:lang w:val="en-US" w:eastAsia="zh-CN"/>
          <w14:ligatures w14:val="none"/>
        </w:rPr>
        <w:t>②</w:t>
      </w:r>
      <w:r>
        <w:rPr>
          <w:rFonts w:hint="eastAsia" w:ascii="仿宋" w:hAnsi="仿宋" w:eastAsia="仿宋" w:cs="仿宋"/>
          <w:b w:val="0"/>
          <w:bCs w:val="0"/>
          <w:snapToGrid/>
          <w:kern w:val="2"/>
          <w:sz w:val="24"/>
          <w:szCs w:val="24"/>
          <w:lang w:eastAsia="zh-CN"/>
          <w14:ligatures w14:val="none"/>
        </w:rPr>
        <w:t>项目重点难点分析及应对，</w:t>
      </w:r>
      <w:r>
        <w:rPr>
          <w:rFonts w:hint="eastAsia" w:ascii="仿宋" w:hAnsi="仿宋" w:eastAsia="仿宋" w:cs="仿宋"/>
          <w:b w:val="0"/>
          <w:bCs w:val="0"/>
          <w:snapToGrid/>
          <w:kern w:val="2"/>
          <w:sz w:val="24"/>
          <w:szCs w:val="24"/>
          <w:lang w:val="en-US" w:eastAsia="zh-CN"/>
          <w14:ligatures w14:val="none"/>
        </w:rPr>
        <w:t>③</w:t>
      </w:r>
      <w:r>
        <w:rPr>
          <w:rFonts w:hint="eastAsia" w:ascii="仿宋" w:hAnsi="仿宋" w:eastAsia="仿宋" w:cs="仿宋"/>
          <w:b w:val="0"/>
          <w:bCs w:val="0"/>
          <w:snapToGrid/>
          <w:kern w:val="2"/>
          <w:sz w:val="24"/>
          <w:szCs w:val="24"/>
          <w:lang w:eastAsia="zh-CN"/>
          <w14:ligatures w14:val="none"/>
        </w:rPr>
        <w:t>项目组织机构设置及管理制度，</w:t>
      </w:r>
      <w:r>
        <w:rPr>
          <w:rFonts w:hint="eastAsia" w:ascii="仿宋" w:hAnsi="仿宋" w:eastAsia="仿宋" w:cs="仿宋"/>
          <w:b w:val="0"/>
          <w:bCs w:val="0"/>
          <w:snapToGrid/>
          <w:kern w:val="2"/>
          <w:sz w:val="24"/>
          <w:szCs w:val="24"/>
          <w:lang w:val="en-US" w:eastAsia="zh-CN"/>
          <w14:ligatures w14:val="none"/>
        </w:rPr>
        <w:t>④</w:t>
      </w:r>
      <w:r>
        <w:rPr>
          <w:rFonts w:hint="eastAsia" w:ascii="仿宋" w:hAnsi="仿宋" w:eastAsia="仿宋" w:cs="仿宋"/>
          <w:b w:val="0"/>
          <w:bCs w:val="0"/>
          <w:snapToGrid/>
          <w:kern w:val="2"/>
          <w:sz w:val="24"/>
          <w:szCs w:val="24"/>
          <w:lang w:eastAsia="zh-CN"/>
          <w14:ligatures w14:val="none"/>
        </w:rPr>
        <w:t>进度安排及工期保障措施，</w:t>
      </w:r>
      <w:r>
        <w:rPr>
          <w:rFonts w:hint="eastAsia" w:ascii="仿宋" w:hAnsi="仿宋" w:eastAsia="仿宋" w:cs="仿宋"/>
          <w:b w:val="0"/>
          <w:bCs w:val="0"/>
          <w:snapToGrid/>
          <w:kern w:val="2"/>
          <w:sz w:val="24"/>
          <w:szCs w:val="24"/>
          <w:lang w:val="en-US" w:eastAsia="zh-CN"/>
          <w14:ligatures w14:val="none"/>
        </w:rPr>
        <w:t>⑤</w:t>
      </w:r>
      <w:r>
        <w:rPr>
          <w:rFonts w:hint="eastAsia" w:ascii="仿宋" w:hAnsi="仿宋" w:eastAsia="仿宋" w:cs="仿宋"/>
          <w:b w:val="0"/>
          <w:bCs w:val="0"/>
          <w:snapToGrid/>
          <w:kern w:val="2"/>
          <w:sz w:val="24"/>
          <w:szCs w:val="24"/>
          <w:lang w:eastAsia="zh-CN"/>
          <w14:ligatures w14:val="none"/>
        </w:rPr>
        <w:t>质量保障措施，</w:t>
      </w:r>
      <w:r>
        <w:rPr>
          <w:rFonts w:hint="eastAsia" w:ascii="仿宋" w:hAnsi="仿宋" w:eastAsia="仿宋" w:cs="仿宋"/>
          <w:b w:val="0"/>
          <w:bCs w:val="0"/>
          <w:snapToGrid/>
          <w:kern w:val="2"/>
          <w:sz w:val="24"/>
          <w:szCs w:val="24"/>
          <w:lang w:val="en-US" w:eastAsia="zh-CN"/>
          <w14:ligatures w14:val="none"/>
        </w:rPr>
        <w:t>⑥</w:t>
      </w:r>
      <w:r>
        <w:rPr>
          <w:rFonts w:hint="eastAsia" w:ascii="仿宋" w:hAnsi="仿宋" w:eastAsia="仿宋" w:cs="仿宋"/>
          <w:b w:val="0"/>
          <w:bCs w:val="0"/>
          <w:snapToGrid/>
          <w:kern w:val="2"/>
          <w:sz w:val="24"/>
          <w:szCs w:val="24"/>
          <w:lang w:eastAsia="zh-CN"/>
          <w14:ligatures w14:val="none"/>
        </w:rPr>
        <w:t>成果数据保密措施，</w:t>
      </w:r>
      <w:r>
        <w:rPr>
          <w:rFonts w:hint="eastAsia" w:ascii="仿宋" w:hAnsi="仿宋" w:eastAsia="仿宋" w:cs="仿宋"/>
          <w:b w:val="0"/>
          <w:bCs w:val="0"/>
          <w:snapToGrid/>
          <w:kern w:val="2"/>
          <w:sz w:val="24"/>
          <w:szCs w:val="24"/>
          <w:lang w:val="en-US" w:eastAsia="zh-CN"/>
          <w14:ligatures w14:val="none"/>
        </w:rPr>
        <w:t>⑦</w:t>
      </w:r>
      <w:r>
        <w:rPr>
          <w:rFonts w:hint="eastAsia" w:ascii="仿宋" w:hAnsi="仿宋" w:eastAsia="仿宋" w:cs="仿宋"/>
          <w:b w:val="0"/>
          <w:bCs w:val="0"/>
          <w:snapToGrid/>
          <w:kern w:val="2"/>
          <w:sz w:val="24"/>
          <w:szCs w:val="24"/>
          <w:lang w:eastAsia="zh-CN"/>
          <w14:ligatures w14:val="none"/>
        </w:rPr>
        <w:t>安全保障措施及应急管理。</w:t>
      </w:r>
    </w:p>
    <w:p>
      <w:pPr>
        <w:pStyle w:val="15"/>
        <w:numPr>
          <w:ilvl w:val="0"/>
          <w:numId w:val="0"/>
        </w:numPr>
        <w:ind w:firstLine="0" w:firstLineChars="0"/>
        <w:rPr>
          <w:rFonts w:hint="eastAsia" w:ascii="仿宋" w:hAnsi="仿宋" w:eastAsia="仿宋" w:cs="仿宋"/>
          <w:b w:val="0"/>
          <w:sz w:val="24"/>
          <w:szCs w:val="24"/>
          <w:vertAlign w:val="baseline"/>
          <w:lang w:val="en-US" w:eastAsia="zh-CN"/>
        </w:rPr>
      </w:pPr>
      <w:r>
        <w:rPr>
          <w:rFonts w:hint="eastAsia" w:ascii="仿宋" w:hAnsi="仿宋" w:eastAsia="仿宋" w:cs="仿宋"/>
          <w:b w:val="0"/>
          <w:kern w:val="2"/>
          <w:sz w:val="24"/>
          <w:szCs w:val="24"/>
          <w:vertAlign w:val="baseline"/>
          <w:lang w:val="en-US" w:eastAsia="zh-CN" w:bidi="ar-SA"/>
        </w:rPr>
        <w:t>6.</w:t>
      </w:r>
      <w:r>
        <w:rPr>
          <w:rFonts w:hint="eastAsia" w:ascii="仿宋" w:hAnsi="仿宋" w:eastAsia="仿宋" w:cs="仿宋"/>
          <w:b w:val="0"/>
          <w:bCs w:val="0"/>
          <w:snapToGrid/>
          <w:kern w:val="2"/>
          <w:sz w:val="24"/>
          <w:szCs w:val="24"/>
          <w:lang w:eastAsia="zh-CN"/>
          <w14:ligatures w14:val="none"/>
        </w:rPr>
        <w:t>企业综合实力</w:t>
      </w:r>
      <w:r>
        <w:rPr>
          <w:rFonts w:hint="eastAsia" w:ascii="仿宋" w:hAnsi="仿宋" w:eastAsia="仿宋" w:cs="仿宋"/>
          <w:b w:val="0"/>
          <w:bCs w:val="0"/>
          <w:snapToGrid/>
          <w:kern w:val="2"/>
          <w:sz w:val="24"/>
          <w:szCs w:val="24"/>
          <w:lang w:val="en-US" w:eastAsia="zh-CN"/>
          <w14:ligatures w14:val="none"/>
        </w:rPr>
        <w:t>:供应商</w:t>
      </w:r>
      <w:r>
        <w:rPr>
          <w:rFonts w:hint="eastAsia" w:ascii="仿宋" w:hAnsi="仿宋" w:eastAsia="仿宋" w:cs="仿宋"/>
          <w:b w:val="0"/>
          <w:bCs w:val="0"/>
          <w:snapToGrid/>
          <w:kern w:val="2"/>
          <w:sz w:val="24"/>
          <w:szCs w:val="24"/>
          <w:lang w:eastAsia="zh-CN"/>
          <w14:ligatures w14:val="none"/>
        </w:rPr>
        <w:t>具有国家建设行政主管部门颁发的工程勘察（工程测量）专业甲级及以上资质。</w:t>
      </w:r>
    </w:p>
    <w:p>
      <w:pPr>
        <w:pStyle w:val="15"/>
        <w:numPr>
          <w:ilvl w:val="0"/>
          <w:numId w:val="0"/>
        </w:numPr>
        <w:ind w:firstLine="0" w:firstLineChars="0"/>
        <w:rPr>
          <w:rFonts w:hint="default" w:ascii="Times New Roman" w:hAnsi="Times New Roman" w:eastAsia="仿宋" w:cs="Times New Roman"/>
          <w:sz w:val="24"/>
          <w:szCs w:val="24"/>
          <w:lang w:val="en-US" w:eastAsia="zh-CN"/>
        </w:rPr>
      </w:pPr>
    </w:p>
    <w:p>
      <w:pPr>
        <w:pStyle w:val="15"/>
        <w:ind w:firstLine="0"/>
        <w:rPr>
          <w:rFonts w:ascii="Times New Roman" w:hAnsi="Times New Roman" w:eastAsia="仿宋" w:cs="Times New Roman"/>
          <w:sz w:val="24"/>
          <w:szCs w:val="24"/>
        </w:rPr>
      </w:pPr>
    </w:p>
    <w:p>
      <w:pPr>
        <w:pStyle w:val="15"/>
        <w:rPr>
          <w:rFonts w:ascii="Times New Roman" w:hAnsi="Times New Roman" w:cs="Times New Roman"/>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r>
        <w:rPr>
          <w:rFonts w:ascii="Times New Roman" w:hAnsi="Times New Roman" w:cs="Times New Roman"/>
        </w:rPr>
        <w:br w:type="page"/>
      </w:r>
    </w:p>
    <w:p>
      <w:pPr>
        <w:pStyle w:val="3"/>
        <w:rPr>
          <w:rFonts w:ascii="Times New Roman" w:hAnsi="Times New Roman" w:cs="Times New Roman"/>
        </w:rPr>
      </w:pPr>
      <w:bookmarkStart w:id="18" w:name="_Toc13768"/>
      <w:bookmarkStart w:id="19" w:name="_Toc22588"/>
      <w:bookmarkStart w:id="20" w:name="_Toc28789"/>
      <w:r>
        <w:rPr>
          <w:rFonts w:ascii="Times New Roman" w:hAnsi="Times New Roman" w:cs="Times New Roman"/>
        </w:rPr>
        <w:t>评分标准</w:t>
      </w:r>
      <w:bookmarkEnd w:id="18"/>
      <w:bookmarkEnd w:id="19"/>
      <w:bookmarkEnd w:id="20"/>
    </w:p>
    <w:p>
      <w:pPr>
        <w:rPr>
          <w:lang w:val="zh-CN"/>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980"/>
        <w:gridCol w:w="526"/>
        <w:gridCol w:w="7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序号</w:t>
            </w:r>
          </w:p>
        </w:tc>
        <w:tc>
          <w:tcPr>
            <w:tcW w:w="9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评审因素</w:t>
            </w:r>
          </w:p>
        </w:tc>
        <w:tc>
          <w:tcPr>
            <w:tcW w:w="5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分值</w:t>
            </w:r>
          </w:p>
        </w:tc>
        <w:tc>
          <w:tcPr>
            <w:tcW w:w="78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9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报价</w:t>
            </w:r>
          </w:p>
        </w:tc>
        <w:tc>
          <w:tcPr>
            <w:tcW w:w="5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10</w:t>
            </w:r>
          </w:p>
        </w:tc>
        <w:tc>
          <w:tcPr>
            <w:tcW w:w="7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满足谈判文件要求且有效响应最低报价为评审基准价，其价格分为满分。其他供应商的价格分统一按照下列公式计算:报价得分=评审基准价/响应报价*10分;</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注:得分保留小数点后两位小数，四舍五入。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24"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98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人员配备</w:t>
            </w:r>
          </w:p>
        </w:tc>
        <w:tc>
          <w:tcPr>
            <w:tcW w:w="5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仿宋" w:hAnsi="仿宋" w:eastAsia="仿宋" w:cs="仿宋"/>
                <w:bCs/>
                <w:kern w:val="2"/>
                <w:sz w:val="24"/>
                <w:szCs w:val="24"/>
                <w:highlight w:val="none"/>
                <w:lang w:val="en-US" w:eastAsia="zh-CN" w:bidi="ar-SA"/>
              </w:rPr>
            </w:pPr>
            <w:r>
              <w:rPr>
                <w:rFonts w:hint="eastAsia" w:ascii="仿宋" w:hAnsi="仿宋" w:eastAsia="仿宋" w:cs="仿宋"/>
                <w:bCs/>
                <w:sz w:val="24"/>
                <w:szCs w:val="24"/>
                <w:highlight w:val="none"/>
                <w:lang w:val="en-US" w:eastAsia="zh-CN"/>
              </w:rPr>
              <w:t>32</w:t>
            </w:r>
          </w:p>
        </w:tc>
        <w:tc>
          <w:tcPr>
            <w:tcW w:w="78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供应商需提供拟派项目团队人员信息，包含检测技术负责人及相关团队人员执业资格证书及相关专业技术职称。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hanging="480" w:hangingChars="200"/>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1.项目负责人：</w:t>
            </w:r>
            <w:r>
              <w:rPr>
                <w:rFonts w:hint="eastAsia" w:ascii="仿宋" w:hAnsi="仿宋" w:eastAsia="仿宋" w:cs="仿宋"/>
                <w:b w:val="0"/>
                <w:bCs w:val="0"/>
                <w:snapToGrid/>
                <w:kern w:val="2"/>
                <w:sz w:val="24"/>
                <w:szCs w:val="24"/>
                <w:lang w:eastAsia="zh-CN"/>
                <w14:ligatures w14:val="none"/>
              </w:rPr>
              <w:t>具有注册土木工程师（岩土）证书得3分</w:t>
            </w:r>
            <w:r>
              <w:rPr>
                <w:rFonts w:hint="eastAsia" w:ascii="仿宋" w:hAnsi="仿宋" w:eastAsia="仿宋" w:cs="仿宋"/>
                <w:b w:val="0"/>
                <w:bCs w:val="0"/>
                <w:sz w:val="24"/>
                <w:szCs w:val="24"/>
                <w:vertAlign w:val="baseline"/>
                <w:lang w:val="en-US" w:eastAsia="zh-CN"/>
              </w:rPr>
              <w:t>，同时具有岩土工程相关专业中级及以上技术职称</w:t>
            </w:r>
            <w:r>
              <w:rPr>
                <w:rFonts w:hint="eastAsia" w:ascii="仿宋" w:hAnsi="仿宋" w:eastAsia="仿宋" w:cs="仿宋"/>
                <w:b w:val="0"/>
                <w:bCs w:val="0"/>
                <w:color w:val="auto"/>
                <w:sz w:val="24"/>
                <w:szCs w:val="24"/>
                <w:highlight w:val="none"/>
                <w:lang w:val="en-US" w:eastAsia="zh-CN"/>
              </w:rPr>
              <w:t>加1分，具有岩土工程相关专业高级及以上技术职称加2分，本项目最多得5分。</w:t>
            </w:r>
            <w:r>
              <w:rPr>
                <w:rFonts w:hint="eastAsia" w:ascii="仿宋" w:hAnsi="仿宋" w:eastAsia="仿宋" w:cs="仿宋"/>
                <w:b w:val="0"/>
                <w:bCs w:val="0"/>
                <w:sz w:val="24"/>
                <w:szCs w:val="24"/>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hanging="480" w:hangingChars="200"/>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2.技术负责人：</w:t>
            </w:r>
            <w:r>
              <w:rPr>
                <w:rFonts w:hint="eastAsia" w:ascii="仿宋" w:hAnsi="仿宋" w:eastAsia="仿宋" w:cs="仿宋"/>
                <w:b w:val="0"/>
                <w:bCs w:val="0"/>
                <w:snapToGrid/>
                <w:kern w:val="2"/>
                <w:sz w:val="24"/>
                <w:szCs w:val="24"/>
                <w:lang w:eastAsia="zh-CN"/>
                <w14:ligatures w14:val="none"/>
              </w:rPr>
              <w:t>具有注册土木工程师（岩土）证书得3分</w:t>
            </w:r>
            <w:r>
              <w:rPr>
                <w:rFonts w:hint="eastAsia" w:ascii="仿宋" w:hAnsi="仿宋" w:eastAsia="仿宋" w:cs="仿宋"/>
                <w:b w:val="0"/>
                <w:bCs w:val="0"/>
                <w:sz w:val="24"/>
                <w:szCs w:val="24"/>
                <w:vertAlign w:val="baseline"/>
                <w:lang w:val="en-US" w:eastAsia="zh-CN"/>
              </w:rPr>
              <w:t>，同时具有岩土工程相关专业中级及以上技术职称</w:t>
            </w:r>
            <w:r>
              <w:rPr>
                <w:rFonts w:hint="eastAsia" w:ascii="仿宋" w:hAnsi="仿宋" w:eastAsia="仿宋" w:cs="仿宋"/>
                <w:b w:val="0"/>
                <w:bCs w:val="0"/>
                <w:color w:val="auto"/>
                <w:sz w:val="24"/>
                <w:szCs w:val="24"/>
                <w:highlight w:val="none"/>
                <w:lang w:val="en-US" w:eastAsia="zh-CN"/>
              </w:rPr>
              <w:t>加1分，具有岩土工程相关专业高级及以上技术职称加2分，本项目最多得5分</w:t>
            </w:r>
            <w:r>
              <w:rPr>
                <w:rFonts w:hint="eastAsia" w:ascii="仿宋" w:hAnsi="仿宋" w:eastAsia="仿宋" w:cs="仿宋"/>
                <w:b w:val="0"/>
                <w:bCs w:val="0"/>
                <w:sz w:val="24"/>
                <w:szCs w:val="24"/>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hanging="480" w:hangingChars="200"/>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3.工程测量负责人：</w:t>
            </w:r>
            <w:r>
              <w:rPr>
                <w:rFonts w:hint="eastAsia" w:ascii="仿宋" w:hAnsi="仿宋" w:eastAsia="仿宋" w:cs="仿宋"/>
                <w:b w:val="0"/>
                <w:bCs w:val="0"/>
                <w:snapToGrid/>
                <w:kern w:val="2"/>
                <w:sz w:val="24"/>
                <w:szCs w:val="24"/>
                <w:lang w:eastAsia="zh-CN"/>
                <w14:ligatures w14:val="none"/>
              </w:rPr>
              <w:t>具有注册测绘师执业资格证书得3分</w:t>
            </w:r>
            <w:r>
              <w:rPr>
                <w:rFonts w:hint="eastAsia" w:ascii="仿宋" w:hAnsi="仿宋" w:eastAsia="仿宋" w:cs="仿宋"/>
                <w:b w:val="0"/>
                <w:bCs w:val="0"/>
                <w:sz w:val="24"/>
                <w:szCs w:val="24"/>
                <w:vertAlign w:val="baseline"/>
                <w:lang w:val="en-US" w:eastAsia="zh-CN"/>
              </w:rPr>
              <w:t>，同时具有测绘工程相关专业中级及以上技术职称</w:t>
            </w:r>
            <w:r>
              <w:rPr>
                <w:rFonts w:hint="eastAsia" w:ascii="仿宋" w:hAnsi="仿宋" w:eastAsia="仿宋" w:cs="仿宋"/>
                <w:b w:val="0"/>
                <w:bCs w:val="0"/>
                <w:color w:val="auto"/>
                <w:sz w:val="24"/>
                <w:szCs w:val="24"/>
                <w:highlight w:val="none"/>
                <w:lang w:val="en-US" w:eastAsia="zh-CN"/>
              </w:rPr>
              <w:t>加1分，具有测绘工程相关专业高级及以上技术职称加2分，本项目最多得5分</w:t>
            </w:r>
            <w:r>
              <w:rPr>
                <w:rFonts w:hint="eastAsia" w:ascii="仿宋" w:hAnsi="仿宋" w:eastAsia="仿宋" w:cs="仿宋"/>
                <w:b w:val="0"/>
                <w:bCs w:val="0"/>
                <w:sz w:val="24"/>
                <w:szCs w:val="24"/>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hanging="480" w:hangingChars="200"/>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4.安全负责人：具有注册安全工程师得3分，同时具有工程相关专业中级及以上技术职称</w:t>
            </w:r>
            <w:r>
              <w:rPr>
                <w:rFonts w:hint="eastAsia" w:ascii="仿宋" w:hAnsi="仿宋" w:eastAsia="仿宋" w:cs="仿宋"/>
                <w:b w:val="0"/>
                <w:bCs w:val="0"/>
                <w:color w:val="auto"/>
                <w:sz w:val="24"/>
                <w:szCs w:val="24"/>
                <w:highlight w:val="none"/>
                <w:lang w:val="en-US" w:eastAsia="zh-CN"/>
              </w:rPr>
              <w:t>加1分，具有工程相关专业高级及以上技术职称加2分，本项目最多得5分</w:t>
            </w:r>
            <w:r>
              <w:rPr>
                <w:rFonts w:hint="eastAsia" w:ascii="仿宋" w:hAnsi="仿宋" w:eastAsia="仿宋" w:cs="仿宋"/>
                <w:b w:val="0"/>
                <w:bCs w:val="0"/>
                <w:sz w:val="24"/>
                <w:szCs w:val="24"/>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firstLine="0"/>
              <w:jc w:val="both"/>
              <w:textAlignment w:val="auto"/>
              <w:rPr>
                <w:rFonts w:hint="eastAsia" w:ascii="仿宋" w:hAnsi="仿宋" w:eastAsia="仿宋" w:cs="仿宋"/>
                <w:b w:val="0"/>
                <w:bCs w:val="0"/>
                <w:snapToGrid/>
                <w:kern w:val="2"/>
                <w:sz w:val="24"/>
                <w:szCs w:val="24"/>
                <w:lang w:eastAsia="zh-CN"/>
                <w14:ligatures w14:val="none"/>
              </w:rPr>
            </w:pPr>
            <w:r>
              <w:rPr>
                <w:rFonts w:hint="eastAsia" w:ascii="仿宋" w:hAnsi="仿宋" w:eastAsia="仿宋" w:cs="仿宋"/>
                <w:b w:val="0"/>
                <w:bCs w:val="0"/>
                <w:snapToGrid/>
                <w:kern w:val="2"/>
                <w:sz w:val="24"/>
                <w:szCs w:val="24"/>
                <w:lang w:val="en-US" w:eastAsia="zh-CN"/>
                <w14:ligatures w14:val="none"/>
              </w:rPr>
              <w:t>5</w:t>
            </w:r>
            <w:r>
              <w:rPr>
                <w:rFonts w:hint="eastAsia" w:ascii="仿宋" w:hAnsi="仿宋" w:eastAsia="仿宋" w:cs="仿宋"/>
                <w:b w:val="0"/>
                <w:bCs w:val="0"/>
                <w:snapToGrid/>
                <w:kern w:val="2"/>
                <w:sz w:val="24"/>
                <w:szCs w:val="24"/>
                <w:lang w:eastAsia="zh-CN"/>
                <w14:ligatures w14:val="none"/>
              </w:rPr>
              <w:t>、项目组其他成员（12分）：</w:t>
            </w:r>
          </w:p>
          <w:p>
            <w:pPr>
              <w:keepNext w:val="0"/>
              <w:keepLines w:val="0"/>
              <w:pageBreakBefore w:val="0"/>
              <w:widowControl w:val="0"/>
              <w:kinsoku/>
              <w:wordWrap/>
              <w:overflowPunct/>
              <w:topLinePunct w:val="0"/>
              <w:autoSpaceDE/>
              <w:autoSpaceDN/>
              <w:bidi w:val="0"/>
              <w:adjustRightInd/>
              <w:snapToGrid/>
              <w:spacing w:line="240" w:lineRule="auto"/>
              <w:ind w:left="0" w:firstLine="0"/>
              <w:jc w:val="both"/>
              <w:textAlignment w:val="auto"/>
              <w:rPr>
                <w:rFonts w:hint="eastAsia" w:ascii="仿宋" w:hAnsi="仿宋" w:eastAsia="仿宋" w:cs="仿宋"/>
                <w:b w:val="0"/>
                <w:bCs w:val="0"/>
                <w:snapToGrid/>
                <w:kern w:val="2"/>
                <w:sz w:val="24"/>
                <w:szCs w:val="24"/>
                <w:lang w:eastAsia="zh-CN"/>
                <w14:ligatures w14:val="none"/>
              </w:rPr>
            </w:pPr>
            <w:r>
              <w:rPr>
                <w:rFonts w:hint="eastAsia" w:ascii="仿宋" w:hAnsi="仿宋" w:eastAsia="仿宋" w:cs="仿宋"/>
                <w:b w:val="0"/>
                <w:bCs w:val="0"/>
                <w:snapToGrid/>
                <w:kern w:val="2"/>
                <w:sz w:val="24"/>
                <w:szCs w:val="24"/>
                <w:lang w:eastAsia="zh-CN"/>
                <w14:ligatures w14:val="none"/>
              </w:rPr>
              <w:t>①每提供1名具有注册土木工程师（岩土）证书的人员得0.5分，同时具有工程相关专业中级技术职称</w:t>
            </w:r>
            <w:r>
              <w:rPr>
                <w:rFonts w:hint="eastAsia" w:ascii="仿宋" w:hAnsi="仿宋" w:eastAsia="仿宋" w:cs="仿宋"/>
                <w:b w:val="0"/>
                <w:bCs w:val="0"/>
                <w:snapToGrid/>
                <w:kern w:val="2"/>
                <w:sz w:val="24"/>
                <w:szCs w:val="24"/>
                <w:lang w:val="en-US" w:eastAsia="zh-CN"/>
                <w14:ligatures w14:val="none"/>
              </w:rPr>
              <w:t>加</w:t>
            </w:r>
            <w:r>
              <w:rPr>
                <w:rFonts w:hint="eastAsia" w:ascii="仿宋" w:hAnsi="仿宋" w:eastAsia="仿宋" w:cs="仿宋"/>
                <w:b w:val="0"/>
                <w:bCs w:val="0"/>
                <w:snapToGrid/>
                <w:kern w:val="2"/>
                <w:sz w:val="24"/>
                <w:szCs w:val="24"/>
                <w:lang w:eastAsia="zh-CN"/>
                <w14:ligatures w14:val="none"/>
              </w:rPr>
              <w:t>0.5分，具有工程相关专业</w:t>
            </w:r>
            <w:r>
              <w:rPr>
                <w:rFonts w:hint="eastAsia" w:ascii="仿宋" w:hAnsi="仿宋" w:eastAsia="仿宋" w:cs="仿宋"/>
                <w:b w:val="0"/>
                <w:bCs w:val="0"/>
                <w:snapToGrid/>
                <w:kern w:val="2"/>
                <w:sz w:val="24"/>
                <w:szCs w:val="24"/>
                <w:lang w:val="en-US" w:eastAsia="zh-CN"/>
                <w14:ligatures w14:val="none"/>
              </w:rPr>
              <w:t>高</w:t>
            </w:r>
            <w:r>
              <w:rPr>
                <w:rFonts w:hint="eastAsia" w:ascii="仿宋" w:hAnsi="仿宋" w:eastAsia="仿宋" w:cs="仿宋"/>
                <w:b w:val="0"/>
                <w:bCs w:val="0"/>
                <w:snapToGrid/>
                <w:kern w:val="2"/>
                <w:sz w:val="24"/>
                <w:szCs w:val="24"/>
                <w:lang w:eastAsia="zh-CN"/>
                <w14:ligatures w14:val="none"/>
              </w:rPr>
              <w:t>级</w:t>
            </w:r>
            <w:r>
              <w:rPr>
                <w:rFonts w:hint="eastAsia" w:ascii="仿宋" w:hAnsi="仿宋" w:eastAsia="仿宋" w:cs="仿宋"/>
                <w:b w:val="0"/>
                <w:bCs w:val="0"/>
                <w:snapToGrid/>
                <w:kern w:val="2"/>
                <w:sz w:val="24"/>
                <w:szCs w:val="24"/>
                <w:lang w:val="en-US" w:eastAsia="zh-CN"/>
                <w14:ligatures w14:val="none"/>
              </w:rPr>
              <w:t>及以上</w:t>
            </w:r>
            <w:r>
              <w:rPr>
                <w:rFonts w:hint="eastAsia" w:ascii="仿宋" w:hAnsi="仿宋" w:eastAsia="仿宋" w:cs="仿宋"/>
                <w:b w:val="0"/>
                <w:bCs w:val="0"/>
                <w:snapToGrid/>
                <w:kern w:val="2"/>
                <w:sz w:val="24"/>
                <w:szCs w:val="24"/>
                <w:lang w:eastAsia="zh-CN"/>
                <w14:ligatures w14:val="none"/>
              </w:rPr>
              <w:t>技术职称</w:t>
            </w:r>
            <w:r>
              <w:rPr>
                <w:rFonts w:hint="eastAsia" w:ascii="仿宋" w:hAnsi="仿宋" w:eastAsia="仿宋" w:cs="仿宋"/>
                <w:b w:val="0"/>
                <w:bCs w:val="0"/>
                <w:snapToGrid/>
                <w:kern w:val="2"/>
                <w:sz w:val="24"/>
                <w:szCs w:val="24"/>
                <w:lang w:val="en-US" w:eastAsia="zh-CN"/>
                <w14:ligatures w14:val="none"/>
              </w:rPr>
              <w:t>加</w:t>
            </w:r>
            <w:r>
              <w:rPr>
                <w:rFonts w:hint="eastAsia" w:ascii="仿宋" w:hAnsi="仿宋" w:eastAsia="仿宋" w:cs="仿宋"/>
                <w:b w:val="0"/>
                <w:bCs w:val="0"/>
                <w:snapToGrid/>
                <w:kern w:val="2"/>
                <w:sz w:val="24"/>
                <w:szCs w:val="24"/>
                <w:lang w:eastAsia="zh-CN"/>
                <w14:ligatures w14:val="none"/>
              </w:rPr>
              <w:t>1分；</w:t>
            </w:r>
            <w:r>
              <w:rPr>
                <w:rFonts w:hint="eastAsia" w:ascii="仿宋" w:hAnsi="仿宋" w:eastAsia="仿宋" w:cs="仿宋"/>
                <w:b w:val="0"/>
                <w:bCs w:val="0"/>
                <w:snapToGrid/>
                <w:kern w:val="2"/>
                <w:sz w:val="24"/>
                <w:szCs w:val="24"/>
                <w:lang w:val="en-US" w:eastAsia="zh-CN"/>
                <w14:ligatures w14:val="none"/>
              </w:rPr>
              <w:t>每人最多的1.5分，</w:t>
            </w:r>
            <w:r>
              <w:rPr>
                <w:rFonts w:hint="eastAsia" w:ascii="仿宋" w:hAnsi="仿宋" w:eastAsia="仿宋" w:cs="仿宋"/>
                <w:b w:val="0"/>
                <w:bCs w:val="0"/>
                <w:snapToGrid/>
                <w:kern w:val="2"/>
                <w:sz w:val="24"/>
                <w:szCs w:val="24"/>
                <w:lang w:eastAsia="zh-CN"/>
                <w14:ligatures w14:val="none"/>
              </w:rPr>
              <w:t>本项最多得</w:t>
            </w:r>
            <w:r>
              <w:rPr>
                <w:rFonts w:hint="eastAsia" w:ascii="仿宋" w:hAnsi="仿宋" w:eastAsia="仿宋" w:cs="仿宋"/>
                <w:b w:val="0"/>
                <w:bCs w:val="0"/>
                <w:snapToGrid/>
                <w:kern w:val="2"/>
                <w:sz w:val="24"/>
                <w:szCs w:val="24"/>
                <w:lang w:val="en-US" w:eastAsia="zh-CN"/>
                <w14:ligatures w14:val="none"/>
              </w:rPr>
              <w:t>9</w:t>
            </w:r>
            <w:r>
              <w:rPr>
                <w:rFonts w:hint="eastAsia" w:ascii="仿宋" w:hAnsi="仿宋" w:eastAsia="仿宋" w:cs="仿宋"/>
                <w:b w:val="0"/>
                <w:bCs w:val="0"/>
                <w:snapToGrid/>
                <w:kern w:val="2"/>
                <w:sz w:val="24"/>
                <w:szCs w:val="24"/>
                <w:lang w:eastAsia="zh-CN"/>
                <w14:ligatures w14:val="none"/>
              </w:rPr>
              <w:t>分。</w:t>
            </w:r>
          </w:p>
          <w:p>
            <w:pPr>
              <w:pStyle w:val="2"/>
              <w:rPr>
                <w:rFonts w:hint="eastAsia"/>
                <w:lang w:val="en-US" w:eastAsia="zh-CN"/>
              </w:rPr>
            </w:pPr>
            <w:r>
              <w:rPr>
                <w:rFonts w:hint="eastAsia" w:ascii="仿宋" w:hAnsi="仿宋" w:eastAsia="仿宋" w:cs="仿宋"/>
                <w:b w:val="0"/>
                <w:bCs w:val="0"/>
                <w:snapToGrid/>
                <w:kern w:val="2"/>
                <w:sz w:val="24"/>
                <w:szCs w:val="24"/>
                <w:lang w:eastAsia="zh-CN"/>
                <w14:ligatures w14:val="none"/>
              </w:rPr>
              <w:t>②每提供1名具有注册测绘师执业资格证书的人员得</w:t>
            </w:r>
            <w:r>
              <w:rPr>
                <w:rFonts w:hint="eastAsia" w:ascii="仿宋" w:hAnsi="仿宋" w:eastAsia="仿宋" w:cs="仿宋"/>
                <w:b w:val="0"/>
                <w:bCs w:val="0"/>
                <w:snapToGrid/>
                <w:kern w:val="2"/>
                <w:sz w:val="24"/>
                <w:szCs w:val="24"/>
                <w:lang w:val="en-US" w:eastAsia="zh-CN"/>
                <w14:ligatures w14:val="none"/>
              </w:rPr>
              <w:t>0.5</w:t>
            </w:r>
            <w:r>
              <w:rPr>
                <w:rFonts w:hint="eastAsia" w:ascii="仿宋" w:hAnsi="仿宋" w:eastAsia="仿宋" w:cs="仿宋"/>
                <w:b w:val="0"/>
                <w:bCs w:val="0"/>
                <w:snapToGrid/>
                <w:kern w:val="2"/>
                <w:sz w:val="24"/>
                <w:szCs w:val="24"/>
                <w:lang w:eastAsia="zh-CN"/>
                <w14:ligatures w14:val="none"/>
              </w:rPr>
              <w:t>分，同时具有工程相关专业中级及以上技术职称加</w:t>
            </w:r>
            <w:r>
              <w:rPr>
                <w:rFonts w:hint="eastAsia" w:ascii="仿宋" w:hAnsi="仿宋" w:eastAsia="仿宋" w:cs="仿宋"/>
                <w:b w:val="0"/>
                <w:bCs w:val="0"/>
                <w:snapToGrid/>
                <w:kern w:val="2"/>
                <w:sz w:val="24"/>
                <w:szCs w:val="24"/>
                <w:lang w:val="en-US" w:eastAsia="zh-CN"/>
                <w14:ligatures w14:val="none"/>
              </w:rPr>
              <w:t>0.5</w:t>
            </w:r>
            <w:r>
              <w:rPr>
                <w:rFonts w:hint="eastAsia" w:ascii="仿宋" w:hAnsi="仿宋" w:eastAsia="仿宋" w:cs="仿宋"/>
                <w:b w:val="0"/>
                <w:bCs w:val="0"/>
                <w:snapToGrid/>
                <w:kern w:val="2"/>
                <w:sz w:val="24"/>
                <w:szCs w:val="24"/>
                <w:lang w:eastAsia="zh-CN"/>
                <w14:ligatures w14:val="none"/>
              </w:rPr>
              <w:t>分，</w:t>
            </w:r>
            <w:r>
              <w:rPr>
                <w:rFonts w:hint="eastAsia" w:ascii="仿宋" w:hAnsi="仿宋" w:eastAsia="仿宋" w:cs="仿宋"/>
                <w:b w:val="0"/>
                <w:bCs w:val="0"/>
                <w:snapToGrid/>
                <w:kern w:val="2"/>
                <w:sz w:val="24"/>
                <w:szCs w:val="24"/>
                <w:lang w:val="en-US" w:eastAsia="zh-CN"/>
                <w14:ligatures w14:val="none"/>
              </w:rPr>
              <w:t>具</w:t>
            </w:r>
            <w:r>
              <w:rPr>
                <w:rFonts w:hint="eastAsia" w:ascii="仿宋" w:hAnsi="仿宋" w:eastAsia="仿宋" w:cs="仿宋"/>
                <w:b w:val="0"/>
                <w:bCs w:val="0"/>
                <w:snapToGrid/>
                <w:kern w:val="2"/>
                <w:sz w:val="24"/>
                <w:szCs w:val="24"/>
                <w:lang w:eastAsia="zh-CN"/>
                <w14:ligatures w14:val="none"/>
              </w:rPr>
              <w:t>有工程相关专业</w:t>
            </w:r>
            <w:r>
              <w:rPr>
                <w:rFonts w:hint="eastAsia" w:ascii="仿宋" w:hAnsi="仿宋" w:eastAsia="仿宋" w:cs="仿宋"/>
                <w:b w:val="0"/>
                <w:bCs w:val="0"/>
                <w:snapToGrid/>
                <w:kern w:val="2"/>
                <w:sz w:val="24"/>
                <w:szCs w:val="24"/>
                <w:lang w:val="en-US" w:eastAsia="zh-CN"/>
                <w14:ligatures w14:val="none"/>
              </w:rPr>
              <w:t>高</w:t>
            </w:r>
            <w:r>
              <w:rPr>
                <w:rFonts w:hint="eastAsia" w:ascii="仿宋" w:hAnsi="仿宋" w:eastAsia="仿宋" w:cs="仿宋"/>
                <w:b w:val="0"/>
                <w:bCs w:val="0"/>
                <w:snapToGrid/>
                <w:kern w:val="2"/>
                <w:sz w:val="24"/>
                <w:szCs w:val="24"/>
                <w:lang w:eastAsia="zh-CN"/>
                <w14:ligatures w14:val="none"/>
              </w:rPr>
              <w:t>级</w:t>
            </w:r>
            <w:r>
              <w:rPr>
                <w:rFonts w:hint="eastAsia" w:ascii="仿宋" w:hAnsi="仿宋" w:eastAsia="仿宋" w:cs="仿宋"/>
                <w:b w:val="0"/>
                <w:bCs w:val="0"/>
                <w:snapToGrid/>
                <w:kern w:val="2"/>
                <w:sz w:val="24"/>
                <w:szCs w:val="24"/>
                <w:lang w:val="en-US" w:eastAsia="zh-CN"/>
                <w14:ligatures w14:val="none"/>
              </w:rPr>
              <w:t>及以上</w:t>
            </w:r>
            <w:r>
              <w:rPr>
                <w:rFonts w:hint="eastAsia" w:ascii="仿宋" w:hAnsi="仿宋" w:eastAsia="仿宋" w:cs="仿宋"/>
                <w:b w:val="0"/>
                <w:bCs w:val="0"/>
                <w:snapToGrid/>
                <w:kern w:val="2"/>
                <w:sz w:val="24"/>
                <w:szCs w:val="24"/>
                <w:lang w:eastAsia="zh-CN"/>
                <w14:ligatures w14:val="none"/>
              </w:rPr>
              <w:t>技术职称</w:t>
            </w:r>
            <w:r>
              <w:rPr>
                <w:rFonts w:hint="eastAsia" w:ascii="仿宋" w:hAnsi="仿宋" w:eastAsia="仿宋" w:cs="仿宋"/>
                <w:b w:val="0"/>
                <w:bCs w:val="0"/>
                <w:snapToGrid/>
                <w:kern w:val="2"/>
                <w:sz w:val="24"/>
                <w:szCs w:val="24"/>
                <w:lang w:val="en-US" w:eastAsia="zh-CN"/>
                <w14:ligatures w14:val="none"/>
              </w:rPr>
              <w:t>加</w:t>
            </w:r>
            <w:r>
              <w:rPr>
                <w:rFonts w:hint="eastAsia" w:ascii="仿宋" w:hAnsi="仿宋" w:eastAsia="仿宋" w:cs="仿宋"/>
                <w:b w:val="0"/>
                <w:bCs w:val="0"/>
                <w:snapToGrid/>
                <w:kern w:val="2"/>
                <w:sz w:val="24"/>
                <w:szCs w:val="24"/>
                <w:lang w:eastAsia="zh-CN"/>
                <w14:ligatures w14:val="none"/>
              </w:rPr>
              <w:t>1分；</w:t>
            </w:r>
            <w:r>
              <w:rPr>
                <w:rFonts w:hint="eastAsia" w:ascii="仿宋" w:hAnsi="仿宋" w:eastAsia="仿宋" w:cs="仿宋"/>
                <w:b w:val="0"/>
                <w:bCs w:val="0"/>
                <w:snapToGrid/>
                <w:kern w:val="2"/>
                <w:sz w:val="24"/>
                <w:szCs w:val="24"/>
                <w:lang w:val="en-US" w:eastAsia="zh-CN"/>
                <w14:ligatures w14:val="none"/>
              </w:rPr>
              <w:t>每人最多的1.5分，</w:t>
            </w:r>
            <w:r>
              <w:rPr>
                <w:rFonts w:hint="eastAsia" w:ascii="仿宋" w:hAnsi="仿宋" w:eastAsia="仿宋" w:cs="仿宋"/>
                <w:b w:val="0"/>
                <w:bCs w:val="0"/>
                <w:snapToGrid/>
                <w:kern w:val="2"/>
                <w:sz w:val="24"/>
                <w:szCs w:val="24"/>
                <w:lang w:eastAsia="zh-CN"/>
                <w14:ligatures w14:val="none"/>
              </w:rPr>
              <w:t>本项最多得</w:t>
            </w:r>
            <w:r>
              <w:rPr>
                <w:rFonts w:hint="eastAsia" w:ascii="仿宋" w:hAnsi="仿宋" w:eastAsia="仿宋" w:cs="仿宋"/>
                <w:b w:val="0"/>
                <w:bCs w:val="0"/>
                <w:snapToGrid/>
                <w:kern w:val="2"/>
                <w:sz w:val="24"/>
                <w:szCs w:val="24"/>
                <w:lang w:val="en-US" w:eastAsia="zh-CN"/>
                <w14:ligatures w14:val="none"/>
              </w:rPr>
              <w:t>3</w:t>
            </w:r>
            <w:r>
              <w:rPr>
                <w:rFonts w:hint="eastAsia" w:ascii="仿宋" w:hAnsi="仿宋" w:eastAsia="仿宋" w:cs="仿宋"/>
                <w:b w:val="0"/>
                <w:bCs w:val="0"/>
                <w:snapToGrid/>
                <w:kern w:val="2"/>
                <w:sz w:val="24"/>
                <w:szCs w:val="24"/>
                <w:lang w:eastAsia="zh-CN"/>
                <w14:ligatures w14:val="none"/>
              </w:rPr>
              <w:t>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sz w:val="24"/>
                <w:szCs w:val="24"/>
                <w:vertAlign w:val="baseline"/>
                <w:lang w:val="en-US" w:eastAsia="zh-CN"/>
              </w:rPr>
              <w:t>注：项目团队成员均须为供应商本单位人员（①提供以上人员相关证书（注册类证书须注册在本单位）扫描件并加盖供应商公章。②提供人员在供应商本单位的在职证明材料加盖供应商公章。）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24"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3</w:t>
            </w:r>
          </w:p>
        </w:tc>
        <w:tc>
          <w:tcPr>
            <w:tcW w:w="98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w:t>
            </w:r>
          </w:p>
        </w:tc>
        <w:tc>
          <w:tcPr>
            <w:tcW w:w="5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center"/>
              <w:textAlignment w:val="auto"/>
              <w:rPr>
                <w:rFonts w:hint="default" w:ascii="仿宋" w:hAnsi="仿宋" w:eastAsia="仿宋" w:cs="仿宋"/>
                <w:lang w:val="en-US"/>
              </w:rPr>
            </w:pPr>
            <w:r>
              <w:rPr>
                <w:rFonts w:hint="eastAsia" w:ascii="仿宋" w:hAnsi="仿宋" w:eastAsia="仿宋" w:cs="仿宋"/>
                <w:bCs/>
                <w:sz w:val="24"/>
                <w:szCs w:val="24"/>
                <w:highlight w:val="none"/>
                <w:lang w:val="en-US" w:eastAsia="zh-CN"/>
              </w:rPr>
              <w:t>45</w:t>
            </w:r>
          </w:p>
        </w:tc>
        <w:tc>
          <w:tcPr>
            <w:tcW w:w="78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cs="仿宋"/>
                <w:sz w:val="24"/>
                <w:szCs w:val="24"/>
                <w:highlight w:val="none"/>
                <w:lang w:val="en-US" w:eastAsia="zh-C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highlight w:val="none"/>
                <w:lang w:val="en-US" w:eastAsia="zh-CN"/>
              </w:rPr>
              <w:t>供应商在满足实质性要求（1个业绩）的基础上每多提供1个自2023年1月1日（含）至递交响应文件截止时间已完成或正在承建或新承接类似项目业绩得5分，本项最多得30分。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cs="仿宋"/>
                <w:sz w:val="24"/>
                <w:szCs w:val="24"/>
                <w:highlight w:val="none"/>
                <w:lang w:val="en-US" w:eastAsia="zh-CN"/>
              </w:rPr>
            </w:pPr>
            <w:r>
              <w:rPr>
                <w:rFonts w:hint="eastAsia" w:ascii="仿宋" w:hAnsi="仿宋" w:eastAsia="仿宋" w:cs="仿宋"/>
                <w:kern w:val="2"/>
                <w:sz w:val="24"/>
                <w:szCs w:val="24"/>
                <w:lang w:val="en-US" w:eastAsia="zh-CN" w:bidi="ar-SA"/>
              </w:rPr>
              <w:t>2.</w:t>
            </w:r>
            <w:r>
              <w:rPr>
                <w:rFonts w:hint="eastAsia" w:ascii="仿宋" w:hAnsi="仿宋" w:eastAsia="仿宋" w:cs="仿宋"/>
                <w:b w:val="0"/>
                <w:bCs w:val="0"/>
                <w:kern w:val="2"/>
                <w:sz w:val="24"/>
                <w:szCs w:val="24"/>
                <w:highlight w:val="none"/>
                <w:lang w:val="en-US" w:eastAsia="zh-CN" w:bidi="ar-SA"/>
              </w:rPr>
              <w:t>项</w:t>
            </w:r>
            <w:r>
              <w:rPr>
                <w:rFonts w:hint="eastAsia" w:ascii="仿宋" w:hAnsi="仿宋" w:eastAsia="仿宋" w:cs="仿宋"/>
                <w:b w:val="0"/>
                <w:bCs w:val="0"/>
                <w:sz w:val="24"/>
                <w:szCs w:val="24"/>
                <w:highlight w:val="none"/>
                <w:lang w:val="en-US" w:eastAsia="zh-CN"/>
              </w:rPr>
              <w:t>目</w:t>
            </w:r>
            <w:r>
              <w:rPr>
                <w:rFonts w:hint="eastAsia" w:ascii="仿宋" w:hAnsi="仿宋" w:eastAsia="仿宋" w:cs="仿宋"/>
                <w:sz w:val="24"/>
                <w:szCs w:val="24"/>
                <w:highlight w:val="none"/>
                <w:lang w:val="en-US" w:eastAsia="zh-CN"/>
              </w:rPr>
              <w:t>负责人在满足实质性要求（1个业绩）的基础上每多提供1个自2023年1月1日（含）至递交响应文件截止日类似项目业绩5分，本项最多得15分。（可与公司业绩为同一项目））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bookmarkStart w:id="21" w:name="OLE_LINK5"/>
            <w:r>
              <w:rPr>
                <w:rFonts w:hint="eastAsia" w:ascii="仿宋" w:hAnsi="仿宋" w:eastAsia="仿宋" w:cs="仿宋"/>
                <w:sz w:val="24"/>
                <w:szCs w:val="24"/>
                <w:highlight w:val="none"/>
                <w:lang w:val="en-US" w:eastAsia="zh-CN"/>
              </w:rPr>
              <w:t>类似业绩指：投标人具有一个建筑面积不低于 3000平方米且基坑深度不低于 10 米或投资金额不低于4000万建筑工程基坑变形监测服务项目；</w:t>
            </w:r>
            <w:r>
              <w:rPr>
                <w:rFonts w:hint="eastAsia" w:ascii="仿宋" w:hAnsi="仿宋" w:eastAsia="仿宋" w:cs="仿宋"/>
                <w:b w:val="0"/>
                <w:bCs w:val="0"/>
                <w:snapToGrid/>
                <w:kern w:val="2"/>
                <w:sz w:val="24"/>
                <w:szCs w:val="24"/>
                <w:lang w:eastAsia="zh-CN"/>
                <w14:ligatures w14:val="none"/>
              </w:rPr>
              <w:t>以上业绩可以是已完成的，也可以是新承接尚未实施或正在实施的</w:t>
            </w:r>
            <w:bookmarkEnd w:id="21"/>
            <w:r>
              <w:rPr>
                <w:rFonts w:hint="eastAsia" w:ascii="仿宋" w:hAnsi="仿宋" w:eastAsia="仿宋" w:cs="仿宋"/>
                <w:b w:val="0"/>
                <w:bCs w:val="0"/>
                <w:snapToGrid/>
                <w:kern w:val="2"/>
                <w:sz w:val="24"/>
                <w:szCs w:val="24"/>
                <w:lang w:eastAsia="zh-CN"/>
                <w14:ligatures w14:val="none"/>
              </w:rPr>
              <w:t>，须提供加盖鲜章的合同协议书或项目委托书或中标/成交/中选通知书复印件，类似项目业绩时间以合同协议书或项目委托书签订时间为准。</w:t>
            </w:r>
            <w:r>
              <w:rPr>
                <w:rFonts w:hint="eastAsia" w:ascii="仿宋" w:hAnsi="仿宋" w:eastAsia="仿宋" w:cs="仿宋"/>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2" w:hRule="atLeast"/>
          <w:jc w:val="center"/>
        </w:trPr>
        <w:tc>
          <w:tcPr>
            <w:tcW w:w="524"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28"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4</w:t>
            </w:r>
          </w:p>
        </w:tc>
        <w:tc>
          <w:tcPr>
            <w:tcW w:w="980"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服务方案</w:t>
            </w:r>
          </w:p>
        </w:tc>
        <w:tc>
          <w:tcPr>
            <w:tcW w:w="5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left"/>
              <w:textAlignment w:val="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78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根据供应商的服务实施方案的完整性、有效性、合理性及对本项目的响应程度和最大限度满足采购人的需求为标准，对项目实施最有利为原则进行综合评定，包括但不限于：</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项目实施流程及技术路线，2、项目重点难点分析及应对，3、项目组织机构设置及管理制度，4、进度安排及工期保障措施，5、质量保障措施，6、成果数据保密措施，7、安全保障措施及应急管理，以上7项内容全面、有效、合理、有针对性得满分7分，每缺少一项内容扣1分，每有一处错误扣0.5分，扣完为止。</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注：内容错误指：①项目名称、②实施地点、③涉及的规范、④标准与本项目要求不一致；⑤进度计划超期。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24"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980"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企业综合实力</w:t>
            </w:r>
          </w:p>
        </w:tc>
        <w:tc>
          <w:tcPr>
            <w:tcW w:w="5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firstLine="28"/>
              <w:jc w:val="left"/>
              <w:textAlignment w:val="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w:t>
            </w:r>
          </w:p>
        </w:tc>
        <w:tc>
          <w:tcPr>
            <w:tcW w:w="78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仿宋" w:hAnsi="仿宋" w:eastAsia="仿宋" w:cs="仿宋"/>
                <w:sz w:val="24"/>
                <w:szCs w:val="24"/>
              </w:rPr>
            </w:pPr>
            <w:r>
              <w:rPr>
                <w:rFonts w:hint="eastAsia" w:ascii="仿宋" w:hAnsi="仿宋" w:eastAsia="仿宋" w:cs="仿宋"/>
                <w:b w:val="0"/>
                <w:bCs w:val="0"/>
                <w:snapToGrid/>
                <w:kern w:val="2"/>
                <w:sz w:val="24"/>
                <w:szCs w:val="24"/>
                <w:lang w:eastAsia="zh-CN"/>
                <w14:ligatures w14:val="none"/>
              </w:rPr>
              <w:t>投标人具有国家建设行政主管部门颁发的工程勘察（工程测量）专业甲级及以上资质得</w:t>
            </w:r>
            <w:r>
              <w:rPr>
                <w:rFonts w:hint="eastAsia" w:ascii="仿宋" w:hAnsi="仿宋" w:eastAsia="仿宋" w:cs="仿宋"/>
                <w:b w:val="0"/>
                <w:bCs w:val="0"/>
                <w:snapToGrid/>
                <w:kern w:val="2"/>
                <w:sz w:val="24"/>
                <w:szCs w:val="24"/>
                <w:lang w:val="en-US" w:eastAsia="zh-CN"/>
                <w14:ligatures w14:val="none"/>
              </w:rPr>
              <w:t>6</w:t>
            </w:r>
            <w:r>
              <w:rPr>
                <w:rFonts w:hint="eastAsia" w:ascii="仿宋" w:hAnsi="仿宋" w:eastAsia="仿宋" w:cs="仿宋"/>
                <w:b w:val="0"/>
                <w:bCs w:val="0"/>
                <w:snapToGrid/>
                <w:kern w:val="2"/>
                <w:sz w:val="24"/>
                <w:szCs w:val="24"/>
                <w:lang w:eastAsia="zh-CN"/>
                <w14:ligatures w14:val="none"/>
              </w:rPr>
              <w:t>分；本项最多得</w:t>
            </w:r>
            <w:r>
              <w:rPr>
                <w:rFonts w:hint="eastAsia" w:ascii="仿宋" w:hAnsi="仿宋" w:eastAsia="仿宋" w:cs="仿宋"/>
                <w:b w:val="0"/>
                <w:bCs w:val="0"/>
                <w:snapToGrid/>
                <w:kern w:val="2"/>
                <w:sz w:val="24"/>
                <w:szCs w:val="24"/>
                <w:lang w:val="en-US" w:eastAsia="zh-CN"/>
                <w14:ligatures w14:val="none"/>
              </w:rPr>
              <w:t>6</w:t>
            </w:r>
            <w:r>
              <w:rPr>
                <w:rFonts w:hint="eastAsia" w:ascii="仿宋" w:hAnsi="仿宋" w:eastAsia="仿宋" w:cs="仿宋"/>
                <w:b w:val="0"/>
                <w:bCs w:val="0"/>
                <w:snapToGrid/>
                <w:kern w:val="2"/>
                <w:sz w:val="24"/>
                <w:szCs w:val="24"/>
                <w:lang w:eastAsia="zh-CN"/>
                <w14:ligatures w14:val="none"/>
              </w:rPr>
              <w:t>分。</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22" w:name="_Toc28171"/>
      <w:bookmarkStart w:id="23" w:name="_Toc3094"/>
      <w:bookmarkStart w:id="24" w:name="_Toc22827"/>
      <w:r>
        <w:rPr>
          <w:rFonts w:ascii="Times New Roman" w:hAnsi="Times New Roman" w:cs="Times New Roman"/>
        </w:rPr>
        <w:t>响应文件格式</w:t>
      </w:r>
      <w:bookmarkEnd w:id="22"/>
      <w:bookmarkEnd w:id="23"/>
      <w:bookmarkEnd w:id="24"/>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5" w:name="_Toc29819"/>
      <w:bookmarkStart w:id="26" w:name="_Toc5913"/>
      <w:bookmarkStart w:id="27" w:name="_Toc4960"/>
      <w:r>
        <w:rPr>
          <w:rFonts w:ascii="Times New Roman" w:hAnsi="Times New Roman" w:eastAsia="仿宋" w:cs="Times New Roman"/>
          <w:sz w:val="28"/>
          <w:szCs w:val="24"/>
        </w:rPr>
        <w:t>（响应文件封面）</w:t>
      </w:r>
      <w:bookmarkEnd w:id="25"/>
      <w:bookmarkEnd w:id="26"/>
      <w:bookmarkEnd w:id="27"/>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8" w:name="_Toc30609"/>
      <w:bookmarkStart w:id="29" w:name="_Toc9428"/>
      <w:bookmarkStart w:id="30" w:name="_Toc19851"/>
      <w:r>
        <w:rPr>
          <w:rFonts w:ascii="Times New Roman" w:hAnsi="Times New Roman" w:eastAsia="仿宋" w:cs="Times New Roman"/>
          <w:sz w:val="24"/>
          <w:szCs w:val="24"/>
        </w:rPr>
        <w:t>项目名称：</w:t>
      </w:r>
      <w:bookmarkEnd w:id="28"/>
      <w:bookmarkEnd w:id="29"/>
      <w:bookmarkEnd w:id="30"/>
    </w:p>
    <w:p>
      <w:pPr>
        <w:jc w:val="left"/>
        <w:rPr>
          <w:rFonts w:ascii="Times New Roman" w:hAnsi="Times New Roman" w:eastAsia="仿宋" w:cs="Times New Roman"/>
          <w:sz w:val="24"/>
          <w:szCs w:val="24"/>
        </w:rPr>
      </w:pPr>
      <w:bookmarkStart w:id="31" w:name="_Toc1544"/>
      <w:bookmarkStart w:id="32" w:name="_Toc9041"/>
      <w:bookmarkStart w:id="33" w:name="_Toc32352"/>
      <w:r>
        <w:rPr>
          <w:rFonts w:ascii="Times New Roman" w:hAnsi="Times New Roman" w:eastAsia="仿宋" w:cs="Times New Roman"/>
          <w:sz w:val="24"/>
          <w:szCs w:val="24"/>
        </w:rPr>
        <w:t>项目编号：</w:t>
      </w:r>
      <w:bookmarkEnd w:id="31"/>
      <w:bookmarkEnd w:id="32"/>
      <w:bookmarkEnd w:id="33"/>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4" w:name="_Toc21472"/>
      <w:bookmarkStart w:id="35" w:name="_Toc24097"/>
    </w:p>
    <w:bookmarkEnd w:id="34"/>
    <w:bookmarkEnd w:id="35"/>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6" w:name="_Toc1690"/>
      <w:bookmarkStart w:id="37" w:name="_Toc32749"/>
      <w:bookmarkStart w:id="38" w:name="_Toc17163"/>
      <w:bookmarkStart w:id="39" w:name="_Toc24859"/>
      <w:r>
        <w:rPr>
          <w:rFonts w:ascii="Times New Roman" w:hAnsi="Times New Roman" w:eastAsia="仿宋" w:cs="Times New Roman"/>
          <w:sz w:val="28"/>
          <w:szCs w:val="24"/>
        </w:rPr>
        <w:t>供应商名称（公章）：</w:t>
      </w:r>
      <w:bookmarkEnd w:id="36"/>
      <w:bookmarkEnd w:id="37"/>
      <w:bookmarkEnd w:id="38"/>
      <w:bookmarkEnd w:id="39"/>
    </w:p>
    <w:p>
      <w:pPr>
        <w:jc w:val="left"/>
        <w:rPr>
          <w:rFonts w:ascii="Times New Roman" w:hAnsi="Times New Roman" w:eastAsia="仿宋" w:cs="Times New Roman"/>
          <w:sz w:val="28"/>
          <w:szCs w:val="24"/>
        </w:rPr>
      </w:pPr>
      <w:bookmarkStart w:id="40" w:name="_Toc24123"/>
      <w:bookmarkStart w:id="41" w:name="_Toc17905"/>
      <w:bookmarkStart w:id="42" w:name="_Toc6803"/>
      <w:bookmarkStart w:id="43" w:name="_Toc3558"/>
      <w:r>
        <w:rPr>
          <w:rFonts w:ascii="Times New Roman" w:hAnsi="Times New Roman" w:eastAsia="仿宋" w:cs="Times New Roman"/>
          <w:sz w:val="28"/>
          <w:szCs w:val="24"/>
        </w:rPr>
        <w:t>法定代表人或授权代理人（签字）：</w:t>
      </w:r>
      <w:bookmarkEnd w:id="40"/>
      <w:bookmarkEnd w:id="41"/>
      <w:bookmarkEnd w:id="42"/>
      <w:bookmarkEnd w:id="43"/>
    </w:p>
    <w:p>
      <w:pPr>
        <w:jc w:val="left"/>
        <w:rPr>
          <w:rFonts w:ascii="Times New Roman" w:hAnsi="Times New Roman" w:eastAsia="仿宋" w:cs="Times New Roman"/>
          <w:sz w:val="28"/>
          <w:szCs w:val="24"/>
        </w:rPr>
      </w:pPr>
      <w:bookmarkStart w:id="44" w:name="_Toc2989"/>
      <w:bookmarkStart w:id="45" w:name="_Toc5996"/>
      <w:bookmarkStart w:id="46" w:name="_Toc27135"/>
      <w:bookmarkStart w:id="47" w:name="_Toc27526"/>
      <w:r>
        <w:rPr>
          <w:rFonts w:ascii="Times New Roman" w:hAnsi="Times New Roman" w:eastAsia="仿宋" w:cs="Times New Roman"/>
          <w:sz w:val="28"/>
          <w:szCs w:val="24"/>
        </w:rPr>
        <w:t>联系方式（移动电话）：</w:t>
      </w:r>
      <w:bookmarkEnd w:id="44"/>
      <w:bookmarkEnd w:id="45"/>
      <w:bookmarkEnd w:id="46"/>
      <w:bookmarkEnd w:id="47"/>
    </w:p>
    <w:p>
      <w:pPr>
        <w:jc w:val="left"/>
        <w:rPr>
          <w:rFonts w:ascii="Times New Roman" w:hAnsi="Times New Roman" w:eastAsia="仿宋" w:cs="Times New Roman"/>
          <w:sz w:val="28"/>
          <w:szCs w:val="24"/>
        </w:rPr>
      </w:pPr>
      <w:bookmarkStart w:id="48" w:name="_Toc7233"/>
      <w:bookmarkStart w:id="49" w:name="_Toc19987"/>
      <w:bookmarkStart w:id="50" w:name="_Toc5056"/>
      <w:bookmarkStart w:id="51" w:name="_Toc2031"/>
      <w:r>
        <w:rPr>
          <w:rFonts w:ascii="Times New Roman" w:hAnsi="Times New Roman" w:eastAsia="仿宋" w:cs="Times New Roman"/>
          <w:sz w:val="28"/>
          <w:szCs w:val="24"/>
        </w:rPr>
        <w:t>日期：     年    月     日</w:t>
      </w:r>
      <w:bookmarkEnd w:id="48"/>
      <w:bookmarkEnd w:id="49"/>
      <w:bookmarkEnd w:id="50"/>
      <w:bookmarkEnd w:id="51"/>
    </w:p>
    <w:p>
      <w:pPr>
        <w:jc w:val="center"/>
        <w:rPr>
          <w:rFonts w:ascii="Times New Roman" w:hAnsi="Times New Roman" w:eastAsia="仿宋" w:cs="Times New Roman"/>
          <w:sz w:val="32"/>
          <w:szCs w:val="40"/>
        </w:rPr>
      </w:pPr>
      <w:bookmarkStart w:id="52" w:name="_Toc16029"/>
      <w:bookmarkStart w:id="53" w:name="_Toc21519"/>
      <w:bookmarkStart w:id="54" w:name="_Toc14829"/>
      <w:bookmarkStart w:id="55" w:name="_Toc3023"/>
      <w:bookmarkStart w:id="56" w:name="_Toc11352"/>
      <w:bookmarkStart w:id="57" w:name="_Toc6482"/>
    </w:p>
    <w:p>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pPr>
        <w:pStyle w:val="4"/>
        <w:ind w:firstLine="0"/>
      </w:pPr>
      <w:r>
        <w:t>承诺函</w:t>
      </w:r>
      <w:bookmarkEnd w:id="52"/>
      <w:bookmarkEnd w:id="53"/>
      <w:bookmarkEnd w:id="54"/>
      <w:bookmarkEnd w:id="55"/>
      <w:bookmarkEnd w:id="56"/>
      <w:bookmarkEnd w:id="57"/>
    </w:p>
    <w:p>
      <w:pPr>
        <w:pStyle w:val="2"/>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8" w:name="_Toc30971"/>
      <w:bookmarkStart w:id="59" w:name="_Toc17857"/>
      <w:bookmarkStart w:id="60" w:name="_Toc4305"/>
      <w:bookmarkStart w:id="61" w:name="_Toc22676"/>
      <w:bookmarkStart w:id="62" w:name="_Toc31838"/>
      <w:r>
        <w:rPr>
          <w:rFonts w:ascii="Times New Roman" w:hAnsi="Times New Roman" w:cs="Times New Roman"/>
        </w:rPr>
        <w:br w:type="page"/>
      </w:r>
    </w:p>
    <w:p>
      <w:pPr>
        <w:pStyle w:val="4"/>
        <w:ind w:firstLine="0"/>
      </w:pPr>
      <w:r>
        <w:t>具有独立承担民事责任的能力</w:t>
      </w:r>
      <w:bookmarkEnd w:id="58"/>
      <w:bookmarkEnd w:id="59"/>
      <w:bookmarkEnd w:id="60"/>
      <w:bookmarkEnd w:id="61"/>
      <w:bookmarkEnd w:id="62"/>
    </w:p>
    <w:p>
      <w:pPr>
        <w:pStyle w:val="2"/>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4"/>
        <w:ind w:firstLine="0"/>
        <w:rPr>
          <w:rStyle w:val="30"/>
          <w:szCs w:val="28"/>
        </w:rPr>
      </w:pPr>
      <w:r>
        <w:rPr>
          <w:bCs/>
        </w:rPr>
        <w:br w:type="page"/>
      </w:r>
      <w:bookmarkStart w:id="63" w:name="_Toc15613"/>
      <w:bookmarkStart w:id="64" w:name="_Toc27186"/>
      <w:bookmarkStart w:id="65"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3"/>
      <w:bookmarkEnd w:id="64"/>
      <w:bookmarkStart w:id="66" w:name="_Toc13904"/>
      <w:bookmarkStart w:id="67" w:name="_Toc13706"/>
      <w:bookmarkStart w:id="68" w:name="_Toc25357"/>
    </w:p>
    <w:p>
      <w:pPr>
        <w:pStyle w:val="4"/>
        <w:ind w:firstLine="0"/>
        <w:rPr>
          <w:szCs w:val="32"/>
        </w:rPr>
      </w:pPr>
      <w:bookmarkStart w:id="69" w:name="_Toc23146"/>
      <w:bookmarkStart w:id="70" w:name="_Toc15508"/>
      <w:r>
        <w:t>本项目其他资格条件提供的证明材料</w:t>
      </w:r>
      <w:bookmarkEnd w:id="65"/>
      <w:bookmarkEnd w:id="66"/>
      <w:bookmarkEnd w:id="67"/>
      <w:bookmarkEnd w:id="68"/>
      <w:bookmarkEnd w:id="69"/>
      <w:bookmarkEnd w:id="70"/>
    </w:p>
    <w:p>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pPr>
        <w:pStyle w:val="29"/>
        <w:ind w:left="420" w:leftChars="200"/>
        <w:jc w:val="both"/>
        <w:rPr>
          <w:rFonts w:ascii="Times New Roman" w:hAnsi="Times New Roman" w:eastAsia="仿宋" w:cs="Times New Roman"/>
          <w:color w:val="auto"/>
        </w:rPr>
      </w:pPr>
    </w:p>
    <w:p>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4"/>
        <w:ind w:firstLine="0"/>
        <w:rPr>
          <w:szCs w:val="32"/>
        </w:rPr>
      </w:pPr>
      <w:r>
        <w:rPr>
          <w:szCs w:val="32"/>
        </w:rPr>
        <w:br w:type="page"/>
      </w:r>
      <w:bookmarkStart w:id="71" w:name="_Toc15526"/>
      <w:bookmarkStart w:id="72" w:name="_Toc27661"/>
      <w:bookmarkStart w:id="73" w:name="_Toc20589"/>
      <w:bookmarkStart w:id="74" w:name="_Toc11351"/>
      <w:bookmarkStart w:id="75" w:name="_Toc12015"/>
      <w:bookmarkStart w:id="76" w:name="_Toc25638"/>
      <w:r>
        <w:rPr>
          <w:rStyle w:val="38"/>
          <w:b/>
        </w:rPr>
        <w:t>法定代表人身份证明书</w:t>
      </w:r>
      <w:bookmarkEnd w:id="71"/>
      <w:bookmarkEnd w:id="72"/>
      <w:bookmarkEnd w:id="73"/>
      <w:bookmarkEnd w:id="74"/>
      <w:bookmarkEnd w:id="75"/>
      <w:bookmarkEnd w:id="76"/>
    </w:p>
    <w:p>
      <w:pPr>
        <w:pStyle w:val="29"/>
        <w:jc w:val="center"/>
        <w:rPr>
          <w:rFonts w:ascii="Times New Roman" w:hAnsi="Times New Roman" w:eastAsia="仿宋" w:cs="Times New Roman"/>
          <w:color w:val="auto"/>
        </w:rPr>
      </w:pPr>
    </w:p>
    <w:p>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29"/>
        <w:jc w:val="center"/>
        <w:rPr>
          <w:rFonts w:ascii="Times New Roman" w:hAnsi="Times New Roman" w:eastAsia="仿宋" w:cs="Times New Roman"/>
          <w:color w:val="auto"/>
        </w:rPr>
      </w:pPr>
    </w:p>
    <w:p>
      <w:pPr>
        <w:pStyle w:val="29"/>
        <w:jc w:val="center"/>
        <w:rPr>
          <w:rFonts w:ascii="Times New Roman" w:hAnsi="Times New Roman" w:eastAsia="仿宋" w:cs="Times New Roman"/>
          <w:color w:val="auto"/>
        </w:rPr>
      </w:pPr>
    </w:p>
    <w:p>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pPr>
        <w:pStyle w:val="29"/>
        <w:jc w:val="both"/>
        <w:rPr>
          <w:rFonts w:ascii="Times New Roman" w:hAnsi="Times New Roman" w:eastAsia="仿宋" w:cs="Times New Roman"/>
          <w:color w:val="auto"/>
        </w:rPr>
      </w:pPr>
    </w:p>
    <w:p>
      <w:pPr>
        <w:pStyle w:val="29"/>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29"/>
        <w:jc w:val="center"/>
        <w:rPr>
          <w:rFonts w:ascii="Times New Roman" w:hAnsi="Times New Roman" w:eastAsia="仿宋" w:cs="Times New Roman"/>
          <w:color w:val="auto"/>
        </w:rPr>
      </w:pPr>
    </w:p>
    <w:p>
      <w:pPr>
        <w:pStyle w:val="29"/>
        <w:jc w:val="center"/>
        <w:rPr>
          <w:rFonts w:ascii="Times New Roman" w:hAnsi="Times New Roman" w:eastAsia="仿宋" w:cs="Times New Roman"/>
          <w:color w:val="auto"/>
        </w:rPr>
      </w:pPr>
    </w:p>
    <w:p>
      <w:pPr>
        <w:pStyle w:val="29"/>
        <w:rPr>
          <w:rFonts w:ascii="Times New Roman" w:hAnsi="Times New Roman" w:eastAsia="仿宋" w:cs="Times New Roman"/>
          <w:color w:val="auto"/>
        </w:rPr>
      </w:pPr>
      <w:r>
        <w:rPr>
          <w:rFonts w:ascii="Times New Roman" w:hAnsi="Times New Roman" w:eastAsia="仿宋" w:cs="Times New Roman"/>
          <w:color w:val="auto"/>
        </w:rPr>
        <w:t>注：</w:t>
      </w:r>
    </w:p>
    <w:p>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29"/>
        <w:jc w:val="both"/>
        <w:rPr>
          <w:rFonts w:ascii="Times New Roman" w:hAnsi="Times New Roman" w:eastAsia="仿宋" w:cs="Times New Roman"/>
          <w:color w:val="auto"/>
          <w:sz w:val="32"/>
          <w:szCs w:val="32"/>
        </w:rPr>
      </w:pPr>
    </w:p>
    <w:p>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pPr>
        <w:pStyle w:val="29"/>
        <w:jc w:val="center"/>
        <w:rPr>
          <w:rFonts w:ascii="Times New Roman" w:hAnsi="Times New Roman" w:eastAsia="仿宋" w:cs="Times New Roman"/>
          <w:b/>
          <w:bCs/>
          <w:color w:val="auto"/>
        </w:rPr>
      </w:pPr>
    </w:p>
    <w:p>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29"/>
        <w:jc w:val="center"/>
        <w:rPr>
          <w:rFonts w:ascii="Times New Roman" w:hAnsi="Times New Roman" w:eastAsia="仿宋" w:cs="Times New Roman"/>
          <w:color w:val="auto"/>
        </w:rPr>
      </w:pPr>
    </w:p>
    <w:p>
      <w:pPr>
        <w:pStyle w:val="2"/>
        <w:snapToGrid w:val="0"/>
        <w:spacing w:after="0" w:line="500" w:lineRule="exact"/>
        <w:ind w:firstLine="480" w:firstLineChars="200"/>
        <w:rPr>
          <w:rFonts w:ascii="Times New Roman" w:hAnsi="Times New Roman" w:eastAsia="仿宋" w:cs="Times New Roman"/>
          <w:sz w:val="24"/>
        </w:rPr>
      </w:pPr>
    </w:p>
    <w:p>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4"/>
        <w:ind w:firstLine="0"/>
        <w:rPr>
          <w:szCs w:val="32"/>
        </w:rPr>
      </w:pPr>
      <w:r>
        <w:rPr>
          <w:szCs w:val="32"/>
        </w:rPr>
        <w:br w:type="page"/>
      </w:r>
      <w:bookmarkStart w:id="77" w:name="_Toc16435"/>
      <w:bookmarkStart w:id="78" w:name="_Toc23967"/>
      <w:bookmarkStart w:id="79" w:name="_Toc1074"/>
      <w:bookmarkStart w:id="80" w:name="_Toc26969"/>
      <w:bookmarkStart w:id="81" w:name="_Toc2041"/>
      <w:bookmarkStart w:id="82" w:name="_Toc12967"/>
      <w:r>
        <w:rPr>
          <w:rStyle w:val="38"/>
          <w:b/>
        </w:rPr>
        <w:t>采购需求偏离表</w:t>
      </w:r>
      <w:bookmarkEnd w:id="77"/>
      <w:bookmarkEnd w:id="78"/>
      <w:bookmarkEnd w:id="79"/>
      <w:bookmarkEnd w:id="80"/>
      <w:bookmarkEnd w:id="81"/>
      <w:bookmarkEnd w:id="82"/>
    </w:p>
    <w:p>
      <w:pPr>
        <w:pStyle w:val="2"/>
        <w:spacing w:line="300" w:lineRule="atLeast"/>
        <w:rPr>
          <w:rFonts w:ascii="Times New Roman" w:hAnsi="Times New Roman" w:eastAsia="仿宋" w:cs="Times New Roman"/>
          <w:kern w:val="0"/>
          <w:sz w:val="24"/>
          <w:lang w:val="zh-TW" w:eastAsia="zh-TW"/>
        </w:rPr>
      </w:pPr>
    </w:p>
    <w:tbl>
      <w:tblPr>
        <w:tblStyle w:val="17"/>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pPr>
        <w:pStyle w:val="15"/>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29"/>
        <w:jc w:val="center"/>
        <w:rPr>
          <w:rFonts w:ascii="Times New Roman" w:hAnsi="Times New Roman" w:eastAsia="仿宋" w:cs="Times New Roman"/>
          <w:color w:val="auto"/>
          <w:sz w:val="32"/>
          <w:szCs w:val="32"/>
        </w:rPr>
      </w:pPr>
    </w:p>
    <w:p>
      <w:pPr>
        <w:pStyle w:val="4"/>
        <w:ind w:firstLine="0"/>
        <w:rPr>
          <w:bCs/>
          <w:szCs w:val="32"/>
        </w:rPr>
      </w:pPr>
      <w:r>
        <w:rPr>
          <w:szCs w:val="32"/>
        </w:rPr>
        <w:br w:type="page"/>
      </w:r>
      <w:bookmarkStart w:id="83" w:name="_Toc26839"/>
      <w:bookmarkStart w:id="84" w:name="_Toc24806"/>
      <w:bookmarkStart w:id="85" w:name="_Toc1369"/>
      <w:bookmarkStart w:id="86" w:name="_Toc21082"/>
      <w:bookmarkStart w:id="87" w:name="_Toc28634"/>
      <w:bookmarkStart w:id="88" w:name="_Toc31686"/>
      <w:r>
        <w:rPr>
          <w:rStyle w:val="38"/>
          <w:b/>
        </w:rPr>
        <w:t>评分需要提供的证明材料</w:t>
      </w:r>
      <w:bookmarkEnd w:id="83"/>
      <w:bookmarkEnd w:id="84"/>
      <w:bookmarkEnd w:id="85"/>
      <w:bookmarkEnd w:id="86"/>
      <w:bookmarkEnd w:id="87"/>
      <w:bookmarkEnd w:id="88"/>
    </w:p>
    <w:p>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29"/>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9" w:name="_Toc24494"/>
      <w:bookmarkStart w:id="90" w:name="_Toc32605"/>
      <w:bookmarkStart w:id="91" w:name="_Toc3871"/>
    </w:p>
    <w:p>
      <w:pPr>
        <w:pStyle w:val="4"/>
        <w:ind w:firstLine="0"/>
      </w:pPr>
      <w:bookmarkStart w:id="92" w:name="_Toc15065"/>
      <w:bookmarkStart w:id="106" w:name="_GoBack"/>
      <w:bookmarkEnd w:id="106"/>
      <w:r>
        <w:t>报价单</w:t>
      </w:r>
      <w:bookmarkEnd w:id="92"/>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9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3"/>
        <w:gridCol w:w="5783"/>
        <w:gridCol w:w="135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403" w:type="dxa"/>
            <w:vAlign w:val="center"/>
          </w:tcPr>
          <w:p>
            <w:pPr>
              <w:pStyle w:val="2"/>
              <w:jc w:val="left"/>
              <w:rPr>
                <w:rFonts w:ascii="仿宋" w:hAnsi="仿宋" w:eastAsia="仿宋" w:cs="仿宋"/>
                <w:color w:val="auto"/>
                <w:sz w:val="22"/>
                <w:szCs w:val="24"/>
                <w:highlight w:val="none"/>
              </w:rPr>
            </w:pPr>
            <w:r>
              <w:rPr>
                <w:rFonts w:hint="eastAsia" w:ascii="仿宋" w:hAnsi="仿宋" w:eastAsia="仿宋" w:cs="仿宋"/>
                <w:color w:val="auto"/>
                <w:kern w:val="0"/>
                <w:sz w:val="20"/>
                <w:szCs w:val="20"/>
                <w:highlight w:val="none"/>
                <w:lang w:val="zh-TW" w:eastAsia="zh-TW"/>
              </w:rPr>
              <w:t>序号</w:t>
            </w:r>
          </w:p>
        </w:tc>
        <w:tc>
          <w:tcPr>
            <w:tcW w:w="5783" w:type="dxa"/>
            <w:vAlign w:val="center"/>
          </w:tcPr>
          <w:p>
            <w:pPr>
              <w:pStyle w:val="2"/>
              <w:jc w:val="center"/>
              <w:rPr>
                <w:rFonts w:hint="eastAsia" w:ascii="仿宋" w:hAnsi="仿宋" w:eastAsia="仿宋" w:cs="仿宋"/>
                <w:color w:val="auto"/>
                <w:sz w:val="22"/>
                <w:szCs w:val="24"/>
                <w:highlight w:val="none"/>
                <w:lang w:val="en-US" w:eastAsia="zh-CN"/>
              </w:rPr>
            </w:pPr>
            <w:r>
              <w:rPr>
                <w:rFonts w:hint="eastAsia" w:ascii="仿宋" w:hAnsi="仿宋" w:eastAsia="仿宋" w:cs="仿宋"/>
                <w:color w:val="auto"/>
                <w:sz w:val="22"/>
                <w:szCs w:val="24"/>
                <w:highlight w:val="none"/>
                <w:lang w:val="en-US" w:eastAsia="zh-CN"/>
              </w:rPr>
              <w:t>服务内容</w:t>
            </w:r>
          </w:p>
        </w:tc>
        <w:tc>
          <w:tcPr>
            <w:tcW w:w="1358" w:type="dxa"/>
            <w:vAlign w:val="center"/>
          </w:tcPr>
          <w:p>
            <w:pPr>
              <w:pStyle w:val="2"/>
              <w:jc w:val="center"/>
              <w:rPr>
                <w:rFonts w:hint="default" w:ascii="仿宋" w:hAnsi="仿宋" w:eastAsia="仿宋" w:cs="仿宋"/>
                <w:color w:val="auto"/>
                <w:sz w:val="22"/>
                <w:szCs w:val="24"/>
                <w:highlight w:val="none"/>
                <w:lang w:val="en-US" w:eastAsia="zh-CN"/>
              </w:rPr>
            </w:pPr>
            <w:r>
              <w:rPr>
                <w:rFonts w:hint="eastAsia" w:ascii="仿宋" w:hAnsi="仿宋" w:eastAsia="仿宋" w:cs="仿宋"/>
                <w:color w:val="auto"/>
                <w:sz w:val="22"/>
                <w:szCs w:val="24"/>
                <w:highlight w:val="none"/>
                <w:lang w:val="en-US" w:eastAsia="zh-CN"/>
              </w:rPr>
              <w:t>数量及单位</w:t>
            </w:r>
          </w:p>
        </w:tc>
        <w:tc>
          <w:tcPr>
            <w:tcW w:w="1309" w:type="dxa"/>
            <w:vAlign w:val="center"/>
          </w:tcPr>
          <w:p>
            <w:pPr>
              <w:pStyle w:val="2"/>
              <w:jc w:val="center"/>
              <w:rPr>
                <w:rFonts w:hint="eastAsia" w:ascii="仿宋" w:hAnsi="仿宋" w:eastAsia="仿宋" w:cs="仿宋"/>
                <w:color w:val="auto"/>
                <w:sz w:val="22"/>
                <w:szCs w:val="24"/>
                <w:highlight w:val="none"/>
                <w:lang w:val="en-US" w:eastAsia="zh-CN"/>
              </w:rPr>
            </w:pPr>
            <w:r>
              <w:rPr>
                <w:rFonts w:hint="eastAsia" w:ascii="仿宋" w:hAnsi="仿宋" w:eastAsia="仿宋" w:cs="仿宋"/>
                <w:color w:val="auto"/>
                <w:sz w:val="22"/>
                <w:szCs w:val="24"/>
                <w:highlight w:val="none"/>
                <w:lang w:val="en-US" w:eastAsia="zh-CN"/>
              </w:rPr>
              <w:t>总价</w:t>
            </w:r>
            <w:r>
              <w:rPr>
                <w:rFonts w:hint="eastAsia" w:ascii="仿宋" w:hAnsi="仿宋" w:eastAsia="仿宋" w:cs="仿宋"/>
                <w:color w:val="auto"/>
                <w:sz w:val="22"/>
                <w:szCs w:val="24"/>
                <w:highlight w:val="none"/>
                <w:lang w:val="zh-TW"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403" w:type="dxa"/>
            <w:vAlign w:val="center"/>
          </w:tcPr>
          <w:p>
            <w:pPr>
              <w:pStyle w:val="2"/>
              <w:jc w:val="center"/>
              <w:rPr>
                <w:rFonts w:ascii="仿宋" w:hAnsi="仿宋" w:eastAsia="仿宋" w:cs="仿宋"/>
                <w:color w:val="auto"/>
                <w:sz w:val="22"/>
                <w:szCs w:val="24"/>
                <w:highlight w:val="none"/>
              </w:rPr>
            </w:pPr>
            <w:r>
              <w:rPr>
                <w:rFonts w:hint="eastAsia" w:ascii="仿宋" w:hAnsi="仿宋" w:eastAsia="仿宋" w:cs="仿宋"/>
                <w:color w:val="auto"/>
                <w:sz w:val="22"/>
                <w:szCs w:val="24"/>
                <w:highlight w:val="none"/>
              </w:rPr>
              <w:t>1</w:t>
            </w:r>
          </w:p>
        </w:tc>
        <w:tc>
          <w:tcPr>
            <w:tcW w:w="5783" w:type="dxa"/>
            <w:vAlign w:val="center"/>
          </w:tcPr>
          <w:p>
            <w:pPr>
              <w:pStyle w:val="2"/>
              <w:jc w:val="center"/>
              <w:rPr>
                <w:rFonts w:hint="eastAsia" w:ascii="仿宋" w:hAnsi="仿宋" w:eastAsia="仿宋" w:cs="仿宋"/>
                <w:color w:val="auto"/>
                <w:sz w:val="22"/>
                <w:szCs w:val="24"/>
                <w:highlight w:val="none"/>
                <w:lang w:val="en-US" w:eastAsia="zh-CN"/>
              </w:rPr>
            </w:pPr>
          </w:p>
        </w:tc>
        <w:tc>
          <w:tcPr>
            <w:tcW w:w="1358" w:type="dxa"/>
            <w:vAlign w:val="center"/>
          </w:tcPr>
          <w:p>
            <w:pPr>
              <w:pStyle w:val="2"/>
              <w:jc w:val="center"/>
              <w:rPr>
                <w:rFonts w:hint="default" w:ascii="仿宋" w:hAnsi="仿宋" w:eastAsia="仿宋" w:cs="仿宋"/>
                <w:color w:val="auto"/>
                <w:sz w:val="22"/>
                <w:szCs w:val="24"/>
                <w:highlight w:val="none"/>
                <w:lang w:val="en-US" w:eastAsia="zh-CN"/>
              </w:rPr>
            </w:pPr>
            <w:r>
              <w:rPr>
                <w:rFonts w:hint="eastAsia" w:ascii="仿宋" w:hAnsi="仿宋" w:eastAsia="仿宋" w:cs="仿宋"/>
                <w:color w:val="auto"/>
                <w:sz w:val="22"/>
                <w:szCs w:val="24"/>
                <w:highlight w:val="none"/>
                <w:lang w:val="en-US" w:eastAsia="zh-CN"/>
              </w:rPr>
              <w:t>1项</w:t>
            </w:r>
          </w:p>
        </w:tc>
        <w:tc>
          <w:tcPr>
            <w:tcW w:w="1309" w:type="dxa"/>
            <w:vAlign w:val="center"/>
          </w:tcPr>
          <w:p>
            <w:pPr>
              <w:pStyle w:val="2"/>
              <w:jc w:val="center"/>
              <w:rPr>
                <w:rFonts w:hint="eastAsia" w:ascii="仿宋" w:hAnsi="仿宋" w:eastAsia="仿宋" w:cs="仿宋"/>
                <w:color w:val="auto"/>
                <w:sz w:val="22"/>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403" w:type="dxa"/>
            <w:vAlign w:val="center"/>
          </w:tcPr>
          <w:p>
            <w:pPr>
              <w:pStyle w:val="2"/>
              <w:jc w:val="left"/>
              <w:rPr>
                <w:rFonts w:ascii="仿宋" w:hAnsi="仿宋" w:eastAsia="仿宋" w:cs="仿宋"/>
                <w:color w:val="auto"/>
                <w:sz w:val="22"/>
                <w:szCs w:val="24"/>
                <w:highlight w:val="none"/>
              </w:rPr>
            </w:pPr>
            <w:r>
              <w:rPr>
                <w:rFonts w:hint="eastAsia" w:ascii="仿宋" w:hAnsi="仿宋" w:eastAsia="仿宋" w:cs="仿宋"/>
                <w:color w:val="auto"/>
                <w:sz w:val="22"/>
                <w:szCs w:val="24"/>
                <w:highlight w:val="none"/>
              </w:rPr>
              <w:t>报价合计</w:t>
            </w:r>
          </w:p>
        </w:tc>
        <w:tc>
          <w:tcPr>
            <w:tcW w:w="8450" w:type="dxa"/>
            <w:gridSpan w:val="3"/>
            <w:vAlign w:val="center"/>
          </w:tcPr>
          <w:p>
            <w:pPr>
              <w:pStyle w:val="2"/>
              <w:jc w:val="left"/>
              <w:rPr>
                <w:rFonts w:ascii="仿宋" w:hAnsi="仿宋" w:eastAsia="仿宋" w:cs="仿宋"/>
                <w:color w:val="auto"/>
                <w:sz w:val="22"/>
                <w:szCs w:val="24"/>
                <w:highlight w:val="none"/>
              </w:rPr>
            </w:pPr>
            <w:r>
              <w:rPr>
                <w:rFonts w:hint="eastAsia" w:ascii="仿宋" w:hAnsi="仿宋" w:eastAsia="仿宋" w:cs="仿宋"/>
                <w:color w:val="auto"/>
                <w:sz w:val="22"/>
                <w:szCs w:val="24"/>
                <w:highlight w:val="none"/>
              </w:rPr>
              <w:t>大写：       小写：</w:t>
            </w:r>
          </w:p>
        </w:tc>
      </w:tr>
    </w:tbl>
    <w:p>
      <w:pPr>
        <w:pStyle w:val="2"/>
        <w:rPr>
          <w:rFonts w:ascii="Times New Roman" w:hAnsi="Times New Roman" w:eastAsia="仿宋" w:cs="Times New Roman"/>
          <w:szCs w:val="21"/>
        </w:rPr>
      </w:pPr>
    </w:p>
    <w:p>
      <w:pPr>
        <w:pStyle w:val="2"/>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7"/>
        <w:tblW w:w="99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4"/>
        <w:gridCol w:w="1804"/>
        <w:gridCol w:w="1318"/>
        <w:gridCol w:w="1684"/>
        <w:gridCol w:w="1507"/>
        <w:gridCol w:w="1309"/>
        <w:gridCol w:w="14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20" w:hRule="atLeast"/>
        </w:trPr>
        <w:tc>
          <w:tcPr>
            <w:tcW w:w="9937" w:type="dxa"/>
            <w:gridSpan w:val="7"/>
            <w:tcBorders>
              <w:top w:val="nil"/>
              <w:left w:val="nil"/>
              <w:bottom w:val="nil"/>
              <w:right w:val="nil"/>
            </w:tcBorders>
            <w:shd w:val="clear" w:color="auto" w:fill="auto"/>
            <w:noWrap/>
            <w:vAlign w:val="center"/>
          </w:tcPr>
          <w:p>
            <w:pPr>
              <w:jc w:val="cente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四川省人民医院污水处理站扩建项目监测情况统计表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基坑（序号）</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监测项目</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监测点数量</w:t>
            </w: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监测次数（按严控制）（次）</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监测点监测总次数（按严控制）</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单价（元）</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宋体" w:hAnsi="宋体" w:eastAsia="宋体" w:cs="宋体"/>
                <w:b/>
                <w:bCs/>
                <w:i w:val="0"/>
                <w:iCs w:val="0"/>
                <w:color w:val="000000"/>
                <w:kern w:val="0"/>
                <w:sz w:val="22"/>
                <w:szCs w:val="22"/>
                <w:u w:val="none"/>
                <w:lang w:val="en-US" w:eastAsia="zh-CN" w:bidi="ar"/>
              </w:rPr>
              <w:t>合价（元/点次）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支护桩水平位移</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1200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基坑顶部竖向位移</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1200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周边管线位移</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1100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支护桩深层水平位移（桩长25m）</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10000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锚索应力监测</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600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周边建筑竖向位移</w:t>
            </w:r>
          </w:p>
        </w:tc>
        <w:tc>
          <w:tcPr>
            <w:tcW w:w="13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6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c>
          <w:tcPr>
            <w:tcW w:w="1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5100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主体监测（序号）</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监测项目</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监测点数量</w:t>
            </w: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监测次数</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监测点监测总次数</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单价（元）</w:t>
            </w: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宋体" w:hAnsi="宋体" w:eastAsia="宋体" w:cs="宋体"/>
                <w:b/>
                <w:bCs/>
                <w:i w:val="0"/>
                <w:iCs w:val="0"/>
                <w:color w:val="000000"/>
                <w:kern w:val="0"/>
                <w:sz w:val="22"/>
                <w:szCs w:val="22"/>
                <w:u w:val="none"/>
                <w:lang w:val="en-US" w:eastAsia="zh-CN" w:bidi="ar"/>
              </w:rPr>
              <w:t>合价（元/点次）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新建主体沉降观测</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40</w:t>
            </w:r>
          </w:p>
        </w:tc>
        <w:tc>
          <w:tcPr>
            <w:tcW w:w="1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4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993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r>
              <w:rPr>
                <w:rFonts w:hint="eastAsia" w:ascii="宋体" w:hAnsi="宋体" w:eastAsia="宋体" w:cs="宋体"/>
                <w:i w:val="0"/>
                <w:iCs w:val="0"/>
                <w:color w:val="000000"/>
                <w:sz w:val="22"/>
                <w:szCs w:val="22"/>
                <w:u w:val="none"/>
                <w:lang w:val="en-US" w:eastAsia="zh-CN"/>
              </w:rPr>
              <w:t>总价合计：</w:t>
            </w: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2"/>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3" w:name="_Toc14685"/>
      <w:bookmarkStart w:id="94" w:name="_Toc30002"/>
      <w:bookmarkStart w:id="95"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4"/>
        <w:ind w:firstLine="0"/>
      </w:pPr>
      <w:r>
        <w:t>供应商认为需要提供的其他材料</w:t>
      </w:r>
      <w:bookmarkEnd w:id="89"/>
      <w:bookmarkEnd w:id="90"/>
      <w:bookmarkEnd w:id="91"/>
      <w:bookmarkEnd w:id="93"/>
      <w:bookmarkEnd w:id="94"/>
      <w:bookmarkEnd w:id="95"/>
    </w:p>
    <w:p>
      <w:pPr>
        <w:pStyle w:val="2"/>
        <w:jc w:val="center"/>
        <w:rPr>
          <w:rFonts w:ascii="Times New Roman" w:hAnsi="Times New Roman" w:eastAsia="仿宋" w:cs="Times New Roman"/>
        </w:rPr>
      </w:pPr>
    </w:p>
    <w:p>
      <w:pPr>
        <w:pStyle w:val="2"/>
        <w:jc w:val="center"/>
        <w:rPr>
          <w:rFonts w:ascii="Times New Roman" w:hAnsi="Times New Roman" w:eastAsia="仿宋" w:cs="Times New Roman"/>
        </w:rPr>
      </w:pPr>
    </w:p>
    <w:p>
      <w:pPr>
        <w:pStyle w:val="2"/>
        <w:jc w:val="center"/>
        <w:rPr>
          <w:rFonts w:ascii="Times New Roman" w:hAnsi="Times New Roman" w:eastAsia="仿宋" w:cs="Times New Roman"/>
        </w:rPr>
      </w:pPr>
    </w:p>
    <w:p>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6" w:name="_Toc5447"/>
      <w:bookmarkStart w:id="97" w:name="_Toc20691"/>
      <w:r>
        <w:rPr>
          <w:rFonts w:ascii="Times New Roman" w:hAnsi="Times New Roman" w:eastAsia="黑体" w:cs="Times New Roman"/>
          <w:b/>
          <w:sz w:val="36"/>
          <w:szCs w:val="32"/>
        </w:rPr>
        <w:br w:type="page"/>
      </w:r>
    </w:p>
    <w:p>
      <w:pPr>
        <w:pStyle w:val="3"/>
        <w:rPr>
          <w:rFonts w:ascii="Times New Roman" w:hAnsi="Times New Roman" w:cs="Times New Roman"/>
        </w:rPr>
      </w:pPr>
      <w:bookmarkStart w:id="98" w:name="_Toc10625"/>
      <w:r>
        <w:rPr>
          <w:rFonts w:ascii="Times New Roman" w:hAnsi="Times New Roman" w:cs="Times New Roman"/>
        </w:rPr>
        <w:t>合同条款（仅成交后使用）</w:t>
      </w:r>
      <w:bookmarkEnd w:id="96"/>
      <w:bookmarkEnd w:id="97"/>
      <w:bookmarkEnd w:id="98"/>
    </w:p>
    <w:p>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39"/>
        <w:rPr>
          <w:sz w:val="48"/>
          <w:szCs w:val="48"/>
        </w:rPr>
      </w:pPr>
      <w:r>
        <w:rPr>
          <w:rFonts w:hint="eastAsia"/>
          <w:sz w:val="48"/>
          <w:szCs w:val="48"/>
        </w:rPr>
        <w:t>*</w:t>
      </w:r>
      <w:r>
        <w:rPr>
          <w:sz w:val="48"/>
          <w:szCs w:val="48"/>
        </w:rPr>
        <w:t>**</w:t>
      </w:r>
      <w:r>
        <w:rPr>
          <w:rFonts w:hint="eastAsia"/>
          <w:sz w:val="48"/>
          <w:szCs w:val="48"/>
        </w:rPr>
        <w:t>服务项目</w:t>
      </w:r>
    </w:p>
    <w:p>
      <w:pPr>
        <w:pStyle w:val="39"/>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7"/>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7"/>
        <w:numPr>
          <w:ilvl w:val="0"/>
          <w:numId w:val="13"/>
        </w:numPr>
        <w:ind w:left="0" w:firstLine="0" w:firstLineChars="0"/>
        <w:contextualSpacing/>
        <w:jc w:val="left"/>
        <w:rPr>
          <w:b/>
          <w:szCs w:val="21"/>
        </w:rPr>
      </w:pPr>
      <w:r>
        <w:rPr>
          <w:b/>
          <w:szCs w:val="21"/>
        </w:rPr>
        <w:t>合同标的</w:t>
      </w:r>
    </w:p>
    <w:p>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7"/>
              <w:ind w:firstLine="0" w:firstLineChars="0"/>
              <w:jc w:val="center"/>
              <w:rPr>
                <w:color w:val="000000"/>
                <w:szCs w:val="21"/>
              </w:rPr>
            </w:pPr>
            <w:r>
              <w:rPr>
                <w:color w:val="000000"/>
                <w:szCs w:val="21"/>
              </w:rPr>
              <w:t>序号</w:t>
            </w:r>
          </w:p>
        </w:tc>
        <w:tc>
          <w:tcPr>
            <w:tcW w:w="2977" w:type="dxa"/>
            <w:vAlign w:val="center"/>
          </w:tcPr>
          <w:p>
            <w:pPr>
              <w:pStyle w:val="27"/>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27"/>
              <w:ind w:firstLine="0" w:firstLineChars="0"/>
              <w:jc w:val="center"/>
              <w:rPr>
                <w:color w:val="000000"/>
                <w:szCs w:val="21"/>
              </w:rPr>
            </w:pPr>
            <w:r>
              <w:rPr>
                <w:color w:val="000000"/>
                <w:szCs w:val="21"/>
              </w:rPr>
              <w:t>具体内容</w:t>
            </w:r>
          </w:p>
        </w:tc>
        <w:tc>
          <w:tcPr>
            <w:tcW w:w="963" w:type="dxa"/>
            <w:vAlign w:val="center"/>
          </w:tcPr>
          <w:p>
            <w:pPr>
              <w:pStyle w:val="27"/>
              <w:ind w:firstLine="0" w:firstLineChars="0"/>
              <w:jc w:val="center"/>
              <w:rPr>
                <w:color w:val="000000"/>
                <w:szCs w:val="21"/>
              </w:rPr>
            </w:pPr>
            <w:r>
              <w:rPr>
                <w:color w:val="000000"/>
                <w:szCs w:val="21"/>
              </w:rPr>
              <w:t>分项价格（万元）</w:t>
            </w:r>
          </w:p>
        </w:tc>
        <w:tc>
          <w:tcPr>
            <w:tcW w:w="2016" w:type="dxa"/>
          </w:tcPr>
          <w:p>
            <w:pPr>
              <w:pStyle w:val="27"/>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7"/>
              <w:ind w:firstLine="0" w:firstLineChars="0"/>
              <w:jc w:val="center"/>
              <w:rPr>
                <w:color w:val="000000"/>
                <w:szCs w:val="21"/>
              </w:rPr>
            </w:pPr>
            <w:r>
              <w:rPr>
                <w:rFonts w:hint="eastAsia"/>
                <w:color w:val="000000"/>
                <w:szCs w:val="21"/>
              </w:rPr>
              <w:t>1</w:t>
            </w:r>
          </w:p>
        </w:tc>
        <w:tc>
          <w:tcPr>
            <w:tcW w:w="2977" w:type="dxa"/>
            <w:vAlign w:val="center"/>
          </w:tcPr>
          <w:p>
            <w:pPr>
              <w:pStyle w:val="27"/>
              <w:ind w:firstLine="0" w:firstLineChars="0"/>
              <w:rPr>
                <w:color w:val="000000"/>
                <w:szCs w:val="21"/>
              </w:rPr>
            </w:pPr>
          </w:p>
        </w:tc>
        <w:tc>
          <w:tcPr>
            <w:tcW w:w="3686" w:type="dxa"/>
            <w:vAlign w:val="center"/>
          </w:tcPr>
          <w:p>
            <w:pPr>
              <w:pStyle w:val="27"/>
              <w:ind w:firstLine="0" w:firstLineChars="0"/>
              <w:rPr>
                <w:color w:val="000000"/>
                <w:szCs w:val="21"/>
              </w:rPr>
            </w:pPr>
          </w:p>
        </w:tc>
        <w:tc>
          <w:tcPr>
            <w:tcW w:w="963" w:type="dxa"/>
            <w:vAlign w:val="center"/>
          </w:tcPr>
          <w:p>
            <w:pPr>
              <w:pStyle w:val="27"/>
              <w:ind w:firstLine="0" w:firstLineChars="0"/>
              <w:jc w:val="center"/>
              <w:rPr>
                <w:color w:val="000000"/>
                <w:szCs w:val="21"/>
              </w:rPr>
            </w:pPr>
          </w:p>
        </w:tc>
        <w:tc>
          <w:tcPr>
            <w:tcW w:w="2016" w:type="dxa"/>
          </w:tcPr>
          <w:p>
            <w:pPr>
              <w:pStyle w:val="27"/>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7"/>
              <w:ind w:firstLine="0" w:firstLineChars="0"/>
              <w:jc w:val="center"/>
              <w:rPr>
                <w:color w:val="000000"/>
                <w:szCs w:val="21"/>
              </w:rPr>
            </w:pPr>
            <w:r>
              <w:rPr>
                <w:rFonts w:hint="eastAsia"/>
                <w:color w:val="000000"/>
                <w:szCs w:val="21"/>
              </w:rPr>
              <w:t>2</w:t>
            </w:r>
          </w:p>
        </w:tc>
        <w:tc>
          <w:tcPr>
            <w:tcW w:w="2977" w:type="dxa"/>
            <w:vAlign w:val="center"/>
          </w:tcPr>
          <w:p>
            <w:pPr>
              <w:pStyle w:val="27"/>
              <w:ind w:firstLine="0" w:firstLineChars="0"/>
              <w:rPr>
                <w:color w:val="000000"/>
                <w:szCs w:val="21"/>
              </w:rPr>
            </w:pPr>
          </w:p>
        </w:tc>
        <w:tc>
          <w:tcPr>
            <w:tcW w:w="3686" w:type="dxa"/>
            <w:vAlign w:val="center"/>
          </w:tcPr>
          <w:p>
            <w:pPr>
              <w:pStyle w:val="27"/>
              <w:ind w:firstLine="0" w:firstLineChars="0"/>
              <w:rPr>
                <w:color w:val="000000"/>
                <w:szCs w:val="21"/>
              </w:rPr>
            </w:pPr>
          </w:p>
        </w:tc>
        <w:tc>
          <w:tcPr>
            <w:tcW w:w="963" w:type="dxa"/>
            <w:vAlign w:val="center"/>
          </w:tcPr>
          <w:p>
            <w:pPr>
              <w:pStyle w:val="27"/>
              <w:ind w:firstLine="0" w:firstLineChars="0"/>
              <w:jc w:val="center"/>
              <w:rPr>
                <w:color w:val="000000"/>
                <w:szCs w:val="21"/>
              </w:rPr>
            </w:pPr>
          </w:p>
        </w:tc>
        <w:tc>
          <w:tcPr>
            <w:tcW w:w="2016" w:type="dxa"/>
          </w:tcPr>
          <w:p>
            <w:pPr>
              <w:pStyle w:val="27"/>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7"/>
              <w:ind w:firstLine="0" w:firstLineChars="0"/>
              <w:jc w:val="center"/>
              <w:rPr>
                <w:color w:val="000000"/>
                <w:szCs w:val="21"/>
              </w:rPr>
            </w:pPr>
            <w:r>
              <w:rPr>
                <w:rFonts w:hint="eastAsia"/>
                <w:color w:val="000000"/>
                <w:szCs w:val="21"/>
              </w:rPr>
              <w:t>3</w:t>
            </w:r>
          </w:p>
        </w:tc>
        <w:tc>
          <w:tcPr>
            <w:tcW w:w="2977" w:type="dxa"/>
            <w:vAlign w:val="center"/>
          </w:tcPr>
          <w:p>
            <w:pPr>
              <w:pStyle w:val="27"/>
              <w:ind w:firstLine="0" w:firstLineChars="0"/>
              <w:rPr>
                <w:color w:val="000000"/>
                <w:szCs w:val="21"/>
              </w:rPr>
            </w:pPr>
          </w:p>
        </w:tc>
        <w:tc>
          <w:tcPr>
            <w:tcW w:w="3686" w:type="dxa"/>
            <w:vAlign w:val="center"/>
          </w:tcPr>
          <w:p>
            <w:pPr>
              <w:pStyle w:val="27"/>
              <w:ind w:firstLine="0" w:firstLineChars="0"/>
              <w:rPr>
                <w:color w:val="000000"/>
                <w:szCs w:val="21"/>
              </w:rPr>
            </w:pPr>
          </w:p>
        </w:tc>
        <w:tc>
          <w:tcPr>
            <w:tcW w:w="963" w:type="dxa"/>
            <w:vAlign w:val="center"/>
          </w:tcPr>
          <w:p>
            <w:pPr>
              <w:pStyle w:val="27"/>
              <w:ind w:firstLine="0" w:firstLineChars="0"/>
              <w:jc w:val="center"/>
              <w:rPr>
                <w:color w:val="000000"/>
                <w:szCs w:val="21"/>
              </w:rPr>
            </w:pPr>
          </w:p>
        </w:tc>
        <w:tc>
          <w:tcPr>
            <w:tcW w:w="2016" w:type="dxa"/>
          </w:tcPr>
          <w:p>
            <w:pPr>
              <w:pStyle w:val="27"/>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7"/>
              <w:ind w:firstLine="0" w:firstLineChars="0"/>
              <w:jc w:val="center"/>
              <w:rPr>
                <w:color w:val="000000"/>
                <w:szCs w:val="21"/>
              </w:rPr>
            </w:pPr>
            <w:r>
              <w:rPr>
                <w:color w:val="000000"/>
                <w:szCs w:val="21"/>
              </w:rPr>
              <w:t>…</w:t>
            </w:r>
          </w:p>
        </w:tc>
        <w:tc>
          <w:tcPr>
            <w:tcW w:w="2977" w:type="dxa"/>
            <w:vAlign w:val="center"/>
          </w:tcPr>
          <w:p>
            <w:pPr>
              <w:pStyle w:val="27"/>
              <w:ind w:firstLine="0" w:firstLineChars="0"/>
              <w:rPr>
                <w:color w:val="000000"/>
                <w:szCs w:val="21"/>
              </w:rPr>
            </w:pPr>
          </w:p>
        </w:tc>
        <w:tc>
          <w:tcPr>
            <w:tcW w:w="3686" w:type="dxa"/>
            <w:vAlign w:val="center"/>
          </w:tcPr>
          <w:p>
            <w:pPr>
              <w:pStyle w:val="27"/>
              <w:ind w:firstLine="0" w:firstLineChars="0"/>
              <w:rPr>
                <w:color w:val="000000"/>
                <w:szCs w:val="21"/>
              </w:rPr>
            </w:pPr>
          </w:p>
        </w:tc>
        <w:tc>
          <w:tcPr>
            <w:tcW w:w="963" w:type="dxa"/>
            <w:vAlign w:val="center"/>
          </w:tcPr>
          <w:p>
            <w:pPr>
              <w:pStyle w:val="27"/>
              <w:ind w:firstLine="0" w:firstLineChars="0"/>
              <w:jc w:val="center"/>
              <w:rPr>
                <w:color w:val="000000"/>
                <w:szCs w:val="21"/>
              </w:rPr>
            </w:pPr>
          </w:p>
        </w:tc>
        <w:tc>
          <w:tcPr>
            <w:tcW w:w="2016" w:type="dxa"/>
          </w:tcPr>
          <w:p>
            <w:pPr>
              <w:pStyle w:val="27"/>
              <w:ind w:firstLine="0" w:firstLineChars="0"/>
              <w:rPr>
                <w:color w:val="000000"/>
                <w:szCs w:val="21"/>
              </w:rPr>
            </w:pPr>
          </w:p>
        </w:tc>
      </w:tr>
    </w:tbl>
    <w:p>
      <w:pPr>
        <w:pStyle w:val="27"/>
        <w:numPr>
          <w:ilvl w:val="0"/>
          <w:numId w:val="13"/>
        </w:numPr>
        <w:ind w:firstLineChars="0"/>
        <w:jc w:val="left"/>
        <w:rPr>
          <w:b/>
          <w:szCs w:val="21"/>
        </w:rPr>
      </w:pPr>
      <w:r>
        <w:rPr>
          <w:b/>
          <w:szCs w:val="21"/>
        </w:rPr>
        <w:t>合同</w:t>
      </w:r>
      <w:r>
        <w:rPr>
          <w:rFonts w:hint="eastAsia"/>
          <w:b/>
          <w:szCs w:val="21"/>
        </w:rPr>
        <w:t>价款</w:t>
      </w:r>
    </w:p>
    <w:p>
      <w:pPr>
        <w:ind w:firstLine="480"/>
        <w:contextualSpacing/>
        <w:jc w:val="left"/>
        <w:rPr>
          <w:szCs w:val="21"/>
        </w:rPr>
      </w:pPr>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9" w:name="OLE_LINK28"/>
      <w:r>
        <w:rPr>
          <w:szCs w:val="21"/>
        </w:rPr>
        <w:t>人民币大写：*** 圆整，即RMB *** 元</w:t>
      </w:r>
      <w:bookmarkEnd w:id="99"/>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p>
      <w:pPr>
        <w:pStyle w:val="27"/>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pPr>
        <w:pStyle w:val="27"/>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27"/>
        <w:jc w:val="left"/>
        <w:rPr>
          <w:bCs/>
          <w:szCs w:val="21"/>
        </w:rPr>
      </w:pPr>
    </w:p>
    <w:p>
      <w:pPr>
        <w:pStyle w:val="27"/>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7"/>
        <w:jc w:val="left"/>
        <w:rPr>
          <w:bCs/>
          <w:szCs w:val="21"/>
        </w:rPr>
      </w:pPr>
    </w:p>
    <w:p>
      <w:pPr>
        <w:pStyle w:val="27"/>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0" w:name="OLE_LINK29"/>
      <w:r>
        <w:rPr>
          <w:rFonts w:hint="eastAsia"/>
          <w:bCs/>
          <w:szCs w:val="21"/>
        </w:rPr>
        <w:t>，考核标准详见附件</w:t>
      </w:r>
      <w:r>
        <w:rPr>
          <w:rFonts w:hint="eastAsia"/>
          <w:bCs/>
          <w:szCs w:val="21"/>
          <w:u w:val="single"/>
        </w:rPr>
        <w:t>2</w:t>
      </w:r>
      <w:r>
        <w:rPr>
          <w:rFonts w:hint="eastAsia"/>
          <w:bCs/>
          <w:szCs w:val="21"/>
        </w:rPr>
        <w:t>《考核标准》</w:t>
      </w:r>
      <w:bookmarkEnd w:id="100"/>
      <w:r>
        <w:rPr>
          <w:bCs/>
          <w:szCs w:val="21"/>
        </w:rPr>
        <w:t>。</w:t>
      </w:r>
    </w:p>
    <w:p>
      <w:pPr>
        <w:pStyle w:val="27"/>
        <w:numPr>
          <w:ilvl w:val="0"/>
          <w:numId w:val="13"/>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7"/>
        <w:numPr>
          <w:ilvl w:val="0"/>
          <w:numId w:val="13"/>
        </w:numPr>
        <w:ind w:left="0" w:firstLine="0" w:firstLineChars="0"/>
        <w:contextualSpacing/>
        <w:jc w:val="left"/>
        <w:rPr>
          <w:b/>
          <w:szCs w:val="21"/>
        </w:rPr>
      </w:pPr>
      <w:r>
        <w:rPr>
          <w:b/>
          <w:szCs w:val="21"/>
        </w:rPr>
        <w:t>验收</w:t>
      </w:r>
    </w:p>
    <w:p>
      <w:pPr>
        <w:pStyle w:val="27"/>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pPr>
        <w:pStyle w:val="27"/>
        <w:numPr>
          <w:ilvl w:val="0"/>
          <w:numId w:val="15"/>
        </w:numPr>
        <w:ind w:left="0" w:firstLine="0" w:firstLineChars="0"/>
        <w:contextualSpacing/>
        <w:rPr>
          <w:szCs w:val="21"/>
        </w:rPr>
      </w:pPr>
      <w:r>
        <w:rPr>
          <w:szCs w:val="21"/>
        </w:rPr>
        <w:t>验收方案：</w:t>
      </w:r>
    </w:p>
    <w:p>
      <w:pPr>
        <w:pStyle w:val="27"/>
        <w:numPr>
          <w:ilvl w:val="0"/>
          <w:numId w:val="16"/>
        </w:numPr>
        <w:ind w:firstLineChars="0"/>
        <w:contextualSpacing/>
        <w:rPr>
          <w:color w:val="000000"/>
          <w:szCs w:val="21"/>
        </w:rPr>
      </w:pPr>
      <w:r>
        <w:rPr>
          <w:rFonts w:hint="eastAsia"/>
          <w:color w:val="000000"/>
          <w:szCs w:val="21"/>
        </w:rPr>
        <w:t>验收主体：甲方</w:t>
      </w:r>
    </w:p>
    <w:p>
      <w:pPr>
        <w:pStyle w:val="27"/>
        <w:numPr>
          <w:ilvl w:val="0"/>
          <w:numId w:val="16"/>
        </w:numPr>
        <w:ind w:firstLineChars="0"/>
        <w:contextualSpacing/>
        <w:rPr>
          <w:color w:val="000000"/>
          <w:szCs w:val="21"/>
        </w:rPr>
      </w:pPr>
      <w:r>
        <w:rPr>
          <w:rFonts w:hint="eastAsia"/>
          <w:color w:val="000000"/>
          <w:szCs w:val="21"/>
        </w:rPr>
        <w:t>验收组织方式：自行验收</w:t>
      </w:r>
    </w:p>
    <w:p>
      <w:pPr>
        <w:pStyle w:val="27"/>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27"/>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27"/>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7"/>
        <w:numPr>
          <w:ilvl w:val="0"/>
          <w:numId w:val="16"/>
        </w:numPr>
        <w:ind w:firstLineChars="0"/>
        <w:contextualSpacing/>
        <w:rPr>
          <w:color w:val="000000"/>
          <w:szCs w:val="21"/>
        </w:rPr>
      </w:pPr>
      <w:r>
        <w:rPr>
          <w:rFonts w:hint="eastAsia"/>
          <w:color w:val="000000"/>
          <w:szCs w:val="21"/>
        </w:rPr>
        <w:t>履约</w:t>
      </w:r>
      <w:r>
        <w:rPr>
          <w:color w:val="000000"/>
          <w:szCs w:val="21"/>
        </w:rPr>
        <w:t>验收时间：</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5"/>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27"/>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7"/>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7"/>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7"/>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7"/>
        <w:numPr>
          <w:ilvl w:val="0"/>
          <w:numId w:val="16"/>
        </w:numPr>
        <w:ind w:firstLineChars="0"/>
        <w:contextualSpacing/>
        <w:rPr>
          <w:szCs w:val="21"/>
        </w:rPr>
      </w:pPr>
      <w:r>
        <w:rPr>
          <w:szCs w:val="21"/>
        </w:rPr>
        <w:t>验收标准：</w:t>
      </w:r>
    </w:p>
    <w:p>
      <w:pPr>
        <w:pStyle w:val="15"/>
        <w:numPr>
          <w:ilvl w:val="0"/>
          <w:numId w:val="17"/>
        </w:numPr>
        <w:spacing w:after="0"/>
        <w:ind w:firstLineChars="0"/>
        <w:contextualSpacing/>
        <w:rPr>
          <w:rFonts w:ascii="Times New Roman" w:hAnsi="Times New Roman"/>
          <w:szCs w:val="21"/>
        </w:rPr>
      </w:pPr>
      <w:bookmarkStart w:id="101" w:name="OLE_LINK4"/>
      <w:r>
        <w:rPr>
          <w:rFonts w:ascii="Times New Roman" w:hAnsi="Times New Roman"/>
          <w:szCs w:val="21"/>
          <w:shd w:val="clear" w:color="auto" w:fill="FFFFFF"/>
        </w:rPr>
        <w:t>国家相关法律法规、行业标准、技术规范。</w:t>
      </w:r>
    </w:p>
    <w:p>
      <w:pPr>
        <w:pStyle w:val="15"/>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5"/>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101"/>
    <w:p>
      <w:pPr>
        <w:pStyle w:val="15"/>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5"/>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5"/>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27"/>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7"/>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7"/>
        <w:numPr>
          <w:ilvl w:val="0"/>
          <w:numId w:val="13"/>
        </w:numPr>
        <w:ind w:left="0" w:firstLine="0" w:firstLineChars="0"/>
        <w:contextualSpacing/>
        <w:jc w:val="left"/>
        <w:rPr>
          <w:b/>
          <w:szCs w:val="21"/>
        </w:rPr>
      </w:pPr>
      <w:r>
        <w:rPr>
          <w:b/>
          <w:szCs w:val="21"/>
        </w:rPr>
        <w:t>付款方式</w:t>
      </w:r>
    </w:p>
    <w:p>
      <w:pPr>
        <w:pStyle w:val="9"/>
        <w:numPr>
          <w:ilvl w:val="0"/>
          <w:numId w:val="18"/>
        </w:numPr>
        <w:spacing w:after="0" w:line="240" w:lineRule="auto"/>
        <w:ind w:left="227" w:leftChars="0" w:hanging="227"/>
        <w:contextualSpacing/>
        <w:jc w:val="left"/>
        <w:rPr>
          <w:szCs w:val="21"/>
        </w:rPr>
      </w:pPr>
      <w:r>
        <w:rPr>
          <w:szCs w:val="21"/>
        </w:rPr>
        <w:t>履约保证金：</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5"/>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5"/>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2" w:name="OLE_LINK30"/>
      <w:r>
        <w:rPr>
          <w:rFonts w:hint="eastAsia"/>
          <w:szCs w:val="21"/>
        </w:rPr>
        <w:t>固定部分价款</w:t>
      </w:r>
      <w:bookmarkEnd w:id="102"/>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5"/>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7"/>
        <w:numPr>
          <w:ilvl w:val="0"/>
          <w:numId w:val="13"/>
        </w:numPr>
        <w:ind w:left="0" w:firstLine="0" w:firstLineChars="0"/>
        <w:contextualSpacing/>
        <w:jc w:val="left"/>
        <w:rPr>
          <w:b/>
          <w:szCs w:val="21"/>
        </w:rPr>
      </w:pPr>
      <w:r>
        <w:rPr>
          <w:b/>
          <w:szCs w:val="21"/>
        </w:rPr>
        <w:t>双方权利与义务</w:t>
      </w:r>
    </w:p>
    <w:p>
      <w:pPr>
        <w:pStyle w:val="9"/>
        <w:numPr>
          <w:ilvl w:val="0"/>
          <w:numId w:val="19"/>
        </w:numPr>
        <w:spacing w:after="0" w:line="240" w:lineRule="auto"/>
        <w:ind w:left="227" w:leftChars="0" w:hanging="227"/>
        <w:contextualSpacing/>
        <w:jc w:val="left"/>
        <w:rPr>
          <w:szCs w:val="21"/>
        </w:rPr>
      </w:pPr>
      <w:r>
        <w:rPr>
          <w:szCs w:val="21"/>
        </w:rPr>
        <w:t>甲方权利与义务</w:t>
      </w:r>
    </w:p>
    <w:p>
      <w:pPr>
        <w:pStyle w:val="27"/>
        <w:numPr>
          <w:ilvl w:val="0"/>
          <w:numId w:val="20"/>
        </w:numPr>
        <w:adjustRightInd w:val="0"/>
        <w:ind w:left="525" w:hanging="525" w:hangingChars="250"/>
        <w:contextualSpacing/>
        <w:jc w:val="left"/>
        <w:rPr>
          <w:szCs w:val="21"/>
        </w:rPr>
      </w:pPr>
      <w:r>
        <w:rPr>
          <w:szCs w:val="21"/>
        </w:rPr>
        <w:t>按合同约定向乙方支付费用。</w:t>
      </w:r>
    </w:p>
    <w:p>
      <w:pPr>
        <w:pStyle w:val="27"/>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7"/>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7"/>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19"/>
        </w:numPr>
        <w:spacing w:after="0" w:line="240" w:lineRule="auto"/>
        <w:ind w:left="227" w:leftChars="0" w:hanging="227"/>
        <w:contextualSpacing/>
        <w:jc w:val="left"/>
        <w:rPr>
          <w:szCs w:val="21"/>
        </w:rPr>
      </w:pPr>
      <w:r>
        <w:rPr>
          <w:szCs w:val="21"/>
        </w:rPr>
        <w:t>乙方权利与义务</w:t>
      </w:r>
    </w:p>
    <w:p>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7"/>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7"/>
        <w:numPr>
          <w:ilvl w:val="0"/>
          <w:numId w:val="22"/>
        </w:numPr>
        <w:ind w:left="0" w:firstLine="0" w:firstLineChars="0"/>
        <w:rPr>
          <w:szCs w:val="21"/>
        </w:rPr>
      </w:pPr>
      <w:r>
        <w:rPr>
          <w:szCs w:val="21"/>
        </w:rPr>
        <w:t>乙方违约责任：</w:t>
      </w:r>
    </w:p>
    <w:p>
      <w:pPr>
        <w:pStyle w:val="9"/>
        <w:numPr>
          <w:ilvl w:val="0"/>
          <w:numId w:val="23"/>
        </w:numPr>
        <w:spacing w:after="0" w:line="240" w:lineRule="auto"/>
        <w:ind w:left="525" w:leftChars="0" w:hanging="525" w:hangingChars="250"/>
        <w:contextualSpacing/>
        <w:jc w:val="left"/>
        <w:rPr>
          <w:szCs w:val="21"/>
        </w:rPr>
      </w:pPr>
      <w:bookmarkStart w:id="103" w:name="OLE_LINK18"/>
      <w:bookmarkStart w:id="104"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3"/>
    <w:bookmarkEnd w:id="104"/>
    <w:p>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7"/>
        <w:numPr>
          <w:ilvl w:val="0"/>
          <w:numId w:val="13"/>
        </w:numPr>
        <w:ind w:left="0" w:firstLine="0" w:firstLineChars="0"/>
        <w:contextualSpacing/>
        <w:jc w:val="left"/>
        <w:rPr>
          <w:b/>
          <w:szCs w:val="21"/>
        </w:rPr>
      </w:pPr>
      <w:r>
        <w:rPr>
          <w:b/>
          <w:szCs w:val="21"/>
        </w:rPr>
        <w:t>不可抗力</w:t>
      </w:r>
    </w:p>
    <w:p>
      <w:pPr>
        <w:pStyle w:val="27"/>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7"/>
        <w:numPr>
          <w:ilvl w:val="0"/>
          <w:numId w:val="13"/>
        </w:numPr>
        <w:ind w:left="0" w:firstLine="0" w:firstLineChars="0"/>
        <w:contextualSpacing/>
        <w:jc w:val="left"/>
        <w:rPr>
          <w:b/>
          <w:szCs w:val="21"/>
        </w:rPr>
      </w:pPr>
      <w:r>
        <w:rPr>
          <w:b/>
          <w:szCs w:val="21"/>
        </w:rPr>
        <w:t>合同终止及解除</w:t>
      </w:r>
    </w:p>
    <w:p>
      <w:pPr>
        <w:pStyle w:val="27"/>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7"/>
        <w:numPr>
          <w:ilvl w:val="0"/>
          <w:numId w:val="24"/>
        </w:numPr>
        <w:ind w:left="0" w:firstLine="0" w:firstLineChars="0"/>
        <w:rPr>
          <w:szCs w:val="21"/>
        </w:rPr>
      </w:pPr>
      <w:r>
        <w:rPr>
          <w:szCs w:val="21"/>
        </w:rPr>
        <w:t>在甲、乙任何一方有严重违约行为时，另一方有权单方解除合同。</w:t>
      </w:r>
    </w:p>
    <w:p>
      <w:pPr>
        <w:pStyle w:val="27"/>
        <w:numPr>
          <w:ilvl w:val="0"/>
          <w:numId w:val="13"/>
        </w:numPr>
        <w:ind w:left="0" w:firstLine="0" w:firstLineChars="0"/>
        <w:contextualSpacing/>
        <w:jc w:val="left"/>
        <w:rPr>
          <w:b/>
          <w:szCs w:val="21"/>
        </w:rPr>
      </w:pPr>
      <w:r>
        <w:rPr>
          <w:b/>
          <w:szCs w:val="21"/>
        </w:rPr>
        <w:t>争议解决办法</w:t>
      </w:r>
    </w:p>
    <w:p>
      <w:pPr>
        <w:pStyle w:val="27"/>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7"/>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27"/>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2"/>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2"/>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pPr>
        <w:pStyle w:val="32"/>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7"/>
        <w:numPr>
          <w:ilvl w:val="0"/>
          <w:numId w:val="13"/>
        </w:numPr>
        <w:ind w:left="0" w:firstLine="0" w:firstLineChars="0"/>
        <w:contextualSpacing/>
        <w:jc w:val="left"/>
        <w:rPr>
          <w:b/>
          <w:szCs w:val="21"/>
        </w:rPr>
      </w:pPr>
      <w:r>
        <w:rPr>
          <w:b/>
          <w:szCs w:val="21"/>
        </w:rPr>
        <w:t>其他</w:t>
      </w:r>
    </w:p>
    <w:p>
      <w:pPr>
        <w:pStyle w:val="27"/>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7"/>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7"/>
        <w:numPr>
          <w:ilvl w:val="0"/>
          <w:numId w:val="13"/>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05" w:name="OLE_LINK32"/>
      <w:r>
        <w:rPr>
          <w:rFonts w:hint="eastAsia"/>
          <w:szCs w:val="21"/>
        </w:rPr>
        <w:t>结算单价清单</w:t>
      </w:r>
      <w:bookmarkEnd w:id="105"/>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7"/>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footerReference r:id="rId10" w:type="default"/>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jc w:val="center"/>
        <w:rPr>
          <w:rFonts w:ascii="Times New Roman" w:hAnsi="Times New Roman" w:cs="Times New Roman"/>
          <w:b/>
          <w:bCs/>
          <w:sz w:val="44"/>
          <w:szCs w:val="52"/>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pPr>
        <w:ind w:firstLine="4200" w:firstLineChars="1500"/>
        <w:rPr>
          <w:rFonts w:ascii="Times New Roman" w:hAnsi="Times New Roman" w:eastAsia="仿宋" w:cs="Times New Roman"/>
          <w:sz w:val="28"/>
          <w:szCs w:val="28"/>
        </w:rPr>
      </w:pPr>
    </w:p>
    <w:p>
      <w:pPr>
        <w:jc w:val="right"/>
        <w:rPr>
          <w:rStyle w:val="31"/>
          <w:rFonts w:ascii="Times New Roman" w:hAnsi="Times New Roman" w:eastAsia="宋体" w:cs="Times New Roman"/>
          <w:b/>
          <w:bCs/>
          <w:sz w:val="32"/>
          <w:szCs w:val="32"/>
        </w:rPr>
      </w:pPr>
      <w:r>
        <w:rPr>
          <w:rFonts w:ascii="Times New Roman" w:hAnsi="Times New Roman" w:cs="Times New Roman"/>
        </w:rPr>
        <w:t>年   月   日</w:t>
      </w:r>
    </w:p>
    <w:p>
      <w:pPr>
        <w:pStyle w:val="24"/>
        <w:rPr>
          <w:rFonts w:ascii="Times New Roman" w:hAnsi="Times New Roman"/>
        </w:rPr>
      </w:pPr>
    </w:p>
    <w:sectPr>
      <w:headerReference r:id="rId13" w:type="default"/>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EEBF18B-91ED-4C37-AC32-0ADCCC20154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A6CD856-EEB2-49FB-89FD-F189B202B5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244E32A-E818-440C-9129-F62A3535075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0B4C39E-D08F-4C15-A2A2-85FB5639BB50}"/>
  </w:font>
  <w:font w:name="Segoe UI Symbol">
    <w:panose1 w:val="020B0502040204020203"/>
    <w:charset w:val="00"/>
    <w:family w:val="swiss"/>
    <w:pitch w:val="default"/>
    <w:sig w:usb0="800001E3" w:usb1="1200FFEF" w:usb2="00040000" w:usb3="04000000" w:csb0="00000001" w:csb1="40000000"/>
    <w:embedRegular r:id="rId5" w:fontKey="{9B6BC341-CF99-47B9-8C22-4FB0E220703F}"/>
  </w:font>
  <w:font w:name="新宋体">
    <w:panose1 w:val="02010609030101010101"/>
    <w:charset w:val="86"/>
    <w:family w:val="auto"/>
    <w:pitch w:val="default"/>
    <w:sig w:usb0="00000203" w:usb1="288F0000" w:usb2="00000006" w:usb3="00000000" w:csb0="00040001" w:csb1="00000000"/>
    <w:embedRegular r:id="rId6" w:fontKey="{AC2B0CA7-23B4-4B4F-9B5F-B16EA6E87B77}"/>
  </w:font>
  <w:font w:name="Wingdings 2">
    <w:altName w:val="Wingdings"/>
    <w:panose1 w:val="05020102010507070707"/>
    <w:charset w:val="4D"/>
    <w:family w:val="decorative"/>
    <w:pitch w:val="default"/>
    <w:sig w:usb0="00000000" w:usb1="00000000" w:usb2="00000000" w:usb3="00000000" w:csb0="80000000" w:csb1="00000000"/>
    <w:embedRegular r:id="rId7" w:fontKey="{AF375641-495D-4758-8F0E-CA74263BA62A}"/>
  </w:font>
  <w:font w:name="微软雅黑">
    <w:panose1 w:val="020B0503020204020204"/>
    <w:charset w:val="86"/>
    <w:family w:val="auto"/>
    <w:pitch w:val="default"/>
    <w:sig w:usb0="80000287" w:usb1="2ACF3C50" w:usb2="00000016" w:usb3="00000000" w:csb0="0004001F" w:csb1="00000000"/>
    <w:embedRegular r:id="rId8" w:fontKey="{945AE565-985E-4AD1-90AD-5C67E485ADC1}"/>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39</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0"/>
      </w:rPr>
    </w:pPr>
    <w:r>
      <w:rPr>
        <w:rStyle w:val="20"/>
      </w:rPr>
      <w:fldChar w:fldCharType="begin"/>
    </w:r>
    <w:r>
      <w:rPr>
        <w:rStyle w:val="20"/>
      </w:rPr>
      <w:instrText xml:space="preserve">PAGE  </w:instrText>
    </w:r>
    <w:r>
      <w:rPr>
        <w:rStyle w:val="20"/>
      </w:rPr>
      <w:fldChar w:fldCharType="separate"/>
    </w:r>
    <w:r>
      <w:rPr>
        <w:rStyle w:val="20"/>
      </w:rPr>
      <w:t>1</w:t>
    </w:r>
    <w:r>
      <w:rPr>
        <w:rStyle w:val="20"/>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1"/>
                      <w:jc w:val="both"/>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jc w:val="both"/>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07510A6"/>
    <w:multiLevelType w:val="singleLevel"/>
    <w:tmpl w:val="A07510A6"/>
    <w:lvl w:ilvl="0" w:tentative="0">
      <w:start w:val="2"/>
      <w:numFmt w:val="decimal"/>
      <w:suff w:val="nothing"/>
      <w:lvlText w:val="%1、"/>
      <w:lvlJc w:val="left"/>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2"/>
  </w:num>
  <w:num w:numId="10">
    <w:abstractNumId w:val="0"/>
  </w:num>
  <w:num w:numId="11">
    <w:abstractNumId w:val="5"/>
  </w:num>
  <w:num w:numId="12">
    <w:abstractNumId w:val="1"/>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278AB"/>
    <w:rsid w:val="0003214C"/>
    <w:rsid w:val="00077AA7"/>
    <w:rsid w:val="000C337E"/>
    <w:rsid w:val="00160E82"/>
    <w:rsid w:val="0022301C"/>
    <w:rsid w:val="002B5793"/>
    <w:rsid w:val="002B6CC6"/>
    <w:rsid w:val="003460DC"/>
    <w:rsid w:val="003579A5"/>
    <w:rsid w:val="003831C0"/>
    <w:rsid w:val="003C1BC0"/>
    <w:rsid w:val="003E4BF1"/>
    <w:rsid w:val="00427BF2"/>
    <w:rsid w:val="004549F4"/>
    <w:rsid w:val="00461368"/>
    <w:rsid w:val="004F4DC4"/>
    <w:rsid w:val="00547343"/>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9637F"/>
    <w:rsid w:val="00DE5670"/>
    <w:rsid w:val="00DF3B6A"/>
    <w:rsid w:val="00E2603E"/>
    <w:rsid w:val="00E71156"/>
    <w:rsid w:val="00E769CD"/>
    <w:rsid w:val="00EA700B"/>
    <w:rsid w:val="00F3202A"/>
    <w:rsid w:val="00F523A1"/>
    <w:rsid w:val="00F676AD"/>
    <w:rsid w:val="00F90C3B"/>
    <w:rsid w:val="00FF60E3"/>
    <w:rsid w:val="058C78B0"/>
    <w:rsid w:val="05E13064"/>
    <w:rsid w:val="078A573C"/>
    <w:rsid w:val="093A3733"/>
    <w:rsid w:val="0B4508AE"/>
    <w:rsid w:val="0CF161C9"/>
    <w:rsid w:val="0E0B7FF0"/>
    <w:rsid w:val="117A5014"/>
    <w:rsid w:val="127F05A0"/>
    <w:rsid w:val="136D78F8"/>
    <w:rsid w:val="15CC4977"/>
    <w:rsid w:val="162A4F7D"/>
    <w:rsid w:val="16A82A66"/>
    <w:rsid w:val="192C6B48"/>
    <w:rsid w:val="1994787E"/>
    <w:rsid w:val="1DD000AF"/>
    <w:rsid w:val="1E09745A"/>
    <w:rsid w:val="23D4489F"/>
    <w:rsid w:val="25361BEB"/>
    <w:rsid w:val="262001B9"/>
    <w:rsid w:val="27B87AF9"/>
    <w:rsid w:val="27E80EA9"/>
    <w:rsid w:val="280414A1"/>
    <w:rsid w:val="28570368"/>
    <w:rsid w:val="28692751"/>
    <w:rsid w:val="29C5318E"/>
    <w:rsid w:val="2B502F98"/>
    <w:rsid w:val="2C9A0A9E"/>
    <w:rsid w:val="2DA70D65"/>
    <w:rsid w:val="3427766B"/>
    <w:rsid w:val="343706EB"/>
    <w:rsid w:val="351A08D0"/>
    <w:rsid w:val="36334CE5"/>
    <w:rsid w:val="3A551407"/>
    <w:rsid w:val="3B033C36"/>
    <w:rsid w:val="3D704FB3"/>
    <w:rsid w:val="3E5D4E8E"/>
    <w:rsid w:val="3EF44E22"/>
    <w:rsid w:val="3FE25336"/>
    <w:rsid w:val="42075FF8"/>
    <w:rsid w:val="42842020"/>
    <w:rsid w:val="468567BB"/>
    <w:rsid w:val="4782487D"/>
    <w:rsid w:val="4B31068E"/>
    <w:rsid w:val="4BA55220"/>
    <w:rsid w:val="4BAD0151"/>
    <w:rsid w:val="4C8F75A2"/>
    <w:rsid w:val="4DAD4403"/>
    <w:rsid w:val="4E8C008E"/>
    <w:rsid w:val="4FEF758C"/>
    <w:rsid w:val="50771A9C"/>
    <w:rsid w:val="51C47F6D"/>
    <w:rsid w:val="5455382C"/>
    <w:rsid w:val="5D0A3490"/>
    <w:rsid w:val="5D7E0D39"/>
    <w:rsid w:val="5E9D3F29"/>
    <w:rsid w:val="60384CD1"/>
    <w:rsid w:val="60655808"/>
    <w:rsid w:val="63A9427A"/>
    <w:rsid w:val="63D462B1"/>
    <w:rsid w:val="641A3596"/>
    <w:rsid w:val="64D96647"/>
    <w:rsid w:val="655B51E5"/>
    <w:rsid w:val="65E40ADA"/>
    <w:rsid w:val="66330B86"/>
    <w:rsid w:val="66E22203"/>
    <w:rsid w:val="68B812C9"/>
    <w:rsid w:val="69D50CF4"/>
    <w:rsid w:val="69DB63B5"/>
    <w:rsid w:val="6A505A87"/>
    <w:rsid w:val="6C487AFD"/>
    <w:rsid w:val="6CB24363"/>
    <w:rsid w:val="6EA93466"/>
    <w:rsid w:val="6FCF0795"/>
    <w:rsid w:val="71381023"/>
    <w:rsid w:val="73714961"/>
    <w:rsid w:val="754D1D92"/>
    <w:rsid w:val="758350A9"/>
    <w:rsid w:val="75F72A95"/>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autoRedefine/>
    <w:unhideWhenUsed/>
    <w:qFormat/>
    <w:uiPriority w:val="0"/>
    <w:pPr>
      <w:keepNext/>
      <w:keepLines/>
      <w:spacing w:before="260" w:after="260" w:line="413" w:lineRule="auto"/>
      <w:outlineLvl w:val="2"/>
    </w:pPr>
    <w:rPr>
      <w:b/>
      <w:sz w:val="32"/>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5"/>
    <w:autoRedefine/>
    <w:qFormat/>
    <w:uiPriority w:val="0"/>
    <w:pPr>
      <w:jc w:val="left"/>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0"/>
    <w:autoRedefine/>
    <w:qFormat/>
    <w:uiPriority w:val="0"/>
    <w:pPr>
      <w:spacing w:after="120" w:line="480" w:lineRule="auto"/>
      <w:ind w:left="420" w:leftChars="200"/>
    </w:pPr>
    <w:rPr>
      <w:szCs w:val="20"/>
    </w:rPr>
  </w:style>
  <w:style w:type="paragraph" w:styleId="10">
    <w:name w:val="Balloon Text"/>
    <w:basedOn w:val="1"/>
    <w:link w:val="37"/>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annotation subject"/>
    <w:basedOn w:val="7"/>
    <w:next w:val="7"/>
    <w:link w:val="36"/>
    <w:autoRedefine/>
    <w:qFormat/>
    <w:uiPriority w:val="0"/>
    <w:rPr>
      <w:b/>
      <w:bCs/>
    </w:rPr>
  </w:style>
  <w:style w:type="paragraph" w:styleId="15">
    <w:name w:val="Body Text First Indent"/>
    <w:basedOn w:val="2"/>
    <w:link w:val="31"/>
    <w:autoRedefine/>
    <w:qFormat/>
    <w:uiPriority w:val="0"/>
    <w:pPr>
      <w:snapToGrid w:val="0"/>
      <w:spacing w:before="40" w:after="40" w:line="288" w:lineRule="auto"/>
      <w:ind w:firstLine="482"/>
    </w:pPr>
    <w:rPr>
      <w:rFonts w:ascii="FangSong_GB2312" w:hAnsi="FangSong_GB2312" w:eastAsia="FangSong_GB2312"/>
      <w:szCs w:val="20"/>
    </w:rPr>
  </w:style>
  <w:style w:type="paragraph" w:styleId="16">
    <w:name w:val="Body Text First Indent 2"/>
    <w:basedOn w:val="8"/>
    <w:next w:val="1"/>
    <w:link w:val="34"/>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8">
    <w:name w:val="Table Grid"/>
    <w:basedOn w:val="1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autoRedefine/>
    <w:semiHidden/>
    <w:qFormat/>
    <w:uiPriority w:val="0"/>
  </w:style>
  <w:style w:type="character" w:styleId="21">
    <w:name w:val="annotation reference"/>
    <w:basedOn w:val="19"/>
    <w:autoRedefine/>
    <w:qFormat/>
    <w:uiPriority w:val="0"/>
    <w:rPr>
      <w:sz w:val="21"/>
      <w:szCs w:val="21"/>
    </w:rPr>
  </w:style>
  <w:style w:type="paragraph" w:customStyle="1" w:styleId="22">
    <w:name w:val="标题 5（有编号）（绿盟科技）"/>
    <w:basedOn w:val="23"/>
    <w:next w:val="24"/>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autoRedefine/>
    <w:qFormat/>
    <w:uiPriority w:val="0"/>
    <w:pPr>
      <w:spacing w:line="500" w:lineRule="exact"/>
      <w:ind w:firstLine="420" w:firstLineChars="200"/>
    </w:pPr>
    <w:rPr>
      <w:szCs w:val="24"/>
    </w:rPr>
  </w:style>
  <w:style w:type="paragraph" w:customStyle="1" w:styleId="28">
    <w:name w:val="正文首行缩进两字符"/>
    <w:basedOn w:val="1"/>
    <w:autoRedefine/>
    <w:qFormat/>
    <w:uiPriority w:val="0"/>
    <w:pPr>
      <w:spacing w:line="360" w:lineRule="auto"/>
      <w:ind w:firstLine="200" w:firstLineChars="200"/>
    </w:pPr>
  </w:style>
  <w:style w:type="paragraph" w:customStyle="1" w:styleId="2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autoRedefine/>
    <w:qFormat/>
    <w:uiPriority w:val="0"/>
    <w:rPr>
      <w:szCs w:val="20"/>
    </w:rPr>
  </w:style>
  <w:style w:type="character" w:customStyle="1" w:styleId="31">
    <w:name w:val="Body Text First Indent Char"/>
    <w:link w:val="15"/>
    <w:autoRedefine/>
    <w:qFormat/>
    <w:uiPriority w:val="0"/>
    <w:rPr>
      <w:rFonts w:ascii="FangSong_GB2312" w:hAnsi="FangSong_GB2312" w:eastAsia="FangSong_GB2312"/>
      <w:szCs w:val="20"/>
    </w:rPr>
  </w:style>
  <w:style w:type="paragraph" w:customStyle="1" w:styleId="32">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6"/>
    <w:autoRedefine/>
    <w:qFormat/>
    <w:uiPriority w:val="99"/>
    <w:rPr>
      <w:rFonts w:ascii="宋体" w:hAnsi="Times New Roman"/>
      <w:kern w:val="0"/>
      <w:sz w:val="21"/>
      <w:szCs w:val="24"/>
    </w:rPr>
  </w:style>
  <w:style w:type="character" w:customStyle="1" w:styleId="35">
    <w:name w:val="Comment Text Char"/>
    <w:basedOn w:val="19"/>
    <w:link w:val="7"/>
    <w:autoRedefine/>
    <w:qFormat/>
    <w:uiPriority w:val="0"/>
    <w:rPr>
      <w:kern w:val="2"/>
      <w:sz w:val="21"/>
      <w:szCs w:val="22"/>
    </w:rPr>
  </w:style>
  <w:style w:type="character" w:customStyle="1" w:styleId="36">
    <w:name w:val="Comment Subject Char"/>
    <w:basedOn w:val="35"/>
    <w:link w:val="14"/>
    <w:autoRedefine/>
    <w:qFormat/>
    <w:uiPriority w:val="0"/>
    <w:rPr>
      <w:b/>
      <w:bCs/>
      <w:kern w:val="2"/>
      <w:sz w:val="21"/>
      <w:szCs w:val="22"/>
    </w:rPr>
  </w:style>
  <w:style w:type="character" w:customStyle="1" w:styleId="37">
    <w:name w:val="Balloon Text Char"/>
    <w:basedOn w:val="19"/>
    <w:link w:val="10"/>
    <w:autoRedefine/>
    <w:qFormat/>
    <w:uiPriority w:val="0"/>
    <w:rPr>
      <w:kern w:val="2"/>
      <w:sz w:val="18"/>
      <w:szCs w:val="18"/>
    </w:rPr>
  </w:style>
  <w:style w:type="character" w:customStyle="1" w:styleId="38">
    <w:name w:val="Heading 2 Char"/>
    <w:link w:val="4"/>
    <w:autoRedefine/>
    <w:qFormat/>
    <w:uiPriority w:val="0"/>
    <w:rPr>
      <w:rFonts w:ascii="Times New Roman" w:hAnsi="Times New Roman" w:eastAsia="仿宋" w:cs="Times New Roman"/>
      <w:b/>
      <w:sz w:val="32"/>
    </w:rPr>
  </w:style>
  <w:style w:type="paragraph" w:customStyle="1" w:styleId="39">
    <w:name w:val="sht标题1"/>
    <w:basedOn w:val="1"/>
    <w:next w:val="3"/>
    <w:autoRedefine/>
    <w:qFormat/>
    <w:uiPriority w:val="0"/>
    <w:pPr>
      <w:jc w:val="center"/>
    </w:pPr>
    <w:rPr>
      <w:rFonts w:eastAsia="黑体"/>
      <w:b/>
      <w:sz w:val="52"/>
      <w:szCs w:val="24"/>
    </w:rPr>
  </w:style>
  <w:style w:type="table" w:customStyle="1" w:styleId="40">
    <w:name w:val="Table Normal"/>
    <w:autoRedefine/>
    <w:semiHidden/>
    <w:unhideWhenUsed/>
    <w:qFormat/>
    <w:uiPriority w:val="0"/>
    <w:rPr>
      <w:rFonts w:ascii="Arial" w:hAnsi="Arial" w:cs="Ari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1529</Words>
  <Characters>8718</Characters>
  <Lines>72</Lines>
  <Paragraphs>20</Paragraphs>
  <TotalTime>39</TotalTime>
  <ScaleCrop>false</ScaleCrop>
  <LinksUpToDate>false</LinksUpToDate>
  <CharactersWithSpaces>10227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2026-02-03T03:32:57Z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8D5950E6DEA44A81ABE7BB1D153402E7_13</vt:lpwstr>
  </property>
</Properties>
</file>