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四川省人民医院2026年加速器晨检仪采购项目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471310326"/>
      <w:bookmarkStart w:id="1" w:name="_Toc21919"/>
      <w:bookmarkStart w:id="2" w:name="_Toc1907"/>
      <w:bookmarkStart w:id="3" w:name="_Toc3240"/>
      <w:bookmarkStart w:id="4" w:name="_Toc62832406"/>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四川省人民医院2026年加速器晨检仪采购项目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CGZX-YXZ20261338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150000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5031C3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598"/>
        <w:gridCol w:w="24"/>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1"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1"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1"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1"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1"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1"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1"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1"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1"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加速器晨检仪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加速器晨检仪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15</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15</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r>
    </w:tbl>
    <w:p w14:paraId="6A8BD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具备空气电离室，可检测20cm²×20cm²和10cm²×10cm²射野剂量分布，采样时间≤500ms。</w:t>
      </w:r>
    </w:p>
    <w:p w14:paraId="7AC3A9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▲总体电离室数≥100个</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中心线上电离室数≥30个。</w:t>
      </w:r>
    </w:p>
    <w:p w14:paraId="1461EF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▲电离室灵敏体积≤20mm3。</w:t>
      </w:r>
    </w:p>
    <w:p w14:paraId="1D9E32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电离室具备内置式建成层结构设计，采用≥6.0mmABS树脂材质。</w:t>
      </w:r>
    </w:p>
    <w:p w14:paraId="69E2D5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可实现单次照射后获得至少以下质控参数：平坦度、对称性、输出、光子能量稳定性、电子能量稳定性。</w:t>
      </w:r>
    </w:p>
    <w:p w14:paraId="557265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无需外加建成层和翻转仪器可实现光子和电子的能量稳定度验证。</w:t>
      </w:r>
    </w:p>
    <w:p w14:paraId="52C5E5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光子线检测范围：满足6MV—24MV。</w:t>
      </w:r>
    </w:p>
    <w:p w14:paraId="38F209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电子线检测范围：满足4MeV—24MeV。</w:t>
      </w:r>
    </w:p>
    <w:p w14:paraId="49498D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具备激光线标记。</w:t>
      </w:r>
    </w:p>
    <w:p w14:paraId="6041D3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整机重量≤7kg（含蓄电池）。</w:t>
      </w:r>
    </w:p>
    <w:p w14:paraId="3A4493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具备温度、压力传感器，可自动校正；温度检测范围：满足15℃—35℃，压力检测范围：700hPa—1100hPa。</w:t>
      </w:r>
    </w:p>
    <w:p w14:paraId="0B7D0D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▲具备无线和有线网络传输功能及网络端口。</w:t>
      </w:r>
    </w:p>
    <w:p w14:paraId="16FDB8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▲具备可充电蓄电池。</w:t>
      </w:r>
    </w:p>
    <w:p w14:paraId="26E4EE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具备专用软件，软件具备数据库管理和趋势分析功能，可自动记录存储检测数据，支持网络访问和查看。</w:t>
      </w:r>
    </w:p>
    <w:p w14:paraId="7D9333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15. ▲专用软件可实时显示检测数据，包括通过检测和未通过检测的结果数据，具备检测结果与预期结果比对验证功能</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24859"/>
      <w:bookmarkStart w:id="36" w:name="_Toc1690"/>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3558"/>
      <w:bookmarkStart w:id="40" w:name="_Toc2412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2989"/>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5056"/>
      <w:bookmarkStart w:id="48" w:name="_Toc7233"/>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6482"/>
      <w:bookmarkStart w:id="52" w:name="_Toc3023"/>
      <w:bookmarkStart w:id="53" w:name="_Toc21519"/>
      <w:bookmarkStart w:id="54" w:name="_Toc11352"/>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31838"/>
      <w:bookmarkStart w:id="58" w:name="_Toc22676"/>
      <w:bookmarkStart w:id="59" w:name="_Toc4305"/>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11351"/>
      <w:bookmarkStart w:id="71" w:name="_Toc12015"/>
      <w:bookmarkStart w:id="72" w:name="_Toc15526"/>
      <w:bookmarkStart w:id="73" w:name="_Toc20589"/>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1074"/>
      <w:bookmarkStart w:id="77" w:name="_Toc26969"/>
      <w:bookmarkStart w:id="78" w:name="_Toc2041"/>
      <w:bookmarkStart w:id="79" w:name="_Toc23967"/>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1082"/>
      <w:bookmarkStart w:id="82" w:name="_Toc24806"/>
      <w:bookmarkStart w:id="83" w:name="_Toc26839"/>
      <w:bookmarkStart w:id="84" w:name="_Toc1369"/>
      <w:bookmarkStart w:id="85" w:name="_Toc28634"/>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14685"/>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F751091-F84C-45EA-822A-EC8D0008B13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9C796A1-BCA6-44A3-AE68-59F4A911789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AD98353-0EBD-44F1-95ED-F43D6417E4A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5781D67-9F9A-404F-B257-C4D337BC8643}"/>
  </w:font>
  <w:font w:name="Segoe UI Symbol">
    <w:panose1 w:val="020B0502040204020203"/>
    <w:charset w:val="00"/>
    <w:family w:val="swiss"/>
    <w:pitch w:val="default"/>
    <w:sig w:usb0="800001E3" w:usb1="1200FFEF" w:usb2="00040000" w:usb3="04000000" w:csb0="00000001" w:csb1="40000000"/>
    <w:embedRegular r:id="rId5" w:fontKey="{166C0670-86EB-444F-A8AC-0368839CBFF7}"/>
  </w:font>
  <w:font w:name="Wingdings 2">
    <w:altName w:val="Wingdings"/>
    <w:panose1 w:val="05020102010507070707"/>
    <w:charset w:val="4D"/>
    <w:family w:val="decorative"/>
    <w:pitch w:val="default"/>
    <w:sig w:usb0="00000000" w:usb1="00000000" w:usb2="00000000" w:usb3="00000000" w:csb0="80000000" w:csb1="00000000"/>
    <w:embedRegular r:id="rId6" w:fontKey="{31EFD437-1183-4C87-A12E-3629EAEC9838}"/>
  </w:font>
  <w:font w:name="Songti SC">
    <w:altName w:val="宋体"/>
    <w:panose1 w:val="02010600040101010101"/>
    <w:charset w:val="86"/>
    <w:family w:val="auto"/>
    <w:pitch w:val="default"/>
    <w:sig w:usb0="00000000" w:usb1="00000000" w:usb2="00000010" w:usb3="00000000" w:csb0="0004009F" w:csb1="00000000"/>
    <w:embedRegular r:id="rId7" w:fontKey="{3697186C-D415-4F9C-9BD0-FB0C4C6F7C1B}"/>
  </w:font>
  <w:font w:name="微软雅黑">
    <w:panose1 w:val="020B0503020204020204"/>
    <w:charset w:val="86"/>
    <w:family w:val="auto"/>
    <w:pitch w:val="default"/>
    <w:sig w:usb0="80000287" w:usb1="2ACF3C50" w:usb2="00000016" w:usb3="00000000" w:csb0="0004001F" w:csb1="00000000"/>
    <w:embedRegular r:id="rId8" w:fontKey="{0896B050-8554-4F49-94B5-24C5F281C736}"/>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651FD5"/>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D0A3490"/>
    <w:rsid w:val="5D7E0D39"/>
    <w:rsid w:val="5E9D3F29"/>
    <w:rsid w:val="5F745DF0"/>
    <w:rsid w:val="60384CD1"/>
    <w:rsid w:val="60655808"/>
    <w:rsid w:val="60F86CEE"/>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2F51E1"/>
    <w:rsid w:val="6FCF0795"/>
    <w:rsid w:val="7011584E"/>
    <w:rsid w:val="71381023"/>
    <w:rsid w:val="73714961"/>
    <w:rsid w:val="7376641C"/>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42</Words>
  <Characters>48</Characters>
  <Lines>72</Lines>
  <Paragraphs>20</Paragraphs>
  <TotalTime>7</TotalTime>
  <ScaleCrop>false</ScaleCrop>
  <LinksUpToDate>false</LinksUpToDate>
  <CharactersWithSpaces>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2026-09-17T00:44:30Z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