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258694">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四川省人民医院服务器维保</w:t>
      </w:r>
    </w:p>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3240"/>
      <w:bookmarkStart w:id="1" w:name="_Toc1907"/>
      <w:bookmarkStart w:id="2" w:name="_Toc62832406"/>
      <w:bookmarkStart w:id="3" w:name="_Toc21919"/>
      <w:bookmarkStart w:id="4" w:name="_Toc471310326"/>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四川省人民医院服务器维保采购项目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CGZX-YXX20260568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35万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r>
              <w:rPr>
                <w:rFonts w:hint="eastAsia" w:ascii="仿宋" w:hAnsi="仿宋" w:eastAsia="仿宋" w:cs="仿宋"/>
                <w:sz w:val="22"/>
                <w:u w:val="none"/>
                <w:lang w:val="en-US" w:eastAsia="zh-CN"/>
              </w:rPr>
              <w:t>设备维保费、驻场人员限高价及光模块限高单价详见第四章，光模块支付上限2.5万元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29B6DCFA">
            <w:pPr>
              <w:widowControl w:val="0"/>
              <w:autoSpaceDE w:val="0"/>
              <w:autoSpaceDN w:val="0"/>
              <w:adjustRightInd w:val="0"/>
              <w:spacing w:line="360" w:lineRule="auto"/>
              <w:ind w:left="210" w:leftChars="100"/>
              <w:jc w:val="both"/>
              <w:rPr>
                <w:rFonts w:ascii="Times New Roman" w:hAnsi="Times New Roman" w:eastAsia="仿宋" w:cs="Times New Roman"/>
                <w:sz w:val="22"/>
                <w:szCs w:val="22"/>
                <w:lang w:val="en-US" w:eastAsia="zh-CN" w:bidi="ar-SA"/>
              </w:rPr>
            </w:pPr>
            <w:r>
              <w:rPr>
                <w:rFonts w:ascii="Times New Roman" w:hAnsi="Times New Roman" w:eastAsia="仿宋" w:cs="Times New Roman"/>
                <w:sz w:val="24"/>
                <w:szCs w:val="24"/>
                <w:lang w:val="en-US" w:eastAsia="zh-CN" w:bidi="ar-SA"/>
              </w:rPr>
              <w:sym w:font="Wingdings" w:char="00A8"/>
            </w:r>
            <w:r>
              <w:rPr>
                <w:rFonts w:ascii="Times New Roman" w:hAnsi="Times New Roman" w:eastAsia="仿宋" w:cs="Times New Roman"/>
                <w:sz w:val="22"/>
                <w:szCs w:val="22"/>
                <w:lang w:val="en-US" w:eastAsia="zh-CN" w:bidi="ar-SA"/>
              </w:rPr>
              <w:t xml:space="preserve">收取       </w:t>
            </w:r>
          </w:p>
          <w:p w14:paraId="28BF8982">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交款金额：</w:t>
            </w:r>
            <w:r>
              <w:rPr>
                <w:rFonts w:ascii="Times New Roman" w:hAnsi="Times New Roman" w:eastAsia="仿宋" w:cs="Times New Roman"/>
                <w:sz w:val="22"/>
                <w:szCs w:val="24"/>
                <w:u w:val="single"/>
                <w:lang w:val="en-US" w:eastAsia="zh-CN" w:bidi="ar-SA"/>
              </w:rPr>
              <w:t xml:space="preserve">       </w:t>
            </w:r>
          </w:p>
          <w:p w14:paraId="231A850D">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交款方式：履约保证金可以以支票、汇票、本票或者金融机构出具的保函等非现金形式提交（包括网银转账，电汇等方式）；</w:t>
            </w:r>
          </w:p>
          <w:p w14:paraId="227766D0">
            <w:pPr>
              <w:widowControl w:val="0"/>
              <w:numPr>
                <w:ilvl w:val="0"/>
                <w:numId w:val="7"/>
              </w:numPr>
              <w:tabs>
                <w:tab w:val="left" w:pos="220"/>
              </w:tabs>
              <w:autoSpaceDE w:val="0"/>
              <w:autoSpaceDN w:val="0"/>
              <w:adjustRightInd w:val="0"/>
              <w:spacing w:line="360" w:lineRule="auto"/>
              <w:ind w:hanging="205"/>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收款单位：四川省人民医院</w:t>
            </w:r>
          </w:p>
          <w:p w14:paraId="393305C9">
            <w:pPr>
              <w:widowControl w:val="0"/>
              <w:numPr>
                <w:ilvl w:val="0"/>
                <w:numId w:val="7"/>
              </w:numPr>
              <w:tabs>
                <w:tab w:val="left" w:pos="220"/>
              </w:tabs>
              <w:autoSpaceDE w:val="0"/>
              <w:autoSpaceDN w:val="0"/>
              <w:adjustRightInd w:val="0"/>
              <w:spacing w:line="360" w:lineRule="auto"/>
              <w:ind w:hanging="205"/>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开户行：建设银行成都青羊支行</w:t>
            </w:r>
          </w:p>
          <w:p w14:paraId="6FF676DA">
            <w:pPr>
              <w:widowControl w:val="0"/>
              <w:numPr>
                <w:ilvl w:val="0"/>
                <w:numId w:val="7"/>
              </w:numPr>
              <w:tabs>
                <w:tab w:val="left" w:pos="220"/>
              </w:tabs>
              <w:autoSpaceDE w:val="0"/>
              <w:autoSpaceDN w:val="0"/>
              <w:adjustRightInd w:val="0"/>
              <w:spacing w:line="360" w:lineRule="auto"/>
              <w:ind w:hanging="205"/>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银行账号；5100 1446 4360 5037 4282</w:t>
            </w:r>
          </w:p>
          <w:p w14:paraId="2BB21CB6">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交款时间：</w:t>
            </w:r>
          </w:p>
          <w:p w14:paraId="1DCA5BE1">
            <w:pPr>
              <w:widowControl w:val="0"/>
              <w:tabs>
                <w:tab w:val="left" w:pos="220"/>
              </w:tabs>
              <w:autoSpaceDE w:val="0"/>
              <w:autoSpaceDN w:val="0"/>
              <w:adjustRightInd w:val="0"/>
              <w:spacing w:line="360" w:lineRule="auto"/>
              <w:ind w:left="210" w:leftChars="10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sym w:font="Wingdings" w:char="00A8"/>
            </w:r>
            <w:r>
              <w:rPr>
                <w:rFonts w:ascii="Times New Roman" w:hAnsi="Times New Roman" w:eastAsia="仿宋" w:cs="Times New Roman"/>
                <w:sz w:val="22"/>
                <w:szCs w:val="22"/>
                <w:lang w:val="zh-CN" w:eastAsia="zh-CN" w:bidi="ar-SA"/>
              </w:rPr>
              <w:t>采购合同签订后</w:t>
            </w:r>
            <w:r>
              <w:rPr>
                <w:rFonts w:ascii="Times New Roman" w:hAnsi="Times New Roman" w:eastAsia="仿宋" w:cs="Times New Roman"/>
                <w:sz w:val="22"/>
                <w:szCs w:val="22"/>
                <w:u w:val="single"/>
                <w:lang w:val="zh-CN" w:eastAsia="zh-CN" w:bidi="ar-SA"/>
              </w:rPr>
              <w:t>7</w:t>
            </w:r>
            <w:r>
              <w:rPr>
                <w:rFonts w:ascii="Times New Roman" w:hAnsi="Times New Roman" w:eastAsia="仿宋" w:cs="Times New Roman"/>
                <w:sz w:val="22"/>
                <w:szCs w:val="22"/>
                <w:lang w:val="zh-CN" w:eastAsia="zh-CN" w:bidi="ar-SA"/>
              </w:rPr>
              <w:t>个工作日内；</w:t>
            </w:r>
          </w:p>
          <w:p w14:paraId="4E293C0E">
            <w:pPr>
              <w:widowControl w:val="0"/>
              <w:tabs>
                <w:tab w:val="left" w:pos="220"/>
              </w:tabs>
              <w:autoSpaceDE w:val="0"/>
              <w:autoSpaceDN w:val="0"/>
              <w:adjustRightInd w:val="0"/>
              <w:spacing w:line="360" w:lineRule="auto"/>
              <w:ind w:left="210" w:leftChars="100"/>
              <w:jc w:val="both"/>
              <w:rPr>
                <w:rFonts w:ascii="Times New Roman" w:hAnsi="Times New Roman" w:eastAsia="仿宋" w:cs="Times New Roman"/>
                <w:sz w:val="22"/>
                <w:szCs w:val="22"/>
                <w:lang w:val="en-US" w:eastAsia="zh-CN" w:bidi="ar-SA"/>
              </w:rPr>
            </w:pPr>
            <w:r>
              <w:rPr>
                <w:rFonts w:ascii="Times New Roman" w:hAnsi="Times New Roman" w:eastAsia="仿宋" w:cs="Times New Roman"/>
                <w:sz w:val="22"/>
                <w:szCs w:val="22"/>
                <w:lang w:val="zh-CN" w:eastAsia="zh-CN" w:bidi="ar-SA"/>
              </w:rPr>
              <w:sym w:font="Wingdings" w:char="00A8"/>
            </w:r>
            <w:r>
              <w:rPr>
                <w:rFonts w:ascii="Times New Roman" w:hAnsi="Times New Roman" w:eastAsia="仿宋" w:cs="Times New Roman"/>
                <w:sz w:val="22"/>
                <w:szCs w:val="22"/>
                <w:lang w:val="en-US" w:eastAsia="zh-CN" w:bidi="ar-SA"/>
              </w:rPr>
              <w:t>结果公告发出后</w:t>
            </w:r>
            <w:r>
              <w:rPr>
                <w:rFonts w:ascii="Times New Roman" w:hAnsi="Times New Roman" w:eastAsia="仿宋" w:cs="Times New Roman"/>
                <w:sz w:val="22"/>
                <w:szCs w:val="22"/>
                <w:u w:val="single"/>
                <w:lang w:val="en-US" w:eastAsia="zh-CN" w:bidi="ar-SA"/>
              </w:rPr>
              <w:t>7</w:t>
            </w:r>
            <w:r>
              <w:rPr>
                <w:rFonts w:ascii="Times New Roman" w:hAnsi="Times New Roman" w:eastAsia="仿宋" w:cs="Times New Roman"/>
                <w:sz w:val="22"/>
                <w:szCs w:val="22"/>
                <w:lang w:val="en-US" w:eastAsia="zh-CN" w:bidi="ar-SA"/>
              </w:rPr>
              <w:t>个</w:t>
            </w:r>
            <w:r>
              <w:rPr>
                <w:rFonts w:ascii="Times New Roman" w:hAnsi="Times New Roman" w:eastAsia="仿宋" w:cs="Times New Roman"/>
                <w:sz w:val="22"/>
                <w:szCs w:val="22"/>
                <w:lang w:val="zh-CN" w:eastAsia="zh-CN" w:bidi="ar-SA"/>
              </w:rPr>
              <w:t>工作日内。</w:t>
            </w:r>
          </w:p>
          <w:p w14:paraId="606C0D9F">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退还时间及方式：</w:t>
            </w:r>
            <w:r>
              <w:rPr>
                <w:rFonts w:hint="eastAsia" w:ascii="Times New Roman" w:hAnsi="Times New Roman" w:eastAsia="仿宋" w:cs="Times New Roman"/>
                <w:sz w:val="22"/>
                <w:szCs w:val="22"/>
                <w:u w:val="single"/>
                <w:lang w:val="zh-CN" w:eastAsia="zh-CN" w:bidi="ar-SA"/>
              </w:rPr>
              <w:t>XXX</w:t>
            </w:r>
            <w:r>
              <w:rPr>
                <w:rFonts w:ascii="Times New Roman" w:hAnsi="Times New Roman" w:eastAsia="仿宋" w:cs="Times New Roman"/>
                <w:sz w:val="22"/>
                <w:szCs w:val="22"/>
                <w:u w:val="single"/>
                <w:lang w:val="zh-CN" w:eastAsia="zh-CN" w:bidi="ar-SA"/>
              </w:rPr>
              <w:t>后</w:t>
            </w:r>
            <w:r>
              <w:rPr>
                <w:rFonts w:ascii="Times New Roman" w:hAnsi="Times New Roman" w:eastAsia="仿宋" w:cs="Times New Roman"/>
                <w:sz w:val="22"/>
                <w:szCs w:val="22"/>
                <w:lang w:val="zh-CN" w:eastAsia="zh-CN" w:bidi="ar-SA"/>
              </w:rPr>
              <w:t>采购人接到</w:t>
            </w:r>
            <w:r>
              <w:rPr>
                <w:rFonts w:ascii="Times New Roman" w:hAnsi="Times New Roman" w:eastAsia="仿宋" w:cs="Times New Roman"/>
                <w:sz w:val="22"/>
                <w:szCs w:val="22"/>
                <w:lang w:val="en-US" w:eastAsia="zh-CN" w:bidi="ar-SA"/>
              </w:rPr>
              <w:t>供应商</w:t>
            </w:r>
            <w:r>
              <w:rPr>
                <w:rFonts w:ascii="Times New Roman" w:hAnsi="Times New Roman" w:eastAsia="仿宋" w:cs="Times New Roman"/>
                <w:sz w:val="22"/>
                <w:szCs w:val="22"/>
                <w:lang w:val="zh-CN" w:eastAsia="zh-CN" w:bidi="ar-SA"/>
              </w:rPr>
              <w:t>退款申请之日起</w:t>
            </w:r>
            <w:r>
              <w:rPr>
                <w:rFonts w:ascii="Times New Roman" w:hAnsi="Times New Roman" w:eastAsia="仿宋" w:cs="Times New Roman"/>
                <w:sz w:val="22"/>
                <w:szCs w:val="22"/>
                <w:u w:val="single"/>
                <w:lang w:val="zh-CN" w:eastAsia="zh-CN" w:bidi="ar-SA"/>
              </w:rPr>
              <w:t>30</w:t>
            </w:r>
            <w:r>
              <w:rPr>
                <w:rFonts w:ascii="Times New Roman" w:hAnsi="Times New Roman" w:eastAsia="仿宋" w:cs="Times New Roman"/>
                <w:sz w:val="22"/>
                <w:szCs w:val="22"/>
                <w:lang w:val="zh-CN" w:eastAsia="zh-CN" w:bidi="ar-SA"/>
              </w:rPr>
              <w:t>个工作日内无息退还；</w:t>
            </w:r>
          </w:p>
          <w:p w14:paraId="671E28F4">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履约保证金不予退还情形：</w:t>
            </w:r>
          </w:p>
          <w:p w14:paraId="6526B511">
            <w:pPr>
              <w:widowControl w:val="0"/>
              <w:numPr>
                <w:ilvl w:val="0"/>
                <w:numId w:val="8"/>
              </w:numPr>
              <w:tabs>
                <w:tab w:val="left" w:pos="218"/>
                <w:tab w:val="clear" w:pos="0"/>
              </w:tabs>
              <w:autoSpaceDE w:val="0"/>
              <w:autoSpaceDN w:val="0"/>
              <w:adjustRightInd w:val="0"/>
              <w:spacing w:line="360" w:lineRule="auto"/>
              <w:ind w:left="218" w:leftChars="104" w:firstLine="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成交供应商不履行与采购人订立的合同的，给采购人造成的损失超过履约保证金数额的，还应当对超过部分予以赔偿；</w:t>
            </w:r>
          </w:p>
          <w:p w14:paraId="27645C3B">
            <w:pPr>
              <w:widowControl w:val="0"/>
              <w:numPr>
                <w:ilvl w:val="0"/>
                <w:numId w:val="8"/>
              </w:numPr>
              <w:tabs>
                <w:tab w:val="left" w:pos="218"/>
                <w:tab w:val="clear" w:pos="0"/>
              </w:tabs>
              <w:autoSpaceDE w:val="0"/>
              <w:autoSpaceDN w:val="0"/>
              <w:adjustRightInd w:val="0"/>
              <w:spacing w:line="360" w:lineRule="auto"/>
              <w:ind w:left="218" w:leftChars="104" w:firstLine="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项目验收结果不合格的；</w:t>
            </w:r>
          </w:p>
          <w:p w14:paraId="4147E6AA">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ascii="Times New Roman" w:hAnsi="Times New Roman" w:eastAsia="仿宋" w:cs="Times New Roman"/>
                <w:sz w:val="22"/>
                <w:szCs w:val="22"/>
                <w:lang w:val="zh-CN" w:eastAsia="zh-CN" w:bidi="ar-SA"/>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 xml:space="preserve"> 林</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28050"/>
      <w:bookmarkStart w:id="10" w:name="_Toc32181"/>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12668"/>
      <w:bookmarkStart w:id="13" w:name="_Toc3988"/>
      <w:bookmarkStart w:id="14" w:name="_Toc16403"/>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w:t>
      </w:r>
      <w:r>
        <w:rPr>
          <w:rFonts w:hint="eastAsia" w:ascii="仿宋" w:hAnsi="仿宋" w:eastAsia="仿宋" w:cs="仿宋"/>
          <w:sz w:val="24"/>
          <w:szCs w:val="24"/>
          <w:highlight w:val="none"/>
          <w:lang w:val="en-US" w:eastAsia="zh-CN"/>
        </w:rPr>
        <w:t>一名供应商为四川省人民医院提供服务器维保服务。</w:t>
      </w:r>
    </w:p>
    <w:p w14:paraId="075D7778">
      <w:pPr>
        <w:pStyle w:val="2"/>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default"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1.维保设备清单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20"/>
        <w:gridCol w:w="3782"/>
        <w:gridCol w:w="1690"/>
        <w:gridCol w:w="1037"/>
        <w:gridCol w:w="820"/>
        <w:gridCol w:w="1699"/>
      </w:tblGrid>
      <w:tr w14:paraId="220D4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trPr>
        <w:tc>
          <w:tcPr>
            <w:tcW w:w="820" w:type="dxa"/>
            <w:tcBorders>
              <w:top w:val="single" w:color="000000" w:sz="6" w:space="0"/>
              <w:left w:val="single" w:color="000000" w:sz="6" w:space="0"/>
              <w:bottom w:val="single" w:color="000000" w:sz="6" w:space="0"/>
              <w:right w:val="single" w:color="000000" w:sz="6" w:space="0"/>
            </w:tcBorders>
            <w:shd w:val="clear" w:color="auto" w:fill="E5E5E5"/>
            <w:tcMar>
              <w:left w:w="105" w:type="dxa"/>
              <w:right w:w="105" w:type="dxa"/>
            </w:tcMar>
            <w:vAlign w:val="center"/>
          </w:tcPr>
          <w:p w14:paraId="0AC87D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序号</w:t>
            </w:r>
          </w:p>
        </w:tc>
        <w:tc>
          <w:tcPr>
            <w:tcW w:w="3782" w:type="dxa"/>
            <w:tcBorders>
              <w:top w:val="single" w:color="000000" w:sz="6" w:space="0"/>
              <w:left w:val="nil"/>
              <w:bottom w:val="single" w:color="000000" w:sz="6" w:space="0"/>
              <w:right w:val="single" w:color="000000" w:sz="6" w:space="0"/>
            </w:tcBorders>
            <w:shd w:val="clear" w:color="auto" w:fill="E5E5E5"/>
            <w:tcMar>
              <w:left w:w="105" w:type="dxa"/>
              <w:right w:w="105" w:type="dxa"/>
            </w:tcMar>
            <w:vAlign w:val="center"/>
          </w:tcPr>
          <w:p w14:paraId="77D211F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名称</w:t>
            </w:r>
          </w:p>
        </w:tc>
        <w:tc>
          <w:tcPr>
            <w:tcW w:w="1690" w:type="dxa"/>
            <w:tcBorders>
              <w:top w:val="single" w:color="000000" w:sz="6" w:space="0"/>
              <w:left w:val="nil"/>
              <w:bottom w:val="single" w:color="000000" w:sz="6" w:space="0"/>
              <w:right w:val="single" w:color="000000" w:sz="6" w:space="0"/>
            </w:tcBorders>
            <w:shd w:val="clear" w:color="auto" w:fill="E5E5E5"/>
            <w:tcMar>
              <w:left w:w="105" w:type="dxa"/>
              <w:right w:w="105" w:type="dxa"/>
            </w:tcMar>
            <w:vAlign w:val="center"/>
          </w:tcPr>
          <w:p w14:paraId="4C27BF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类型</w:t>
            </w:r>
          </w:p>
        </w:tc>
        <w:tc>
          <w:tcPr>
            <w:tcW w:w="1037" w:type="dxa"/>
            <w:tcBorders>
              <w:top w:val="single" w:color="000000" w:sz="6" w:space="0"/>
              <w:left w:val="nil"/>
              <w:bottom w:val="single" w:color="000000" w:sz="6" w:space="0"/>
              <w:right w:val="single" w:color="000000" w:sz="6" w:space="0"/>
            </w:tcBorders>
            <w:shd w:val="clear" w:color="auto" w:fill="E5E5E5"/>
            <w:tcMar>
              <w:left w:w="105" w:type="dxa"/>
              <w:right w:w="105" w:type="dxa"/>
            </w:tcMar>
            <w:vAlign w:val="center"/>
          </w:tcPr>
          <w:p w14:paraId="34704B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数量</w:t>
            </w:r>
          </w:p>
        </w:tc>
        <w:tc>
          <w:tcPr>
            <w:tcW w:w="820" w:type="dxa"/>
            <w:tcBorders>
              <w:top w:val="single" w:color="000000" w:sz="6" w:space="0"/>
              <w:left w:val="nil"/>
              <w:bottom w:val="single" w:color="000000" w:sz="6" w:space="0"/>
              <w:right w:val="single" w:color="000000" w:sz="6" w:space="0"/>
            </w:tcBorders>
            <w:shd w:val="clear" w:color="auto" w:fill="E5E5E5"/>
            <w:tcMar>
              <w:left w:w="105" w:type="dxa"/>
              <w:right w:w="105" w:type="dxa"/>
            </w:tcMar>
            <w:vAlign w:val="center"/>
          </w:tcPr>
          <w:p w14:paraId="0C387B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单位</w:t>
            </w:r>
          </w:p>
        </w:tc>
        <w:tc>
          <w:tcPr>
            <w:tcW w:w="1699" w:type="dxa"/>
            <w:tcBorders>
              <w:top w:val="single" w:color="000000" w:sz="6" w:space="0"/>
              <w:left w:val="nil"/>
              <w:bottom w:val="single" w:color="000000" w:sz="6" w:space="0"/>
              <w:right w:val="single" w:color="000000" w:sz="6" w:space="0"/>
            </w:tcBorders>
            <w:shd w:val="clear" w:color="auto" w:fill="E5E5E5"/>
            <w:tcMar>
              <w:left w:w="105" w:type="dxa"/>
              <w:right w:w="105" w:type="dxa"/>
            </w:tcMar>
            <w:vAlign w:val="center"/>
          </w:tcPr>
          <w:p w14:paraId="0BB6D49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lang w:val="en-US" w:eastAsia="zh-CN"/>
              </w:rPr>
              <w:t>分项</w:t>
            </w:r>
            <w:r>
              <w:rPr>
                <w:rStyle w:val="21"/>
                <w:rFonts w:hint="eastAsia" w:ascii="仿宋" w:hAnsi="仿宋" w:eastAsia="仿宋" w:cs="仿宋"/>
                <w:color w:val="000000"/>
                <w:sz w:val="24"/>
                <w:szCs w:val="24"/>
              </w:rPr>
              <w:t>限高总价（元）</w:t>
            </w:r>
          </w:p>
        </w:tc>
      </w:tr>
      <w:tr w14:paraId="30AB1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45D126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5C2C32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R340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DAA8F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DAC2D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869FE4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F441C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600</w:t>
            </w:r>
          </w:p>
        </w:tc>
      </w:tr>
      <w:tr w14:paraId="527DE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04387B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4C86F8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R440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6174A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854CD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C83C8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5B564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600</w:t>
            </w:r>
          </w:p>
        </w:tc>
      </w:tr>
      <w:tr w14:paraId="124FA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2FC4A6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79BE33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R540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B82E0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BC134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A3A40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3DB46F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600</w:t>
            </w:r>
          </w:p>
        </w:tc>
      </w:tr>
      <w:tr w14:paraId="785DA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46C1CA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12DA8AD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R640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A98CB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AE0CD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48E90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64B09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600</w:t>
            </w:r>
          </w:p>
        </w:tc>
      </w:tr>
      <w:tr w14:paraId="424F5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179BA3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5</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3615F6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R730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2119BB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45F17D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BAA36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A66B7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550</w:t>
            </w:r>
          </w:p>
        </w:tc>
      </w:tr>
      <w:tr w14:paraId="1D3BB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3D30B1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723F97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R740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9928F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6C207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62112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DA698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5000</w:t>
            </w:r>
          </w:p>
        </w:tc>
      </w:tr>
      <w:tr w14:paraId="7EBBD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7AD188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7</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1E4200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R740xd</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1820F1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9B934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9</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9DADA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8F785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9450</w:t>
            </w:r>
          </w:p>
        </w:tc>
      </w:tr>
      <w:tr w14:paraId="57106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52A57F9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8</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379995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R750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A320C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F2D84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E4389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52C58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5000</w:t>
            </w:r>
          </w:p>
        </w:tc>
      </w:tr>
      <w:tr w14:paraId="34DAA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3DACEB9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9</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4458AA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R760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7F410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1F4F0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7</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6D6CF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52C1E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5000</w:t>
            </w:r>
          </w:p>
        </w:tc>
      </w:tr>
      <w:tr w14:paraId="410F1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1707CCB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10</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5BAA30D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R840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AD68F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E455D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49CEF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4CC66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1900</w:t>
            </w:r>
          </w:p>
        </w:tc>
      </w:tr>
      <w:tr w14:paraId="7196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6054E1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11</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24A701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R940xa</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416D1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363229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7B7271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17260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3100</w:t>
            </w:r>
          </w:p>
        </w:tc>
      </w:tr>
      <w:tr w14:paraId="48CD6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76EDF9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61265E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Precision 5820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133CF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DAF1F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7810A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7F65B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1200</w:t>
            </w:r>
          </w:p>
        </w:tc>
      </w:tr>
      <w:tr w14:paraId="0E908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69EE09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13</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1A463D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H3C  FlexServer R390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66F939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04F8F9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F74C6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59706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600</w:t>
            </w:r>
          </w:p>
        </w:tc>
      </w:tr>
      <w:tr w14:paraId="4B1BB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22422C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14</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4D4BAD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H3C  UniServer R4900 G5</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4F363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30566C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A785E6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790A8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2100</w:t>
            </w:r>
          </w:p>
        </w:tc>
      </w:tr>
      <w:tr w14:paraId="05C7F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2FAA66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15</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6CEF5F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HP  ProLiant DL388 Gen8</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EEA7C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4480B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D0170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111A6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600</w:t>
            </w:r>
          </w:p>
        </w:tc>
      </w:tr>
      <w:tr w14:paraId="16EF3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732973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16</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7C09AB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HP  ProLiant DL580 Gen7</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26CF9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3DE1D3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4C4F3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46728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1200</w:t>
            </w:r>
          </w:p>
        </w:tc>
      </w:tr>
      <w:tr w14:paraId="7AFCF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775634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17</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1AEA90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HP  ProLiant DL580 Gen8</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E2376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99201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ED6FC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6111F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1650</w:t>
            </w:r>
          </w:p>
        </w:tc>
      </w:tr>
      <w:tr w14:paraId="5D4B6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6A7357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18</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3DCC47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HUAKUN  TG225</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8FE0D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ABEF7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9BFE5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F5D22D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2400</w:t>
            </w:r>
          </w:p>
        </w:tc>
      </w:tr>
      <w:tr w14:paraId="6D5FF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604B9C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19</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125404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HUAWEI  2288H V5</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CA140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74769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10</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09F08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706D1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4200</w:t>
            </w:r>
          </w:p>
        </w:tc>
      </w:tr>
      <w:tr w14:paraId="74F90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00DF48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20</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3A11CE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HUAWEI  5885H V5</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26406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B72FE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41DAF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1B36D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8000</w:t>
            </w:r>
          </w:p>
        </w:tc>
      </w:tr>
      <w:tr w14:paraId="4364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23517D7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21</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4CF1154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HUAWEI  Atlas 800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348FD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C2B8B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7</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D8ED2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CAE523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5000</w:t>
            </w:r>
          </w:p>
        </w:tc>
      </w:tr>
      <w:tr w14:paraId="6615F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3A3AB6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22</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1FD7E68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IBM  System X 3850 X6</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682D4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519369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55C48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A56E0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2800</w:t>
            </w:r>
          </w:p>
        </w:tc>
      </w:tr>
      <w:tr w14:paraId="4C60B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562A1F4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23</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5CBF0D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Inspur  NF5270M5</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FFE1C8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C914E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282B9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613B9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2200</w:t>
            </w:r>
          </w:p>
        </w:tc>
      </w:tr>
      <w:tr w14:paraId="072E6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7135BF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24</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211903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Inspur  NF5280M4</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3212B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FD70F8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D80BA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B74D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430</w:t>
            </w:r>
          </w:p>
        </w:tc>
      </w:tr>
      <w:tr w14:paraId="5FD8E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20ACA8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25</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65C281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Inspur  NF5280M5</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C39337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E6AC9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42910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B494E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1200</w:t>
            </w:r>
          </w:p>
        </w:tc>
      </w:tr>
      <w:tr w14:paraId="2BB1D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498F2C1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26</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5C9C596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System X 3650 M5</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4012B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4F929E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99BAC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781A69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1200</w:t>
            </w:r>
          </w:p>
        </w:tc>
      </w:tr>
      <w:tr w14:paraId="6E7D8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2E4DF3B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27</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77F893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System X 3850 X6</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A8499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E39BF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3B712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08528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1800</w:t>
            </w:r>
          </w:p>
        </w:tc>
      </w:tr>
      <w:tr w14:paraId="1C1CC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35D0AD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28</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4AE62F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ThinkServer RD450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2CA59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4C53A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E8EFD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54259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600</w:t>
            </w:r>
          </w:p>
        </w:tc>
      </w:tr>
      <w:tr w14:paraId="18FA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34DD39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29</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664494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ThinkServer RQ940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550E5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20574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A03CA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4C868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1000</w:t>
            </w:r>
          </w:p>
        </w:tc>
      </w:tr>
      <w:tr w14:paraId="50015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6457224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30</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16F811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ThinkSystem SR258</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53A27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2B1293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61DD696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CD3CA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1100</w:t>
            </w:r>
          </w:p>
        </w:tc>
      </w:tr>
      <w:tr w14:paraId="05875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58B6EC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31</w:t>
            </w:r>
          </w:p>
        </w:tc>
        <w:tc>
          <w:tcPr>
            <w:tcW w:w="3782" w:type="dxa"/>
            <w:tcBorders>
              <w:top w:val="nil"/>
              <w:left w:val="nil"/>
              <w:bottom w:val="single" w:color="auto" w:sz="6" w:space="0"/>
              <w:right w:val="single" w:color="auto" w:sz="6" w:space="0"/>
            </w:tcBorders>
            <w:shd w:val="clear" w:color="auto" w:fill="auto"/>
            <w:tcMar>
              <w:left w:w="105" w:type="dxa"/>
              <w:right w:w="105" w:type="dxa"/>
            </w:tcMar>
            <w:vAlign w:val="center"/>
          </w:tcPr>
          <w:p w14:paraId="343F93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NVIDIA SB7800</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377FD81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IB交换机</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4B4614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2</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C6319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036586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3320</w:t>
            </w:r>
          </w:p>
        </w:tc>
      </w:tr>
      <w:tr w14:paraId="4961F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1" w:hRule="atLeast"/>
        </w:trPr>
        <w:tc>
          <w:tcPr>
            <w:tcW w:w="820" w:type="dxa"/>
            <w:tcBorders>
              <w:top w:val="nil"/>
              <w:left w:val="single" w:color="auto" w:sz="6" w:space="0"/>
              <w:bottom w:val="single" w:color="auto" w:sz="6" w:space="0"/>
              <w:right w:val="single" w:color="auto" w:sz="6" w:space="0"/>
            </w:tcBorders>
            <w:shd w:val="clear" w:color="auto" w:fill="auto"/>
            <w:noWrap/>
            <w:tcMar>
              <w:left w:w="105" w:type="dxa"/>
              <w:right w:w="105" w:type="dxa"/>
            </w:tcMar>
            <w:vAlign w:val="center"/>
          </w:tcPr>
          <w:p w14:paraId="4916C0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32</w:t>
            </w:r>
          </w:p>
        </w:tc>
        <w:tc>
          <w:tcPr>
            <w:tcW w:w="3782"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1FCDD1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共计</w:t>
            </w:r>
          </w:p>
        </w:tc>
        <w:tc>
          <w:tcPr>
            <w:tcW w:w="169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0EB4B8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w:t>
            </w:r>
          </w:p>
        </w:tc>
        <w:tc>
          <w:tcPr>
            <w:tcW w:w="1037"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7B8FC9F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10</w:t>
            </w:r>
            <w:r>
              <w:rPr>
                <w:rFonts w:hint="eastAsia" w:ascii="仿宋" w:hAnsi="仿宋" w:eastAsia="仿宋" w:cs="仿宋"/>
                <w:color w:val="000000"/>
                <w:sz w:val="24"/>
                <w:szCs w:val="24"/>
                <w:lang w:val="en-US" w:eastAsia="zh-CN"/>
              </w:rPr>
              <w:t>8</w:t>
            </w:r>
          </w:p>
        </w:tc>
        <w:tc>
          <w:tcPr>
            <w:tcW w:w="820"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71A6A4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1699" w:type="dxa"/>
            <w:tcBorders>
              <w:top w:val="nil"/>
              <w:left w:val="nil"/>
              <w:bottom w:val="single" w:color="auto" w:sz="6" w:space="0"/>
              <w:right w:val="single" w:color="auto" w:sz="6" w:space="0"/>
            </w:tcBorders>
            <w:shd w:val="clear" w:color="auto" w:fill="auto"/>
            <w:noWrap/>
            <w:tcMar>
              <w:left w:w="105" w:type="dxa"/>
              <w:right w:w="105" w:type="dxa"/>
            </w:tcMar>
            <w:vAlign w:val="center"/>
          </w:tcPr>
          <w:p w14:paraId="512009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75000</w:t>
            </w:r>
          </w:p>
        </w:tc>
      </w:tr>
    </w:tbl>
    <w:p w14:paraId="4E171F4A">
      <w:pPr>
        <w:pStyle w:val="2"/>
        <w:keepNext w:val="0"/>
        <w:keepLines w:val="0"/>
        <w:widowControl/>
        <w:numPr>
          <w:ilvl w:val="0"/>
          <w:numId w:val="0"/>
        </w:numPr>
        <w:suppressLineNumbers w:val="0"/>
        <w:spacing w:line="240" w:lineRule="auto"/>
        <w:ind w:left="0" w:leftChars="0" w:firstLine="0" w:firstLineChars="0"/>
        <w:jc w:val="both"/>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lang w:val="en-US" w:eastAsia="zh-CN"/>
        </w:rPr>
        <w:t>.</w:t>
      </w:r>
      <w:r>
        <w:rPr>
          <w:rFonts w:hint="eastAsia" w:ascii="仿宋" w:hAnsi="仿宋" w:eastAsia="仿宋" w:cs="仿宋"/>
          <w:kern w:val="2"/>
          <w:sz w:val="24"/>
          <w:szCs w:val="24"/>
        </w:rPr>
        <w:t>光模块</w:t>
      </w:r>
      <w:r>
        <w:rPr>
          <w:rFonts w:hint="eastAsia" w:ascii="仿宋" w:hAnsi="仿宋" w:eastAsia="仿宋" w:cs="仿宋"/>
          <w:kern w:val="2"/>
          <w:sz w:val="24"/>
          <w:szCs w:val="24"/>
          <w:lang w:val="en-US" w:eastAsia="zh-CN"/>
        </w:rPr>
        <w:t>采购清单</w:t>
      </w:r>
    </w:p>
    <w:tbl>
      <w:tblPr>
        <w:tblStyle w:val="1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99"/>
        <w:gridCol w:w="2303"/>
        <w:gridCol w:w="1217"/>
        <w:gridCol w:w="2750"/>
        <w:gridCol w:w="2869"/>
      </w:tblGrid>
      <w:tr w14:paraId="32C8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45" w:hRule="atLeast"/>
        </w:trPr>
        <w:tc>
          <w:tcPr>
            <w:tcW w:w="355" w:type="pct"/>
            <w:shd w:val="clear" w:color="auto" w:fill="auto"/>
            <w:tcMar>
              <w:left w:w="105" w:type="dxa"/>
              <w:right w:w="105" w:type="dxa"/>
            </w:tcMar>
            <w:vAlign w:val="center"/>
          </w:tcPr>
          <w:p w14:paraId="1ECCD69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序号</w:t>
            </w:r>
          </w:p>
        </w:tc>
        <w:tc>
          <w:tcPr>
            <w:tcW w:w="1170" w:type="pct"/>
            <w:shd w:val="clear" w:color="auto" w:fill="auto"/>
            <w:tcMar>
              <w:left w:w="105" w:type="dxa"/>
              <w:right w:w="105" w:type="dxa"/>
            </w:tcMar>
            <w:vAlign w:val="center"/>
          </w:tcPr>
          <w:p w14:paraId="1420732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名称</w:t>
            </w:r>
          </w:p>
        </w:tc>
        <w:tc>
          <w:tcPr>
            <w:tcW w:w="618" w:type="pct"/>
            <w:shd w:val="clear" w:color="auto" w:fill="auto"/>
            <w:tcMar>
              <w:left w:w="105" w:type="dxa"/>
              <w:right w:w="105" w:type="dxa"/>
            </w:tcMar>
            <w:vAlign w:val="center"/>
          </w:tcPr>
          <w:p w14:paraId="01A4EAF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default"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单位</w:t>
            </w:r>
          </w:p>
        </w:tc>
        <w:tc>
          <w:tcPr>
            <w:tcW w:w="1397" w:type="pct"/>
            <w:shd w:val="clear" w:color="auto" w:fill="auto"/>
            <w:tcMar>
              <w:left w:w="105" w:type="dxa"/>
              <w:right w:w="105" w:type="dxa"/>
            </w:tcMar>
            <w:vAlign w:val="center"/>
          </w:tcPr>
          <w:p w14:paraId="7909D95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限高单价（元）</w:t>
            </w:r>
          </w:p>
        </w:tc>
        <w:tc>
          <w:tcPr>
            <w:tcW w:w="1457" w:type="pct"/>
            <w:vMerge w:val="restart"/>
            <w:shd w:val="clear" w:color="auto" w:fill="auto"/>
            <w:tcMar>
              <w:left w:w="105" w:type="dxa"/>
              <w:right w:w="105" w:type="dxa"/>
            </w:tcMar>
            <w:vAlign w:val="center"/>
          </w:tcPr>
          <w:p w14:paraId="064FAE7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服务期内按实结算，支付上限不超过2.5万元，质保期：交付之日起1年。</w:t>
            </w:r>
          </w:p>
        </w:tc>
      </w:tr>
      <w:tr w14:paraId="4B5A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54BA3F1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c>
          <w:tcPr>
            <w:tcW w:w="1170" w:type="pct"/>
            <w:shd w:val="clear" w:color="auto" w:fill="auto"/>
            <w:tcMar>
              <w:left w:w="105" w:type="dxa"/>
              <w:right w:w="105" w:type="dxa"/>
            </w:tcMar>
            <w:vAlign w:val="top"/>
          </w:tcPr>
          <w:p w14:paraId="4920CB2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单模1000M光模块</w:t>
            </w:r>
          </w:p>
        </w:tc>
        <w:tc>
          <w:tcPr>
            <w:tcW w:w="618" w:type="pct"/>
            <w:shd w:val="clear" w:color="auto" w:fill="auto"/>
            <w:noWrap/>
            <w:tcMar>
              <w:left w:w="105" w:type="dxa"/>
              <w:right w:w="105" w:type="dxa"/>
            </w:tcMar>
            <w:vAlign w:val="top"/>
          </w:tcPr>
          <w:p w14:paraId="2D74443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default"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0ABE5E2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198</w:t>
            </w:r>
          </w:p>
        </w:tc>
        <w:tc>
          <w:tcPr>
            <w:tcW w:w="1457" w:type="pct"/>
            <w:vMerge w:val="continue"/>
            <w:shd w:val="clear" w:color="auto" w:fill="auto"/>
            <w:tcMar>
              <w:left w:w="105" w:type="dxa"/>
              <w:right w:w="105" w:type="dxa"/>
            </w:tcMar>
            <w:vAlign w:val="center"/>
          </w:tcPr>
          <w:p w14:paraId="29CB3DA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0467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0B397F8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2.</w:t>
            </w:r>
          </w:p>
        </w:tc>
        <w:tc>
          <w:tcPr>
            <w:tcW w:w="1170" w:type="pct"/>
            <w:shd w:val="clear" w:color="auto" w:fill="auto"/>
            <w:tcMar>
              <w:left w:w="105" w:type="dxa"/>
              <w:right w:w="105" w:type="dxa"/>
            </w:tcMar>
            <w:vAlign w:val="top"/>
          </w:tcPr>
          <w:p w14:paraId="278B104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单模10000M光模块</w:t>
            </w:r>
          </w:p>
        </w:tc>
        <w:tc>
          <w:tcPr>
            <w:tcW w:w="618" w:type="pct"/>
            <w:shd w:val="clear" w:color="auto" w:fill="auto"/>
            <w:noWrap/>
            <w:tcMar>
              <w:left w:w="105" w:type="dxa"/>
              <w:right w:w="105" w:type="dxa"/>
            </w:tcMar>
            <w:vAlign w:val="top"/>
          </w:tcPr>
          <w:p w14:paraId="00CC4CB4">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7B5141F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840</w:t>
            </w:r>
          </w:p>
        </w:tc>
        <w:tc>
          <w:tcPr>
            <w:tcW w:w="1457" w:type="pct"/>
            <w:vMerge w:val="continue"/>
            <w:shd w:val="clear" w:color="auto" w:fill="auto"/>
            <w:tcMar>
              <w:left w:w="105" w:type="dxa"/>
              <w:right w:w="105" w:type="dxa"/>
            </w:tcMar>
            <w:vAlign w:val="center"/>
          </w:tcPr>
          <w:p w14:paraId="7A8E422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51B6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578B297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3.</w:t>
            </w:r>
          </w:p>
        </w:tc>
        <w:tc>
          <w:tcPr>
            <w:tcW w:w="1170" w:type="pct"/>
            <w:shd w:val="clear" w:color="auto" w:fill="auto"/>
            <w:tcMar>
              <w:left w:w="105" w:type="dxa"/>
              <w:right w:w="105" w:type="dxa"/>
            </w:tcMar>
            <w:vAlign w:val="top"/>
          </w:tcPr>
          <w:p w14:paraId="49A1301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单模25G光模块</w:t>
            </w:r>
          </w:p>
        </w:tc>
        <w:tc>
          <w:tcPr>
            <w:tcW w:w="618" w:type="pct"/>
            <w:shd w:val="clear" w:color="auto" w:fill="auto"/>
            <w:noWrap/>
            <w:tcMar>
              <w:left w:w="105" w:type="dxa"/>
              <w:right w:w="105" w:type="dxa"/>
            </w:tcMar>
            <w:vAlign w:val="top"/>
          </w:tcPr>
          <w:p w14:paraId="2F8D3062">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4BE3D8F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1320</w:t>
            </w:r>
          </w:p>
        </w:tc>
        <w:tc>
          <w:tcPr>
            <w:tcW w:w="1457" w:type="pct"/>
            <w:vMerge w:val="continue"/>
            <w:shd w:val="clear" w:color="auto" w:fill="auto"/>
            <w:tcMar>
              <w:left w:w="105" w:type="dxa"/>
              <w:right w:w="105" w:type="dxa"/>
            </w:tcMar>
            <w:vAlign w:val="center"/>
          </w:tcPr>
          <w:p w14:paraId="5E9AB02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693C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224F737B">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4.</w:t>
            </w:r>
          </w:p>
        </w:tc>
        <w:tc>
          <w:tcPr>
            <w:tcW w:w="1170" w:type="pct"/>
            <w:shd w:val="clear" w:color="auto" w:fill="auto"/>
            <w:tcMar>
              <w:left w:w="105" w:type="dxa"/>
              <w:right w:w="105" w:type="dxa"/>
            </w:tcMar>
            <w:vAlign w:val="top"/>
          </w:tcPr>
          <w:p w14:paraId="2C8BA64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单模40G光模块</w:t>
            </w:r>
          </w:p>
        </w:tc>
        <w:tc>
          <w:tcPr>
            <w:tcW w:w="618" w:type="pct"/>
            <w:shd w:val="clear" w:color="auto" w:fill="auto"/>
            <w:noWrap/>
            <w:tcMar>
              <w:left w:w="105" w:type="dxa"/>
              <w:right w:w="105" w:type="dxa"/>
            </w:tcMar>
            <w:vAlign w:val="top"/>
          </w:tcPr>
          <w:p w14:paraId="10685A87">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392B9F9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4800</w:t>
            </w:r>
          </w:p>
        </w:tc>
        <w:tc>
          <w:tcPr>
            <w:tcW w:w="1457" w:type="pct"/>
            <w:vMerge w:val="continue"/>
            <w:shd w:val="clear" w:color="auto" w:fill="auto"/>
            <w:tcMar>
              <w:left w:w="105" w:type="dxa"/>
              <w:right w:w="105" w:type="dxa"/>
            </w:tcMar>
            <w:vAlign w:val="center"/>
          </w:tcPr>
          <w:p w14:paraId="51B921E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6748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73056B1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5.</w:t>
            </w:r>
          </w:p>
        </w:tc>
        <w:tc>
          <w:tcPr>
            <w:tcW w:w="1170" w:type="pct"/>
            <w:shd w:val="clear" w:color="auto" w:fill="auto"/>
            <w:tcMar>
              <w:left w:w="105" w:type="dxa"/>
              <w:right w:w="105" w:type="dxa"/>
            </w:tcMar>
            <w:vAlign w:val="top"/>
          </w:tcPr>
          <w:p w14:paraId="58FF64A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单模100G光模块</w:t>
            </w:r>
          </w:p>
        </w:tc>
        <w:tc>
          <w:tcPr>
            <w:tcW w:w="618" w:type="pct"/>
            <w:shd w:val="clear" w:color="auto" w:fill="auto"/>
            <w:noWrap/>
            <w:tcMar>
              <w:left w:w="105" w:type="dxa"/>
              <w:right w:w="105" w:type="dxa"/>
            </w:tcMar>
            <w:vAlign w:val="top"/>
          </w:tcPr>
          <w:p w14:paraId="52F9AE96">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547D8C1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6540</w:t>
            </w:r>
          </w:p>
        </w:tc>
        <w:tc>
          <w:tcPr>
            <w:tcW w:w="1457" w:type="pct"/>
            <w:vMerge w:val="continue"/>
            <w:shd w:val="clear" w:color="auto" w:fill="auto"/>
            <w:tcMar>
              <w:left w:w="105" w:type="dxa"/>
              <w:right w:w="105" w:type="dxa"/>
            </w:tcMar>
            <w:vAlign w:val="center"/>
          </w:tcPr>
          <w:p w14:paraId="7764B6F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665F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287BB73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6.</w:t>
            </w:r>
          </w:p>
        </w:tc>
        <w:tc>
          <w:tcPr>
            <w:tcW w:w="1170" w:type="pct"/>
            <w:shd w:val="clear" w:color="auto" w:fill="auto"/>
            <w:tcMar>
              <w:left w:w="105" w:type="dxa"/>
              <w:right w:w="105" w:type="dxa"/>
            </w:tcMar>
            <w:vAlign w:val="top"/>
          </w:tcPr>
          <w:p w14:paraId="5E75F0D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多模1000M光模块</w:t>
            </w:r>
          </w:p>
        </w:tc>
        <w:tc>
          <w:tcPr>
            <w:tcW w:w="618" w:type="pct"/>
            <w:shd w:val="clear" w:color="auto" w:fill="auto"/>
            <w:noWrap/>
            <w:tcMar>
              <w:left w:w="105" w:type="dxa"/>
              <w:right w:w="105" w:type="dxa"/>
            </w:tcMar>
            <w:vAlign w:val="top"/>
          </w:tcPr>
          <w:p w14:paraId="0EBAB095">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3EA9B73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159</w:t>
            </w:r>
          </w:p>
        </w:tc>
        <w:tc>
          <w:tcPr>
            <w:tcW w:w="1457" w:type="pct"/>
            <w:vMerge w:val="continue"/>
            <w:shd w:val="clear" w:color="auto" w:fill="auto"/>
            <w:tcMar>
              <w:left w:w="105" w:type="dxa"/>
              <w:right w:w="105" w:type="dxa"/>
            </w:tcMar>
            <w:vAlign w:val="center"/>
          </w:tcPr>
          <w:p w14:paraId="3B260CA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6FAFF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10F5FD1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7.</w:t>
            </w:r>
          </w:p>
        </w:tc>
        <w:tc>
          <w:tcPr>
            <w:tcW w:w="1170" w:type="pct"/>
            <w:shd w:val="clear" w:color="auto" w:fill="auto"/>
            <w:tcMar>
              <w:left w:w="105" w:type="dxa"/>
              <w:right w:w="105" w:type="dxa"/>
            </w:tcMar>
            <w:vAlign w:val="top"/>
          </w:tcPr>
          <w:p w14:paraId="6F233A9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多模10000M光模块</w:t>
            </w:r>
          </w:p>
        </w:tc>
        <w:tc>
          <w:tcPr>
            <w:tcW w:w="618" w:type="pct"/>
            <w:shd w:val="clear" w:color="auto" w:fill="auto"/>
            <w:noWrap/>
            <w:tcMar>
              <w:left w:w="105" w:type="dxa"/>
              <w:right w:w="105" w:type="dxa"/>
            </w:tcMar>
            <w:vAlign w:val="top"/>
          </w:tcPr>
          <w:p w14:paraId="5E7CFB20">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7AA624B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342</w:t>
            </w:r>
          </w:p>
        </w:tc>
        <w:tc>
          <w:tcPr>
            <w:tcW w:w="1457" w:type="pct"/>
            <w:vMerge w:val="continue"/>
            <w:shd w:val="clear" w:color="auto" w:fill="auto"/>
            <w:tcMar>
              <w:left w:w="105" w:type="dxa"/>
              <w:right w:w="105" w:type="dxa"/>
            </w:tcMar>
            <w:vAlign w:val="center"/>
          </w:tcPr>
          <w:p w14:paraId="6FA5ECF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39FC3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7CA34B5E">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8.</w:t>
            </w:r>
          </w:p>
        </w:tc>
        <w:tc>
          <w:tcPr>
            <w:tcW w:w="1170" w:type="pct"/>
            <w:shd w:val="clear" w:color="auto" w:fill="auto"/>
            <w:tcMar>
              <w:left w:w="105" w:type="dxa"/>
              <w:right w:w="105" w:type="dxa"/>
            </w:tcMar>
            <w:vAlign w:val="top"/>
          </w:tcPr>
          <w:p w14:paraId="17EDDB5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多模25G光模块</w:t>
            </w:r>
          </w:p>
        </w:tc>
        <w:tc>
          <w:tcPr>
            <w:tcW w:w="618" w:type="pct"/>
            <w:shd w:val="clear" w:color="auto" w:fill="auto"/>
            <w:noWrap/>
            <w:tcMar>
              <w:left w:w="105" w:type="dxa"/>
              <w:right w:w="105" w:type="dxa"/>
            </w:tcMar>
            <w:vAlign w:val="top"/>
          </w:tcPr>
          <w:p w14:paraId="7B8A6F73">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5EBDF69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1110</w:t>
            </w:r>
          </w:p>
        </w:tc>
        <w:tc>
          <w:tcPr>
            <w:tcW w:w="1457" w:type="pct"/>
            <w:vMerge w:val="continue"/>
            <w:shd w:val="clear" w:color="auto" w:fill="auto"/>
            <w:tcMar>
              <w:left w:w="105" w:type="dxa"/>
              <w:right w:w="105" w:type="dxa"/>
            </w:tcMar>
            <w:vAlign w:val="center"/>
          </w:tcPr>
          <w:p w14:paraId="14DE28C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778DC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79DE2C7C">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9.</w:t>
            </w:r>
          </w:p>
        </w:tc>
        <w:tc>
          <w:tcPr>
            <w:tcW w:w="1170" w:type="pct"/>
            <w:shd w:val="clear" w:color="auto" w:fill="auto"/>
            <w:tcMar>
              <w:left w:w="105" w:type="dxa"/>
              <w:right w:w="105" w:type="dxa"/>
            </w:tcMar>
            <w:vAlign w:val="top"/>
          </w:tcPr>
          <w:p w14:paraId="3CD861E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多模40G光模块</w:t>
            </w:r>
          </w:p>
        </w:tc>
        <w:tc>
          <w:tcPr>
            <w:tcW w:w="618" w:type="pct"/>
            <w:shd w:val="clear" w:color="auto" w:fill="auto"/>
            <w:noWrap/>
            <w:tcMar>
              <w:left w:w="105" w:type="dxa"/>
              <w:right w:w="105" w:type="dxa"/>
            </w:tcMar>
            <w:vAlign w:val="top"/>
          </w:tcPr>
          <w:p w14:paraId="4E3D6E51">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75B876A2">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1248</w:t>
            </w:r>
          </w:p>
        </w:tc>
        <w:tc>
          <w:tcPr>
            <w:tcW w:w="1457" w:type="pct"/>
            <w:vMerge w:val="continue"/>
            <w:shd w:val="clear" w:color="auto" w:fill="auto"/>
            <w:tcMar>
              <w:left w:w="105" w:type="dxa"/>
              <w:right w:w="105" w:type="dxa"/>
            </w:tcMar>
            <w:vAlign w:val="center"/>
          </w:tcPr>
          <w:p w14:paraId="334D6CEB">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r w14:paraId="12E8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1" w:hRule="atLeast"/>
        </w:trPr>
        <w:tc>
          <w:tcPr>
            <w:tcW w:w="355" w:type="pct"/>
            <w:shd w:val="clear" w:color="auto" w:fill="auto"/>
            <w:noWrap/>
            <w:tcMar>
              <w:left w:w="105" w:type="dxa"/>
              <w:right w:w="105" w:type="dxa"/>
            </w:tcMar>
            <w:vAlign w:val="top"/>
          </w:tcPr>
          <w:p w14:paraId="1E8CFCF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10.</w:t>
            </w:r>
          </w:p>
        </w:tc>
        <w:tc>
          <w:tcPr>
            <w:tcW w:w="1170" w:type="pct"/>
            <w:shd w:val="clear" w:color="auto" w:fill="auto"/>
            <w:tcMar>
              <w:left w:w="105" w:type="dxa"/>
              <w:right w:w="105" w:type="dxa"/>
            </w:tcMar>
            <w:vAlign w:val="top"/>
          </w:tcPr>
          <w:p w14:paraId="504E5BF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多模100G光模块</w:t>
            </w:r>
          </w:p>
        </w:tc>
        <w:tc>
          <w:tcPr>
            <w:tcW w:w="618" w:type="pct"/>
            <w:shd w:val="clear" w:color="auto" w:fill="auto"/>
            <w:noWrap/>
            <w:tcMar>
              <w:left w:w="105" w:type="dxa"/>
              <w:right w:w="105" w:type="dxa"/>
            </w:tcMar>
            <w:vAlign w:val="top"/>
          </w:tcPr>
          <w:p w14:paraId="560AF6EA">
            <w:pPr>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个</w:t>
            </w:r>
          </w:p>
        </w:tc>
        <w:tc>
          <w:tcPr>
            <w:tcW w:w="1397" w:type="pct"/>
            <w:shd w:val="clear" w:color="auto" w:fill="auto"/>
            <w:noWrap/>
            <w:tcMar>
              <w:left w:w="105" w:type="dxa"/>
              <w:right w:w="105" w:type="dxa"/>
            </w:tcMar>
            <w:vAlign w:val="top"/>
          </w:tcPr>
          <w:p w14:paraId="3F7D6CB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2610</w:t>
            </w:r>
          </w:p>
        </w:tc>
        <w:tc>
          <w:tcPr>
            <w:tcW w:w="1457" w:type="pct"/>
            <w:vMerge w:val="continue"/>
            <w:shd w:val="clear" w:color="auto" w:fill="auto"/>
            <w:tcMar>
              <w:left w:w="105" w:type="dxa"/>
              <w:right w:w="105" w:type="dxa"/>
            </w:tcMar>
            <w:vAlign w:val="center"/>
          </w:tcPr>
          <w:p w14:paraId="4E2244E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服务</w:t>
      </w:r>
      <w:r>
        <w:rPr>
          <w:rFonts w:hint="eastAsia" w:ascii="仿宋" w:hAnsi="仿宋" w:eastAsia="仿宋" w:cs="仿宋"/>
          <w:b/>
          <w:bCs/>
          <w:sz w:val="24"/>
          <w:szCs w:val="24"/>
          <w:lang w:val="en-US" w:eastAsia="zh-CN"/>
        </w:rPr>
        <w:t>内容及</w:t>
      </w:r>
      <w:r>
        <w:rPr>
          <w:rFonts w:hint="eastAsia" w:ascii="仿宋" w:hAnsi="仿宋" w:eastAsia="仿宋" w:cs="仿宋"/>
          <w:b/>
          <w:bCs/>
          <w:sz w:val="24"/>
          <w:szCs w:val="24"/>
        </w:rPr>
        <w:t>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b/>
          <w:bCs/>
          <w:sz w:val="24"/>
          <w:szCs w:val="24"/>
          <w:lang w:val="en-US" w:eastAsia="zh-CN"/>
        </w:rPr>
        <w:t>1.服务内容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07"/>
        <w:gridCol w:w="2842"/>
        <w:gridCol w:w="5899"/>
      </w:tblGrid>
      <w:tr w14:paraId="1546B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single" w:color="auto" w:sz="6" w:space="0"/>
              <w:left w:val="single" w:color="auto" w:sz="6" w:space="0"/>
              <w:bottom w:val="single" w:color="auto" w:sz="6" w:space="0"/>
              <w:right w:val="single" w:color="auto" w:sz="6" w:space="0"/>
            </w:tcBorders>
            <w:shd w:val="clear" w:color="auto" w:fill="E5E5E5"/>
            <w:tcMar>
              <w:left w:w="105" w:type="dxa"/>
              <w:right w:w="105" w:type="dxa"/>
            </w:tcMar>
            <w:vAlign w:val="center"/>
          </w:tcPr>
          <w:p w14:paraId="2C020F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序号</w:t>
            </w:r>
          </w:p>
        </w:tc>
        <w:tc>
          <w:tcPr>
            <w:tcW w:w="2842" w:type="dxa"/>
            <w:tcBorders>
              <w:top w:val="single" w:color="auto" w:sz="6" w:space="0"/>
              <w:left w:val="nil"/>
              <w:bottom w:val="single" w:color="auto" w:sz="6" w:space="0"/>
              <w:right w:val="single" w:color="auto" w:sz="6" w:space="0"/>
            </w:tcBorders>
            <w:shd w:val="clear" w:color="auto" w:fill="E5E5E5"/>
            <w:tcMar>
              <w:left w:w="105" w:type="dxa"/>
              <w:right w:w="105" w:type="dxa"/>
            </w:tcMar>
            <w:vAlign w:val="center"/>
          </w:tcPr>
          <w:p w14:paraId="3C79EE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类别</w:t>
            </w:r>
          </w:p>
        </w:tc>
        <w:tc>
          <w:tcPr>
            <w:tcW w:w="5898" w:type="dxa"/>
            <w:tcBorders>
              <w:top w:val="single" w:color="auto" w:sz="6" w:space="0"/>
              <w:left w:val="nil"/>
              <w:bottom w:val="single" w:color="auto" w:sz="6" w:space="0"/>
              <w:right w:val="single" w:color="auto" w:sz="6" w:space="0"/>
            </w:tcBorders>
            <w:shd w:val="clear" w:color="auto" w:fill="E5E5E5"/>
            <w:tcMar>
              <w:left w:w="105" w:type="dxa"/>
              <w:right w:w="105" w:type="dxa"/>
            </w:tcMar>
            <w:vAlign w:val="center"/>
          </w:tcPr>
          <w:p w14:paraId="7D5DE8E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服务内容</w:t>
            </w:r>
          </w:p>
        </w:tc>
      </w:tr>
      <w:tr w14:paraId="78CB1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E600A0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5906DE5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服务器监控</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20B860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对服务器设备的健康程度及容量进行监控，对光纤交换机流量，端口状况等进行监控。</w:t>
            </w:r>
          </w:p>
        </w:tc>
      </w:tr>
      <w:tr w14:paraId="41339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694517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693B08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设备上下架</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7EE83A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根据变更需求，对光纤交换机，存储机头、存储柜、磁盘进行上下架及配置。</w:t>
            </w:r>
          </w:p>
        </w:tc>
      </w:tr>
      <w:tr w14:paraId="1A8F3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D20A42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★3</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4CA159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设备巡检</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4E50A5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每月一次定期</w:t>
            </w:r>
            <w:r>
              <w:rPr>
                <w:rFonts w:hint="eastAsia" w:ascii="仿宋" w:hAnsi="仿宋" w:eastAsia="仿宋" w:cs="仿宋"/>
                <w:sz w:val="24"/>
                <w:szCs w:val="24"/>
                <w:highlight w:val="none"/>
              </w:rPr>
              <w:t>对存储进行现场巡检，巡检内容包含设备各零部件的除尘、检测、校准及有问题零部件的更换等，提供巡检维护报告，对于需要外修的设备必须要告知相关管理部门。</w:t>
            </w:r>
            <w:r>
              <w:rPr>
                <w:rFonts w:hint="eastAsia" w:ascii="仿宋" w:hAnsi="仿宋" w:eastAsia="仿宋" w:cs="仿宋"/>
                <w:sz w:val="24"/>
                <w:szCs w:val="24"/>
                <w:highlight w:val="none"/>
                <w:shd w:val="clear"/>
              </w:rPr>
              <w:t>巡检范围：巡检全院和</w:t>
            </w:r>
            <w:r>
              <w:rPr>
                <w:rFonts w:hint="eastAsia" w:ascii="仿宋" w:hAnsi="仿宋" w:eastAsia="仿宋" w:cs="仿宋"/>
                <w:sz w:val="24"/>
                <w:szCs w:val="24"/>
                <w:highlight w:val="none"/>
                <w:shd w:val="clear"/>
                <w:lang w:eastAsia="zh-CN"/>
              </w:rPr>
              <w:t>采购人</w:t>
            </w:r>
            <w:r>
              <w:rPr>
                <w:rFonts w:hint="eastAsia" w:ascii="仿宋" w:hAnsi="仿宋" w:eastAsia="仿宋" w:cs="仿宋"/>
                <w:sz w:val="24"/>
                <w:szCs w:val="24"/>
                <w:highlight w:val="none"/>
                <w:shd w:val="clear"/>
              </w:rPr>
              <w:t>要求设备。</w:t>
            </w:r>
          </w:p>
        </w:tc>
      </w:tr>
      <w:tr w14:paraId="0773F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450768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★4</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4841BD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专项巡检</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11B815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三天以上节假日有专项巡检服务。</w:t>
            </w:r>
          </w:p>
        </w:tc>
      </w:tr>
      <w:tr w14:paraId="6C9CD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BAEA36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★5</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05885E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故障排查</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734D92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lang w:eastAsia="zh-CN"/>
              </w:rPr>
            </w:pPr>
            <w:r>
              <w:rPr>
                <w:rFonts w:hint="eastAsia" w:ascii="仿宋" w:hAnsi="仿宋" w:eastAsia="仿宋" w:cs="仿宋"/>
                <w:sz w:val="24"/>
                <w:szCs w:val="24"/>
              </w:rPr>
              <w:t>分析并处理服务器运行过程中发生的问题</w:t>
            </w:r>
            <w:r>
              <w:rPr>
                <w:rFonts w:hint="eastAsia" w:ascii="仿宋" w:hAnsi="仿宋" w:eastAsia="仿宋" w:cs="仿宋"/>
                <w:sz w:val="24"/>
                <w:szCs w:val="24"/>
                <w:lang w:eastAsia="zh-CN"/>
              </w:rPr>
              <w:t>。</w:t>
            </w:r>
          </w:p>
        </w:tc>
      </w:tr>
      <w:tr w14:paraId="7C28B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63B648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★6</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1C5315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配置调整</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70E0972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根据变更需求，对存储硬件（电源，机头，磁盘，阵列柜）及存储网络的配置进行调整和优化，并按需对主机固件进行升级。</w:t>
            </w:r>
          </w:p>
        </w:tc>
      </w:tr>
      <w:tr w14:paraId="15BB0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CC91D8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7</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0E0F91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配置管理</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4D07968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对存储及存储网络的配置进行管理，存储相关管理软件及多路径软件管理及配置。</w:t>
            </w:r>
          </w:p>
        </w:tc>
      </w:tr>
      <w:tr w14:paraId="53FC3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D1267C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8</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68D421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服务器安全管理</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257FAE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对服务器访问账号做安全管理，硬件固件升级管理，确保数据安全可靠。</w:t>
            </w:r>
          </w:p>
        </w:tc>
      </w:tr>
      <w:tr w14:paraId="12CFA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B86E2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9</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281C61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全生命周期管理</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7CF90E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对服务器从上架，运行，故障部件更换到设备回收的全生命周期管理。</w:t>
            </w:r>
          </w:p>
        </w:tc>
      </w:tr>
      <w:tr w14:paraId="1D6D0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E215DC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10</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4D708B2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虚拟化监控</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27C107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对虚拟化环境的健康程度及存储容量进行监控。</w:t>
            </w:r>
          </w:p>
        </w:tc>
      </w:tr>
      <w:tr w14:paraId="3D86C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3ABEE9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★11</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6CA02C6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虚拟机备份</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7CC1006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定期（每周一次）对虚拟化环境中的虚拟机进行备份检查。</w:t>
            </w:r>
          </w:p>
        </w:tc>
      </w:tr>
      <w:tr w14:paraId="7430F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ABAAB7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★12</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71462B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故障排查</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789E5B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分析并处理虚拟化环境中发生的问题。</w:t>
            </w:r>
          </w:p>
        </w:tc>
      </w:tr>
      <w:tr w14:paraId="0E489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D4C35C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★13</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718712C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配置调整</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0DB617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根据变更需求，对虚拟化环境及虚拟机的配置进行调整。</w:t>
            </w:r>
          </w:p>
        </w:tc>
      </w:tr>
      <w:tr w14:paraId="02C81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213D31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★14</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5F9E0E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配置管理</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12F7D7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对虚拟化环境及虚拟机的配置进行管理（虚拟化网络，虚拟机，集群，资源池，迁移，高可用等）。</w:t>
            </w:r>
          </w:p>
        </w:tc>
      </w:tr>
      <w:tr w14:paraId="38342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538C0C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★15</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611A1B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虚拟机迁移</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0D504EE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对虚拟化环境中的虚拟机进行迁移支持（PTV、VTP，VTV）。</w:t>
            </w:r>
          </w:p>
        </w:tc>
      </w:tr>
      <w:tr w14:paraId="4677E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750"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6C29F5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★16</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6975A1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资源负载均衡</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54EEC18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通过配置虚拟化平台自动负载及手动负载迁移保证虚拟机在物理节点中的资源使用负载均衡，配置虚拟机高可用，保证虚拟化平台运行稳定。</w:t>
            </w:r>
          </w:p>
        </w:tc>
      </w:tr>
      <w:tr w14:paraId="705B3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AFE74C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★17</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316B47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虚拟化升级服务</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0A3469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对服务器虚拟化平台进行每月一次定期版本检查和升级操作。</w:t>
            </w:r>
          </w:p>
        </w:tc>
      </w:tr>
      <w:tr w14:paraId="5FB52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D827F0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★18</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2B8D2B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数据备份</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6B6AD6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配置备份任务，执行数据备份，对备份结果进行验证，确保数据备份成功。</w:t>
            </w:r>
          </w:p>
        </w:tc>
      </w:tr>
      <w:tr w14:paraId="70991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2356E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★19</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63B357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数据恢复</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6F1A46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制定灾备演练计划，制定业务系统恢复计划，灾难发生时，对发生故障的业务系统进行数据恢复。</w:t>
            </w:r>
          </w:p>
        </w:tc>
      </w:tr>
      <w:tr w14:paraId="248C6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25A101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★20</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601C02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备份检查</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34AC1D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驻场人员每天1次巡检，检查备份作业运行情况，一旦发生故障，启动故障应急响应措施，同时进行手动备份任务。</w:t>
            </w:r>
          </w:p>
        </w:tc>
      </w:tr>
      <w:tr w14:paraId="19159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600"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6AAD8F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★21</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07E50D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维保支持</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61F4F0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当检测到故障，协调软、硬件的维修、更换工作，确保设备及时维修，并对维修工作进行记录和追踪。</w:t>
            </w:r>
          </w:p>
        </w:tc>
      </w:tr>
      <w:tr w14:paraId="1CEB2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9AF128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★22</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7F86EE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建设及迁移项目支持</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5E01B7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供应商在合同期间应完成采购人提出的改造、迁移等建设需求。</w:t>
            </w:r>
          </w:p>
        </w:tc>
      </w:tr>
      <w:tr w14:paraId="36954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0EE337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23</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0804AE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账号管理及权限管理</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2CB1F0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账户管理包含账户添加、删除、修改和查询等；</w:t>
            </w:r>
          </w:p>
          <w:p w14:paraId="6C6833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 xml:space="preserve">2.处理采购人访问申请，管理访问权限，包含权限添加，删除，修改和查询；  </w:t>
            </w:r>
          </w:p>
        </w:tc>
      </w:tr>
      <w:tr w14:paraId="47818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4768A4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24</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50AF74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年度盘点</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3B91AA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遵循采购人的资产管理条例，对IT硬件资产进行每年一次的资产盘点和核对；</w:t>
            </w:r>
          </w:p>
        </w:tc>
      </w:tr>
      <w:tr w14:paraId="186E7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AE4FF2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★25</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321439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数基运维</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70BD5A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可由远程或现场进行管理，针对数据中心基础架构提供部件级资产管理并提供机柜部署规划；</w:t>
            </w:r>
          </w:p>
        </w:tc>
      </w:tr>
      <w:tr w14:paraId="518AB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5F38DD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26</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25F15C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设备管理服务</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575C33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提供设备上架、下架、更换安装位置、线路整理服务、老旧设备搬运。</w:t>
            </w:r>
          </w:p>
        </w:tc>
      </w:tr>
      <w:tr w14:paraId="4F90C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10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C27CE9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27</w:t>
            </w:r>
          </w:p>
        </w:tc>
        <w:tc>
          <w:tcPr>
            <w:tcW w:w="2842" w:type="dxa"/>
            <w:tcBorders>
              <w:top w:val="nil"/>
              <w:left w:val="nil"/>
              <w:bottom w:val="single" w:color="auto" w:sz="6" w:space="0"/>
              <w:right w:val="single" w:color="auto" w:sz="6" w:space="0"/>
            </w:tcBorders>
            <w:shd w:val="clear" w:color="auto" w:fill="auto"/>
            <w:tcMar>
              <w:left w:w="105" w:type="dxa"/>
              <w:right w:w="105" w:type="dxa"/>
            </w:tcMar>
            <w:vAlign w:val="center"/>
          </w:tcPr>
          <w:p w14:paraId="3EEBCD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培训服务</w:t>
            </w:r>
          </w:p>
        </w:tc>
        <w:tc>
          <w:tcPr>
            <w:tcW w:w="5898" w:type="dxa"/>
            <w:tcBorders>
              <w:top w:val="nil"/>
              <w:left w:val="nil"/>
              <w:bottom w:val="single" w:color="auto" w:sz="6" w:space="0"/>
              <w:right w:val="single" w:color="auto" w:sz="6" w:space="0"/>
            </w:tcBorders>
            <w:shd w:val="clear" w:color="auto" w:fill="auto"/>
            <w:tcMar>
              <w:left w:w="105" w:type="dxa"/>
              <w:right w:w="105" w:type="dxa"/>
            </w:tcMar>
            <w:vAlign w:val="center"/>
          </w:tcPr>
          <w:p w14:paraId="437AF3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提供正规化的、具有专业水准的技术培训服务，以确保</w:t>
            </w:r>
            <w:r>
              <w:rPr>
                <w:rFonts w:hint="eastAsia" w:ascii="仿宋" w:hAnsi="仿宋" w:eastAsia="仿宋" w:cs="仿宋"/>
                <w:sz w:val="24"/>
                <w:szCs w:val="24"/>
                <w:lang w:val="en-US" w:eastAsia="zh-CN"/>
              </w:rPr>
              <w:t>采购人</w:t>
            </w:r>
            <w:r>
              <w:rPr>
                <w:rFonts w:hint="eastAsia" w:ascii="仿宋" w:hAnsi="仿宋" w:eastAsia="仿宋" w:cs="仿宋"/>
                <w:sz w:val="24"/>
                <w:szCs w:val="24"/>
              </w:rPr>
              <w:t>的维护管理人员达到独立操作、独立进行管理、故障处理、日常维护测试等工作，使相关设备及应用能够正常运行。</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kern w:val="2"/>
          <w:sz w:val="24"/>
          <w:szCs w:val="24"/>
        </w:rPr>
        <w:t>★</w:t>
      </w:r>
      <w:r>
        <w:rPr>
          <w:rFonts w:hint="eastAsia" w:ascii="仿宋" w:hAnsi="仿宋" w:eastAsia="仿宋" w:cs="仿宋"/>
          <w:b/>
          <w:bCs/>
          <w:sz w:val="24"/>
          <w:szCs w:val="24"/>
          <w:lang w:val="en-US" w:eastAsia="zh-CN"/>
        </w:rPr>
        <w:t>2.</w:t>
      </w:r>
      <w:r>
        <w:rPr>
          <w:rFonts w:hint="eastAsia" w:ascii="仿宋" w:hAnsi="仿宋" w:eastAsia="仿宋" w:cs="仿宋"/>
          <w:b/>
          <w:bCs/>
          <w:kern w:val="2"/>
          <w:sz w:val="24"/>
          <w:szCs w:val="24"/>
        </w:rPr>
        <w:t>服务要求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93"/>
        <w:gridCol w:w="1615"/>
        <w:gridCol w:w="7240"/>
      </w:tblGrid>
      <w:tr w14:paraId="2B149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14:paraId="2E9AD38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序号</w:t>
            </w:r>
          </w:p>
        </w:tc>
        <w:tc>
          <w:tcPr>
            <w:tcW w:w="1615"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290F186C">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类别</w:t>
            </w:r>
          </w:p>
        </w:tc>
        <w:tc>
          <w:tcPr>
            <w:tcW w:w="7240"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2093B436">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服务内容</w:t>
            </w:r>
          </w:p>
        </w:tc>
      </w:tr>
      <w:tr w14:paraId="38B9F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7776D9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1</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4C198C7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驻场服务</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392F6F4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供应商须配备不少于1人的驻场人员</w:t>
            </w:r>
            <w:r>
              <w:rPr>
                <w:rFonts w:hint="eastAsia" w:ascii="仿宋" w:hAnsi="仿宋" w:eastAsia="仿宋" w:cs="仿宋"/>
                <w:sz w:val="24"/>
                <w:szCs w:val="24"/>
                <w:lang w:eastAsia="zh-CN"/>
              </w:rPr>
              <w:t>，</w:t>
            </w:r>
            <w:r>
              <w:rPr>
                <w:rFonts w:hint="eastAsia" w:ascii="仿宋" w:hAnsi="仿宋" w:eastAsia="仿宋" w:cs="仿宋"/>
                <w:sz w:val="24"/>
                <w:szCs w:val="24"/>
              </w:rPr>
              <w:t>提交不少于3人的驻场人员名单，驻场人员每月轮换，保证至少2人知晓维护业务，提供项目对接服务和日常医院现场维护工作，充分保障系统正常运行，如轮转驻场人员不符合人员资质要求，采购</w:t>
            </w:r>
            <w:r>
              <w:rPr>
                <w:rFonts w:hint="eastAsia" w:ascii="仿宋" w:hAnsi="仿宋" w:eastAsia="仿宋" w:cs="仿宋"/>
                <w:sz w:val="24"/>
                <w:szCs w:val="24"/>
                <w:lang w:val="en-US" w:eastAsia="zh-CN"/>
              </w:rPr>
              <w:t>人</w:t>
            </w:r>
            <w:r>
              <w:rPr>
                <w:rFonts w:hint="eastAsia" w:ascii="仿宋" w:hAnsi="仿宋" w:eastAsia="仿宋" w:cs="仿宋"/>
                <w:sz w:val="24"/>
                <w:szCs w:val="24"/>
              </w:rPr>
              <w:t>有权要求</w:t>
            </w:r>
            <w:r>
              <w:rPr>
                <w:rFonts w:hint="eastAsia" w:ascii="仿宋" w:hAnsi="仿宋" w:eastAsia="仿宋" w:cs="仿宋"/>
                <w:sz w:val="24"/>
                <w:szCs w:val="24"/>
                <w:lang w:val="en-US" w:eastAsia="zh-CN"/>
              </w:rPr>
              <w:t>成交供应商</w:t>
            </w:r>
            <w:r>
              <w:rPr>
                <w:rFonts w:hint="eastAsia" w:ascii="仿宋" w:hAnsi="仿宋" w:eastAsia="仿宋" w:cs="仿宋"/>
                <w:sz w:val="24"/>
                <w:szCs w:val="24"/>
              </w:rPr>
              <w:t>进行合同</w:t>
            </w:r>
            <w:r>
              <w:rPr>
                <w:rFonts w:hint="eastAsia" w:ascii="仿宋" w:hAnsi="仿宋" w:eastAsia="仿宋" w:cs="仿宋"/>
                <w:sz w:val="24"/>
                <w:szCs w:val="24"/>
                <w:lang w:val="en-US" w:eastAsia="zh-CN"/>
              </w:rPr>
              <w:t>成交</w:t>
            </w:r>
            <w:r>
              <w:rPr>
                <w:rFonts w:hint="eastAsia" w:ascii="仿宋" w:hAnsi="仿宋" w:eastAsia="仿宋" w:cs="仿宋"/>
                <w:sz w:val="24"/>
                <w:szCs w:val="24"/>
              </w:rPr>
              <w:t>金额的三倍赔偿。驻场人员接受采购人临时打扫机房清洁、固定资产统计、考核评级职称等此类委派工作。</w:t>
            </w:r>
          </w:p>
        </w:tc>
      </w:tr>
      <w:tr w14:paraId="54EFF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6AE55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15357EB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时间安排</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182F1D01">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驻场时间工作日8:00-17:30，法定节假日按照医院统一放假时间，节假日及非工作时间期间安排人员值班，人员轮转、变动须提前通知采购人。</w:t>
            </w:r>
          </w:p>
        </w:tc>
      </w:tr>
      <w:tr w14:paraId="1D51B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8B853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3</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0815208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运维支持</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25A548A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提供7*24小时医院现场维护工作，包括即时咨询、现场服务和故障部件更换，确保5分钟内响应，工作时间内15分钟到场，非工作时间1小时内到场，2小时内解决故障。</w:t>
            </w:r>
          </w:p>
        </w:tc>
      </w:tr>
      <w:tr w14:paraId="331AF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3A02A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4</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5B5FDEB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环境控制</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3BA06B7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供应商每周打扫机房清洁卫生不少于两次。</w:t>
            </w:r>
          </w:p>
        </w:tc>
      </w:tr>
      <w:tr w14:paraId="084D9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6BFF83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5</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00E3701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架构优化</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2211B51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提供</w:t>
            </w:r>
            <w:r>
              <w:rPr>
                <w:rFonts w:hint="eastAsia" w:ascii="仿宋" w:hAnsi="仿宋" w:eastAsia="仿宋" w:cs="仿宋"/>
                <w:sz w:val="24"/>
                <w:szCs w:val="24"/>
                <w:highlight w:val="none"/>
              </w:rPr>
              <w:t>预防性巡检，每月至少一次定期优化采购人生产系统基础环境，每月一次定期向采购人提供巡检内容</w:t>
            </w:r>
            <w:r>
              <w:rPr>
                <w:rFonts w:hint="eastAsia" w:ascii="仿宋" w:hAnsi="仿宋" w:eastAsia="仿宋" w:cs="仿宋"/>
                <w:sz w:val="24"/>
                <w:szCs w:val="24"/>
              </w:rPr>
              <w:t>并提供巡检报告，巡检报告包括：服务器运行状态、虚拟机运行状态、光纤交换机运行状态、存储及虚拟化平台运行状态，以及数据中心内其他相关设备及环境运行状态，内容须经采购人书面认可，以书面形式记录并签字后交予采购人。</w:t>
            </w:r>
          </w:p>
        </w:tc>
      </w:tr>
      <w:tr w14:paraId="4EA26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C3224F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0CD6F9A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备用设备</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1273B59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现场无法修复或评估维修时间可能超过24小时的，供应商在故障发生后24小时内提供备机。</w:t>
            </w:r>
          </w:p>
        </w:tc>
      </w:tr>
      <w:tr w14:paraId="5DBED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B05188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7030F97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运维协同</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33018C49">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供应商应与本项目相关的第三方（如涉及）保持有效沟通，明确项目的具体要求和功能等方面的细节。采购人负责组织、监督和验收。</w:t>
            </w:r>
          </w:p>
        </w:tc>
      </w:tr>
      <w:tr w14:paraId="28B28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61438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7F0A454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技能培训</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52020C3B">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供应商需派专业技术人员对医院相关人员进行使用操作、设备维修、保养等技术的培训（每年不少于2次），并提供培训方案和培训签到表。</w:t>
            </w:r>
          </w:p>
        </w:tc>
      </w:tr>
      <w:tr w14:paraId="36334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BF176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519457C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质保服务</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6BC1619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本项目所包含硬件提供保修服务，保证软硬件功能正常运行，保修过程中产生的所有费用由供应商承担。</w:t>
            </w:r>
          </w:p>
        </w:tc>
      </w:tr>
      <w:tr w14:paraId="72893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151"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7D93E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10</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53AF7C1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文档归档</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6CDEDB3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验收合格之日起提交本次采购货物的操作手册、服务器信息，若采购货物的相关文档发生变化，需在30日内提供最新文档。</w:t>
            </w:r>
          </w:p>
        </w:tc>
      </w:tr>
      <w:tr w14:paraId="4C551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151" w:hRule="atLeast"/>
        </w:trPr>
        <w:tc>
          <w:tcPr>
            <w:tcW w:w="993"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E1120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615" w:type="dxa"/>
            <w:tcBorders>
              <w:top w:val="nil"/>
              <w:left w:val="nil"/>
              <w:bottom w:val="single" w:color="auto" w:sz="6" w:space="0"/>
              <w:right w:val="single" w:color="auto" w:sz="6" w:space="0"/>
            </w:tcBorders>
            <w:shd w:val="clear" w:color="auto" w:fill="auto"/>
            <w:tcMar>
              <w:left w:w="105" w:type="dxa"/>
              <w:right w:w="105" w:type="dxa"/>
            </w:tcMar>
            <w:vAlign w:val="center"/>
          </w:tcPr>
          <w:p w14:paraId="0D309C5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数据安全</w:t>
            </w:r>
          </w:p>
        </w:tc>
        <w:tc>
          <w:tcPr>
            <w:tcW w:w="7240" w:type="dxa"/>
            <w:tcBorders>
              <w:top w:val="nil"/>
              <w:left w:val="nil"/>
              <w:bottom w:val="single" w:color="auto" w:sz="6" w:space="0"/>
              <w:right w:val="single" w:color="auto" w:sz="6" w:space="0"/>
            </w:tcBorders>
            <w:shd w:val="clear" w:color="auto" w:fill="auto"/>
            <w:tcMar>
              <w:left w:w="105" w:type="dxa"/>
              <w:right w:w="105" w:type="dxa"/>
            </w:tcMar>
            <w:vAlign w:val="center"/>
          </w:tcPr>
          <w:p w14:paraId="40BDB36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供应商入场后应对采购人的所有数据保密，并签署保密协议。</w:t>
            </w:r>
          </w:p>
        </w:tc>
      </w:tr>
    </w:tbl>
    <w:p w14:paraId="08428EC8">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eastAsia="仿宋" w:cs="仿宋"/>
          <w:kern w:val="2"/>
          <w:sz w:val="24"/>
          <w:szCs w:val="24"/>
          <w:lang w:val="en-US" w:eastAsia="zh-CN"/>
        </w:rPr>
        <w:t>3.</w:t>
      </w:r>
      <w:r>
        <w:rPr>
          <w:rFonts w:hint="eastAsia" w:ascii="仿宋" w:hAnsi="仿宋" w:eastAsia="仿宋" w:cs="仿宋"/>
          <w:kern w:val="2"/>
          <w:sz w:val="24"/>
          <w:szCs w:val="24"/>
        </w:rPr>
        <w:t>驻场人员</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288"/>
        <w:gridCol w:w="1263"/>
        <w:gridCol w:w="1446"/>
        <w:gridCol w:w="5851"/>
      </w:tblGrid>
      <w:tr w14:paraId="11125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420" w:hRule="atLeast"/>
        </w:trPr>
        <w:tc>
          <w:tcPr>
            <w:tcW w:w="1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14:paraId="15EA0B3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color w:val="000000"/>
                <w:sz w:val="24"/>
                <w:szCs w:val="24"/>
              </w:rPr>
              <w:t>名称</w:t>
            </w:r>
          </w:p>
        </w:tc>
        <w:tc>
          <w:tcPr>
            <w:tcW w:w="1263"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517FA85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color w:val="000000"/>
                <w:sz w:val="24"/>
                <w:szCs w:val="24"/>
              </w:rPr>
              <w:t>位置</w:t>
            </w:r>
          </w:p>
        </w:tc>
        <w:tc>
          <w:tcPr>
            <w:tcW w:w="1446"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0F9ECFC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color w:val="000000"/>
                <w:sz w:val="24"/>
                <w:szCs w:val="24"/>
              </w:rPr>
              <w:t>限高价（元）</w:t>
            </w:r>
          </w:p>
        </w:tc>
        <w:tc>
          <w:tcPr>
            <w:tcW w:w="5851"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4382BAD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color w:val="000000"/>
                <w:sz w:val="24"/>
                <w:szCs w:val="24"/>
              </w:rPr>
              <w:t>资质要求</w:t>
            </w:r>
          </w:p>
        </w:tc>
      </w:tr>
      <w:tr w14:paraId="39F6C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Pr>
        <w:tc>
          <w:tcPr>
            <w:tcW w:w="1288"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C070EC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高级服务器工程师</w:t>
            </w:r>
          </w:p>
        </w:tc>
        <w:tc>
          <w:tcPr>
            <w:tcW w:w="1263" w:type="dxa"/>
            <w:tcBorders>
              <w:top w:val="nil"/>
              <w:left w:val="nil"/>
              <w:bottom w:val="single" w:color="auto" w:sz="6" w:space="0"/>
              <w:right w:val="single" w:color="auto" w:sz="6" w:space="0"/>
            </w:tcBorders>
            <w:shd w:val="clear" w:color="auto" w:fill="auto"/>
            <w:tcMar>
              <w:left w:w="105" w:type="dxa"/>
              <w:right w:w="105" w:type="dxa"/>
            </w:tcMar>
            <w:vAlign w:val="center"/>
          </w:tcPr>
          <w:p w14:paraId="60A60D5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驻场</w:t>
            </w:r>
          </w:p>
        </w:tc>
        <w:tc>
          <w:tcPr>
            <w:tcW w:w="1446" w:type="dxa"/>
            <w:tcBorders>
              <w:top w:val="nil"/>
              <w:left w:val="nil"/>
              <w:bottom w:val="single" w:color="auto" w:sz="6" w:space="0"/>
              <w:right w:val="single" w:color="auto" w:sz="6" w:space="0"/>
            </w:tcBorders>
            <w:shd w:val="clear" w:color="auto" w:fill="auto"/>
            <w:tcMar>
              <w:left w:w="105" w:type="dxa"/>
              <w:right w:w="105" w:type="dxa"/>
            </w:tcMar>
            <w:vAlign w:val="center"/>
          </w:tcPr>
          <w:p w14:paraId="3661D49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250000</w:t>
            </w:r>
          </w:p>
        </w:tc>
        <w:tc>
          <w:tcPr>
            <w:tcW w:w="5851" w:type="dxa"/>
            <w:tcBorders>
              <w:top w:val="nil"/>
              <w:left w:val="nil"/>
              <w:bottom w:val="single" w:color="auto" w:sz="6" w:space="0"/>
              <w:right w:val="single" w:color="auto" w:sz="6" w:space="0"/>
            </w:tcBorders>
            <w:shd w:val="clear" w:color="auto" w:fill="auto"/>
            <w:tcMar>
              <w:left w:w="105" w:type="dxa"/>
              <w:right w:w="105" w:type="dxa"/>
            </w:tcMar>
            <w:vAlign w:val="center"/>
          </w:tcPr>
          <w:p w14:paraId="05142C84">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驻场人员要求具备服务器类高级工程师认证、具备计算机相关高级技术证书、具备数据库中级以上认证、具备虚拟化系统中级及以上认证、具备人社部颁发的计算机技术与软件专业技术资格中级及以上认证，报到时出示证书（需在有效期内）。</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实施时间：本项目合同签订生效后，供应商须于2026年6月23日前至采购人单位与采购人信息管理部门面谈沟通，如未按上述时限到场沟通，视为供应商违约并自动放弃该项目，采购人有权终止合同，合同所有款项将不予支付（如有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四川省人民医院（包括所有院区）</w:t>
      </w:r>
    </w:p>
    <w:p w14:paraId="3976F2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期：2026年6月27日至2027年8月26日（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服务期满且项目验收合格后，供应商于5日内向采购人提供合法有效票据及其他相关请款资料，采购人于接到上述票据及资料以后的55日内，向供应商支付合同总价100%的金额（如有</w:t>
      </w:r>
      <w:r>
        <w:rPr>
          <w:rFonts w:hint="eastAsia" w:ascii="仿宋" w:hAnsi="仿宋" w:eastAsia="仿宋" w:cs="仿宋"/>
          <w:sz w:val="24"/>
          <w:szCs w:val="24"/>
          <w:lang w:val="en-US" w:eastAsia="zh-CN"/>
        </w:rPr>
        <w:t>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w:t>
      </w:r>
      <w:r>
        <w:rPr>
          <w:rFonts w:hint="eastAsia" w:ascii="仿宋" w:hAnsi="仿宋" w:eastAsia="仿宋" w:cs="仿宋"/>
          <w:sz w:val="24"/>
          <w:szCs w:val="24"/>
          <w:highlight w:val="none"/>
          <w:lang w:val="en-US" w:eastAsia="zh-CN"/>
        </w:rPr>
        <w:t>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（6）履约验收时间：服务期满且供应商完成所有服务内容后5日内通知采购人验收，采购人接到供应商通知后10日内组织验收。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（12）履约验收其它事项：无。</w:t>
      </w:r>
    </w:p>
    <w:p w14:paraId="22B3B993">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6.供应商考核要求详见附件：《供应商考核》。</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193FAD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1.人员配置</w:t>
      </w:r>
    </w:p>
    <w:p w14:paraId="7FD9CD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（1）驻场工程师具备计算机相关专业</w:t>
      </w:r>
      <w:bookmarkStart w:id="102" w:name="_GoBack"/>
      <w:bookmarkEnd w:id="102"/>
      <w:r>
        <w:rPr>
          <w:rFonts w:hint="eastAsia" w:ascii="仿宋" w:hAnsi="仿宋" w:eastAsia="仿宋" w:cs="仿宋"/>
          <w:sz w:val="24"/>
          <w:szCs w:val="24"/>
        </w:rPr>
        <w:t>大学本科学历或研究生及以上学历。</w:t>
      </w:r>
    </w:p>
    <w:p w14:paraId="70867F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（2）驻场工程师具有中国信息安全测评中心注册信息安全专业人员认证证书。</w:t>
      </w:r>
      <w:r>
        <w:rPr>
          <w:rFonts w:hint="eastAsia" w:ascii="仿宋" w:hAnsi="仿宋" w:eastAsia="仿宋" w:cs="仿宋"/>
          <w:sz w:val="24"/>
          <w:szCs w:val="24"/>
        </w:rPr>
        <w:br w:type="textWrapping"/>
      </w:r>
      <w:r>
        <w:rPr>
          <w:rFonts w:hint="eastAsia" w:ascii="仿宋" w:hAnsi="仿宋" w:eastAsia="仿宋" w:cs="仿宋"/>
          <w:sz w:val="24"/>
          <w:szCs w:val="24"/>
        </w:rPr>
        <w:t>注：供应商须提供有效期内相关证书证明材料并加盖供应商公章。</w:t>
      </w:r>
    </w:p>
    <w:p w14:paraId="70F1D6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2.项目实施方案</w:t>
      </w:r>
    </w:p>
    <w:p w14:paraId="20FBF6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具有完善的项目实施方案，包括但不限于（1）维保服务流程及维保实施方案、（2）质量监督体系、（3）故障处理流程、（4）应急处理方案、（5）人员培训及文档交付要求、（6）具备规范的维保服务管理系统（提供完整系统网页或APP界面截图）。</w:t>
      </w:r>
    </w:p>
    <w:p w14:paraId="260594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3.供应商综合实力</w:t>
      </w:r>
    </w:p>
    <w:p w14:paraId="667B77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供应商具有以下证书：</w:t>
      </w:r>
    </w:p>
    <w:p w14:paraId="5F1BF24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中国网络安全审查技术与认证中心颁发信息安全风险评估服务资质（1级）</w:t>
      </w:r>
    </w:p>
    <w:p w14:paraId="530DD6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中国网络安全审查技术与认证中心颁发信息安全应急处理服务资质（1级）</w:t>
      </w:r>
    </w:p>
    <w:p w14:paraId="214841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中国网络安全审查技术与认证中心颁发信息系统安全运维服务资质（1级）</w:t>
      </w:r>
    </w:p>
    <w:p w14:paraId="1AAACB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CTEAS售后服务体系完善程度认证（七星）</w:t>
      </w:r>
    </w:p>
    <w:p w14:paraId="0A4BB2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注：以上证明材料需提供：①认证证书复印件；②证书查询网址和网页查询结果截图加盖供应商公章。</w:t>
      </w:r>
    </w:p>
    <w:p w14:paraId="750C1F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4.业绩</w:t>
      </w:r>
    </w:p>
    <w:p w14:paraId="442DF9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供应商提供2023年1月1日（含）以来类似服务器运维服务项目的业绩证明。</w:t>
      </w:r>
    </w:p>
    <w:p w14:paraId="170D2D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注：（1）以合同签订时间为准；（2）提供采购合同关键页（合同首页、建设内容、金额、签字盖章页）材料复印件，并加盖供应商公章。</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3"/>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lang w:val="en-US" w:eastAsia="zh-CN"/>
        </w:rPr>
        <w:t>附件：《供应商考核》</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229"/>
        <w:gridCol w:w="1515"/>
        <w:gridCol w:w="1683"/>
        <w:gridCol w:w="1330"/>
        <w:gridCol w:w="3064"/>
        <w:gridCol w:w="1027"/>
      </w:tblGrid>
      <w:tr w14:paraId="33CF8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520" w:type="dxa"/>
            <w:gridSpan w:val="6"/>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10753C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28"/>
                <w:szCs w:val="28"/>
              </w:rPr>
              <w:t>四川省人民医院供应商考核</w:t>
            </w:r>
          </w:p>
        </w:tc>
      </w:tr>
      <w:tr w14:paraId="60D14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CC336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供应商</w:t>
            </w:r>
          </w:p>
        </w:tc>
        <w:tc>
          <w:tcPr>
            <w:tcW w:w="28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3342787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c>
          <w:tcPr>
            <w:tcW w:w="1185" w:type="dxa"/>
            <w:tcBorders>
              <w:top w:val="nil"/>
              <w:left w:val="nil"/>
              <w:bottom w:val="single" w:color="auto" w:sz="6" w:space="0"/>
              <w:right w:val="single" w:color="auto" w:sz="6" w:space="0"/>
            </w:tcBorders>
            <w:shd w:val="clear" w:color="auto" w:fill="auto"/>
            <w:tcMar>
              <w:left w:w="105" w:type="dxa"/>
              <w:right w:w="105" w:type="dxa"/>
            </w:tcMar>
            <w:vAlign w:val="center"/>
          </w:tcPr>
          <w:p w14:paraId="3F239A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合同名</w:t>
            </w:r>
          </w:p>
        </w:tc>
        <w:tc>
          <w:tcPr>
            <w:tcW w:w="339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3D4B966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7A138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0" w:hRule="atLeast"/>
        </w:trPr>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FEC05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指标类别</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18931F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指标</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162E5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考核内容</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4A04AC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扣分</w:t>
            </w:r>
          </w:p>
        </w:tc>
      </w:tr>
      <w:tr w14:paraId="748F7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B5F1A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性能质</w:t>
            </w:r>
          </w:p>
          <w:p w14:paraId="333DFBF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量评价</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247795C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稳定性</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3CA0E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出现故障，导致系统不稳定，影响医院业务：出现故障时间≤30分钟扣1分，30＜分钟且≤60分钟扣2分，&gt;60分钟扣5分；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3E7F633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4FED5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622A83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6F265A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安全性</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BA69A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未具备完善的安全防护机制，存在数据丢失或泄露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04FDBD5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5713A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F4167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18CFFBB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用户满意度</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511FD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接到投诉时，一次扣1分；出现整改和处理后仍然不满足要求的情况，每5日为一个周期追扣2分，不满一个周期的算一个周期；</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156287E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52BB0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095"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9015E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使用支</w:t>
            </w:r>
          </w:p>
          <w:p w14:paraId="4D81332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持评价</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1A7F12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考勤</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A66141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驻场工程师每日签到，每次迟到一次扣0.5分；旷工或漏签一次扣1分；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599F366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66909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BCA67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360369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响应速度</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F1E21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若需要现场支持时，须及时响应，不响应扣1分；发现异常不处理或未向采购人及时汇报，扣0.5分；服务期内不接听电话，每次扣0.5分；微信群响应不及时或不按规定响应，每次扣0.1分；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13E0A81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3154B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A5A23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55F1CF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备件供应</w:t>
            </w:r>
          </w:p>
          <w:p w14:paraId="135355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Fonts w:hint="eastAsia" w:ascii="仿宋" w:hAnsi="仿宋" w:eastAsia="仿宋" w:cs="仿宋"/>
                <w:color w:val="000000"/>
                <w:sz w:val="18"/>
                <w:szCs w:val="18"/>
              </w:rPr>
              <w:t>（本项仅涉</w:t>
            </w:r>
          </w:p>
          <w:p w14:paraId="0C9ADC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Fonts w:hint="eastAsia" w:ascii="仿宋" w:hAnsi="仿宋" w:eastAsia="仿宋" w:cs="仿宋"/>
                <w:color w:val="000000"/>
                <w:sz w:val="18"/>
                <w:szCs w:val="18"/>
              </w:rPr>
              <w:t>及提供硬件</w:t>
            </w:r>
          </w:p>
          <w:p w14:paraId="2DE9C4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Fonts w:hint="eastAsia" w:ascii="仿宋" w:hAnsi="仿宋" w:eastAsia="仿宋" w:cs="仿宋"/>
                <w:color w:val="000000"/>
                <w:sz w:val="18"/>
                <w:szCs w:val="18"/>
              </w:rPr>
              <w:t>的供应商）</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70B33BE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252744A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762BF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E2D9BB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07864F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定期巡检</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478C46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定期巡检服务，缺少一次扣1分；没有按要求提供巡检报告的，缺少一次扣1分；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2626BF0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1BF6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ACF58F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1FA4E4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培训服务</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2114A2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没有按要求派专业技术人员对医院相关人员进行使用操作、设备维修、保养等技术的培训（不少于2次/年，并提供培训方案和培训签到表），缺少一次扣1分；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5F05441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7A216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5C1845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219C9E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技术文档</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7215CE9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未能在规定时间内按要求提交文档，包括但不限于操作手册、业务数据结构表、运维记录、巡检记录等，缺少一项扣1分；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top"/>
          </w:tcPr>
          <w:p w14:paraId="6737F52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138F8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70" w:hRule="atLeast"/>
        </w:trPr>
        <w:tc>
          <w:tcPr>
            <w:tcW w:w="1095"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291A8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违规违</w:t>
            </w:r>
          </w:p>
          <w:p w14:paraId="435960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纪评价</w:t>
            </w: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044335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廉洁从业</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BC752C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Style w:val="21"/>
                <w:rFonts w:hint="eastAsia" w:ascii="仿宋" w:hAnsi="仿宋" w:eastAsia="仿宋" w:cs="仿宋"/>
                <w:sz w:val="18"/>
                <w:szCs w:val="18"/>
              </w:rPr>
              <w:t>违反行业廉洁要求或违法违纪行为，一旦查实，一票否决</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363245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一票否决</w:t>
            </w:r>
          </w:p>
        </w:tc>
      </w:tr>
      <w:tr w14:paraId="13481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9B556D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053E63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安全规范</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DFC1A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不遵守安全生产规范，每次扣2分；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30B3A0A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39623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457D5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0"/>
              <w:textAlignment w:val="auto"/>
              <w:rPr>
                <w:rFonts w:hint="eastAsia" w:ascii="仿宋" w:hAnsi="仿宋" w:eastAsia="仿宋" w:cs="仿宋"/>
                <w:sz w:val="24"/>
                <w:szCs w:val="24"/>
              </w:rPr>
            </w:pPr>
          </w:p>
        </w:tc>
        <w:tc>
          <w:tcPr>
            <w:tcW w:w="1350" w:type="dxa"/>
            <w:tcBorders>
              <w:top w:val="nil"/>
              <w:left w:val="nil"/>
              <w:bottom w:val="single" w:color="auto" w:sz="6" w:space="0"/>
              <w:right w:val="single" w:color="auto" w:sz="6" w:space="0"/>
            </w:tcBorders>
            <w:shd w:val="clear" w:color="auto" w:fill="auto"/>
            <w:tcMar>
              <w:left w:w="105" w:type="dxa"/>
              <w:right w:w="105" w:type="dxa"/>
            </w:tcMar>
            <w:vAlign w:val="center"/>
          </w:tcPr>
          <w:p w14:paraId="4F7063D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color w:val="000000"/>
                <w:sz w:val="18"/>
                <w:szCs w:val="18"/>
              </w:rPr>
              <w:t>其他违纪违规</w:t>
            </w:r>
          </w:p>
        </w:tc>
        <w:tc>
          <w:tcPr>
            <w:tcW w:w="5415"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F9258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sz w:val="18"/>
                <w:szCs w:val="18"/>
              </w:rPr>
              <w:t>其他不利于医院信息化建设相关行为，视情节严重程度，经采购人讨论酌情扣分</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0CDDAEC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0287D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DC1B1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扣分合计</w:t>
            </w:r>
          </w:p>
        </w:tc>
        <w:tc>
          <w:tcPr>
            <w:tcW w:w="7425" w:type="dxa"/>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0EA8A30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r w14:paraId="4C6FB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09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8FFF17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仿宋" w:hAnsi="仿宋" w:eastAsia="仿宋" w:cs="仿宋"/>
              </w:rPr>
            </w:pPr>
            <w:r>
              <w:rPr>
                <w:rStyle w:val="21"/>
                <w:rFonts w:hint="eastAsia" w:ascii="仿宋" w:hAnsi="仿宋" w:eastAsia="仿宋" w:cs="仿宋"/>
              </w:rPr>
              <w:t>考核人</w:t>
            </w:r>
          </w:p>
        </w:tc>
        <w:tc>
          <w:tcPr>
            <w:tcW w:w="7425" w:type="dxa"/>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2B8ED5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color w:val="000000"/>
                <w:sz w:val="18"/>
                <w:szCs w:val="18"/>
              </w:rPr>
              <w:t> </w:t>
            </w:r>
          </w:p>
          <w:p w14:paraId="7DC57E1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仿宋" w:hAnsi="仿宋" w:eastAsia="仿宋" w:cs="仿宋"/>
              </w:rPr>
            </w:pPr>
            <w:r>
              <w:rPr>
                <w:rFonts w:hint="eastAsia" w:ascii="仿宋" w:hAnsi="仿宋" w:eastAsia="仿宋" w:cs="仿宋"/>
                <w:color w:val="000000"/>
                <w:sz w:val="18"/>
                <w:szCs w:val="18"/>
              </w:rPr>
              <w:t>                                                                 年    月    日</w:t>
            </w:r>
          </w:p>
        </w:tc>
      </w:tr>
      <w:tr w14:paraId="13763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rPr>
        <w:tc>
          <w:tcPr>
            <w:tcW w:w="1080" w:type="dxa"/>
            <w:tcBorders>
              <w:top w:val="nil"/>
              <w:left w:val="nil"/>
              <w:bottom w:val="nil"/>
              <w:right w:val="nil"/>
            </w:tcBorders>
            <w:shd w:val="clear" w:color="auto" w:fill="auto"/>
            <w:vAlign w:val="center"/>
          </w:tcPr>
          <w:p w14:paraId="67905CD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c>
          <w:tcPr>
            <w:tcW w:w="1320" w:type="dxa"/>
            <w:tcBorders>
              <w:top w:val="nil"/>
              <w:left w:val="nil"/>
              <w:bottom w:val="nil"/>
              <w:right w:val="nil"/>
            </w:tcBorders>
            <w:shd w:val="clear" w:color="auto" w:fill="auto"/>
            <w:vAlign w:val="center"/>
          </w:tcPr>
          <w:p w14:paraId="7B833C7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c>
          <w:tcPr>
            <w:tcW w:w="1410" w:type="dxa"/>
            <w:tcBorders>
              <w:top w:val="nil"/>
              <w:left w:val="nil"/>
              <w:bottom w:val="nil"/>
              <w:right w:val="nil"/>
            </w:tcBorders>
            <w:shd w:val="clear" w:color="auto" w:fill="auto"/>
            <w:vAlign w:val="center"/>
          </w:tcPr>
          <w:p w14:paraId="24A2F77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c>
          <w:tcPr>
            <w:tcW w:w="1155" w:type="dxa"/>
            <w:tcBorders>
              <w:top w:val="nil"/>
              <w:left w:val="nil"/>
              <w:bottom w:val="nil"/>
              <w:right w:val="nil"/>
            </w:tcBorders>
            <w:shd w:val="clear" w:color="auto" w:fill="auto"/>
            <w:vAlign w:val="center"/>
          </w:tcPr>
          <w:p w14:paraId="6A4743B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c>
          <w:tcPr>
            <w:tcW w:w="2565" w:type="dxa"/>
            <w:tcBorders>
              <w:top w:val="nil"/>
              <w:left w:val="nil"/>
              <w:bottom w:val="nil"/>
              <w:right w:val="nil"/>
            </w:tcBorders>
            <w:shd w:val="clear" w:color="auto" w:fill="auto"/>
            <w:vAlign w:val="center"/>
          </w:tcPr>
          <w:p w14:paraId="3DEB6DE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c>
          <w:tcPr>
            <w:tcW w:w="765" w:type="dxa"/>
            <w:tcBorders>
              <w:top w:val="nil"/>
              <w:left w:val="nil"/>
              <w:bottom w:val="nil"/>
              <w:right w:val="nil"/>
            </w:tcBorders>
            <w:shd w:val="clear" w:color="auto" w:fill="auto"/>
            <w:vAlign w:val="center"/>
          </w:tcPr>
          <w:p w14:paraId="1F36046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firstLine="0"/>
              <w:jc w:val="left"/>
              <w:textAlignment w:val="auto"/>
              <w:rPr>
                <w:rFonts w:hint="eastAsia" w:ascii="仿宋" w:hAnsi="仿宋" w:eastAsia="仿宋" w:cs="仿宋"/>
              </w:rPr>
            </w:pPr>
          </w:p>
        </w:tc>
      </w:tr>
    </w:tbl>
    <w:p w14:paraId="305172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jc w:val="left"/>
        <w:textAlignment w:val="auto"/>
        <w:rPr>
          <w:rStyle w:val="21"/>
          <w:rFonts w:hint="eastAsia" w:ascii="仿宋" w:hAnsi="仿宋" w:eastAsia="仿宋" w:cs="仿宋"/>
          <w:color w:val="000000"/>
          <w:kern w:val="2"/>
          <w:sz w:val="24"/>
          <w:szCs w:val="24"/>
        </w:rPr>
      </w:pPr>
    </w:p>
    <w:p w14:paraId="5A37DD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sz w:val="24"/>
          <w:szCs w:val="24"/>
        </w:rPr>
      </w:pPr>
      <w:r>
        <w:rPr>
          <w:rStyle w:val="21"/>
          <w:rFonts w:hint="eastAsia" w:ascii="仿宋" w:hAnsi="仿宋" w:eastAsia="仿宋" w:cs="仿宋"/>
          <w:color w:val="000000"/>
          <w:kern w:val="2"/>
          <w:sz w:val="24"/>
          <w:szCs w:val="24"/>
        </w:rPr>
        <w:t>备注：</w:t>
      </w:r>
    </w:p>
    <w:p w14:paraId="7635433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1.服务期内，采购人可按照本项目采购需求内容对应的考核指标对供应商进行考核，具体指标以采购人要求为准；</w:t>
      </w:r>
    </w:p>
    <w:p w14:paraId="465D92F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2.考核关联最终付款金额，具体计算规则如下：</w:t>
      </w:r>
    </w:p>
    <w:p w14:paraId="6A4BC70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u w:val="none"/>
          <w:lang w:eastAsia="zh-CN"/>
        </w:rPr>
      </w:pPr>
      <w:r>
        <w:rPr>
          <w:rStyle w:val="21"/>
          <w:rFonts w:hint="eastAsia" w:ascii="仿宋" w:hAnsi="仿宋" w:eastAsia="仿宋" w:cs="仿宋"/>
          <w:b w:val="0"/>
          <w:bCs/>
          <w:color w:val="000000"/>
          <w:kern w:val="2"/>
          <w:sz w:val="24"/>
          <w:szCs w:val="24"/>
          <w:u w:val="none"/>
          <w:lang w:val="en-US" w:eastAsia="zh-CN"/>
        </w:rPr>
        <w:t>1）</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=服务期汇总考核扣分之和÷服务期内考核次数</w:t>
      </w:r>
      <w:r>
        <w:rPr>
          <w:rFonts w:hint="eastAsia" w:ascii="仿宋" w:hAnsi="仿宋" w:eastAsia="仿宋" w:cs="仿宋"/>
          <w:color w:val="000000"/>
          <w:kern w:val="2"/>
          <w:sz w:val="24"/>
          <w:szCs w:val="24"/>
          <w:u w:val="none"/>
          <w:lang w:eastAsia="zh-CN"/>
        </w:rPr>
        <w:t>；</w:t>
      </w:r>
    </w:p>
    <w:p w14:paraId="5BF0850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2）0分&lt;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≤3分，将对供应商进行诫勉谈话；</w:t>
      </w:r>
    </w:p>
    <w:p w14:paraId="5536AB8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3）3分&lt;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≤5分，对供应商提出警告，</w:t>
      </w:r>
      <w:r>
        <w:rPr>
          <w:rFonts w:hint="eastAsia" w:ascii="仿宋" w:hAnsi="仿宋" w:eastAsia="仿宋" w:cs="仿宋"/>
          <w:kern w:val="2"/>
          <w:sz w:val="24"/>
          <w:szCs w:val="24"/>
          <w:u w:val="none"/>
        </w:rPr>
        <w:t>从合同待支付金额中</w:t>
      </w:r>
      <w:r>
        <w:rPr>
          <w:rFonts w:hint="eastAsia" w:ascii="仿宋" w:hAnsi="仿宋" w:eastAsia="仿宋" w:cs="仿宋"/>
          <w:color w:val="000000"/>
          <w:kern w:val="2"/>
          <w:sz w:val="24"/>
          <w:szCs w:val="24"/>
          <w:u w:val="none"/>
        </w:rPr>
        <w:t>扣除合同支付上限金额5%费用，扣完为止；</w:t>
      </w:r>
    </w:p>
    <w:p w14:paraId="6022785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4）5分&lt;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≤10分，对供应商提出严重警告，</w:t>
      </w:r>
      <w:r>
        <w:rPr>
          <w:rFonts w:hint="eastAsia" w:ascii="仿宋" w:hAnsi="仿宋" w:eastAsia="仿宋" w:cs="仿宋"/>
          <w:kern w:val="2"/>
          <w:sz w:val="24"/>
          <w:szCs w:val="24"/>
          <w:u w:val="none"/>
        </w:rPr>
        <w:t>从合同待支付金额中</w:t>
      </w:r>
      <w:r>
        <w:rPr>
          <w:rFonts w:hint="eastAsia" w:ascii="仿宋" w:hAnsi="仿宋" w:eastAsia="仿宋" w:cs="仿宋"/>
          <w:color w:val="000000"/>
          <w:kern w:val="2"/>
          <w:sz w:val="24"/>
          <w:szCs w:val="24"/>
          <w:u w:val="none"/>
        </w:rPr>
        <w:t>扣除合同支付上限金额10%费用，扣完为止；</w:t>
      </w:r>
    </w:p>
    <w:p w14:paraId="1A2E76C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lang w:val="en-US" w:eastAsia="zh-CN"/>
        </w:rPr>
        <w:t>5</w:t>
      </w:r>
      <w:r>
        <w:rPr>
          <w:rFonts w:hint="eastAsia" w:ascii="仿宋" w:hAnsi="仿宋" w:eastAsia="仿宋" w:cs="仿宋"/>
          <w:color w:val="000000"/>
          <w:kern w:val="2"/>
          <w:sz w:val="24"/>
          <w:szCs w:val="24"/>
          <w:u w:val="none"/>
        </w:rPr>
        <w:t>）10分&lt;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，视为</w:t>
      </w:r>
      <w:r>
        <w:rPr>
          <w:rStyle w:val="21"/>
          <w:rFonts w:hint="eastAsia" w:ascii="仿宋" w:hAnsi="仿宋" w:eastAsia="仿宋" w:cs="仿宋"/>
          <w:color w:val="000000"/>
          <w:kern w:val="2"/>
          <w:sz w:val="24"/>
          <w:szCs w:val="24"/>
          <w:u w:val="none"/>
        </w:rPr>
        <w:t>不合格</w:t>
      </w:r>
      <w:r>
        <w:rPr>
          <w:rFonts w:hint="eastAsia" w:ascii="仿宋" w:hAnsi="仿宋" w:eastAsia="仿宋" w:cs="仿宋"/>
          <w:color w:val="000000"/>
          <w:kern w:val="2"/>
          <w:sz w:val="24"/>
          <w:szCs w:val="24"/>
          <w:u w:val="none"/>
        </w:rPr>
        <w:t>，终止合同，合同待支付金额不予</w:t>
      </w:r>
      <w:r>
        <w:rPr>
          <w:rFonts w:hint="eastAsia" w:ascii="仿宋" w:hAnsi="仿宋" w:eastAsia="仿宋" w:cs="仿宋"/>
          <w:color w:val="000000"/>
          <w:kern w:val="2"/>
          <w:sz w:val="24"/>
          <w:szCs w:val="24"/>
          <w:u w:val="none"/>
          <w:lang w:val="en-US" w:eastAsia="zh-CN"/>
        </w:rPr>
        <w:t>支付</w:t>
      </w:r>
      <w:r>
        <w:rPr>
          <w:rFonts w:hint="eastAsia" w:ascii="仿宋" w:hAnsi="仿宋" w:eastAsia="仿宋" w:cs="仿宋"/>
          <w:color w:val="000000"/>
          <w:kern w:val="2"/>
          <w:sz w:val="24"/>
          <w:szCs w:val="24"/>
          <w:u w:val="none"/>
        </w:rPr>
        <w:t>；</w:t>
      </w:r>
    </w:p>
    <w:p w14:paraId="3F1A02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3.供应商出现一票否决时，将对其违法违纪的相关情况汇报院纪委，同时按供应商违约情况取消本次合作，扣除所有剩余款项，并保留后续追究供应商责任的权利。</w:t>
      </w:r>
    </w:p>
    <w:p w14:paraId="50185FC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kern w:val="2"/>
          <w:sz w:val="24"/>
          <w:szCs w:val="24"/>
        </w:rPr>
        <w:t>4.如合同待支付金额中无款可扣且考核后出现扣款情况，乙方承诺在得到</w:t>
      </w:r>
      <w:r>
        <w:rPr>
          <w:rFonts w:hint="eastAsia" w:ascii="仿宋" w:hAnsi="仿宋" w:eastAsia="仿宋" w:cs="仿宋"/>
          <w:kern w:val="2"/>
          <w:sz w:val="24"/>
          <w:szCs w:val="24"/>
          <w:lang w:eastAsia="zh-CN"/>
        </w:rPr>
        <w:t>采购人</w:t>
      </w:r>
      <w:r>
        <w:rPr>
          <w:rFonts w:hint="eastAsia" w:ascii="仿宋" w:hAnsi="仿宋" w:eastAsia="仿宋" w:cs="仿宋"/>
          <w:kern w:val="2"/>
          <w:sz w:val="24"/>
          <w:szCs w:val="24"/>
        </w:rPr>
        <w:t>考核结果后的10日内向</w:t>
      </w:r>
      <w:r>
        <w:rPr>
          <w:rFonts w:hint="eastAsia" w:ascii="仿宋" w:hAnsi="仿宋" w:eastAsia="仿宋" w:cs="仿宋"/>
          <w:kern w:val="2"/>
          <w:sz w:val="24"/>
          <w:szCs w:val="24"/>
          <w:lang w:eastAsia="zh-CN"/>
        </w:rPr>
        <w:t>采购人</w:t>
      </w:r>
      <w:r>
        <w:rPr>
          <w:rFonts w:hint="eastAsia" w:ascii="仿宋" w:hAnsi="仿宋" w:eastAsia="仿宋" w:cs="仿宋"/>
          <w:kern w:val="2"/>
          <w:sz w:val="24"/>
          <w:szCs w:val="24"/>
        </w:rPr>
        <w:t>缴纳对应的扣款金额。</w:t>
      </w:r>
      <w:r>
        <w:rPr>
          <w:rFonts w:hint="eastAsia" w:ascii="仿宋" w:hAnsi="仿宋" w:eastAsia="仿宋" w:cs="仿宋"/>
          <w:b/>
          <w:bCs/>
          <w:kern w:val="2"/>
          <w:sz w:val="24"/>
          <w:szCs w:val="24"/>
          <w:lang w:eastAsia="zh-CN"/>
        </w:rPr>
        <w:t>（提供承诺函）</w:t>
      </w:r>
    </w:p>
    <w:p w14:paraId="33A9513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rPr>
        <w:t>5.</w:t>
      </w:r>
      <w:r>
        <w:rPr>
          <w:rFonts w:hint="eastAsia" w:ascii="仿宋" w:hAnsi="仿宋" w:eastAsia="仿宋" w:cs="仿宋"/>
          <w:color w:val="000000"/>
          <w:kern w:val="2"/>
          <w:sz w:val="24"/>
          <w:szCs w:val="24"/>
        </w:rPr>
        <w:t>本考核指标最终解释权归四川省医学科学院·四川省人民医院。</w:t>
      </w:r>
    </w:p>
    <w:p w14:paraId="2A2B5ED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numPr>
          <w:ilvl w:val="0"/>
          <w:numId w:val="0"/>
        </w:numPr>
        <w:ind w:left="0" w:leftChars="0" w:firstLine="0" w:firstLineChars="0"/>
        <w:rPr>
          <w:rFonts w:ascii="Times New Roman" w:hAnsi="Times New Roman" w:cs="Times New Roman"/>
        </w:rPr>
      </w:pPr>
      <w:bookmarkStart w:id="17" w:name="_Toc28789"/>
      <w:bookmarkStart w:id="18" w:name="_Toc22588"/>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900"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900"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w:t>
            </w:r>
            <w:r>
              <w:rPr>
                <w:rFonts w:hint="eastAsia" w:ascii="仿宋" w:hAnsi="仿宋" w:eastAsia="仿宋" w:cs="仿宋"/>
                <w:color w:val="000000" w:themeColor="text1"/>
                <w:sz w:val="24"/>
                <w:szCs w:val="24"/>
                <w:highlight w:val="none"/>
                <w:lang w:val="en-US" w:eastAsia="zh-CN"/>
                <w14:textFill>
                  <w14:solidFill>
                    <w14:schemeClr w14:val="tx1"/>
                  </w14:solidFill>
                </w14:textFill>
              </w:rPr>
              <w:t>各分项</w:t>
            </w:r>
            <w:r>
              <w:rPr>
                <w:rFonts w:hint="eastAsia" w:ascii="仿宋" w:hAnsi="仿宋" w:eastAsia="仿宋" w:cs="仿宋"/>
                <w:color w:val="000000" w:themeColor="text1"/>
                <w:sz w:val="24"/>
                <w:szCs w:val="24"/>
                <w:highlight w:val="none"/>
                <w14:textFill>
                  <w14:solidFill>
                    <w14:schemeClr w14:val="tx1"/>
                  </w14:solidFill>
                </w14:textFill>
              </w:rPr>
              <w:t>最低</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sz w:val="24"/>
                <w:szCs w:val="24"/>
                <w:lang w:val="en-US" w:eastAsia="zh-CN"/>
              </w:rPr>
              <w:t>下浮率最高</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sz w:val="24"/>
                <w:szCs w:val="24"/>
                <w:highlight w:val="none"/>
                <w:lang w:val="en-US" w:eastAsia="zh-CN"/>
              </w:rPr>
              <w:t>设备维保、驻场人员合计</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27</w:t>
            </w:r>
            <w:r>
              <w:rPr>
                <w:rFonts w:hint="eastAsia" w:ascii="仿宋" w:hAnsi="仿宋" w:eastAsia="仿宋" w:cs="仿宋"/>
                <w:color w:val="000000" w:themeColor="text1"/>
                <w:sz w:val="24"/>
                <w:szCs w:val="24"/>
                <w:highlight w:val="none"/>
                <w:lang w:eastAsia="zh-CN"/>
                <w14:textFill>
                  <w14:solidFill>
                    <w14:schemeClr w14:val="tx1"/>
                  </w14:solidFill>
                </w14:textFill>
              </w:rPr>
              <w:t>；谈判报价得分（</w:t>
            </w:r>
            <w:r>
              <w:rPr>
                <w:rFonts w:hint="eastAsia" w:ascii="仿宋" w:hAnsi="仿宋" w:eastAsia="仿宋" w:cs="仿宋"/>
                <w:color w:val="000000" w:themeColor="text1"/>
                <w:sz w:val="24"/>
                <w:szCs w:val="24"/>
                <w:highlight w:val="none"/>
                <w:lang w:val="en-US" w:eastAsia="zh-CN"/>
                <w14:textFill>
                  <w14:solidFill>
                    <w14:schemeClr w14:val="tx1"/>
                  </w14:solidFill>
                </w14:textFill>
              </w:rPr>
              <w:t>光模块</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1-基准价</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1-下浮率</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5FA06A6A">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内容30</w:t>
            </w:r>
            <w:r>
              <w:rPr>
                <w:rFonts w:hint="eastAsia" w:ascii="仿宋" w:hAnsi="仿宋" w:eastAsia="仿宋" w:cs="仿宋"/>
                <w:sz w:val="24"/>
                <w:szCs w:val="24"/>
                <w:highlight w:val="none"/>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spacing w:line="24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highlight w:val="none"/>
                <w:lang w:val="en-US" w:eastAsia="zh-CN"/>
              </w:rPr>
              <w:t>30分</w:t>
            </w:r>
          </w:p>
        </w:tc>
        <w:tc>
          <w:tcPr>
            <w:tcW w:w="4900" w:type="dxa"/>
            <w:tcBorders>
              <w:top w:val="single" w:color="auto" w:sz="4" w:space="0"/>
              <w:left w:val="single" w:color="auto" w:sz="4" w:space="0"/>
              <w:bottom w:val="single" w:color="auto" w:sz="4" w:space="0"/>
              <w:right w:val="single" w:color="auto" w:sz="4" w:space="0"/>
            </w:tcBorders>
            <w:vAlign w:val="center"/>
          </w:tcPr>
          <w:p w14:paraId="47877147">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带“★”的为实质性要求，不允许有负偏离</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不作为评审要求</w:t>
            </w:r>
            <w:r>
              <w:rPr>
                <w:rFonts w:hint="eastAsia" w:ascii="仿宋" w:hAnsi="仿宋" w:eastAsia="仿宋" w:cs="仿宋"/>
                <w:sz w:val="24"/>
                <w:szCs w:val="24"/>
              </w:rPr>
              <w:t>；</w:t>
            </w:r>
            <w:r>
              <w:rPr>
                <w:rFonts w:hint="eastAsia" w:ascii="仿宋" w:hAnsi="仿宋" w:eastAsia="仿宋" w:cs="仿宋"/>
                <w:sz w:val="24"/>
                <w:szCs w:val="24"/>
                <w:lang w:val="en-US" w:eastAsia="zh-CN"/>
              </w:rPr>
              <w:t>非</w:t>
            </w:r>
            <w:r>
              <w:rPr>
                <w:rFonts w:hint="eastAsia" w:ascii="仿宋" w:hAnsi="仿宋" w:eastAsia="仿宋" w:cs="仿宋"/>
                <w:sz w:val="24"/>
                <w:szCs w:val="24"/>
              </w:rPr>
              <w:t>“★”的为</w:t>
            </w:r>
            <w:r>
              <w:rPr>
                <w:rFonts w:hint="eastAsia" w:ascii="仿宋" w:hAnsi="仿宋" w:eastAsia="仿宋" w:cs="仿宋"/>
                <w:sz w:val="24"/>
                <w:szCs w:val="24"/>
                <w:lang w:val="en-US" w:eastAsia="zh-CN"/>
              </w:rPr>
              <w:t>一般技术参数</w:t>
            </w:r>
            <w:r>
              <w:rPr>
                <w:rFonts w:hint="eastAsia" w:ascii="仿宋" w:hAnsi="仿宋" w:eastAsia="仿宋" w:cs="仿宋"/>
                <w:sz w:val="24"/>
                <w:szCs w:val="24"/>
              </w:rPr>
              <w:t>条款</w:t>
            </w:r>
            <w:r>
              <w:rPr>
                <w:rFonts w:hint="eastAsia" w:ascii="仿宋" w:hAnsi="仿宋" w:eastAsia="仿宋" w:cs="仿宋"/>
                <w:sz w:val="24"/>
                <w:szCs w:val="24"/>
                <w:lang w:eastAsia="zh-CN"/>
              </w:rPr>
              <w:t>。</w:t>
            </w:r>
          </w:p>
          <w:p w14:paraId="1D1F1516">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供应商响应文件</w:t>
            </w:r>
            <w:r>
              <w:rPr>
                <w:rFonts w:hint="eastAsia" w:ascii="仿宋" w:hAnsi="仿宋" w:eastAsia="仿宋" w:cs="仿宋"/>
                <w:sz w:val="24"/>
                <w:szCs w:val="24"/>
              </w:rPr>
              <w:t>完全符合</w:t>
            </w:r>
            <w:r>
              <w:rPr>
                <w:rFonts w:hint="eastAsia" w:ascii="仿宋" w:hAnsi="仿宋" w:eastAsia="仿宋" w:cs="仿宋"/>
                <w:sz w:val="24"/>
                <w:szCs w:val="24"/>
                <w:lang w:val="en-US" w:eastAsia="zh-CN"/>
              </w:rPr>
              <w:t>谈判</w:t>
            </w:r>
            <w:r>
              <w:rPr>
                <w:rFonts w:hint="eastAsia" w:ascii="仿宋" w:hAnsi="仿宋" w:eastAsia="仿宋" w:cs="仿宋"/>
                <w:sz w:val="24"/>
                <w:szCs w:val="24"/>
              </w:rPr>
              <w:t>文件</w:t>
            </w:r>
            <w:r>
              <w:rPr>
                <w:rFonts w:hint="eastAsia" w:ascii="仿宋" w:hAnsi="仿宋" w:eastAsia="仿宋" w:cs="仿宋"/>
                <w:sz w:val="24"/>
                <w:szCs w:val="24"/>
                <w:lang w:val="zh-CN" w:eastAsia="zh-CN"/>
              </w:rPr>
              <w:t xml:space="preserve">第四章 </w:t>
            </w:r>
            <w:r>
              <w:rPr>
                <w:rFonts w:hint="eastAsia" w:ascii="仿宋" w:hAnsi="仿宋" w:eastAsia="仿宋" w:cs="仿宋"/>
                <w:sz w:val="24"/>
                <w:szCs w:val="24"/>
              </w:rPr>
              <w:t>采购需求“</w:t>
            </w:r>
            <w:r>
              <w:rPr>
                <w:rFonts w:hint="eastAsia" w:ascii="仿宋" w:hAnsi="仿宋" w:eastAsia="仿宋" w:cs="仿宋"/>
                <w:sz w:val="24"/>
                <w:szCs w:val="24"/>
                <w:lang w:val="en-US" w:eastAsia="zh-CN"/>
              </w:rPr>
              <w:t>1.服务内容</w:t>
            </w:r>
            <w:r>
              <w:rPr>
                <w:rFonts w:hint="eastAsia" w:ascii="仿宋" w:hAnsi="仿宋" w:eastAsia="仿宋" w:cs="仿宋"/>
                <w:sz w:val="24"/>
                <w:szCs w:val="24"/>
              </w:rPr>
              <w:t>”的得</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p w14:paraId="246FF958">
            <w:pP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一般技术参数</w:t>
            </w:r>
            <w:r>
              <w:rPr>
                <w:rFonts w:hint="eastAsia" w:ascii="仿宋" w:hAnsi="仿宋" w:eastAsia="仿宋" w:cs="仿宋"/>
                <w:sz w:val="24"/>
                <w:szCs w:val="24"/>
              </w:rPr>
              <w:t>条款</w:t>
            </w:r>
            <w:r>
              <w:rPr>
                <w:rFonts w:hint="eastAsia" w:ascii="仿宋" w:hAnsi="仿宋" w:eastAsia="仿宋" w:cs="仿宋"/>
                <w:sz w:val="24"/>
                <w:szCs w:val="24"/>
                <w:lang w:eastAsia="zh-CN"/>
              </w:rPr>
              <w:t>的响应得分规则如下：</w:t>
            </w:r>
          </w:p>
          <w:p w14:paraId="367F2F27">
            <w:pP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一般技术参数</w:t>
            </w:r>
            <w:r>
              <w:rPr>
                <w:rFonts w:hint="eastAsia" w:ascii="仿宋" w:hAnsi="仿宋" w:eastAsia="仿宋" w:cs="仿宋"/>
                <w:sz w:val="24"/>
                <w:szCs w:val="24"/>
              </w:rPr>
              <w:t>条款</w:t>
            </w:r>
            <w:r>
              <w:rPr>
                <w:rFonts w:hint="eastAsia" w:ascii="仿宋" w:hAnsi="仿宋" w:eastAsia="仿宋" w:cs="仿宋"/>
                <w:sz w:val="24"/>
                <w:szCs w:val="24"/>
                <w:lang w:eastAsia="zh-CN"/>
              </w:rPr>
              <w:t>响应得分=（供应商满足</w:t>
            </w:r>
            <w:r>
              <w:rPr>
                <w:rFonts w:hint="eastAsia" w:ascii="仿宋" w:hAnsi="仿宋" w:eastAsia="仿宋" w:cs="仿宋"/>
                <w:sz w:val="24"/>
                <w:szCs w:val="24"/>
                <w:lang w:val="en-US" w:eastAsia="zh-CN"/>
              </w:rPr>
              <w:t>一般技术参数</w:t>
            </w:r>
            <w:r>
              <w:rPr>
                <w:rFonts w:hint="eastAsia" w:ascii="仿宋" w:hAnsi="仿宋" w:eastAsia="仿宋" w:cs="仿宋"/>
                <w:sz w:val="24"/>
                <w:szCs w:val="24"/>
              </w:rPr>
              <w:t>条款</w:t>
            </w:r>
            <w:r>
              <w:rPr>
                <w:rFonts w:hint="eastAsia" w:ascii="仿宋" w:hAnsi="仿宋" w:eastAsia="仿宋" w:cs="仿宋"/>
                <w:sz w:val="24"/>
                <w:szCs w:val="24"/>
                <w:lang w:eastAsia="zh-CN"/>
              </w:rPr>
              <w:t>的数量÷</w:t>
            </w:r>
            <w:r>
              <w:rPr>
                <w:rFonts w:hint="eastAsia" w:ascii="仿宋" w:hAnsi="仿宋" w:eastAsia="仿宋" w:cs="仿宋"/>
                <w:sz w:val="24"/>
                <w:szCs w:val="24"/>
                <w:lang w:val="en-US" w:eastAsia="zh-CN"/>
              </w:rPr>
              <w:t>一般技术参数</w:t>
            </w:r>
            <w:r>
              <w:rPr>
                <w:rFonts w:hint="eastAsia" w:ascii="仿宋" w:hAnsi="仿宋" w:eastAsia="仿宋" w:cs="仿宋"/>
                <w:sz w:val="24"/>
                <w:szCs w:val="24"/>
              </w:rPr>
              <w:t>条款</w:t>
            </w:r>
            <w:r>
              <w:rPr>
                <w:rFonts w:hint="eastAsia" w:ascii="仿宋" w:hAnsi="仿宋" w:eastAsia="仿宋" w:cs="仿宋"/>
                <w:sz w:val="24"/>
                <w:szCs w:val="24"/>
                <w:lang w:val="en-US" w:eastAsia="zh-CN"/>
              </w:rPr>
              <w:t>的</w:t>
            </w:r>
            <w:r>
              <w:rPr>
                <w:rFonts w:hint="eastAsia" w:ascii="仿宋" w:hAnsi="仿宋" w:eastAsia="仿宋" w:cs="仿宋"/>
                <w:sz w:val="24"/>
                <w:szCs w:val="24"/>
                <w:lang w:eastAsia="zh-CN"/>
              </w:rPr>
              <w:t>总数量）×</w:t>
            </w:r>
            <w:r>
              <w:rPr>
                <w:rFonts w:hint="eastAsia" w:ascii="仿宋" w:hAnsi="仿宋" w:eastAsia="仿宋" w:cs="仿宋"/>
                <w:sz w:val="24"/>
                <w:szCs w:val="24"/>
                <w:lang w:val="en-US" w:eastAsia="zh-CN"/>
              </w:rPr>
              <w:t>30</w:t>
            </w:r>
            <w:r>
              <w:rPr>
                <w:rFonts w:hint="eastAsia" w:ascii="仿宋" w:hAnsi="仿宋" w:eastAsia="仿宋" w:cs="仿宋"/>
                <w:sz w:val="24"/>
                <w:szCs w:val="24"/>
                <w:lang w:eastAsia="zh-CN"/>
              </w:rPr>
              <w:t>分。</w:t>
            </w:r>
          </w:p>
          <w:p w14:paraId="414C0CCE">
            <w:pP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注：①得分保留小数点后两位小数，四舍五入。</w:t>
            </w:r>
          </w:p>
          <w:p w14:paraId="6A7FD7B7">
            <w:pP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②以“1</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3......”标识为一项。</w:t>
            </w:r>
          </w:p>
          <w:p w14:paraId="56F72C57">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lang w:eastAsia="zh-CN"/>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59CDD5B4">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val="en-US" w:eastAsia="zh-CN"/>
              </w:rPr>
              <w:t>人员配置8%</w:t>
            </w:r>
          </w:p>
        </w:tc>
        <w:tc>
          <w:tcPr>
            <w:tcW w:w="1383" w:type="dxa"/>
            <w:tcBorders>
              <w:top w:val="single" w:color="auto" w:sz="4" w:space="0"/>
              <w:left w:val="single" w:color="auto" w:sz="4" w:space="0"/>
              <w:bottom w:val="single" w:color="auto" w:sz="4" w:space="0"/>
              <w:right w:val="single" w:color="auto" w:sz="4" w:space="0"/>
            </w:tcBorders>
            <w:vAlign w:val="center"/>
          </w:tcPr>
          <w:p w14:paraId="49C88B8D">
            <w:pPr>
              <w:spacing w:line="24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highlight w:val="none"/>
                <w:lang w:val="en-US" w:eastAsia="zh-CN"/>
              </w:rPr>
              <w:t>8分</w:t>
            </w:r>
          </w:p>
        </w:tc>
        <w:tc>
          <w:tcPr>
            <w:tcW w:w="4900" w:type="dxa"/>
            <w:tcBorders>
              <w:top w:val="single" w:color="auto" w:sz="4" w:space="0"/>
              <w:left w:val="single" w:color="auto" w:sz="4" w:space="0"/>
              <w:bottom w:val="single" w:color="auto" w:sz="4" w:space="0"/>
              <w:right w:val="single" w:color="auto" w:sz="4" w:space="0"/>
            </w:tcBorders>
            <w:vAlign w:val="center"/>
          </w:tcPr>
          <w:p w14:paraId="5FCDBFC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驻场工程师具备计算机相关专业大学本科学历得2分，研究生及以上学历得4分。</w:t>
            </w:r>
          </w:p>
          <w:p w14:paraId="619ABC7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val="en-US" w:eastAsia="zh-CN"/>
              </w:rPr>
              <w:t>（2）驻场工程师具有中国信息安全测评中心注册信息安全专业人员认证证书得4分。</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注：同一人具备多项证书的不重复计分。供应商须提供</w:t>
            </w:r>
            <w:r>
              <w:rPr>
                <w:rFonts w:hint="eastAsia" w:ascii="仿宋" w:hAnsi="仿宋" w:eastAsia="仿宋" w:cs="仿宋"/>
                <w:sz w:val="24"/>
                <w:szCs w:val="24"/>
                <w:highlight w:val="none"/>
                <w:lang w:val="en-US" w:eastAsia="zh-CN"/>
              </w:rPr>
              <w:t>有效期内</w:t>
            </w:r>
            <w:r>
              <w:rPr>
                <w:rFonts w:hint="eastAsia" w:ascii="仿宋" w:hAnsi="仿宋" w:eastAsia="仿宋" w:cs="仿宋"/>
                <w:sz w:val="24"/>
                <w:szCs w:val="24"/>
                <w:highlight w:val="none"/>
              </w:rPr>
              <w:t>相关证书证明材料并加盖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公章。</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9495A5F">
            <w:pPr>
              <w:spacing w:line="24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highlight w:val="none"/>
                <w:lang w:val="en-US" w:eastAsia="zh-CN"/>
              </w:rPr>
              <w:t>项目实施方案12%</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spacing w:line="24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highlight w:val="none"/>
                <w:lang w:val="en-US" w:eastAsia="zh-CN"/>
              </w:rPr>
              <w:t>12分</w:t>
            </w:r>
          </w:p>
        </w:tc>
        <w:tc>
          <w:tcPr>
            <w:tcW w:w="4900" w:type="dxa"/>
            <w:tcBorders>
              <w:top w:val="single" w:color="auto" w:sz="4" w:space="0"/>
              <w:left w:val="single" w:color="auto" w:sz="4" w:space="0"/>
              <w:bottom w:val="single" w:color="auto" w:sz="4" w:space="0"/>
              <w:right w:val="single" w:color="auto" w:sz="4" w:space="0"/>
            </w:tcBorders>
            <w:vAlign w:val="center"/>
          </w:tcPr>
          <w:p w14:paraId="5F94F3F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供应商具有完善的项目</w:t>
            </w:r>
            <w:r>
              <w:rPr>
                <w:rFonts w:hint="eastAsia" w:ascii="仿宋" w:hAnsi="仿宋" w:eastAsia="仿宋" w:cs="仿宋"/>
                <w:sz w:val="24"/>
                <w:szCs w:val="24"/>
                <w:highlight w:val="none"/>
                <w:lang w:val="en-US" w:eastAsia="zh-CN"/>
              </w:rPr>
              <w:t>实施</w:t>
            </w:r>
            <w:r>
              <w:rPr>
                <w:rFonts w:hint="eastAsia" w:ascii="仿宋" w:hAnsi="仿宋" w:eastAsia="仿宋" w:cs="仿宋"/>
                <w:sz w:val="24"/>
                <w:szCs w:val="24"/>
                <w:highlight w:val="none"/>
              </w:rPr>
              <w:t>方案，包括但不限于（1）维保服务流程及维保实施方案、（2）质量监督体系、（3）故障处理流程、（</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）应急处理方案、（5）人员培训及文档交付要求、（6）具备规范的维保服务管理系统（提供完整系统网页或APP界面截图）。符合采购人需求的得</w:t>
            </w: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分；每缺少一项内容扣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分，每有一处内容存在缺陷扣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w:t>
            </w:r>
          </w:p>
          <w:p w14:paraId="2AF9FC3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227AF37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5" w:type="dxa"/>
            <w:tcBorders>
              <w:top w:val="single" w:color="auto" w:sz="4" w:space="0"/>
              <w:left w:val="single" w:color="auto" w:sz="4" w:space="0"/>
              <w:bottom w:val="single" w:color="auto" w:sz="4" w:space="0"/>
              <w:right w:val="single" w:color="auto" w:sz="4" w:space="0"/>
            </w:tcBorders>
            <w:vAlign w:val="center"/>
          </w:tcPr>
          <w:p w14:paraId="52930322">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综合实力</w:t>
            </w:r>
            <w:r>
              <w:rPr>
                <w:rFonts w:hint="eastAsia" w:ascii="仿宋" w:hAnsi="仿宋" w:eastAsia="仿宋" w:cs="仿宋"/>
                <w:sz w:val="24"/>
                <w:szCs w:val="24"/>
                <w:highlight w:val="none"/>
                <w:lang w:val="en-US" w:eastAsia="zh-CN"/>
              </w:rPr>
              <w:t>8%</w:t>
            </w:r>
          </w:p>
        </w:tc>
        <w:tc>
          <w:tcPr>
            <w:tcW w:w="1383" w:type="dxa"/>
            <w:tcBorders>
              <w:top w:val="single" w:color="auto" w:sz="4" w:space="0"/>
              <w:left w:val="single" w:color="auto" w:sz="4" w:space="0"/>
              <w:bottom w:val="single" w:color="auto" w:sz="4" w:space="0"/>
              <w:right w:val="single" w:color="auto" w:sz="4" w:space="0"/>
            </w:tcBorders>
            <w:vAlign w:val="center"/>
          </w:tcPr>
          <w:p w14:paraId="6E95E8F8">
            <w:pPr>
              <w:spacing w:line="24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highlight w:val="none"/>
                <w:lang w:val="en-US" w:eastAsia="zh-CN"/>
              </w:rPr>
              <w:t>8分</w:t>
            </w:r>
          </w:p>
        </w:tc>
        <w:tc>
          <w:tcPr>
            <w:tcW w:w="4900" w:type="dxa"/>
            <w:tcBorders>
              <w:top w:val="single" w:color="auto" w:sz="4" w:space="0"/>
              <w:left w:val="single" w:color="auto" w:sz="4" w:space="0"/>
              <w:bottom w:val="single" w:color="auto" w:sz="4" w:space="0"/>
              <w:right w:val="single" w:color="auto" w:sz="4" w:space="0"/>
            </w:tcBorders>
            <w:vAlign w:val="center"/>
          </w:tcPr>
          <w:p w14:paraId="208485B7">
            <w:pPr>
              <w:spacing w:line="24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供应商具有以下证书：</w:t>
            </w:r>
          </w:p>
          <w:p w14:paraId="6EC21CC9">
            <w:pPr>
              <w:spacing w:line="24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（1）中国网络安全审查技术与认证中心颁发信息安全风险评估服务资质（1级）</w:t>
            </w:r>
          </w:p>
          <w:p w14:paraId="46919188">
            <w:pPr>
              <w:spacing w:line="24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（2）中国网络安全审查技术与认证中心颁发信息安全应急处理服务资质（1级）</w:t>
            </w:r>
          </w:p>
          <w:p w14:paraId="44B45714">
            <w:pPr>
              <w:spacing w:line="24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（3）中国网络安全审查技术与认证中心颁发信息系统安全运维服务资质（1级）</w:t>
            </w:r>
          </w:p>
          <w:p w14:paraId="58DB141A">
            <w:pPr>
              <w:spacing w:line="24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（4）CTEAS售后服务体系完善程度认证（七星）</w:t>
            </w:r>
          </w:p>
          <w:p w14:paraId="170FE7F6">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每提供一个证书得</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分，全部满足得</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注：以上证明材料需提供：①认证证书复印件；②证书查询网址和网页查询结果截图加盖供应商公章。</w:t>
            </w:r>
          </w:p>
        </w:tc>
        <w:tc>
          <w:tcPr>
            <w:tcW w:w="1086" w:type="dxa"/>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6F98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2342A78B">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1505" w:type="dxa"/>
            <w:tcBorders>
              <w:top w:val="single" w:color="auto" w:sz="4" w:space="0"/>
              <w:left w:val="single" w:color="auto" w:sz="4" w:space="0"/>
              <w:bottom w:val="single" w:color="auto" w:sz="4" w:space="0"/>
              <w:right w:val="single" w:color="auto" w:sz="4" w:space="0"/>
            </w:tcBorders>
            <w:vAlign w:val="center"/>
          </w:tcPr>
          <w:p w14:paraId="4E86C8A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12%</w:t>
            </w:r>
          </w:p>
        </w:tc>
        <w:tc>
          <w:tcPr>
            <w:tcW w:w="1383" w:type="dxa"/>
            <w:tcBorders>
              <w:top w:val="single" w:color="auto" w:sz="4" w:space="0"/>
              <w:left w:val="single" w:color="auto" w:sz="4" w:space="0"/>
              <w:bottom w:val="single" w:color="auto" w:sz="4" w:space="0"/>
              <w:right w:val="single" w:color="auto" w:sz="4" w:space="0"/>
            </w:tcBorders>
            <w:vAlign w:val="center"/>
          </w:tcPr>
          <w:p w14:paraId="54BC0819">
            <w:pPr>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12分</w:t>
            </w:r>
          </w:p>
        </w:tc>
        <w:tc>
          <w:tcPr>
            <w:tcW w:w="4900" w:type="dxa"/>
            <w:tcBorders>
              <w:top w:val="single" w:color="auto" w:sz="4" w:space="0"/>
              <w:left w:val="single" w:color="auto" w:sz="4" w:space="0"/>
              <w:bottom w:val="single" w:color="auto" w:sz="4" w:space="0"/>
              <w:right w:val="single" w:color="auto" w:sz="4" w:space="0"/>
            </w:tcBorders>
            <w:vAlign w:val="center"/>
          </w:tcPr>
          <w:p w14:paraId="4AF0DE0F">
            <w:pPr>
              <w:spacing w:line="240" w:lineRule="auto"/>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供应商提供</w:t>
            </w:r>
            <w:r>
              <w:rPr>
                <w:rFonts w:hint="eastAsia" w:ascii="仿宋" w:hAnsi="仿宋" w:eastAsia="仿宋" w:cs="仿宋"/>
                <w:sz w:val="24"/>
                <w:szCs w:val="24"/>
                <w:highlight w:val="none"/>
                <w:lang w:val="en-US" w:eastAsia="zh-CN"/>
              </w:rPr>
              <w:t>2023年1月1日（含）以来</w:t>
            </w:r>
            <w:r>
              <w:rPr>
                <w:rFonts w:hint="eastAsia" w:ascii="仿宋" w:hAnsi="仿宋" w:eastAsia="仿宋" w:cs="仿宋"/>
                <w:sz w:val="24"/>
                <w:szCs w:val="24"/>
                <w:highlight w:val="none"/>
              </w:rPr>
              <w:t>类似</w:t>
            </w:r>
            <w:r>
              <w:rPr>
                <w:rFonts w:hint="eastAsia" w:ascii="仿宋" w:hAnsi="仿宋" w:eastAsia="仿宋" w:cs="仿宋"/>
                <w:sz w:val="24"/>
                <w:szCs w:val="24"/>
                <w:highlight w:val="none"/>
                <w:lang w:val="en-US" w:eastAsia="zh-CN"/>
              </w:rPr>
              <w:t>服务器</w:t>
            </w:r>
            <w:r>
              <w:rPr>
                <w:rFonts w:hint="eastAsia" w:ascii="仿宋" w:hAnsi="仿宋" w:eastAsia="仿宋" w:cs="仿宋"/>
                <w:sz w:val="24"/>
                <w:szCs w:val="24"/>
                <w:highlight w:val="none"/>
              </w:rPr>
              <w:t>运维服务项目的业绩证明，</w:t>
            </w:r>
            <w:r>
              <w:rPr>
                <w:rFonts w:hint="eastAsia" w:ascii="仿宋" w:hAnsi="仿宋" w:eastAsia="仿宋" w:cs="仿宋"/>
                <w:sz w:val="24"/>
                <w:szCs w:val="24"/>
                <w:highlight w:val="none"/>
                <w:lang w:val="en-US" w:eastAsia="zh-CN"/>
              </w:rPr>
              <w:t>每</w:t>
            </w:r>
            <w:r>
              <w:rPr>
                <w:rFonts w:hint="eastAsia" w:ascii="仿宋" w:hAnsi="仿宋" w:eastAsia="仿宋" w:cs="仿宋"/>
                <w:sz w:val="24"/>
                <w:szCs w:val="24"/>
                <w:highlight w:val="none"/>
              </w:rPr>
              <w:t>提供1个</w:t>
            </w:r>
            <w:r>
              <w:rPr>
                <w:rFonts w:hint="eastAsia" w:ascii="仿宋" w:hAnsi="仿宋" w:eastAsia="仿宋" w:cs="仿宋"/>
                <w:sz w:val="24"/>
                <w:szCs w:val="24"/>
                <w:highlight w:val="none"/>
                <w:lang w:val="en-US" w:eastAsia="zh-CN"/>
              </w:rPr>
              <w:t>类似业绩</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分，最高得</w:t>
            </w: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2A7A13F2">
            <w:pPr>
              <w:spacing w:line="240" w:lineRule="auto"/>
              <w:jc w:val="left"/>
              <w:rPr>
                <w:rFonts w:hint="eastAsia" w:ascii="仿宋" w:hAnsi="仿宋" w:eastAsia="仿宋" w:cs="仿宋"/>
                <w:kern w:val="0"/>
                <w:sz w:val="24"/>
                <w:szCs w:val="24"/>
                <w:highlight w:val="none"/>
                <w:lang w:bidi="ar"/>
              </w:rPr>
            </w:pPr>
            <w:r>
              <w:rPr>
                <w:rFonts w:hint="eastAsia" w:ascii="仿宋" w:hAnsi="仿宋" w:eastAsia="仿宋" w:cs="仿宋"/>
                <w:kern w:val="0"/>
                <w:sz w:val="24"/>
                <w:szCs w:val="24"/>
                <w:highlight w:val="none"/>
                <w:lang w:bidi="ar"/>
              </w:rPr>
              <w:t>注：</w:t>
            </w:r>
            <w:r>
              <w:rPr>
                <w:rFonts w:hint="eastAsia" w:ascii="仿宋" w:hAnsi="仿宋" w:eastAsia="仿宋" w:cs="仿宋"/>
                <w:kern w:val="0"/>
                <w:sz w:val="24"/>
                <w:szCs w:val="24"/>
                <w:highlight w:val="none"/>
                <w:lang w:val="en-US" w:eastAsia="zh-CN" w:bidi="ar"/>
              </w:rPr>
              <w:t>（1）以合同签订时间为准；（2）提供采购合同关键页（合同首页、建设内容、金额、签字盖章页）材料复印件，并加盖供应商公章。</w:t>
            </w:r>
          </w:p>
        </w:tc>
        <w:tc>
          <w:tcPr>
            <w:tcW w:w="1086" w:type="dxa"/>
            <w:tcBorders>
              <w:top w:val="single" w:color="auto" w:sz="4" w:space="0"/>
              <w:left w:val="single" w:color="auto" w:sz="4" w:space="0"/>
              <w:bottom w:val="single" w:color="auto" w:sz="4" w:space="0"/>
              <w:right w:val="single" w:color="auto" w:sz="4" w:space="0"/>
            </w:tcBorders>
            <w:vAlign w:val="center"/>
          </w:tcPr>
          <w:p w14:paraId="66FC9D1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4F17DA45">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3"/>
        <w:numPr>
          <w:ilvl w:val="0"/>
          <w:numId w:val="0"/>
        </w:numPr>
        <w:ind w:left="0" w:leftChars="0" w:firstLine="0" w:firstLineChars="0"/>
        <w:rPr>
          <w:rFonts w:ascii="Times New Roman" w:hAnsi="Times New Roman" w:cs="Times New Roman"/>
        </w:rPr>
      </w:pPr>
      <w:bookmarkStart w:id="20" w:name="_Toc22827"/>
      <w:bookmarkStart w:id="21" w:name="_Toc28171"/>
      <w:bookmarkStart w:id="22" w:name="_Toc3094"/>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30609"/>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7163"/>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526"/>
      <w:bookmarkStart w:id="44" w:name="_Toc2989"/>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2031"/>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1352"/>
      <w:bookmarkStart w:id="52" w:name="_Toc3023"/>
      <w:bookmarkStart w:id="53" w:name="_Toc14829"/>
      <w:bookmarkStart w:id="54" w:name="_Toc2151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2"/>
        <w:numPr>
          <w:ilvl w:val="0"/>
          <w:numId w:val="0"/>
        </w:numPr>
        <w:ind w:left="0" w:leftChars="0" w:firstLine="0" w:firstLineChars="0"/>
      </w:pPr>
      <w:r>
        <w:rPr>
          <w:rFonts w:hint="eastAsia" w:cs="Times New Roman"/>
          <w:b/>
          <w:kern w:val="2"/>
          <w:sz w:val="32"/>
          <w:szCs w:val="22"/>
          <w:lang w:val="en-US" w:eastAsia="zh-CN" w:bidi="ar-SA"/>
        </w:rPr>
        <w:t>一</w:t>
      </w:r>
      <w:r>
        <w:rPr>
          <w:rFonts w:hint="eastAsia" w:ascii="Times New Roman" w:hAnsi="Times New Roman" w:eastAsia="仿宋" w:cs="Times New Roman"/>
          <w:b/>
          <w:kern w:val="2"/>
          <w:sz w:val="32"/>
          <w:szCs w:val="22"/>
          <w:lang w:val="zh-CN" w:eastAsia="zh-CN" w:bidi="ar-SA"/>
        </w:rPr>
        <w:t>、</w:t>
      </w: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4305"/>
      <w:bookmarkStart w:id="58" w:name="_Toc31838"/>
      <w:bookmarkStart w:id="59" w:name="_Toc17857"/>
      <w:bookmarkStart w:id="60" w:name="_Toc30971"/>
      <w:r>
        <w:rPr>
          <w:rFonts w:ascii="Times New Roman" w:hAnsi="Times New Roman" w:cs="Times New Roman"/>
        </w:rPr>
        <w:br w:type="page"/>
      </w:r>
    </w:p>
    <w:p w14:paraId="72845348">
      <w:pPr>
        <w:pStyle w:val="2"/>
        <w:numPr>
          <w:ilvl w:val="0"/>
          <w:numId w:val="0"/>
        </w:numPr>
        <w:ind w:left="0" w:leftChars="0" w:firstLine="0" w:firstLineChars="0"/>
      </w:pPr>
      <w:r>
        <w:rPr>
          <w:rFonts w:hint="eastAsia" w:cs="Times New Roman"/>
          <w:b/>
          <w:kern w:val="2"/>
          <w:sz w:val="32"/>
          <w:szCs w:val="22"/>
          <w:lang w:val="en-US" w:eastAsia="zh-CN" w:bidi="ar-SA"/>
        </w:rPr>
        <w:t>二</w:t>
      </w:r>
      <w:r>
        <w:rPr>
          <w:rFonts w:hint="eastAsia" w:ascii="Times New Roman" w:hAnsi="Times New Roman" w:eastAsia="仿宋" w:cs="Times New Roman"/>
          <w:b/>
          <w:kern w:val="2"/>
          <w:sz w:val="32"/>
          <w:szCs w:val="22"/>
          <w:lang w:val="zh-CN" w:eastAsia="zh-CN" w:bidi="ar-SA"/>
        </w:rPr>
        <w:t>、</w:t>
      </w: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2"/>
        <w:numPr>
          <w:ilvl w:val="0"/>
          <w:numId w:val="0"/>
        </w:numPr>
        <w:ind w:left="0" w:leftChars="0" w:firstLine="0" w:firstLineChars="0"/>
        <w:rPr>
          <w:rStyle w:val="32"/>
          <w:szCs w:val="28"/>
        </w:rPr>
      </w:pPr>
      <w:r>
        <w:rPr>
          <w:bCs/>
        </w:rPr>
        <w:br w:type="page"/>
      </w:r>
      <w:bookmarkStart w:id="61" w:name="_Toc15613"/>
      <w:bookmarkStart w:id="62" w:name="_Toc27186"/>
      <w:bookmarkStart w:id="63" w:name="_Toc30158"/>
      <w:r>
        <w:rPr>
          <w:rFonts w:hint="eastAsia"/>
          <w:bCs/>
          <w:lang w:val="en-US" w:eastAsia="zh-CN"/>
        </w:rPr>
        <w:t>三、</w:t>
      </w:r>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2"/>
        <w:numPr>
          <w:ilvl w:val="0"/>
          <w:numId w:val="0"/>
        </w:numPr>
        <w:ind w:left="0" w:leftChars="0" w:firstLine="0" w:firstLineChars="0"/>
        <w:rPr>
          <w:szCs w:val="32"/>
        </w:rPr>
      </w:pPr>
      <w:bookmarkStart w:id="67" w:name="_Toc15508"/>
      <w:bookmarkStart w:id="68" w:name="_Toc23146"/>
      <w:r>
        <w:rPr>
          <w:rFonts w:hint="eastAsia" w:cs="Times New Roman"/>
          <w:b/>
          <w:kern w:val="2"/>
          <w:sz w:val="32"/>
          <w:szCs w:val="32"/>
          <w:lang w:val="zh-CN" w:eastAsia="zh-CN" w:bidi="ar-SA"/>
        </w:rPr>
        <w:t>四</w:t>
      </w:r>
      <w:r>
        <w:rPr>
          <w:rFonts w:hint="eastAsia" w:ascii="Times New Roman" w:hAnsi="Times New Roman" w:eastAsia="仿宋" w:cs="Times New Roman"/>
          <w:b/>
          <w:kern w:val="2"/>
          <w:sz w:val="32"/>
          <w:szCs w:val="32"/>
          <w:lang w:val="zh-CN" w:eastAsia="zh-CN" w:bidi="ar-SA"/>
        </w:rPr>
        <w:t>、</w:t>
      </w:r>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2"/>
        <w:numPr>
          <w:ilvl w:val="0"/>
          <w:numId w:val="0"/>
        </w:numPr>
        <w:ind w:left="0" w:leftChars="0" w:firstLine="0" w:firstLineChars="0"/>
        <w:rPr>
          <w:szCs w:val="32"/>
        </w:rPr>
      </w:pPr>
      <w:r>
        <w:rPr>
          <w:szCs w:val="32"/>
        </w:rPr>
        <w:br w:type="page"/>
      </w:r>
      <w:bookmarkStart w:id="69" w:name="_Toc11351"/>
      <w:bookmarkStart w:id="70" w:name="_Toc15526"/>
      <w:bookmarkStart w:id="71" w:name="_Toc25638"/>
      <w:bookmarkStart w:id="72" w:name="_Toc20589"/>
      <w:bookmarkStart w:id="73" w:name="_Toc12015"/>
      <w:bookmarkStart w:id="74" w:name="_Toc27661"/>
      <w:r>
        <w:rPr>
          <w:rFonts w:hint="eastAsia"/>
          <w:szCs w:val="32"/>
          <w:lang w:val="en-US" w:eastAsia="zh-CN"/>
        </w:rPr>
        <w:t>五</w:t>
      </w:r>
      <w:r>
        <w:rPr>
          <w:rFonts w:hint="eastAsia" w:ascii="Times New Roman" w:hAnsi="Times New Roman" w:eastAsia="仿宋" w:cs="Times New Roman"/>
          <w:b/>
          <w:bCs/>
          <w:kern w:val="2"/>
          <w:sz w:val="32"/>
          <w:szCs w:val="32"/>
          <w:lang w:val="zh-CN" w:eastAsia="zh-CN" w:bidi="ar-SA"/>
        </w:rPr>
        <w:t>、</w:t>
      </w:r>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2"/>
        <w:numPr>
          <w:ilvl w:val="0"/>
          <w:numId w:val="0"/>
        </w:numPr>
        <w:ind w:left="0" w:leftChars="0" w:firstLine="0" w:firstLineChars="0"/>
        <w:rPr>
          <w:szCs w:val="32"/>
        </w:rPr>
      </w:pPr>
      <w:r>
        <w:rPr>
          <w:szCs w:val="32"/>
        </w:rPr>
        <w:br w:type="page"/>
      </w:r>
      <w:bookmarkStart w:id="75" w:name="_Toc1074"/>
      <w:bookmarkStart w:id="76" w:name="_Toc12967"/>
      <w:bookmarkStart w:id="77" w:name="_Toc23967"/>
      <w:bookmarkStart w:id="78" w:name="_Toc16435"/>
      <w:bookmarkStart w:id="79" w:name="_Toc2041"/>
      <w:bookmarkStart w:id="80" w:name="_Toc26969"/>
      <w:r>
        <w:rPr>
          <w:rFonts w:hint="eastAsia" w:ascii="Times New Roman" w:hAnsi="Times New Roman" w:eastAsia="仿宋" w:cs="Times New Roman"/>
          <w:b/>
          <w:kern w:val="2"/>
          <w:sz w:val="32"/>
          <w:szCs w:val="32"/>
          <w:lang w:val="zh-CN" w:eastAsia="zh-CN" w:bidi="ar-SA"/>
        </w:rPr>
        <w:t>六、</w:t>
      </w:r>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2"/>
        <w:numPr>
          <w:ilvl w:val="0"/>
          <w:numId w:val="0"/>
        </w:numPr>
        <w:ind w:left="0" w:leftChars="0" w:firstLine="0" w:firstLineChars="0"/>
        <w:rPr>
          <w:bCs/>
          <w:szCs w:val="32"/>
        </w:rPr>
      </w:pPr>
      <w:r>
        <w:rPr>
          <w:szCs w:val="32"/>
        </w:rPr>
        <w:br w:type="page"/>
      </w:r>
      <w:bookmarkStart w:id="81" w:name="_Toc1369"/>
      <w:bookmarkStart w:id="82" w:name="_Toc26839"/>
      <w:bookmarkStart w:id="83" w:name="_Toc31686"/>
      <w:bookmarkStart w:id="84" w:name="_Toc24806"/>
      <w:bookmarkStart w:id="85" w:name="_Toc28634"/>
      <w:bookmarkStart w:id="86" w:name="_Toc21082"/>
      <w:r>
        <w:rPr>
          <w:rFonts w:hint="eastAsia" w:ascii="Times New Roman" w:hAnsi="Times New Roman" w:eastAsia="仿宋" w:cs="Times New Roman"/>
          <w:b/>
          <w:kern w:val="2"/>
          <w:sz w:val="32"/>
          <w:szCs w:val="32"/>
          <w:lang w:val="zh-CN" w:eastAsia="zh-CN" w:bidi="ar-SA"/>
        </w:rPr>
        <w:t>七、</w:t>
      </w:r>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2"/>
        <w:numPr>
          <w:ilvl w:val="0"/>
          <w:numId w:val="0"/>
        </w:numPr>
        <w:ind w:left="0" w:leftChars="0" w:firstLine="0" w:firstLineChars="0"/>
        <w:rPr>
          <w:highlight w:val="none"/>
        </w:rPr>
      </w:pPr>
      <w:bookmarkStart w:id="90" w:name="_Toc15065"/>
      <w:r>
        <w:rPr>
          <w:rFonts w:hint="eastAsia" w:ascii="Times New Roman" w:hAnsi="Times New Roman" w:eastAsia="仿宋" w:cs="Times New Roman"/>
          <w:b/>
          <w:bCs/>
          <w:kern w:val="2"/>
          <w:sz w:val="32"/>
          <w:szCs w:val="32"/>
          <w:lang w:val="zh-CN" w:eastAsia="zh-CN" w:bidi="ar-SA"/>
        </w:rPr>
        <w:t>八、</w:t>
      </w:r>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27D10C87">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6"/>
        <w:gridCol w:w="3518"/>
        <w:gridCol w:w="4940"/>
      </w:tblGrid>
      <w:tr w14:paraId="780EB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jc w:val="center"/>
        </w:trPr>
        <w:tc>
          <w:tcPr>
            <w:tcW w:w="1216" w:type="dxa"/>
            <w:vAlign w:val="center"/>
          </w:tcPr>
          <w:p w14:paraId="21990D00">
            <w:pPr>
              <w:spacing w:line="240" w:lineRule="auto"/>
              <w:jc w:val="center"/>
              <w:rPr>
                <w:rFonts w:hint="eastAsia" w:ascii="仿宋" w:hAnsi="仿宋" w:eastAsia="仿宋" w:cs="仿宋"/>
                <w:b/>
                <w:bCs/>
                <w:kern w:val="0"/>
                <w:sz w:val="24"/>
                <w:szCs w:val="24"/>
                <w:highlight w:val="none"/>
                <w:lang w:val="zh-TW" w:eastAsia="zh-TW"/>
              </w:rPr>
            </w:pPr>
            <w:r>
              <w:rPr>
                <w:rFonts w:hint="eastAsia" w:ascii="仿宋" w:hAnsi="仿宋" w:eastAsia="仿宋" w:cs="仿宋"/>
                <w:b/>
                <w:bCs/>
                <w:kern w:val="0"/>
                <w:sz w:val="24"/>
                <w:szCs w:val="24"/>
                <w:highlight w:val="none"/>
                <w:lang w:val="zh-TW" w:eastAsia="zh-TW"/>
              </w:rPr>
              <w:t>序号</w:t>
            </w:r>
          </w:p>
        </w:tc>
        <w:tc>
          <w:tcPr>
            <w:tcW w:w="3518" w:type="dxa"/>
            <w:vAlign w:val="center"/>
          </w:tcPr>
          <w:p w14:paraId="60ACD2BD">
            <w:pPr>
              <w:spacing w:line="240" w:lineRule="auto"/>
              <w:jc w:val="center"/>
              <w:rPr>
                <w:rFonts w:hint="default" w:ascii="仿宋" w:hAnsi="仿宋" w:eastAsia="仿宋" w:cs="仿宋"/>
                <w:b/>
                <w:bCs/>
                <w:kern w:val="0"/>
                <w:sz w:val="24"/>
                <w:szCs w:val="24"/>
                <w:highlight w:val="none"/>
                <w:lang w:val="en-US" w:eastAsia="zh-CN"/>
              </w:rPr>
            </w:pPr>
            <w:r>
              <w:rPr>
                <w:rFonts w:hint="eastAsia" w:ascii="仿宋" w:hAnsi="仿宋" w:eastAsia="仿宋" w:cs="仿宋"/>
                <w:b/>
                <w:bCs/>
                <w:kern w:val="0"/>
                <w:sz w:val="24"/>
                <w:szCs w:val="24"/>
                <w:highlight w:val="none"/>
                <w:lang w:val="en-US" w:eastAsia="zh-CN"/>
              </w:rPr>
              <w:t>分项</w:t>
            </w:r>
          </w:p>
        </w:tc>
        <w:tc>
          <w:tcPr>
            <w:tcW w:w="4940" w:type="dxa"/>
            <w:vAlign w:val="center"/>
          </w:tcPr>
          <w:p w14:paraId="608B432D">
            <w:pPr>
              <w:spacing w:line="240" w:lineRule="auto"/>
              <w:jc w:val="center"/>
              <w:rPr>
                <w:rFonts w:hint="eastAsia" w:ascii="仿宋" w:hAnsi="仿宋" w:eastAsia="仿宋" w:cs="仿宋"/>
                <w:b/>
                <w:bCs/>
                <w:kern w:val="0"/>
                <w:sz w:val="24"/>
                <w:szCs w:val="24"/>
                <w:highlight w:val="none"/>
                <w:lang w:val="en-US" w:eastAsia="zh-CN"/>
              </w:rPr>
            </w:pPr>
            <w:r>
              <w:rPr>
                <w:rFonts w:hint="eastAsia" w:ascii="仿宋" w:hAnsi="仿宋" w:eastAsia="仿宋" w:cs="仿宋"/>
                <w:b/>
                <w:bCs/>
                <w:kern w:val="0"/>
                <w:sz w:val="24"/>
                <w:szCs w:val="24"/>
                <w:highlight w:val="none"/>
                <w:lang w:val="en-US" w:eastAsia="zh-CN"/>
              </w:rPr>
              <w:t>报价（元）</w:t>
            </w:r>
          </w:p>
        </w:tc>
      </w:tr>
      <w:tr w14:paraId="5622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9" w:hRule="atLeast"/>
          <w:jc w:val="center"/>
        </w:trPr>
        <w:tc>
          <w:tcPr>
            <w:tcW w:w="1216" w:type="dxa"/>
            <w:vAlign w:val="center"/>
          </w:tcPr>
          <w:p w14:paraId="76999690">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3518" w:type="dxa"/>
            <w:vAlign w:val="center"/>
          </w:tcPr>
          <w:p w14:paraId="391641FB">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设备维保费用合计</w:t>
            </w:r>
          </w:p>
        </w:tc>
        <w:tc>
          <w:tcPr>
            <w:tcW w:w="4940" w:type="dxa"/>
            <w:vAlign w:val="center"/>
          </w:tcPr>
          <w:p w14:paraId="6304DF3B">
            <w:pPr>
              <w:pStyle w:val="7"/>
              <w:spacing w:line="240" w:lineRule="auto"/>
              <w:jc w:val="center"/>
              <w:rPr>
                <w:rFonts w:hint="eastAsia" w:ascii="仿宋" w:hAnsi="仿宋" w:eastAsia="仿宋" w:cs="仿宋"/>
                <w:sz w:val="24"/>
                <w:szCs w:val="24"/>
                <w:highlight w:val="none"/>
              </w:rPr>
            </w:pPr>
          </w:p>
        </w:tc>
      </w:tr>
      <w:tr w14:paraId="05E4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9" w:hRule="atLeast"/>
          <w:jc w:val="center"/>
        </w:trPr>
        <w:tc>
          <w:tcPr>
            <w:tcW w:w="1216" w:type="dxa"/>
            <w:vAlign w:val="center"/>
          </w:tcPr>
          <w:p w14:paraId="142D9C08">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3518" w:type="dxa"/>
            <w:vAlign w:val="center"/>
          </w:tcPr>
          <w:p w14:paraId="16A278F5">
            <w:pPr>
              <w:pStyle w:val="7"/>
              <w:spacing w:line="240" w:lineRule="auto"/>
              <w:jc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驻场人员</w:t>
            </w:r>
          </w:p>
        </w:tc>
        <w:tc>
          <w:tcPr>
            <w:tcW w:w="4940" w:type="dxa"/>
            <w:vAlign w:val="center"/>
          </w:tcPr>
          <w:p w14:paraId="34330192">
            <w:pPr>
              <w:pStyle w:val="7"/>
              <w:spacing w:line="240" w:lineRule="auto"/>
              <w:jc w:val="center"/>
              <w:rPr>
                <w:rFonts w:hint="eastAsia" w:ascii="仿宋" w:hAnsi="仿宋" w:eastAsia="仿宋" w:cs="仿宋"/>
                <w:sz w:val="24"/>
                <w:szCs w:val="24"/>
                <w:highlight w:val="none"/>
              </w:rPr>
            </w:pPr>
          </w:p>
        </w:tc>
      </w:tr>
      <w:tr w14:paraId="030AA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jc w:val="center"/>
        </w:trPr>
        <w:tc>
          <w:tcPr>
            <w:tcW w:w="1216" w:type="dxa"/>
            <w:vAlign w:val="center"/>
          </w:tcPr>
          <w:p w14:paraId="472ED7AA">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报价合计</w:t>
            </w:r>
          </w:p>
        </w:tc>
        <w:tc>
          <w:tcPr>
            <w:tcW w:w="8458" w:type="dxa"/>
            <w:gridSpan w:val="2"/>
            <w:vAlign w:val="center"/>
          </w:tcPr>
          <w:p w14:paraId="7DCFFB27">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大写：     小写：</w:t>
            </w:r>
          </w:p>
        </w:tc>
      </w:tr>
    </w:tbl>
    <w:p w14:paraId="05DBF337">
      <w:pPr>
        <w:pStyle w:val="7"/>
        <w:rPr>
          <w:rFonts w:hint="eastAsia" w:ascii="仿宋" w:hAnsi="仿宋" w:eastAsia="仿宋" w:cs="仿宋"/>
          <w:b/>
          <w:bCs/>
          <w:sz w:val="24"/>
          <w:szCs w:val="24"/>
          <w:lang w:val="en-US" w:eastAsia="zh-CN"/>
        </w:rPr>
      </w:pPr>
    </w:p>
    <w:p w14:paraId="5D88C3C6">
      <w:pPr>
        <w:pStyle w:val="7"/>
        <w:rPr>
          <w:rFonts w:hint="eastAsia" w:ascii="仿宋" w:hAnsi="仿宋" w:eastAsia="仿宋" w:cs="仿宋"/>
          <w:b/>
          <w:bCs/>
          <w:sz w:val="24"/>
          <w:szCs w:val="24"/>
          <w:lang w:val="zh-TW" w:eastAsia="zh-TW"/>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维保清单</w:t>
      </w:r>
      <w:r>
        <w:rPr>
          <w:rFonts w:hint="eastAsia" w:ascii="仿宋" w:hAnsi="仿宋" w:eastAsia="仿宋" w:cs="仿宋"/>
          <w:b/>
          <w:bCs/>
          <w:sz w:val="24"/>
          <w:szCs w:val="24"/>
          <w:lang w:val="zh-TW" w:eastAsia="zh-TW"/>
        </w:rPr>
        <w:t>分项报价</w:t>
      </w:r>
    </w:p>
    <w:tbl>
      <w:tblPr>
        <w:tblStyle w:val="1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34"/>
        <w:gridCol w:w="2926"/>
        <w:gridCol w:w="1124"/>
        <w:gridCol w:w="895"/>
        <w:gridCol w:w="749"/>
        <w:gridCol w:w="1761"/>
        <w:gridCol w:w="1761"/>
      </w:tblGrid>
      <w:tr w14:paraId="404D1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5240C248">
            <w:pPr>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1484" w:type="pct"/>
            <w:shd w:val="clear" w:color="auto" w:fill="auto"/>
            <w:vAlign w:val="center"/>
          </w:tcPr>
          <w:p w14:paraId="54A65A1B">
            <w:pPr>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名称</w:t>
            </w:r>
          </w:p>
        </w:tc>
        <w:tc>
          <w:tcPr>
            <w:tcW w:w="570" w:type="pct"/>
            <w:shd w:val="clear" w:color="auto" w:fill="auto"/>
            <w:vAlign w:val="center"/>
          </w:tcPr>
          <w:p w14:paraId="321ABF42">
            <w:pPr>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类型</w:t>
            </w:r>
          </w:p>
        </w:tc>
        <w:tc>
          <w:tcPr>
            <w:tcW w:w="454" w:type="pct"/>
            <w:shd w:val="clear" w:color="auto" w:fill="auto"/>
            <w:vAlign w:val="center"/>
          </w:tcPr>
          <w:p w14:paraId="2DCCAFE1">
            <w:pPr>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数量</w:t>
            </w:r>
          </w:p>
        </w:tc>
        <w:tc>
          <w:tcPr>
            <w:tcW w:w="380" w:type="pct"/>
            <w:shd w:val="clear" w:color="auto" w:fill="auto"/>
            <w:vAlign w:val="center"/>
          </w:tcPr>
          <w:p w14:paraId="43AD851A">
            <w:pPr>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单位</w:t>
            </w:r>
          </w:p>
        </w:tc>
        <w:tc>
          <w:tcPr>
            <w:tcW w:w="893" w:type="pct"/>
            <w:shd w:val="clear" w:color="auto" w:fill="auto"/>
            <w:vAlign w:val="center"/>
          </w:tcPr>
          <w:p w14:paraId="2536DE06">
            <w:pPr>
              <w:spacing w:line="240" w:lineRule="auto"/>
              <w:jc w:val="center"/>
              <w:rPr>
                <w:rFonts w:hint="eastAsia" w:ascii="仿宋" w:hAnsi="仿宋" w:eastAsia="仿宋" w:cs="仿宋"/>
                <w:b/>
                <w:sz w:val="24"/>
                <w:szCs w:val="24"/>
              </w:rPr>
            </w:pPr>
            <w:r>
              <w:rPr>
                <w:rFonts w:hint="eastAsia" w:ascii="仿宋" w:hAnsi="仿宋" w:eastAsia="仿宋" w:cs="仿宋"/>
                <w:b/>
                <w:sz w:val="24"/>
                <w:szCs w:val="24"/>
                <w:lang w:val="en-US" w:eastAsia="zh-CN"/>
              </w:rPr>
              <w:t>单价</w:t>
            </w:r>
            <w:r>
              <w:rPr>
                <w:rFonts w:hint="eastAsia" w:ascii="仿宋" w:hAnsi="仿宋" w:eastAsia="仿宋" w:cs="仿宋"/>
                <w:b/>
                <w:sz w:val="24"/>
                <w:szCs w:val="24"/>
              </w:rPr>
              <w:t>（元）</w:t>
            </w:r>
          </w:p>
        </w:tc>
        <w:tc>
          <w:tcPr>
            <w:tcW w:w="893" w:type="pct"/>
            <w:shd w:val="clear" w:color="auto" w:fill="auto"/>
            <w:vAlign w:val="center"/>
          </w:tcPr>
          <w:p w14:paraId="503CA59A">
            <w:pPr>
              <w:spacing w:line="24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rPr>
              <w:t>分项</w:t>
            </w:r>
            <w:r>
              <w:rPr>
                <w:rFonts w:hint="eastAsia" w:ascii="仿宋" w:hAnsi="仿宋" w:eastAsia="仿宋" w:cs="仿宋"/>
                <w:b/>
                <w:sz w:val="24"/>
                <w:szCs w:val="24"/>
                <w:lang w:val="en-US" w:eastAsia="zh-CN"/>
              </w:rPr>
              <w:t>总</w:t>
            </w:r>
            <w:r>
              <w:rPr>
                <w:rFonts w:hint="eastAsia" w:ascii="仿宋" w:hAnsi="仿宋" w:eastAsia="仿宋" w:cs="仿宋"/>
                <w:b/>
                <w:sz w:val="24"/>
                <w:szCs w:val="24"/>
              </w:rPr>
              <w:t>价（元）</w:t>
            </w:r>
          </w:p>
        </w:tc>
      </w:tr>
      <w:tr w14:paraId="5E44A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2" w:type="pct"/>
            <w:shd w:val="clear" w:color="auto" w:fill="auto"/>
            <w:vAlign w:val="center"/>
          </w:tcPr>
          <w:p w14:paraId="5E9C07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1484" w:type="pct"/>
            <w:shd w:val="clear" w:color="auto" w:fill="auto"/>
            <w:vAlign w:val="center"/>
          </w:tcPr>
          <w:p w14:paraId="5EAE95F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R340</w:t>
            </w:r>
          </w:p>
        </w:tc>
        <w:tc>
          <w:tcPr>
            <w:tcW w:w="570" w:type="pct"/>
            <w:shd w:val="clear" w:color="auto" w:fill="auto"/>
            <w:vAlign w:val="center"/>
          </w:tcPr>
          <w:p w14:paraId="61F0294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07900C4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73C7404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40B657F0">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3E18903E">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35390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2" w:type="pct"/>
            <w:shd w:val="clear" w:color="auto" w:fill="auto"/>
            <w:vAlign w:val="center"/>
          </w:tcPr>
          <w:p w14:paraId="70B693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1484" w:type="pct"/>
            <w:shd w:val="clear" w:color="auto" w:fill="auto"/>
            <w:vAlign w:val="center"/>
          </w:tcPr>
          <w:p w14:paraId="68C601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R440</w:t>
            </w:r>
          </w:p>
        </w:tc>
        <w:tc>
          <w:tcPr>
            <w:tcW w:w="570" w:type="pct"/>
            <w:shd w:val="clear" w:color="auto" w:fill="auto"/>
            <w:vAlign w:val="center"/>
          </w:tcPr>
          <w:p w14:paraId="1DEB4E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75AA60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4B98F5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204B4E56">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25F55D31">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51E3D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20F539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1484" w:type="pct"/>
            <w:shd w:val="clear" w:color="auto" w:fill="auto"/>
            <w:vAlign w:val="center"/>
          </w:tcPr>
          <w:p w14:paraId="57DEDA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R540</w:t>
            </w:r>
          </w:p>
        </w:tc>
        <w:tc>
          <w:tcPr>
            <w:tcW w:w="570" w:type="pct"/>
            <w:shd w:val="clear" w:color="auto" w:fill="auto"/>
            <w:vAlign w:val="center"/>
          </w:tcPr>
          <w:p w14:paraId="3375D1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21052ED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312994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27884E15">
            <w:pPr>
              <w:keepNext w:val="0"/>
              <w:keepLines w:val="0"/>
              <w:widowControl/>
              <w:suppressLineNumbers w:val="0"/>
              <w:jc w:val="center"/>
              <w:textAlignment w:val="bottom"/>
              <w:rPr>
                <w:rFonts w:hint="eastAsia" w:ascii="仿宋" w:hAnsi="仿宋" w:eastAsia="仿宋" w:cs="仿宋"/>
                <w:kern w:val="0"/>
                <w:sz w:val="24"/>
                <w:szCs w:val="24"/>
                <w:lang w:val="en-US" w:bidi="ar"/>
              </w:rPr>
            </w:pPr>
          </w:p>
        </w:tc>
        <w:tc>
          <w:tcPr>
            <w:tcW w:w="893" w:type="pct"/>
            <w:shd w:val="clear" w:color="auto" w:fill="auto"/>
            <w:vAlign w:val="bottom"/>
          </w:tcPr>
          <w:p w14:paraId="39C39151">
            <w:pPr>
              <w:keepNext w:val="0"/>
              <w:keepLines w:val="0"/>
              <w:widowControl/>
              <w:suppressLineNumbers w:val="0"/>
              <w:jc w:val="center"/>
              <w:textAlignment w:val="bottom"/>
              <w:rPr>
                <w:rFonts w:hint="eastAsia" w:ascii="仿宋" w:hAnsi="仿宋" w:eastAsia="仿宋" w:cs="仿宋"/>
                <w:kern w:val="0"/>
                <w:sz w:val="24"/>
                <w:szCs w:val="24"/>
                <w:lang w:val="en-US" w:bidi="ar"/>
              </w:rPr>
            </w:pPr>
          </w:p>
        </w:tc>
      </w:tr>
      <w:tr w14:paraId="45195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322" w:type="pct"/>
            <w:shd w:val="clear" w:color="auto" w:fill="auto"/>
            <w:vAlign w:val="center"/>
          </w:tcPr>
          <w:p w14:paraId="117EF2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1484" w:type="pct"/>
            <w:shd w:val="clear" w:color="auto" w:fill="auto"/>
            <w:vAlign w:val="center"/>
          </w:tcPr>
          <w:p w14:paraId="73B3968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R640</w:t>
            </w:r>
          </w:p>
        </w:tc>
        <w:tc>
          <w:tcPr>
            <w:tcW w:w="570" w:type="pct"/>
            <w:shd w:val="clear" w:color="auto" w:fill="auto"/>
            <w:vAlign w:val="center"/>
          </w:tcPr>
          <w:p w14:paraId="6FE467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6713F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380" w:type="pct"/>
            <w:shd w:val="clear" w:color="auto" w:fill="auto"/>
            <w:vAlign w:val="center"/>
          </w:tcPr>
          <w:p w14:paraId="1F6EE2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60343281">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33F46CAA">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7A2D5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1CFDEA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5</w:t>
            </w:r>
          </w:p>
        </w:tc>
        <w:tc>
          <w:tcPr>
            <w:tcW w:w="1484" w:type="pct"/>
            <w:shd w:val="clear" w:color="auto" w:fill="auto"/>
            <w:vAlign w:val="center"/>
          </w:tcPr>
          <w:p w14:paraId="1DDDBF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R730</w:t>
            </w:r>
          </w:p>
        </w:tc>
        <w:tc>
          <w:tcPr>
            <w:tcW w:w="570" w:type="pct"/>
            <w:shd w:val="clear" w:color="auto" w:fill="auto"/>
            <w:vAlign w:val="center"/>
          </w:tcPr>
          <w:p w14:paraId="17203B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03FDBD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438414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7CB855F4">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5943E9D3">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5A0BC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728B4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w:t>
            </w:r>
          </w:p>
        </w:tc>
        <w:tc>
          <w:tcPr>
            <w:tcW w:w="1484" w:type="pct"/>
            <w:shd w:val="clear" w:color="auto" w:fill="auto"/>
            <w:vAlign w:val="center"/>
          </w:tcPr>
          <w:p w14:paraId="18A7490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R740</w:t>
            </w:r>
          </w:p>
        </w:tc>
        <w:tc>
          <w:tcPr>
            <w:tcW w:w="570" w:type="pct"/>
            <w:shd w:val="clear" w:color="auto" w:fill="auto"/>
            <w:vAlign w:val="center"/>
          </w:tcPr>
          <w:p w14:paraId="5045E1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39FBF0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w:t>
            </w:r>
          </w:p>
        </w:tc>
        <w:tc>
          <w:tcPr>
            <w:tcW w:w="380" w:type="pct"/>
            <w:shd w:val="clear" w:color="auto" w:fill="auto"/>
            <w:vAlign w:val="center"/>
          </w:tcPr>
          <w:p w14:paraId="3064D0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633E676A">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31411B6F">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7C229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322" w:type="pct"/>
            <w:shd w:val="clear" w:color="auto" w:fill="auto"/>
            <w:vAlign w:val="center"/>
          </w:tcPr>
          <w:p w14:paraId="77F75B6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7</w:t>
            </w:r>
          </w:p>
        </w:tc>
        <w:tc>
          <w:tcPr>
            <w:tcW w:w="1484" w:type="pct"/>
            <w:shd w:val="clear" w:color="auto" w:fill="auto"/>
            <w:vAlign w:val="center"/>
          </w:tcPr>
          <w:p w14:paraId="6B8461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R740xd</w:t>
            </w:r>
          </w:p>
        </w:tc>
        <w:tc>
          <w:tcPr>
            <w:tcW w:w="570" w:type="pct"/>
            <w:shd w:val="clear" w:color="auto" w:fill="auto"/>
            <w:vAlign w:val="center"/>
          </w:tcPr>
          <w:p w14:paraId="0867A0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18F3DE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9</w:t>
            </w:r>
          </w:p>
        </w:tc>
        <w:tc>
          <w:tcPr>
            <w:tcW w:w="380" w:type="pct"/>
            <w:shd w:val="clear" w:color="auto" w:fill="auto"/>
            <w:vAlign w:val="center"/>
          </w:tcPr>
          <w:p w14:paraId="585529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100028F8">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4B823108">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3443F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1945BF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8</w:t>
            </w:r>
          </w:p>
        </w:tc>
        <w:tc>
          <w:tcPr>
            <w:tcW w:w="1484" w:type="pct"/>
            <w:shd w:val="clear" w:color="auto" w:fill="auto"/>
            <w:vAlign w:val="center"/>
          </w:tcPr>
          <w:p w14:paraId="576D24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R750</w:t>
            </w:r>
          </w:p>
        </w:tc>
        <w:tc>
          <w:tcPr>
            <w:tcW w:w="570" w:type="pct"/>
            <w:shd w:val="clear" w:color="auto" w:fill="auto"/>
            <w:vAlign w:val="center"/>
          </w:tcPr>
          <w:p w14:paraId="6531C4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1FE4748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6</w:t>
            </w:r>
          </w:p>
        </w:tc>
        <w:tc>
          <w:tcPr>
            <w:tcW w:w="380" w:type="pct"/>
            <w:shd w:val="clear" w:color="auto" w:fill="auto"/>
            <w:vAlign w:val="center"/>
          </w:tcPr>
          <w:p w14:paraId="1BE464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5076D53F">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875B801">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62CDA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7DAF0E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9</w:t>
            </w:r>
          </w:p>
        </w:tc>
        <w:tc>
          <w:tcPr>
            <w:tcW w:w="1484" w:type="pct"/>
            <w:shd w:val="clear" w:color="auto" w:fill="auto"/>
            <w:vAlign w:val="center"/>
          </w:tcPr>
          <w:p w14:paraId="444CB9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R760</w:t>
            </w:r>
          </w:p>
        </w:tc>
        <w:tc>
          <w:tcPr>
            <w:tcW w:w="570" w:type="pct"/>
            <w:shd w:val="clear" w:color="auto" w:fill="auto"/>
            <w:vAlign w:val="center"/>
          </w:tcPr>
          <w:p w14:paraId="464070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2261C3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7</w:t>
            </w:r>
          </w:p>
        </w:tc>
        <w:tc>
          <w:tcPr>
            <w:tcW w:w="380" w:type="pct"/>
            <w:shd w:val="clear" w:color="auto" w:fill="auto"/>
            <w:vAlign w:val="center"/>
          </w:tcPr>
          <w:p w14:paraId="208353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41489812">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1BC3795">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2775E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6DD49B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10</w:t>
            </w:r>
          </w:p>
        </w:tc>
        <w:tc>
          <w:tcPr>
            <w:tcW w:w="1484" w:type="pct"/>
            <w:shd w:val="clear" w:color="auto" w:fill="auto"/>
            <w:vAlign w:val="center"/>
          </w:tcPr>
          <w:p w14:paraId="6C86F0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R840</w:t>
            </w:r>
          </w:p>
        </w:tc>
        <w:tc>
          <w:tcPr>
            <w:tcW w:w="570" w:type="pct"/>
            <w:shd w:val="clear" w:color="auto" w:fill="auto"/>
            <w:vAlign w:val="center"/>
          </w:tcPr>
          <w:p w14:paraId="4CC9CA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7082C1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380" w:type="pct"/>
            <w:shd w:val="clear" w:color="auto" w:fill="auto"/>
            <w:vAlign w:val="center"/>
          </w:tcPr>
          <w:p w14:paraId="44127B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6737A169">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9BEA0D9">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1B76B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174D63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11</w:t>
            </w:r>
          </w:p>
        </w:tc>
        <w:tc>
          <w:tcPr>
            <w:tcW w:w="1484" w:type="pct"/>
            <w:shd w:val="clear" w:color="auto" w:fill="auto"/>
            <w:vAlign w:val="center"/>
          </w:tcPr>
          <w:p w14:paraId="18EADCC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PowerEdge R940xa</w:t>
            </w:r>
          </w:p>
        </w:tc>
        <w:tc>
          <w:tcPr>
            <w:tcW w:w="570" w:type="pct"/>
            <w:shd w:val="clear" w:color="auto" w:fill="auto"/>
            <w:vAlign w:val="center"/>
          </w:tcPr>
          <w:p w14:paraId="3B71A8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65E806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380" w:type="pct"/>
            <w:shd w:val="clear" w:color="auto" w:fill="auto"/>
            <w:vAlign w:val="center"/>
          </w:tcPr>
          <w:p w14:paraId="58F5F3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18BB7F2B">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2F55F79F">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37A30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0D851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w:t>
            </w:r>
          </w:p>
        </w:tc>
        <w:tc>
          <w:tcPr>
            <w:tcW w:w="1484" w:type="pct"/>
            <w:shd w:val="clear" w:color="auto" w:fill="auto"/>
            <w:vAlign w:val="center"/>
          </w:tcPr>
          <w:p w14:paraId="3474FD6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DELL  Precision 5820</w:t>
            </w:r>
          </w:p>
        </w:tc>
        <w:tc>
          <w:tcPr>
            <w:tcW w:w="570" w:type="pct"/>
            <w:shd w:val="clear" w:color="auto" w:fill="auto"/>
            <w:vAlign w:val="center"/>
          </w:tcPr>
          <w:p w14:paraId="473553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55945A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380" w:type="pct"/>
            <w:shd w:val="clear" w:color="auto" w:fill="auto"/>
            <w:vAlign w:val="center"/>
          </w:tcPr>
          <w:p w14:paraId="29CE34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45EE08DC">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4ECE1589">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681DA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8FBAB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13</w:t>
            </w:r>
          </w:p>
        </w:tc>
        <w:tc>
          <w:tcPr>
            <w:tcW w:w="1484" w:type="pct"/>
            <w:shd w:val="clear" w:color="auto" w:fill="auto"/>
            <w:vAlign w:val="center"/>
          </w:tcPr>
          <w:p w14:paraId="2033181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H3C  FlexServer R390</w:t>
            </w:r>
          </w:p>
        </w:tc>
        <w:tc>
          <w:tcPr>
            <w:tcW w:w="570" w:type="pct"/>
            <w:shd w:val="clear" w:color="auto" w:fill="auto"/>
            <w:vAlign w:val="center"/>
          </w:tcPr>
          <w:p w14:paraId="09B16C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2FF378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3E43F4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7D2D489D">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9C0A028">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2E38F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1E193A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14</w:t>
            </w:r>
          </w:p>
        </w:tc>
        <w:tc>
          <w:tcPr>
            <w:tcW w:w="1484" w:type="pct"/>
            <w:shd w:val="clear" w:color="auto" w:fill="auto"/>
            <w:vAlign w:val="center"/>
          </w:tcPr>
          <w:p w14:paraId="3C6363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H3C  UniServer R4900 G5</w:t>
            </w:r>
          </w:p>
        </w:tc>
        <w:tc>
          <w:tcPr>
            <w:tcW w:w="570" w:type="pct"/>
            <w:shd w:val="clear" w:color="auto" w:fill="auto"/>
            <w:vAlign w:val="center"/>
          </w:tcPr>
          <w:p w14:paraId="331B38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297AAE9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380" w:type="pct"/>
            <w:shd w:val="clear" w:color="auto" w:fill="auto"/>
            <w:vAlign w:val="center"/>
          </w:tcPr>
          <w:p w14:paraId="2CDD35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670BA538">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1FFD3698">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7CAC6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7334A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15</w:t>
            </w:r>
          </w:p>
        </w:tc>
        <w:tc>
          <w:tcPr>
            <w:tcW w:w="1484" w:type="pct"/>
            <w:shd w:val="clear" w:color="auto" w:fill="auto"/>
            <w:vAlign w:val="center"/>
          </w:tcPr>
          <w:p w14:paraId="0CF500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HP  ProLiant DL388 Gen8</w:t>
            </w:r>
          </w:p>
        </w:tc>
        <w:tc>
          <w:tcPr>
            <w:tcW w:w="570" w:type="pct"/>
            <w:shd w:val="clear" w:color="auto" w:fill="auto"/>
            <w:vAlign w:val="center"/>
          </w:tcPr>
          <w:p w14:paraId="2D623E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764AE7D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4E341A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61B63B3C">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281350C">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3F473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3E6B2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16</w:t>
            </w:r>
          </w:p>
        </w:tc>
        <w:tc>
          <w:tcPr>
            <w:tcW w:w="1484" w:type="pct"/>
            <w:shd w:val="clear" w:color="auto" w:fill="auto"/>
            <w:vAlign w:val="center"/>
          </w:tcPr>
          <w:p w14:paraId="41426F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HP  ProLiant DL580 Gen7</w:t>
            </w:r>
          </w:p>
        </w:tc>
        <w:tc>
          <w:tcPr>
            <w:tcW w:w="570" w:type="pct"/>
            <w:shd w:val="clear" w:color="auto" w:fill="auto"/>
            <w:vAlign w:val="center"/>
          </w:tcPr>
          <w:p w14:paraId="663D29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139248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380" w:type="pct"/>
            <w:shd w:val="clear" w:color="auto" w:fill="auto"/>
            <w:vAlign w:val="center"/>
          </w:tcPr>
          <w:p w14:paraId="1E201E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17A462E3">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58491553">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3175E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4F7C6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17</w:t>
            </w:r>
          </w:p>
        </w:tc>
        <w:tc>
          <w:tcPr>
            <w:tcW w:w="1484" w:type="pct"/>
            <w:shd w:val="clear" w:color="auto" w:fill="auto"/>
            <w:vAlign w:val="center"/>
          </w:tcPr>
          <w:p w14:paraId="578A07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HP  ProLiant DL580 Gen8</w:t>
            </w:r>
          </w:p>
        </w:tc>
        <w:tc>
          <w:tcPr>
            <w:tcW w:w="570" w:type="pct"/>
            <w:shd w:val="clear" w:color="auto" w:fill="auto"/>
            <w:vAlign w:val="center"/>
          </w:tcPr>
          <w:p w14:paraId="2297A4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303AF6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380" w:type="pct"/>
            <w:shd w:val="clear" w:color="auto" w:fill="auto"/>
            <w:vAlign w:val="center"/>
          </w:tcPr>
          <w:p w14:paraId="050170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400F2F42">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61B1CE88">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5DD83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17FB9B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18</w:t>
            </w:r>
          </w:p>
        </w:tc>
        <w:tc>
          <w:tcPr>
            <w:tcW w:w="1484" w:type="pct"/>
            <w:shd w:val="clear" w:color="auto" w:fill="auto"/>
            <w:vAlign w:val="center"/>
          </w:tcPr>
          <w:p w14:paraId="3F3B0F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HUAKUN  TG225</w:t>
            </w:r>
          </w:p>
        </w:tc>
        <w:tc>
          <w:tcPr>
            <w:tcW w:w="570" w:type="pct"/>
            <w:shd w:val="clear" w:color="auto" w:fill="auto"/>
            <w:vAlign w:val="center"/>
          </w:tcPr>
          <w:p w14:paraId="67FF75F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6F294A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436709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4CA1D53C">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973C005">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1D50A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16AE79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19</w:t>
            </w:r>
          </w:p>
        </w:tc>
        <w:tc>
          <w:tcPr>
            <w:tcW w:w="1484" w:type="pct"/>
            <w:shd w:val="clear" w:color="auto" w:fill="auto"/>
            <w:vAlign w:val="center"/>
          </w:tcPr>
          <w:p w14:paraId="2794DF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HUAWEI  2288H V5</w:t>
            </w:r>
          </w:p>
        </w:tc>
        <w:tc>
          <w:tcPr>
            <w:tcW w:w="570" w:type="pct"/>
            <w:shd w:val="clear" w:color="auto" w:fill="auto"/>
            <w:vAlign w:val="center"/>
          </w:tcPr>
          <w:p w14:paraId="735C61D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7E2B5B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10</w:t>
            </w:r>
          </w:p>
        </w:tc>
        <w:tc>
          <w:tcPr>
            <w:tcW w:w="380" w:type="pct"/>
            <w:shd w:val="clear" w:color="auto" w:fill="auto"/>
            <w:vAlign w:val="center"/>
          </w:tcPr>
          <w:p w14:paraId="7ECBDD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1149DAEA">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1B12100C">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347CB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2E377D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20</w:t>
            </w:r>
          </w:p>
        </w:tc>
        <w:tc>
          <w:tcPr>
            <w:tcW w:w="1484" w:type="pct"/>
            <w:shd w:val="clear" w:color="auto" w:fill="auto"/>
            <w:vAlign w:val="center"/>
          </w:tcPr>
          <w:p w14:paraId="7BED65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HUAWEI  5885H V5</w:t>
            </w:r>
          </w:p>
        </w:tc>
        <w:tc>
          <w:tcPr>
            <w:tcW w:w="570" w:type="pct"/>
            <w:shd w:val="clear" w:color="auto" w:fill="auto"/>
            <w:vAlign w:val="center"/>
          </w:tcPr>
          <w:p w14:paraId="2B004DD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096F6F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12</w:t>
            </w:r>
          </w:p>
        </w:tc>
        <w:tc>
          <w:tcPr>
            <w:tcW w:w="380" w:type="pct"/>
            <w:shd w:val="clear" w:color="auto" w:fill="auto"/>
            <w:vAlign w:val="center"/>
          </w:tcPr>
          <w:p w14:paraId="531267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06CC1AF5">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4E405FFD">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4B219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692FB7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21</w:t>
            </w:r>
          </w:p>
        </w:tc>
        <w:tc>
          <w:tcPr>
            <w:tcW w:w="1484" w:type="pct"/>
            <w:shd w:val="clear" w:color="auto" w:fill="auto"/>
            <w:vAlign w:val="center"/>
          </w:tcPr>
          <w:p w14:paraId="55E723D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HUAWEI  Atlas 800</w:t>
            </w:r>
          </w:p>
        </w:tc>
        <w:tc>
          <w:tcPr>
            <w:tcW w:w="570" w:type="pct"/>
            <w:shd w:val="clear" w:color="auto" w:fill="auto"/>
            <w:vAlign w:val="center"/>
          </w:tcPr>
          <w:p w14:paraId="7F7D25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50652F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7</w:t>
            </w:r>
          </w:p>
        </w:tc>
        <w:tc>
          <w:tcPr>
            <w:tcW w:w="380" w:type="pct"/>
            <w:shd w:val="clear" w:color="auto" w:fill="auto"/>
            <w:vAlign w:val="center"/>
          </w:tcPr>
          <w:p w14:paraId="4B17B1A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32489A05">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CC22AAA">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588CD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0DCCF9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22</w:t>
            </w:r>
          </w:p>
        </w:tc>
        <w:tc>
          <w:tcPr>
            <w:tcW w:w="1484" w:type="pct"/>
            <w:shd w:val="clear" w:color="auto" w:fill="auto"/>
            <w:vAlign w:val="center"/>
          </w:tcPr>
          <w:p w14:paraId="0E6CB7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IBM  System X 3850 X6</w:t>
            </w:r>
          </w:p>
        </w:tc>
        <w:tc>
          <w:tcPr>
            <w:tcW w:w="570" w:type="pct"/>
            <w:shd w:val="clear" w:color="auto" w:fill="auto"/>
            <w:vAlign w:val="center"/>
          </w:tcPr>
          <w:p w14:paraId="01D900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4CDF20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380" w:type="pct"/>
            <w:shd w:val="clear" w:color="auto" w:fill="auto"/>
            <w:vAlign w:val="center"/>
          </w:tcPr>
          <w:p w14:paraId="779502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5ED3FA3C">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5D0C804C">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5F192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5619614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23</w:t>
            </w:r>
          </w:p>
        </w:tc>
        <w:tc>
          <w:tcPr>
            <w:tcW w:w="1484" w:type="pct"/>
            <w:shd w:val="clear" w:color="auto" w:fill="auto"/>
            <w:vAlign w:val="center"/>
          </w:tcPr>
          <w:p w14:paraId="2F8A96F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Inspur  NF5270M5</w:t>
            </w:r>
          </w:p>
        </w:tc>
        <w:tc>
          <w:tcPr>
            <w:tcW w:w="570" w:type="pct"/>
            <w:shd w:val="clear" w:color="auto" w:fill="auto"/>
            <w:vAlign w:val="center"/>
          </w:tcPr>
          <w:p w14:paraId="7D9B66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1D240A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380" w:type="pct"/>
            <w:shd w:val="clear" w:color="auto" w:fill="auto"/>
            <w:vAlign w:val="center"/>
          </w:tcPr>
          <w:p w14:paraId="5E0418D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563DEC24">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64EE5272">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143DB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4AC9A4D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24</w:t>
            </w:r>
          </w:p>
        </w:tc>
        <w:tc>
          <w:tcPr>
            <w:tcW w:w="1484" w:type="pct"/>
            <w:shd w:val="clear" w:color="auto" w:fill="auto"/>
            <w:vAlign w:val="center"/>
          </w:tcPr>
          <w:p w14:paraId="0F861A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Inspur  NF5280M4</w:t>
            </w:r>
          </w:p>
        </w:tc>
        <w:tc>
          <w:tcPr>
            <w:tcW w:w="570" w:type="pct"/>
            <w:shd w:val="clear" w:color="auto" w:fill="auto"/>
            <w:vAlign w:val="center"/>
          </w:tcPr>
          <w:p w14:paraId="5113FD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57C2F2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380" w:type="pct"/>
            <w:shd w:val="clear" w:color="auto" w:fill="auto"/>
            <w:vAlign w:val="center"/>
          </w:tcPr>
          <w:p w14:paraId="10FB863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35E60585">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3887A961">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653C2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28F969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25</w:t>
            </w:r>
          </w:p>
        </w:tc>
        <w:tc>
          <w:tcPr>
            <w:tcW w:w="1484" w:type="pct"/>
            <w:shd w:val="clear" w:color="auto" w:fill="auto"/>
            <w:vAlign w:val="center"/>
          </w:tcPr>
          <w:p w14:paraId="6DE14D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Inspur  NF5280M5</w:t>
            </w:r>
          </w:p>
        </w:tc>
        <w:tc>
          <w:tcPr>
            <w:tcW w:w="570" w:type="pct"/>
            <w:shd w:val="clear" w:color="auto" w:fill="auto"/>
            <w:vAlign w:val="center"/>
          </w:tcPr>
          <w:p w14:paraId="7463DA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7DF11E2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380" w:type="pct"/>
            <w:shd w:val="clear" w:color="auto" w:fill="auto"/>
            <w:vAlign w:val="center"/>
          </w:tcPr>
          <w:p w14:paraId="21A9A2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22051FAC">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5FD3BA1C">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2077F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2617A5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26</w:t>
            </w:r>
          </w:p>
        </w:tc>
        <w:tc>
          <w:tcPr>
            <w:tcW w:w="1484" w:type="pct"/>
            <w:shd w:val="clear" w:color="auto" w:fill="auto"/>
            <w:vAlign w:val="center"/>
          </w:tcPr>
          <w:p w14:paraId="6D8934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System X 3650 M5</w:t>
            </w:r>
          </w:p>
        </w:tc>
        <w:tc>
          <w:tcPr>
            <w:tcW w:w="570" w:type="pct"/>
            <w:shd w:val="clear" w:color="auto" w:fill="auto"/>
            <w:vAlign w:val="center"/>
          </w:tcPr>
          <w:p w14:paraId="401579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047BD7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4</w:t>
            </w:r>
          </w:p>
        </w:tc>
        <w:tc>
          <w:tcPr>
            <w:tcW w:w="380" w:type="pct"/>
            <w:shd w:val="clear" w:color="auto" w:fill="auto"/>
            <w:vAlign w:val="center"/>
          </w:tcPr>
          <w:p w14:paraId="40AEEC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536C4127">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71321CC3">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48AE7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31E635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27</w:t>
            </w:r>
          </w:p>
        </w:tc>
        <w:tc>
          <w:tcPr>
            <w:tcW w:w="1484" w:type="pct"/>
            <w:shd w:val="clear" w:color="auto" w:fill="auto"/>
            <w:vAlign w:val="center"/>
          </w:tcPr>
          <w:p w14:paraId="059C03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System X 3850 X6</w:t>
            </w:r>
          </w:p>
        </w:tc>
        <w:tc>
          <w:tcPr>
            <w:tcW w:w="570" w:type="pct"/>
            <w:shd w:val="clear" w:color="auto" w:fill="auto"/>
            <w:vAlign w:val="center"/>
          </w:tcPr>
          <w:p w14:paraId="158F4E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5943A9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380" w:type="pct"/>
            <w:shd w:val="clear" w:color="auto" w:fill="auto"/>
            <w:vAlign w:val="center"/>
          </w:tcPr>
          <w:p w14:paraId="5D33FE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7DF93643">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1E69B735">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57F6C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3F32D6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28</w:t>
            </w:r>
          </w:p>
        </w:tc>
        <w:tc>
          <w:tcPr>
            <w:tcW w:w="1484" w:type="pct"/>
            <w:shd w:val="clear" w:color="auto" w:fill="auto"/>
            <w:vAlign w:val="center"/>
          </w:tcPr>
          <w:p w14:paraId="278452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ThinkServer RD450</w:t>
            </w:r>
          </w:p>
        </w:tc>
        <w:tc>
          <w:tcPr>
            <w:tcW w:w="570" w:type="pct"/>
            <w:shd w:val="clear" w:color="auto" w:fill="auto"/>
            <w:vAlign w:val="center"/>
          </w:tcPr>
          <w:p w14:paraId="78433A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1FCF46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562740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08EAF3DE">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41DA0B3A">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4D82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5195D3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29</w:t>
            </w:r>
          </w:p>
        </w:tc>
        <w:tc>
          <w:tcPr>
            <w:tcW w:w="1484" w:type="pct"/>
            <w:shd w:val="clear" w:color="auto" w:fill="auto"/>
            <w:vAlign w:val="center"/>
          </w:tcPr>
          <w:p w14:paraId="62C9FF3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ThinkServer RQ940</w:t>
            </w:r>
          </w:p>
        </w:tc>
        <w:tc>
          <w:tcPr>
            <w:tcW w:w="570" w:type="pct"/>
            <w:shd w:val="clear" w:color="auto" w:fill="auto"/>
            <w:vAlign w:val="center"/>
          </w:tcPr>
          <w:p w14:paraId="39DE0AD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339252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380" w:type="pct"/>
            <w:shd w:val="clear" w:color="auto" w:fill="auto"/>
            <w:vAlign w:val="center"/>
          </w:tcPr>
          <w:p w14:paraId="6A1EA8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3BA5FAF8">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c>
          <w:tcPr>
            <w:tcW w:w="893" w:type="pct"/>
            <w:shd w:val="clear" w:color="auto" w:fill="auto"/>
            <w:vAlign w:val="bottom"/>
          </w:tcPr>
          <w:p w14:paraId="70B62EC6">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p>
        </w:tc>
      </w:tr>
      <w:tr w14:paraId="5DF00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335989D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30</w:t>
            </w:r>
          </w:p>
        </w:tc>
        <w:tc>
          <w:tcPr>
            <w:tcW w:w="1484" w:type="pct"/>
            <w:shd w:val="clear" w:color="auto" w:fill="auto"/>
            <w:vAlign w:val="center"/>
          </w:tcPr>
          <w:p w14:paraId="7A0755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Lenovo  ThinkSystem SR258</w:t>
            </w:r>
          </w:p>
        </w:tc>
        <w:tc>
          <w:tcPr>
            <w:tcW w:w="570" w:type="pct"/>
            <w:shd w:val="clear" w:color="auto" w:fill="auto"/>
            <w:vAlign w:val="center"/>
          </w:tcPr>
          <w:p w14:paraId="220F41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服务器</w:t>
            </w:r>
          </w:p>
        </w:tc>
        <w:tc>
          <w:tcPr>
            <w:tcW w:w="454" w:type="pct"/>
            <w:shd w:val="clear" w:color="auto" w:fill="auto"/>
            <w:vAlign w:val="center"/>
          </w:tcPr>
          <w:p w14:paraId="14CC6B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380" w:type="pct"/>
            <w:shd w:val="clear" w:color="auto" w:fill="auto"/>
            <w:vAlign w:val="center"/>
          </w:tcPr>
          <w:p w14:paraId="6E8D4C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6F038260">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14532265">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1C5B8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10CBFF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31</w:t>
            </w:r>
          </w:p>
        </w:tc>
        <w:tc>
          <w:tcPr>
            <w:tcW w:w="1484" w:type="pct"/>
            <w:shd w:val="clear" w:color="auto" w:fill="auto"/>
            <w:vAlign w:val="center"/>
          </w:tcPr>
          <w:p w14:paraId="782773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NVIDIA SB7800</w:t>
            </w:r>
          </w:p>
        </w:tc>
        <w:tc>
          <w:tcPr>
            <w:tcW w:w="570" w:type="pct"/>
            <w:shd w:val="clear" w:color="auto" w:fill="auto"/>
            <w:vAlign w:val="center"/>
          </w:tcPr>
          <w:p w14:paraId="52EE5DA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IB交换机</w:t>
            </w:r>
          </w:p>
        </w:tc>
        <w:tc>
          <w:tcPr>
            <w:tcW w:w="454" w:type="pct"/>
            <w:shd w:val="clear" w:color="auto" w:fill="auto"/>
            <w:vAlign w:val="center"/>
          </w:tcPr>
          <w:p w14:paraId="78DCBA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2</w:t>
            </w:r>
          </w:p>
        </w:tc>
        <w:tc>
          <w:tcPr>
            <w:tcW w:w="380" w:type="pct"/>
            <w:shd w:val="clear" w:color="auto" w:fill="auto"/>
            <w:vAlign w:val="center"/>
          </w:tcPr>
          <w:p w14:paraId="626E04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shd w:val="clear"/>
              </w:rPr>
              <w:t>台</w:t>
            </w:r>
          </w:p>
        </w:tc>
        <w:tc>
          <w:tcPr>
            <w:tcW w:w="893" w:type="pct"/>
            <w:shd w:val="clear" w:color="auto" w:fill="auto"/>
            <w:vAlign w:val="bottom"/>
          </w:tcPr>
          <w:p w14:paraId="6A7BC144">
            <w:pPr>
              <w:keepNext w:val="0"/>
              <w:keepLines w:val="0"/>
              <w:widowControl/>
              <w:suppressLineNumbers w:val="0"/>
              <w:jc w:val="center"/>
              <w:textAlignment w:val="bottom"/>
              <w:rPr>
                <w:rFonts w:hint="eastAsia" w:ascii="仿宋" w:hAnsi="仿宋" w:eastAsia="仿宋" w:cs="仿宋"/>
                <w:kern w:val="0"/>
                <w:sz w:val="24"/>
                <w:szCs w:val="24"/>
                <w:lang w:bidi="ar"/>
              </w:rPr>
            </w:pPr>
          </w:p>
        </w:tc>
        <w:tc>
          <w:tcPr>
            <w:tcW w:w="893" w:type="pct"/>
            <w:shd w:val="clear" w:color="auto" w:fill="auto"/>
            <w:vAlign w:val="bottom"/>
          </w:tcPr>
          <w:p w14:paraId="4A9AA066">
            <w:pPr>
              <w:keepNext w:val="0"/>
              <w:keepLines w:val="0"/>
              <w:widowControl/>
              <w:suppressLineNumbers w:val="0"/>
              <w:jc w:val="center"/>
              <w:textAlignment w:val="bottom"/>
              <w:rPr>
                <w:rFonts w:hint="eastAsia" w:ascii="仿宋" w:hAnsi="仿宋" w:eastAsia="仿宋" w:cs="仿宋"/>
                <w:kern w:val="0"/>
                <w:sz w:val="24"/>
                <w:szCs w:val="24"/>
                <w:lang w:bidi="ar"/>
              </w:rPr>
            </w:pPr>
          </w:p>
        </w:tc>
      </w:tr>
      <w:tr w14:paraId="2A54A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trPr>
        <w:tc>
          <w:tcPr>
            <w:tcW w:w="322" w:type="pct"/>
            <w:shd w:val="clear" w:color="auto" w:fill="auto"/>
            <w:vAlign w:val="center"/>
          </w:tcPr>
          <w:p w14:paraId="1CC817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32</w:t>
            </w:r>
          </w:p>
        </w:tc>
        <w:tc>
          <w:tcPr>
            <w:tcW w:w="1484" w:type="pct"/>
            <w:shd w:val="clear" w:color="auto" w:fill="auto"/>
            <w:vAlign w:val="center"/>
          </w:tcPr>
          <w:p w14:paraId="1BB194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共计</w:t>
            </w:r>
          </w:p>
        </w:tc>
        <w:tc>
          <w:tcPr>
            <w:tcW w:w="570" w:type="pct"/>
            <w:shd w:val="clear" w:color="auto" w:fill="auto"/>
            <w:vAlign w:val="center"/>
          </w:tcPr>
          <w:p w14:paraId="41BC79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w:t>
            </w:r>
          </w:p>
        </w:tc>
        <w:tc>
          <w:tcPr>
            <w:tcW w:w="454" w:type="pct"/>
            <w:shd w:val="clear" w:color="auto" w:fill="auto"/>
            <w:vAlign w:val="center"/>
          </w:tcPr>
          <w:p w14:paraId="566EEA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color w:val="000000"/>
                <w:sz w:val="24"/>
                <w:szCs w:val="24"/>
              </w:rPr>
              <w:t>10</w:t>
            </w:r>
            <w:r>
              <w:rPr>
                <w:rFonts w:hint="eastAsia" w:ascii="仿宋" w:hAnsi="仿宋" w:eastAsia="仿宋" w:cs="仿宋"/>
                <w:color w:val="000000"/>
                <w:sz w:val="24"/>
                <w:szCs w:val="24"/>
                <w:lang w:val="en-US" w:eastAsia="zh-CN"/>
              </w:rPr>
              <w:t>8</w:t>
            </w:r>
          </w:p>
        </w:tc>
        <w:tc>
          <w:tcPr>
            <w:tcW w:w="380" w:type="pct"/>
            <w:shd w:val="clear" w:color="auto" w:fill="auto"/>
            <w:vAlign w:val="center"/>
          </w:tcPr>
          <w:p w14:paraId="39BC2B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台</w:t>
            </w:r>
          </w:p>
        </w:tc>
        <w:tc>
          <w:tcPr>
            <w:tcW w:w="893" w:type="pct"/>
            <w:shd w:val="clear" w:color="auto" w:fill="auto"/>
            <w:vAlign w:val="bottom"/>
          </w:tcPr>
          <w:p w14:paraId="7083321B">
            <w:pPr>
              <w:keepNext w:val="0"/>
              <w:keepLines w:val="0"/>
              <w:widowControl/>
              <w:suppressLineNumbers w:val="0"/>
              <w:jc w:val="center"/>
              <w:textAlignment w:val="bottom"/>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w:t>
            </w:r>
          </w:p>
        </w:tc>
        <w:tc>
          <w:tcPr>
            <w:tcW w:w="893" w:type="pct"/>
            <w:shd w:val="clear" w:color="auto" w:fill="auto"/>
            <w:vAlign w:val="bottom"/>
          </w:tcPr>
          <w:p w14:paraId="3CF8BFEA">
            <w:pPr>
              <w:keepNext w:val="0"/>
              <w:keepLines w:val="0"/>
              <w:widowControl/>
              <w:suppressLineNumbers w:val="0"/>
              <w:jc w:val="center"/>
              <w:textAlignment w:val="bottom"/>
              <w:rPr>
                <w:rFonts w:hint="eastAsia" w:ascii="仿宋" w:hAnsi="仿宋" w:eastAsia="仿宋" w:cs="仿宋"/>
                <w:kern w:val="0"/>
                <w:sz w:val="24"/>
                <w:szCs w:val="24"/>
                <w:lang w:bidi="ar"/>
              </w:rPr>
            </w:pPr>
          </w:p>
        </w:tc>
      </w:tr>
    </w:tbl>
    <w:p w14:paraId="238606C6">
      <w:pPr>
        <w:widowControl/>
        <w:jc w:val="left"/>
        <w:rPr>
          <w:rFonts w:ascii="Times New Roman" w:hAnsi="Times New Roman" w:eastAsia="仿宋" w:cs="Times New Roman"/>
          <w:szCs w:val="21"/>
          <w:lang w:val="zh-TW"/>
        </w:rPr>
      </w:pPr>
    </w:p>
    <w:p w14:paraId="7CAF0AA4">
      <w:pPr>
        <w:pStyle w:val="7"/>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3.光模块：限高单价统一下浮率：</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w:t>
      </w:r>
      <w:r>
        <w:rPr>
          <w:rFonts w:hint="eastAsia" w:ascii="仿宋" w:hAnsi="仿宋" w:eastAsia="仿宋" w:cs="仿宋"/>
          <w:b w:val="0"/>
          <w:bCs w:val="0"/>
          <w:sz w:val="24"/>
          <w:szCs w:val="24"/>
          <w:lang w:val="en-US" w:eastAsia="zh-CN"/>
        </w:rPr>
        <w:t>（注：服务期内按实结算，支付上限不超过2.5万元，质保期：交付之日起1年。）</w:t>
      </w:r>
    </w:p>
    <w:p w14:paraId="2B6B11F3">
      <w:pPr>
        <w:pStyle w:val="7"/>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（按清单限价报统一下浮率，下浮率&lt;0或≥100%视为无效报价，其响应文件作无效处理；下浮率即折扣率，是指价格减让与原价的百分率。如下浮率20%，成交价格=限价*（1-20%））</w:t>
      </w:r>
    </w:p>
    <w:p w14:paraId="56AF3A10">
      <w:pPr>
        <w:pStyle w:val="7"/>
        <w:rPr>
          <w:rFonts w:hint="eastAsia" w:ascii="仿宋" w:hAnsi="仿宋" w:eastAsia="仿宋" w:cs="仿宋"/>
          <w:b/>
          <w:bCs/>
          <w:sz w:val="24"/>
          <w:szCs w:val="24"/>
          <w:lang w:val="en-US" w:eastAsia="zh-CN"/>
        </w:rPr>
      </w:pPr>
    </w:p>
    <w:p w14:paraId="7CF149B8">
      <w:pPr>
        <w:pStyle w:val="2"/>
        <w:numPr>
          <w:ilvl w:val="0"/>
          <w:numId w:val="0"/>
        </w:numPr>
        <w:ind w:left="420" w:leftChars="0"/>
        <w:jc w:val="both"/>
        <w:rPr>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29032"/>
      <w:bookmarkStart w:id="92" w:name="_Toc14685"/>
      <w:bookmarkStart w:id="93"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2"/>
        <w:numPr>
          <w:ilvl w:val="0"/>
          <w:numId w:val="0"/>
        </w:numPr>
        <w:ind w:left="0" w:leftChars="0" w:firstLine="0" w:firstLineChars="0"/>
      </w:pPr>
      <w:r>
        <w:rPr>
          <w:rFonts w:hint="eastAsia" w:cs="Times New Roman"/>
          <w:b/>
          <w:kern w:val="2"/>
          <w:sz w:val="32"/>
          <w:szCs w:val="22"/>
          <w:lang w:val="en-US" w:eastAsia="zh-CN" w:bidi="ar-SA"/>
        </w:rPr>
        <w:t>九</w:t>
      </w:r>
      <w:r>
        <w:rPr>
          <w:rFonts w:hint="eastAsia" w:ascii="Times New Roman" w:hAnsi="Times New Roman" w:eastAsia="仿宋" w:cs="Times New Roman"/>
          <w:b/>
          <w:kern w:val="2"/>
          <w:sz w:val="32"/>
          <w:szCs w:val="22"/>
          <w:lang w:val="zh-CN" w:eastAsia="zh-CN" w:bidi="ar-SA"/>
        </w:rPr>
        <w:t>、</w:t>
      </w: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F8C4CE2">
      <w:pPr>
        <w:pStyle w:val="41"/>
        <w:rPr>
          <w:sz w:val="48"/>
          <w:szCs w:val="48"/>
        </w:rPr>
      </w:pPr>
      <w:r>
        <w:rPr>
          <w:sz w:val="48"/>
          <w:szCs w:val="48"/>
        </w:rPr>
        <w:t>设备维保服务合同</w:t>
      </w:r>
    </w:p>
    <w:p w14:paraId="054E2568">
      <w:pPr>
        <w:rPr>
          <w:sz w:val="24"/>
        </w:rPr>
        <w:sectPr>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tbl>
      <w:tblPr>
        <w:tblStyle w:val="18"/>
        <w:tblW w:w="5000" w:type="pct"/>
        <w:jc w:val="center"/>
        <w:tblLayout w:type="autofit"/>
        <w:tblCellMar>
          <w:top w:w="0" w:type="dxa"/>
          <w:left w:w="0" w:type="dxa"/>
          <w:bottom w:w="0" w:type="dxa"/>
          <w:right w:w="0" w:type="dxa"/>
        </w:tblCellMar>
      </w:tblPr>
      <w:tblGrid>
        <w:gridCol w:w="4688"/>
        <w:gridCol w:w="4950"/>
      </w:tblGrid>
      <w:tr w14:paraId="5E9DC41B">
        <w:tblPrEx>
          <w:tblCellMar>
            <w:top w:w="0" w:type="dxa"/>
            <w:left w:w="0" w:type="dxa"/>
            <w:bottom w:w="0" w:type="dxa"/>
            <w:right w:w="0" w:type="dxa"/>
          </w:tblCellMar>
        </w:tblPrEx>
        <w:trPr>
          <w:trHeight w:val="767" w:hRule="atLeast"/>
          <w:jc w:val="center"/>
        </w:trPr>
        <w:tc>
          <w:tcPr>
            <w:tcW w:w="10204" w:type="dxa"/>
            <w:gridSpan w:val="2"/>
          </w:tcPr>
          <w:p w14:paraId="44D85B52">
            <w:pPr>
              <w:contextualSpacing/>
              <w:rPr>
                <w:color w:val="000000"/>
                <w:szCs w:val="21"/>
              </w:rPr>
            </w:pPr>
            <w:r>
              <w:rPr>
                <w:b/>
                <w:bCs/>
                <w:color w:val="000000"/>
                <w:szCs w:val="21"/>
              </w:rPr>
              <w:t>合同编号</w:t>
            </w:r>
            <w:r>
              <w:rPr>
                <w:color w:val="000000"/>
                <w:szCs w:val="21"/>
              </w:rPr>
              <w:t>：CGZX-***</w:t>
            </w:r>
          </w:p>
          <w:p w14:paraId="3B344091">
            <w:pPr>
              <w:contextualSpacing/>
              <w:rPr>
                <w:color w:val="000000"/>
                <w:szCs w:val="21"/>
              </w:rPr>
            </w:pPr>
            <w:r>
              <w:rPr>
                <w:b/>
                <w:bCs/>
                <w:color w:val="000000"/>
                <w:szCs w:val="21"/>
              </w:rPr>
              <w:t>签订地点</w:t>
            </w:r>
            <w:r>
              <w:rPr>
                <w:color w:val="000000"/>
                <w:szCs w:val="21"/>
              </w:rPr>
              <w:t>：四川省人民医院</w:t>
            </w:r>
          </w:p>
        </w:tc>
      </w:tr>
      <w:tr w14:paraId="27A90D16">
        <w:tblPrEx>
          <w:tblCellMar>
            <w:top w:w="0" w:type="dxa"/>
            <w:left w:w="0" w:type="dxa"/>
            <w:bottom w:w="0" w:type="dxa"/>
            <w:right w:w="0" w:type="dxa"/>
          </w:tblCellMar>
        </w:tblPrEx>
        <w:trPr>
          <w:jc w:val="center"/>
        </w:trPr>
        <w:tc>
          <w:tcPr>
            <w:tcW w:w="4962" w:type="dxa"/>
          </w:tcPr>
          <w:p w14:paraId="657919F2">
            <w:pPr>
              <w:rPr>
                <w:szCs w:val="21"/>
              </w:rPr>
            </w:pPr>
            <w:r>
              <w:rPr>
                <w:b/>
                <w:bCs/>
                <w:szCs w:val="21"/>
              </w:rPr>
              <w:t>采购人（以下简称甲方）</w:t>
            </w:r>
            <w:r>
              <w:rPr>
                <w:szCs w:val="21"/>
              </w:rPr>
              <w:t>：四川省人民医院</w:t>
            </w:r>
          </w:p>
          <w:p w14:paraId="71E54675">
            <w:pPr>
              <w:rPr>
                <w:szCs w:val="21"/>
              </w:rPr>
            </w:pPr>
            <w:r>
              <w:rPr>
                <w:b/>
                <w:bCs/>
                <w:szCs w:val="21"/>
              </w:rPr>
              <w:t>地址</w:t>
            </w:r>
            <w:r>
              <w:rPr>
                <w:szCs w:val="21"/>
              </w:rPr>
              <w:t>：四川省成都市一环路西二段32号</w:t>
            </w:r>
          </w:p>
          <w:p w14:paraId="422AE604">
            <w:r>
              <w:rPr>
                <w:b/>
                <w:bCs/>
              </w:rPr>
              <w:t>项目联系人</w:t>
            </w:r>
            <w:r>
              <w:t xml:space="preserve">：*** </w:t>
            </w:r>
            <w:r>
              <w:rPr>
                <w:b/>
                <w:bCs/>
              </w:rPr>
              <w:t>电话</w:t>
            </w:r>
            <w:r>
              <w:t>：***</w:t>
            </w:r>
          </w:p>
          <w:p w14:paraId="03CCE5C7">
            <w:r>
              <w:rPr>
                <w:rFonts w:hint="eastAsia"/>
                <w:b/>
                <w:bCs/>
              </w:rPr>
              <w:t>电子邮件：</w:t>
            </w:r>
            <w:r>
              <w:rPr>
                <w:rFonts w:hint="eastAsia"/>
              </w:rPr>
              <w:t>*</w:t>
            </w:r>
            <w:r>
              <w:t>**</w:t>
            </w:r>
          </w:p>
        </w:tc>
        <w:tc>
          <w:tcPr>
            <w:tcW w:w="5242" w:type="dxa"/>
          </w:tcPr>
          <w:p w14:paraId="6697ACBA">
            <w:pPr>
              <w:rPr>
                <w:szCs w:val="21"/>
              </w:rPr>
            </w:pPr>
            <w:r>
              <w:rPr>
                <w:b/>
                <w:bCs/>
                <w:szCs w:val="21"/>
              </w:rPr>
              <w:t>供应商（以下简称乙方）</w:t>
            </w:r>
            <w:r>
              <w:rPr>
                <w:szCs w:val="21"/>
              </w:rPr>
              <w:t>：***</w:t>
            </w:r>
          </w:p>
          <w:p w14:paraId="63CA4691">
            <w:pPr>
              <w:rPr>
                <w:szCs w:val="21"/>
              </w:rPr>
            </w:pPr>
            <w:r>
              <w:rPr>
                <w:b/>
                <w:bCs/>
                <w:szCs w:val="21"/>
              </w:rPr>
              <w:t>地址</w:t>
            </w:r>
            <w:r>
              <w:rPr>
                <w:szCs w:val="21"/>
              </w:rPr>
              <w:t>：***</w:t>
            </w:r>
          </w:p>
          <w:p w14:paraId="62021133">
            <w:pPr>
              <w:rPr>
                <w:szCs w:val="21"/>
              </w:rPr>
            </w:pPr>
            <w:r>
              <w:rPr>
                <w:b/>
                <w:bCs/>
                <w:szCs w:val="21"/>
              </w:rPr>
              <w:t>移动电话</w:t>
            </w:r>
            <w:r>
              <w:rPr>
                <w:szCs w:val="21"/>
              </w:rPr>
              <w:t>：***</w:t>
            </w:r>
          </w:p>
          <w:p w14:paraId="5C64222C">
            <w:pPr>
              <w:contextualSpacing/>
              <w:rPr>
                <w:szCs w:val="21"/>
              </w:rPr>
            </w:pPr>
            <w:r>
              <w:rPr>
                <w:b/>
                <w:bCs/>
                <w:szCs w:val="21"/>
              </w:rPr>
              <w:t>联系人</w:t>
            </w:r>
            <w:r>
              <w:rPr>
                <w:szCs w:val="21"/>
              </w:rPr>
              <w:t>：***</w:t>
            </w:r>
          </w:p>
          <w:p w14:paraId="045ABA48">
            <w:r>
              <w:rPr>
                <w:rFonts w:hint="eastAsia"/>
                <w:b/>
                <w:bCs/>
              </w:rPr>
              <w:t>电子邮件：</w:t>
            </w:r>
            <w:r>
              <w:rPr>
                <w:rFonts w:hint="eastAsia"/>
              </w:rPr>
              <w:t>*</w:t>
            </w:r>
            <w:r>
              <w:t>**</w:t>
            </w:r>
          </w:p>
        </w:tc>
      </w:tr>
    </w:tbl>
    <w:p w14:paraId="40FB5E49">
      <w:pPr>
        <w:ind w:firstLine="420" w:firstLineChars="200"/>
        <w:contextualSpacing/>
        <w:jc w:val="left"/>
        <w:rPr>
          <w:color w:val="000000"/>
          <w:szCs w:val="21"/>
        </w:rPr>
      </w:pPr>
    </w:p>
    <w:p w14:paraId="587E9AF1">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r>
        <w:rPr>
          <w:szCs w:val="21"/>
        </w:rPr>
        <w:t>***</w:t>
      </w:r>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38E3EB7D">
      <w:pPr>
        <w:contextualSpacing/>
        <w:jc w:val="left"/>
        <w:rPr>
          <w:b/>
          <w:szCs w:val="21"/>
        </w:rPr>
      </w:pPr>
    </w:p>
    <w:p w14:paraId="1ACDEF75">
      <w:pPr>
        <w:pStyle w:val="29"/>
        <w:numPr>
          <w:ilvl w:val="0"/>
          <w:numId w:val="12"/>
        </w:numPr>
        <w:ind w:left="0" w:firstLine="0" w:firstLineChars="0"/>
        <w:contextualSpacing/>
        <w:jc w:val="left"/>
        <w:rPr>
          <w:b/>
          <w:szCs w:val="21"/>
        </w:rPr>
      </w:pPr>
      <w:r>
        <w:rPr>
          <w:b/>
          <w:szCs w:val="21"/>
        </w:rPr>
        <w:t>合同标的</w:t>
      </w:r>
    </w:p>
    <w:p w14:paraId="69681532">
      <w:pPr>
        <w:pStyle w:val="9"/>
        <w:numPr>
          <w:ilvl w:val="0"/>
          <w:numId w:val="13"/>
        </w:numPr>
        <w:spacing w:after="0" w:line="240" w:lineRule="auto"/>
        <w:ind w:left="210" w:leftChars="0" w:hanging="210" w:hangingChars="100"/>
        <w:contextualSpacing/>
        <w:jc w:val="left"/>
        <w:rPr>
          <w:szCs w:val="21"/>
        </w:rPr>
      </w:pPr>
      <w:r>
        <w:rPr>
          <w:szCs w:val="21"/>
        </w:rPr>
        <w:t>标的名称：***。</w:t>
      </w:r>
    </w:p>
    <w:p w14:paraId="40B0F3E0">
      <w:pPr>
        <w:pStyle w:val="9"/>
        <w:numPr>
          <w:ilvl w:val="0"/>
          <w:numId w:val="13"/>
        </w:numPr>
        <w:spacing w:after="0" w:line="240" w:lineRule="auto"/>
        <w:ind w:left="210" w:leftChars="0" w:hanging="210" w:hangingChars="100"/>
        <w:contextualSpacing/>
        <w:jc w:val="left"/>
        <w:rPr>
          <w:szCs w:val="21"/>
          <w:highlight w:val="none"/>
        </w:rPr>
      </w:pPr>
      <w:r>
        <w:rPr>
          <w:szCs w:val="21"/>
        </w:rPr>
        <w:t>维保服务涉及的</w:t>
      </w:r>
      <w:r>
        <w:rPr>
          <w:rFonts w:hint="eastAsia"/>
          <w:szCs w:val="21"/>
        </w:rPr>
        <w:t>分项明</w:t>
      </w:r>
      <w:r>
        <w:rPr>
          <w:rFonts w:hint="eastAsia"/>
          <w:szCs w:val="21"/>
          <w:highlight w:val="none"/>
        </w:rPr>
        <w:t>细</w:t>
      </w:r>
      <w:r>
        <w:rPr>
          <w:szCs w:val="21"/>
          <w:highlight w:val="none"/>
        </w:rPr>
        <w:t>（如设备为医疗器械，则以下表格中填写的相关内容均须与医疗器械注册证或备案证信息保持一致）。</w:t>
      </w:r>
      <w:r>
        <w:rPr>
          <w:rFonts w:hint="eastAsia"/>
          <w:i/>
          <w:iCs/>
          <w:color w:val="000000"/>
          <w:szCs w:val="21"/>
          <w:highlight w:val="none"/>
          <w:lang w:val="zh-CN"/>
        </w:rPr>
        <w:t>&lt;根据项目实际情况调整&gt;</w:t>
      </w:r>
    </w:p>
    <w:tbl>
      <w:tblPr>
        <w:tblStyle w:val="18"/>
        <w:tblW w:w="5000" w:type="pct"/>
        <w:jc w:val="center"/>
        <w:tblLayout w:type="fixed"/>
        <w:tblCellMar>
          <w:top w:w="0" w:type="dxa"/>
          <w:left w:w="0" w:type="dxa"/>
          <w:bottom w:w="0" w:type="dxa"/>
          <w:right w:w="0" w:type="dxa"/>
        </w:tblCellMar>
      </w:tblPr>
      <w:tblGrid>
        <w:gridCol w:w="421"/>
        <w:gridCol w:w="1846"/>
        <w:gridCol w:w="1850"/>
        <w:gridCol w:w="1423"/>
        <w:gridCol w:w="1423"/>
        <w:gridCol w:w="1137"/>
        <w:gridCol w:w="1554"/>
      </w:tblGrid>
      <w:tr w14:paraId="3AD4BC8E">
        <w:tblPrEx>
          <w:tblCellMar>
            <w:top w:w="0" w:type="dxa"/>
            <w:left w:w="0" w:type="dxa"/>
            <w:bottom w:w="0" w:type="dxa"/>
            <w:right w:w="0" w:type="dxa"/>
          </w:tblCellMar>
        </w:tblPrEx>
        <w:trPr>
          <w:cantSplit/>
          <w:trHeight w:val="495"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00E44D1A">
            <w:pPr>
              <w:autoSpaceDE w:val="0"/>
              <w:autoSpaceDN w:val="0"/>
              <w:adjustRightInd w:val="0"/>
              <w:contextualSpacing/>
              <w:jc w:val="center"/>
              <w:rPr>
                <w:b/>
                <w:bCs/>
                <w:sz w:val="18"/>
                <w:szCs w:val="18"/>
                <w:highlight w:val="none"/>
              </w:rPr>
            </w:pPr>
            <w:r>
              <w:rPr>
                <w:b/>
                <w:bCs/>
                <w:sz w:val="18"/>
                <w:szCs w:val="18"/>
                <w:highlight w:val="none"/>
              </w:rPr>
              <w:t>序号</w:t>
            </w:r>
          </w:p>
        </w:tc>
        <w:tc>
          <w:tcPr>
            <w:tcW w:w="956" w:type="pct"/>
            <w:tcBorders>
              <w:top w:val="single" w:color="auto" w:sz="6" w:space="0"/>
              <w:left w:val="single" w:color="auto" w:sz="6" w:space="0"/>
              <w:bottom w:val="single" w:color="auto" w:sz="6" w:space="0"/>
              <w:right w:val="single" w:color="auto" w:sz="4" w:space="0"/>
            </w:tcBorders>
            <w:vAlign w:val="center"/>
          </w:tcPr>
          <w:p w14:paraId="516E82A3">
            <w:pPr>
              <w:autoSpaceDE w:val="0"/>
              <w:autoSpaceDN w:val="0"/>
              <w:adjustRightInd w:val="0"/>
              <w:contextualSpacing/>
              <w:jc w:val="center"/>
              <w:rPr>
                <w:b/>
                <w:bCs/>
                <w:sz w:val="18"/>
                <w:szCs w:val="18"/>
                <w:highlight w:val="none"/>
              </w:rPr>
            </w:pPr>
            <w:r>
              <w:rPr>
                <w:b/>
                <w:bCs/>
                <w:sz w:val="18"/>
                <w:szCs w:val="18"/>
                <w:highlight w:val="none"/>
              </w:rPr>
              <w:t>设备名称</w:t>
            </w:r>
          </w:p>
        </w:tc>
        <w:tc>
          <w:tcPr>
            <w:tcW w:w="958" w:type="pct"/>
            <w:tcBorders>
              <w:top w:val="single" w:color="auto" w:sz="6" w:space="0"/>
              <w:left w:val="single" w:color="auto" w:sz="4" w:space="0"/>
              <w:bottom w:val="single" w:color="auto" w:sz="6" w:space="0"/>
              <w:right w:val="single" w:color="auto" w:sz="4" w:space="0"/>
            </w:tcBorders>
            <w:vAlign w:val="center"/>
          </w:tcPr>
          <w:p w14:paraId="179676CB">
            <w:pPr>
              <w:autoSpaceDE w:val="0"/>
              <w:autoSpaceDN w:val="0"/>
              <w:adjustRightInd w:val="0"/>
              <w:contextualSpacing/>
              <w:jc w:val="center"/>
              <w:rPr>
                <w:b/>
                <w:bCs/>
                <w:sz w:val="18"/>
                <w:szCs w:val="18"/>
                <w:highlight w:val="none"/>
              </w:rPr>
            </w:pPr>
            <w:r>
              <w:rPr>
                <w:b/>
                <w:bCs/>
                <w:sz w:val="18"/>
                <w:szCs w:val="18"/>
                <w:highlight w:val="none"/>
              </w:rPr>
              <w:t>生产厂家</w:t>
            </w:r>
          </w:p>
        </w:tc>
        <w:tc>
          <w:tcPr>
            <w:tcW w:w="737" w:type="pct"/>
            <w:tcBorders>
              <w:top w:val="single" w:color="auto" w:sz="6" w:space="0"/>
              <w:left w:val="single" w:color="auto" w:sz="4" w:space="0"/>
              <w:bottom w:val="single" w:color="auto" w:sz="6" w:space="0"/>
              <w:right w:val="single" w:color="auto" w:sz="6" w:space="0"/>
            </w:tcBorders>
            <w:vAlign w:val="center"/>
          </w:tcPr>
          <w:p w14:paraId="025804F2">
            <w:pPr>
              <w:autoSpaceDE w:val="0"/>
              <w:autoSpaceDN w:val="0"/>
              <w:adjustRightInd w:val="0"/>
              <w:contextualSpacing/>
              <w:jc w:val="center"/>
              <w:rPr>
                <w:b/>
                <w:bCs/>
                <w:sz w:val="18"/>
                <w:szCs w:val="18"/>
                <w:highlight w:val="none"/>
              </w:rPr>
            </w:pPr>
            <w:r>
              <w:rPr>
                <w:b/>
                <w:bCs/>
                <w:sz w:val="18"/>
                <w:szCs w:val="18"/>
                <w:highlight w:val="none"/>
              </w:rPr>
              <w:t>型号规格</w:t>
            </w:r>
          </w:p>
        </w:tc>
        <w:tc>
          <w:tcPr>
            <w:tcW w:w="737" w:type="pct"/>
            <w:tcBorders>
              <w:top w:val="single" w:color="auto" w:sz="6" w:space="0"/>
              <w:left w:val="single" w:color="auto" w:sz="6" w:space="0"/>
              <w:bottom w:val="single" w:color="auto" w:sz="6" w:space="0"/>
              <w:right w:val="single" w:color="auto" w:sz="6" w:space="0"/>
            </w:tcBorders>
            <w:vAlign w:val="center"/>
          </w:tcPr>
          <w:p w14:paraId="05C25810">
            <w:pPr>
              <w:autoSpaceDE w:val="0"/>
              <w:autoSpaceDN w:val="0"/>
              <w:adjustRightInd w:val="0"/>
              <w:contextualSpacing/>
              <w:jc w:val="center"/>
              <w:rPr>
                <w:b/>
                <w:bCs/>
                <w:sz w:val="18"/>
                <w:szCs w:val="18"/>
                <w:highlight w:val="none"/>
              </w:rPr>
            </w:pPr>
            <w:r>
              <w:rPr>
                <w:b/>
                <w:bCs/>
                <w:sz w:val="18"/>
                <w:szCs w:val="18"/>
                <w:highlight w:val="none"/>
              </w:rPr>
              <w:t>机身号</w:t>
            </w:r>
          </w:p>
        </w:tc>
        <w:tc>
          <w:tcPr>
            <w:tcW w:w="589" w:type="pct"/>
            <w:tcBorders>
              <w:top w:val="single" w:color="auto" w:sz="6" w:space="0"/>
              <w:left w:val="single" w:color="auto" w:sz="6" w:space="0"/>
              <w:bottom w:val="single" w:color="auto" w:sz="6" w:space="0"/>
              <w:right w:val="single" w:color="auto" w:sz="6" w:space="0"/>
            </w:tcBorders>
            <w:vAlign w:val="center"/>
          </w:tcPr>
          <w:p w14:paraId="0BB90E5F">
            <w:pPr>
              <w:autoSpaceDE w:val="0"/>
              <w:autoSpaceDN w:val="0"/>
              <w:adjustRightInd w:val="0"/>
              <w:contextualSpacing/>
              <w:jc w:val="center"/>
              <w:rPr>
                <w:b/>
                <w:bCs/>
                <w:sz w:val="18"/>
                <w:szCs w:val="18"/>
                <w:highlight w:val="none"/>
              </w:rPr>
            </w:pPr>
            <w:r>
              <w:rPr>
                <w:rFonts w:hint="eastAsia"/>
                <w:b/>
                <w:bCs/>
                <w:sz w:val="18"/>
                <w:szCs w:val="18"/>
                <w:highlight w:val="none"/>
              </w:rPr>
              <w:t>维保分项价格（万元）</w:t>
            </w:r>
          </w:p>
        </w:tc>
        <w:tc>
          <w:tcPr>
            <w:tcW w:w="805" w:type="pct"/>
            <w:tcBorders>
              <w:top w:val="single" w:color="auto" w:sz="6" w:space="0"/>
              <w:left w:val="single" w:color="auto" w:sz="6" w:space="0"/>
              <w:bottom w:val="single" w:color="auto" w:sz="6" w:space="0"/>
              <w:right w:val="single" w:color="auto" w:sz="6" w:space="0"/>
            </w:tcBorders>
            <w:vAlign w:val="center"/>
          </w:tcPr>
          <w:p w14:paraId="55691197">
            <w:pPr>
              <w:autoSpaceDE w:val="0"/>
              <w:autoSpaceDN w:val="0"/>
              <w:adjustRightInd w:val="0"/>
              <w:contextualSpacing/>
              <w:jc w:val="center"/>
              <w:rPr>
                <w:b/>
                <w:bCs/>
                <w:sz w:val="18"/>
                <w:szCs w:val="18"/>
                <w:highlight w:val="none"/>
              </w:rPr>
            </w:pPr>
            <w:r>
              <w:rPr>
                <w:rFonts w:hint="eastAsia"/>
                <w:b/>
                <w:bCs/>
                <w:sz w:val="18"/>
                <w:szCs w:val="18"/>
                <w:highlight w:val="none"/>
              </w:rPr>
              <w:t>备注</w:t>
            </w:r>
          </w:p>
        </w:tc>
      </w:tr>
      <w:tr w14:paraId="0D8EC2F5">
        <w:tblPrEx>
          <w:tblCellMar>
            <w:top w:w="0" w:type="dxa"/>
            <w:left w:w="0" w:type="dxa"/>
            <w:bottom w:w="0" w:type="dxa"/>
            <w:right w:w="0" w:type="dxa"/>
          </w:tblCellMar>
        </w:tblPrEx>
        <w:trPr>
          <w:cantSplit/>
          <w:trHeight w:val="767"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0E525959">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1</w:t>
            </w:r>
          </w:p>
        </w:tc>
        <w:tc>
          <w:tcPr>
            <w:tcW w:w="956" w:type="pct"/>
            <w:tcBorders>
              <w:top w:val="single" w:color="auto" w:sz="6" w:space="0"/>
              <w:left w:val="single" w:color="auto" w:sz="6" w:space="0"/>
              <w:bottom w:val="single" w:color="auto" w:sz="6" w:space="0"/>
              <w:right w:val="single" w:color="auto" w:sz="4" w:space="0"/>
            </w:tcBorders>
            <w:vAlign w:val="center"/>
          </w:tcPr>
          <w:p w14:paraId="083A62EF">
            <w:pPr>
              <w:autoSpaceDE w:val="0"/>
              <w:autoSpaceDN w:val="0"/>
              <w:adjustRightInd w:val="0"/>
              <w:contextualSpacing/>
              <w:rPr>
                <w:rFonts w:eastAsiaTheme="minorEastAsia"/>
                <w:sz w:val="18"/>
                <w:szCs w:val="18"/>
                <w:highlight w:val="none"/>
              </w:rPr>
            </w:pPr>
            <w:r>
              <w:rPr>
                <w:rFonts w:eastAsiaTheme="minorEastAsia"/>
                <w:sz w:val="18"/>
                <w:szCs w:val="18"/>
                <w:highlight w:val="none"/>
              </w:rPr>
              <w:t>***</w:t>
            </w:r>
          </w:p>
        </w:tc>
        <w:tc>
          <w:tcPr>
            <w:tcW w:w="958" w:type="pct"/>
            <w:tcBorders>
              <w:top w:val="single" w:color="auto" w:sz="6" w:space="0"/>
              <w:left w:val="single" w:color="auto" w:sz="4" w:space="0"/>
              <w:bottom w:val="single" w:color="auto" w:sz="6" w:space="0"/>
              <w:right w:val="single" w:color="auto" w:sz="4" w:space="0"/>
            </w:tcBorders>
            <w:vAlign w:val="center"/>
          </w:tcPr>
          <w:p w14:paraId="42F215C2">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737" w:type="pct"/>
            <w:tcBorders>
              <w:top w:val="single" w:color="auto" w:sz="6" w:space="0"/>
              <w:left w:val="single" w:color="auto" w:sz="4" w:space="0"/>
              <w:bottom w:val="single" w:color="auto" w:sz="6" w:space="0"/>
              <w:right w:val="single" w:color="auto" w:sz="6" w:space="0"/>
            </w:tcBorders>
            <w:vAlign w:val="center"/>
          </w:tcPr>
          <w:p w14:paraId="5C399063">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737" w:type="pct"/>
            <w:tcBorders>
              <w:top w:val="single" w:color="auto" w:sz="6" w:space="0"/>
              <w:left w:val="single" w:color="auto" w:sz="6" w:space="0"/>
              <w:bottom w:val="single" w:color="auto" w:sz="6" w:space="0"/>
              <w:right w:val="single" w:color="auto" w:sz="6" w:space="0"/>
            </w:tcBorders>
            <w:vAlign w:val="center"/>
          </w:tcPr>
          <w:p w14:paraId="276508CC">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589" w:type="pct"/>
            <w:tcBorders>
              <w:top w:val="single" w:color="auto" w:sz="6" w:space="0"/>
              <w:left w:val="single" w:color="auto" w:sz="6" w:space="0"/>
              <w:bottom w:val="single" w:color="auto" w:sz="6" w:space="0"/>
              <w:right w:val="single" w:color="auto" w:sz="6" w:space="0"/>
            </w:tcBorders>
            <w:vAlign w:val="center"/>
          </w:tcPr>
          <w:p w14:paraId="6A0F43FD">
            <w:pPr>
              <w:autoSpaceDE w:val="0"/>
              <w:autoSpaceDN w:val="0"/>
              <w:adjustRightInd w:val="0"/>
              <w:contextualSpacing/>
              <w:jc w:val="center"/>
              <w:rPr>
                <w:rFonts w:eastAsiaTheme="minorEastAsia"/>
                <w:sz w:val="18"/>
                <w:szCs w:val="18"/>
                <w:highlight w:val="none"/>
              </w:rPr>
            </w:pPr>
          </w:p>
        </w:tc>
        <w:tc>
          <w:tcPr>
            <w:tcW w:w="805" w:type="pct"/>
            <w:tcBorders>
              <w:top w:val="single" w:color="auto" w:sz="6" w:space="0"/>
              <w:left w:val="single" w:color="auto" w:sz="6" w:space="0"/>
              <w:bottom w:val="single" w:color="auto" w:sz="6" w:space="0"/>
              <w:right w:val="single" w:color="auto" w:sz="6" w:space="0"/>
            </w:tcBorders>
            <w:vAlign w:val="center"/>
          </w:tcPr>
          <w:p w14:paraId="66B01E7E">
            <w:pPr>
              <w:autoSpaceDE w:val="0"/>
              <w:autoSpaceDN w:val="0"/>
              <w:adjustRightInd w:val="0"/>
              <w:contextualSpacing/>
              <w:jc w:val="center"/>
              <w:rPr>
                <w:rFonts w:eastAsiaTheme="minorEastAsia"/>
                <w:sz w:val="18"/>
                <w:szCs w:val="18"/>
                <w:highlight w:val="none"/>
              </w:rPr>
            </w:pPr>
          </w:p>
        </w:tc>
      </w:tr>
    </w:tbl>
    <w:p w14:paraId="1D4A876A">
      <w:pPr>
        <w:contextualSpacing/>
        <w:jc w:val="left"/>
        <w:rPr>
          <w:b/>
          <w:szCs w:val="21"/>
          <w:highlight w:val="none"/>
        </w:rPr>
      </w:pPr>
      <w:r>
        <w:rPr>
          <w:bCs/>
          <w:szCs w:val="21"/>
          <w:highlight w:val="none"/>
        </w:rPr>
        <w:t>合计：*** 台（件）</w:t>
      </w:r>
    </w:p>
    <w:p w14:paraId="6C072A90">
      <w:pPr>
        <w:pStyle w:val="29"/>
        <w:numPr>
          <w:ilvl w:val="0"/>
          <w:numId w:val="12"/>
        </w:numPr>
        <w:ind w:firstLineChars="0"/>
        <w:jc w:val="left"/>
        <w:rPr>
          <w:b/>
          <w:szCs w:val="21"/>
          <w:highlight w:val="none"/>
        </w:rPr>
      </w:pPr>
      <w:r>
        <w:rPr>
          <w:b/>
          <w:szCs w:val="21"/>
          <w:highlight w:val="none"/>
        </w:rPr>
        <w:t>合同总价</w:t>
      </w:r>
    </w:p>
    <w:p w14:paraId="5C32E844">
      <w:pPr>
        <w:ind w:firstLine="480"/>
        <w:contextualSpacing/>
        <w:jc w:val="left"/>
        <w:rPr>
          <w:szCs w:val="21"/>
          <w:highlight w:val="none"/>
        </w:rPr>
      </w:pPr>
      <w:r>
        <w:rPr>
          <w:color w:val="000000"/>
          <w:szCs w:val="21"/>
          <w:highlight w:val="none"/>
        </w:rPr>
        <w:sym w:font="Wingdings 2" w:char="F052"/>
      </w:r>
      <w:r>
        <w:rPr>
          <w:rFonts w:hint="eastAsia"/>
          <w:szCs w:val="21"/>
          <w:highlight w:val="none"/>
        </w:rPr>
        <w:t>全包服务</w:t>
      </w:r>
    </w:p>
    <w:p w14:paraId="2805547E">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6F872CCE">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2FCEBC2B">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91595AA">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3C1B5EA5">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5A315F3E">
      <w:pPr>
        <w:ind w:left="420" w:leftChars="200" w:firstLine="420" w:firstLineChars="200"/>
        <w:contextualSpacing/>
        <w:jc w:val="left"/>
        <w:rPr>
          <w:bCs/>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4F39B07E">
      <w:pPr>
        <w:pStyle w:val="29"/>
        <w:numPr>
          <w:ilvl w:val="0"/>
          <w:numId w:val="12"/>
        </w:numPr>
        <w:ind w:left="0" w:firstLine="0" w:firstLineChars="0"/>
        <w:jc w:val="left"/>
        <w:rPr>
          <w:b/>
          <w:szCs w:val="21"/>
          <w:highlight w:val="none"/>
        </w:rPr>
      </w:pPr>
      <w:r>
        <w:rPr>
          <w:b/>
          <w:szCs w:val="21"/>
          <w:highlight w:val="none"/>
        </w:rPr>
        <w:t>设备维保服务期限</w:t>
      </w:r>
      <w:r>
        <w:rPr>
          <w:i/>
          <w:iCs/>
          <w:szCs w:val="21"/>
          <w:highlight w:val="none"/>
        </w:rPr>
        <w:t>&lt;根据项目实际情况选择&gt;</w:t>
      </w:r>
    </w:p>
    <w:p w14:paraId="5D82E1D7">
      <w:pPr>
        <w:pStyle w:val="29"/>
        <w:jc w:val="left"/>
        <w:rPr>
          <w:bCs/>
          <w:szCs w:val="21"/>
          <w:highlight w:val="none"/>
        </w:rPr>
      </w:pPr>
      <w:r>
        <w:rPr>
          <w:bCs/>
          <w:szCs w:val="21"/>
          <w:highlight w:val="none"/>
        </w:rPr>
        <w:t>本合同维保服务期限为 *** 年，自 *** 年 *** 月 *** 日起至 *** 年 *** 月 *** 日。</w:t>
      </w:r>
    </w:p>
    <w:p w14:paraId="0185295B">
      <w:pPr>
        <w:pStyle w:val="29"/>
        <w:jc w:val="left"/>
        <w:rPr>
          <w:bCs/>
          <w:szCs w:val="21"/>
          <w:highlight w:val="none"/>
        </w:rPr>
      </w:pPr>
    </w:p>
    <w:p w14:paraId="187BBE7E">
      <w:pPr>
        <w:pStyle w:val="29"/>
        <w:ind w:left="105" w:leftChars="50" w:firstLine="315" w:firstLineChars="150"/>
        <w:jc w:val="left"/>
        <w:rPr>
          <w:b/>
          <w:szCs w:val="21"/>
          <w:highlight w:val="none"/>
        </w:rPr>
      </w:pP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27B1A7F">
      <w:pPr>
        <w:pStyle w:val="29"/>
        <w:numPr>
          <w:ilvl w:val="0"/>
          <w:numId w:val="12"/>
        </w:numPr>
        <w:ind w:left="0" w:firstLine="0" w:firstLineChars="0"/>
        <w:contextualSpacing/>
        <w:jc w:val="left"/>
        <w:rPr>
          <w:b/>
          <w:szCs w:val="21"/>
          <w:highlight w:val="none"/>
        </w:rPr>
      </w:pPr>
      <w:r>
        <w:rPr>
          <w:b/>
          <w:szCs w:val="21"/>
          <w:highlight w:val="none"/>
        </w:rPr>
        <w:t>维保服务内容</w:t>
      </w:r>
    </w:p>
    <w:p w14:paraId="0FD77310">
      <w:pPr>
        <w:ind w:firstLine="420" w:firstLineChars="200"/>
        <w:contextualSpacing/>
        <w:jc w:val="left"/>
        <w:rPr>
          <w:szCs w:val="21"/>
          <w:highlight w:val="none"/>
        </w:rPr>
      </w:pPr>
      <w:r>
        <w:rPr>
          <w:rFonts w:hint="eastAsia"/>
          <w:bCs/>
          <w:szCs w:val="21"/>
          <w:highlight w:val="none"/>
        </w:rPr>
        <w:t>乙方应严格按照本合同维保服务方案和甲方要求提供服务，</w:t>
      </w:r>
      <w:r>
        <w:rPr>
          <w:bCs/>
          <w:szCs w:val="21"/>
          <w:highlight w:val="none"/>
        </w:rPr>
        <w:t>详见《附件</w:t>
      </w:r>
      <w:r>
        <w:rPr>
          <w:rFonts w:hint="eastAsia"/>
          <w:bCs/>
          <w:szCs w:val="21"/>
          <w:highlight w:val="none"/>
        </w:rPr>
        <w:t>3</w:t>
      </w:r>
      <w:r>
        <w:rPr>
          <w:bCs/>
          <w:szCs w:val="21"/>
          <w:highlight w:val="none"/>
        </w:rPr>
        <w:t>：维保服务</w:t>
      </w:r>
      <w:r>
        <w:rPr>
          <w:rFonts w:hint="eastAsia"/>
          <w:bCs/>
          <w:szCs w:val="21"/>
          <w:highlight w:val="none"/>
        </w:rPr>
        <w:t>方案</w:t>
      </w:r>
      <w:r>
        <w:rPr>
          <w:bCs/>
          <w:szCs w:val="21"/>
          <w:highlight w:val="none"/>
        </w:rPr>
        <w:t>》</w:t>
      </w:r>
      <w:r>
        <w:rPr>
          <w:rFonts w:hint="eastAsia"/>
          <w:bCs/>
          <w:szCs w:val="21"/>
          <w:highlight w:val="none"/>
        </w:rPr>
        <w:t>。</w:t>
      </w:r>
    </w:p>
    <w:p w14:paraId="5765E622">
      <w:pPr>
        <w:pStyle w:val="29"/>
        <w:numPr>
          <w:ilvl w:val="0"/>
          <w:numId w:val="12"/>
        </w:numPr>
        <w:ind w:left="0" w:firstLine="0" w:firstLineChars="0"/>
        <w:contextualSpacing/>
        <w:jc w:val="left"/>
        <w:rPr>
          <w:b/>
          <w:szCs w:val="21"/>
          <w:highlight w:val="none"/>
        </w:rPr>
      </w:pPr>
      <w:r>
        <w:rPr>
          <w:b/>
          <w:szCs w:val="21"/>
          <w:highlight w:val="none"/>
        </w:rPr>
        <w:t>验收</w:t>
      </w:r>
    </w:p>
    <w:p w14:paraId="1AC98650">
      <w:pPr>
        <w:pStyle w:val="29"/>
        <w:numPr>
          <w:ilvl w:val="0"/>
          <w:numId w:val="14"/>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4032638F">
      <w:pPr>
        <w:pStyle w:val="29"/>
        <w:numPr>
          <w:ilvl w:val="0"/>
          <w:numId w:val="14"/>
        </w:numPr>
        <w:ind w:left="0" w:firstLine="0" w:firstLineChars="0"/>
        <w:contextualSpacing/>
        <w:rPr>
          <w:szCs w:val="21"/>
          <w:highlight w:val="none"/>
        </w:rPr>
      </w:pPr>
      <w:r>
        <w:rPr>
          <w:szCs w:val="21"/>
          <w:highlight w:val="none"/>
        </w:rPr>
        <w:t>验收方案：</w:t>
      </w:r>
    </w:p>
    <w:p w14:paraId="2E2F1609">
      <w:pPr>
        <w:pStyle w:val="29"/>
        <w:numPr>
          <w:ilvl w:val="0"/>
          <w:numId w:val="15"/>
        </w:numPr>
        <w:ind w:firstLineChars="0"/>
        <w:contextualSpacing/>
        <w:rPr>
          <w:color w:val="000000"/>
          <w:szCs w:val="21"/>
          <w:highlight w:val="none"/>
        </w:rPr>
      </w:pPr>
      <w:r>
        <w:rPr>
          <w:rFonts w:hint="eastAsia"/>
          <w:color w:val="000000"/>
          <w:szCs w:val="21"/>
          <w:highlight w:val="none"/>
        </w:rPr>
        <w:t>验收主体：甲方</w:t>
      </w:r>
    </w:p>
    <w:p w14:paraId="5F6D2EB6">
      <w:pPr>
        <w:pStyle w:val="29"/>
        <w:numPr>
          <w:ilvl w:val="0"/>
          <w:numId w:val="15"/>
        </w:numPr>
        <w:ind w:firstLineChars="0"/>
        <w:contextualSpacing/>
        <w:rPr>
          <w:color w:val="000000"/>
          <w:szCs w:val="21"/>
          <w:highlight w:val="none"/>
        </w:rPr>
      </w:pPr>
      <w:r>
        <w:rPr>
          <w:rFonts w:hint="eastAsia"/>
          <w:color w:val="000000"/>
          <w:szCs w:val="21"/>
          <w:highlight w:val="none"/>
        </w:rPr>
        <w:t>验收组织方式：自行验收</w:t>
      </w:r>
    </w:p>
    <w:p w14:paraId="7AA5D4FB">
      <w:pPr>
        <w:pStyle w:val="29"/>
        <w:numPr>
          <w:ilvl w:val="0"/>
          <w:numId w:val="15"/>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46E88B5B">
      <w:pPr>
        <w:pStyle w:val="29"/>
        <w:numPr>
          <w:ilvl w:val="0"/>
          <w:numId w:val="15"/>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62370ABB">
      <w:pPr>
        <w:pStyle w:val="29"/>
        <w:numPr>
          <w:ilvl w:val="0"/>
          <w:numId w:val="15"/>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74A39E9E">
      <w:pPr>
        <w:pStyle w:val="29"/>
        <w:numPr>
          <w:ilvl w:val="0"/>
          <w:numId w:val="15"/>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440908D0">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29A3DF5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0EBAF268">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34F23A4D">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4BB3707E">
      <w:pPr>
        <w:pStyle w:val="29"/>
        <w:numPr>
          <w:ilvl w:val="0"/>
          <w:numId w:val="15"/>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3DEF676B">
      <w:pPr>
        <w:pStyle w:val="29"/>
        <w:numPr>
          <w:ilvl w:val="0"/>
          <w:numId w:val="15"/>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45F3EF4">
      <w:pPr>
        <w:pStyle w:val="29"/>
        <w:numPr>
          <w:ilvl w:val="0"/>
          <w:numId w:val="15"/>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FECA43">
      <w:pPr>
        <w:pStyle w:val="29"/>
        <w:numPr>
          <w:ilvl w:val="0"/>
          <w:numId w:val="15"/>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DA2724F">
      <w:pPr>
        <w:pStyle w:val="29"/>
        <w:numPr>
          <w:ilvl w:val="0"/>
          <w:numId w:val="15"/>
        </w:numPr>
        <w:ind w:firstLineChars="0"/>
        <w:contextualSpacing/>
        <w:rPr>
          <w:szCs w:val="21"/>
          <w:highlight w:val="none"/>
        </w:rPr>
      </w:pPr>
      <w:r>
        <w:rPr>
          <w:szCs w:val="21"/>
          <w:highlight w:val="none"/>
        </w:rPr>
        <w:t>验收标准：</w:t>
      </w:r>
    </w:p>
    <w:p w14:paraId="0C083837">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32613EAB">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甲方的采购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57ADF1CC">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47220A7B">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7FF8F5AF">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0CF63516">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C5F3FDE">
      <w:pPr>
        <w:pStyle w:val="29"/>
        <w:numPr>
          <w:ilvl w:val="0"/>
          <w:numId w:val="15"/>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1B02AFC4">
      <w:pPr>
        <w:pStyle w:val="29"/>
        <w:numPr>
          <w:ilvl w:val="0"/>
          <w:numId w:val="14"/>
        </w:numPr>
        <w:ind w:left="0" w:firstLine="0" w:firstLineChars="0"/>
        <w:rPr>
          <w:szCs w:val="21"/>
          <w:highlight w:val="none"/>
        </w:rPr>
      </w:pPr>
      <w:r>
        <w:rPr>
          <w:szCs w:val="21"/>
          <w:highlight w:val="none"/>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的违约金给甲方，违约金不能弥补甲方损失的，乙方应全额赔偿。</w:t>
      </w:r>
    </w:p>
    <w:p w14:paraId="4F49C2C1">
      <w:pPr>
        <w:pStyle w:val="29"/>
        <w:numPr>
          <w:ilvl w:val="0"/>
          <w:numId w:val="12"/>
        </w:numPr>
        <w:ind w:left="0" w:firstLine="0" w:firstLineChars="0"/>
        <w:contextualSpacing/>
        <w:jc w:val="left"/>
        <w:rPr>
          <w:b/>
          <w:szCs w:val="21"/>
          <w:highlight w:val="none"/>
        </w:rPr>
      </w:pPr>
      <w:r>
        <w:rPr>
          <w:b/>
          <w:szCs w:val="21"/>
          <w:highlight w:val="none"/>
        </w:rPr>
        <w:t>付款方式</w:t>
      </w:r>
    </w:p>
    <w:p w14:paraId="42EA8089">
      <w:pPr>
        <w:pStyle w:val="9"/>
        <w:numPr>
          <w:ilvl w:val="0"/>
          <w:numId w:val="17"/>
        </w:numPr>
        <w:spacing w:after="0" w:line="240" w:lineRule="auto"/>
        <w:ind w:left="227" w:leftChars="0" w:hanging="227"/>
        <w:contextualSpacing/>
        <w:jc w:val="left"/>
        <w:rPr>
          <w:szCs w:val="21"/>
          <w:highlight w:val="none"/>
        </w:rPr>
      </w:pPr>
      <w:r>
        <w:rPr>
          <w:szCs w:val="21"/>
          <w:highlight w:val="none"/>
        </w:rPr>
        <w:t>履约保证金：</w:t>
      </w:r>
    </w:p>
    <w:p w14:paraId="3951D65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乙方在合同签订生效之日起的***个工作日内，按合同总价***%支付履约保证金；本合同维保服务结束</w:t>
      </w:r>
      <w:r>
        <w:rPr>
          <w:rFonts w:hint="eastAsia" w:ascii="Times New Roman" w:hAnsi="Times New Roman"/>
          <w:color w:val="000000"/>
          <w:szCs w:val="21"/>
          <w:highlight w:val="none"/>
        </w:rPr>
        <w:t>且验收合格</w:t>
      </w:r>
      <w:r>
        <w:rPr>
          <w:rFonts w:ascii="Times New Roman" w:hAnsi="Times New Roman"/>
          <w:color w:val="000000"/>
          <w:szCs w:val="21"/>
          <w:highlight w:val="none"/>
        </w:rPr>
        <w:t>后，甲方接到乙方付款申请后30个工作日内，甲方一次性无息退还乙方的履约保证金；经验收后乙方履约不合格的，履约保证金不予退还。</w:t>
      </w:r>
    </w:p>
    <w:p w14:paraId="1399C2B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CD0D0C3">
      <w:pPr>
        <w:pStyle w:val="9"/>
        <w:numPr>
          <w:ilvl w:val="0"/>
          <w:numId w:val="17"/>
        </w:numPr>
        <w:spacing w:after="0" w:line="240" w:lineRule="auto"/>
        <w:ind w:left="227" w:leftChars="0" w:hanging="227"/>
        <w:contextualSpacing/>
        <w:jc w:val="left"/>
        <w:rPr>
          <w:szCs w:val="21"/>
          <w:highlight w:val="none"/>
        </w:rPr>
      </w:pPr>
      <w:r>
        <w:rPr>
          <w:szCs w:val="21"/>
          <w:highlight w:val="none"/>
        </w:rPr>
        <w:t>本项目价款采用以下方式支付，以人民币结算：</w:t>
      </w:r>
    </w:p>
    <w:p w14:paraId="41E5853B">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1D3511B6">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维保服务期满且经甲方验收合格</w:t>
      </w:r>
      <w:r>
        <w:rPr>
          <w:rFonts w:ascii="Times New Roman" w:hAnsi="Times New Roman"/>
          <w:szCs w:val="21"/>
          <w:highlight w:val="none"/>
        </w:rPr>
        <w:t>后5日内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17F52E77">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分阶段支付，支付期限及额度如下：</w:t>
      </w:r>
    </w:p>
    <w:p w14:paraId="34043950">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（1）预付款：本合同生效后***个工作日内，甲方预付本合同总价的***%，即人民币（大写） *** 圆整（RMB *** 元）。</w:t>
      </w:r>
    </w:p>
    <w:p w14:paraId="211780BD">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（2）进度款，甲方应当按照下列方式支付进度款：</w:t>
      </w:r>
    </w:p>
    <w:p w14:paraId="1DB2A1DD">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乙方按照本合同约定完成阶段性工作后，甲方应于每一阶段性工作成果验收合格之日起***个工作日内，向乙方支付相应的费用。</w:t>
      </w:r>
    </w:p>
    <w:p w14:paraId="68F84E89">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乙方完成***，甲方支付项目费用总额的***%，即 人民币（大写）*** 圆整（RMB *** 元）。</w:t>
      </w:r>
    </w:p>
    <w:p w14:paraId="18E9C0E7">
      <w:pPr>
        <w:pStyle w:val="16"/>
        <w:spacing w:after="0"/>
        <w:ind w:left="945" w:leftChars="400" w:hanging="105" w:hangingChars="50"/>
        <w:contextualSpacing/>
        <w:jc w:val="left"/>
        <w:rPr>
          <w:rFonts w:ascii="Times New Roman" w:hAnsi="Times New Roman"/>
          <w:color w:val="000000"/>
          <w:szCs w:val="21"/>
          <w:highlight w:val="none"/>
        </w:rPr>
      </w:pPr>
      <w:r>
        <w:rPr>
          <w:rFonts w:ascii="Times New Roman" w:hAnsi="Times New Roman"/>
          <w:color w:val="000000"/>
          <w:szCs w:val="21"/>
          <w:highlight w:val="none"/>
        </w:rPr>
        <w:t>（3）结算款：本合同维保服务结束后，甲方向乙方支付剩余价款人民币（大写）*** 圆整（RMB *** 元）。</w:t>
      </w:r>
    </w:p>
    <w:p w14:paraId="1E07D32D">
      <w:pPr>
        <w:pStyle w:val="9"/>
        <w:numPr>
          <w:ilvl w:val="0"/>
          <w:numId w:val="17"/>
        </w:numPr>
        <w:spacing w:after="0" w:line="240" w:lineRule="auto"/>
        <w:ind w:left="227" w:leftChars="0" w:hanging="227"/>
        <w:contextualSpacing/>
        <w:jc w:val="left"/>
        <w:rPr>
          <w:szCs w:val="21"/>
          <w:highlight w:val="none"/>
        </w:rPr>
      </w:pPr>
      <w:r>
        <w:rPr>
          <w:szCs w:val="21"/>
          <w:highlight w:val="none"/>
        </w:rPr>
        <w:t>甲方付款前，乙方需出具</w:t>
      </w:r>
      <w:r>
        <w:rPr>
          <w:rFonts w:hint="eastAsia"/>
          <w:color w:val="000000"/>
          <w:szCs w:val="21"/>
          <w:highlight w:val="none"/>
        </w:rPr>
        <w:t>提供合法有效票据及其他相关请款资料</w:t>
      </w:r>
      <w:r>
        <w:rPr>
          <w:szCs w:val="21"/>
          <w:highlight w:val="none"/>
        </w:rPr>
        <w:t>，否则甲方有权拒绝支付且不承担任何违约责任，且乙方不得因此停止工作。</w:t>
      </w:r>
    </w:p>
    <w:p w14:paraId="1F9E191B">
      <w:pPr>
        <w:pStyle w:val="9"/>
        <w:numPr>
          <w:ilvl w:val="0"/>
          <w:numId w:val="17"/>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0F35DCD4">
      <w:pPr>
        <w:pStyle w:val="29"/>
        <w:numPr>
          <w:ilvl w:val="0"/>
          <w:numId w:val="12"/>
        </w:numPr>
        <w:ind w:left="0" w:firstLine="0" w:firstLineChars="0"/>
        <w:contextualSpacing/>
        <w:jc w:val="left"/>
        <w:rPr>
          <w:b/>
          <w:szCs w:val="21"/>
          <w:highlight w:val="none"/>
        </w:rPr>
      </w:pPr>
      <w:r>
        <w:rPr>
          <w:b/>
          <w:szCs w:val="21"/>
          <w:highlight w:val="none"/>
        </w:rPr>
        <w:t>双方权利与义务</w:t>
      </w:r>
    </w:p>
    <w:p w14:paraId="20657773">
      <w:pPr>
        <w:pStyle w:val="9"/>
        <w:numPr>
          <w:ilvl w:val="0"/>
          <w:numId w:val="18"/>
        </w:numPr>
        <w:spacing w:after="0" w:line="240" w:lineRule="auto"/>
        <w:ind w:left="227" w:leftChars="0" w:hanging="227"/>
        <w:contextualSpacing/>
        <w:jc w:val="left"/>
        <w:rPr>
          <w:szCs w:val="21"/>
          <w:highlight w:val="none"/>
        </w:rPr>
      </w:pPr>
      <w:r>
        <w:rPr>
          <w:szCs w:val="21"/>
          <w:highlight w:val="none"/>
        </w:rPr>
        <w:t>甲方权利与义务</w:t>
      </w:r>
    </w:p>
    <w:p w14:paraId="6FA446B9">
      <w:pPr>
        <w:pStyle w:val="29"/>
        <w:numPr>
          <w:ilvl w:val="0"/>
          <w:numId w:val="19"/>
        </w:numPr>
        <w:adjustRightInd w:val="0"/>
        <w:ind w:left="525" w:hanging="525" w:hangingChars="250"/>
        <w:contextualSpacing/>
        <w:jc w:val="left"/>
        <w:rPr>
          <w:szCs w:val="21"/>
          <w:highlight w:val="none"/>
        </w:rPr>
      </w:pPr>
      <w:r>
        <w:rPr>
          <w:szCs w:val="21"/>
          <w:highlight w:val="none"/>
        </w:rPr>
        <w:t>按合同约定向乙方支付费用。</w:t>
      </w:r>
    </w:p>
    <w:p w14:paraId="0C3A2025">
      <w:pPr>
        <w:pStyle w:val="29"/>
        <w:numPr>
          <w:ilvl w:val="0"/>
          <w:numId w:val="19"/>
        </w:numPr>
        <w:adjustRightInd w:val="0"/>
        <w:ind w:left="525" w:hanging="525" w:hangingChars="250"/>
        <w:contextualSpacing/>
        <w:jc w:val="left"/>
        <w:rPr>
          <w:szCs w:val="21"/>
          <w:highlight w:val="none"/>
        </w:rPr>
      </w:pPr>
      <w:r>
        <w:rPr>
          <w:szCs w:val="21"/>
          <w:highlight w:val="none"/>
        </w:rPr>
        <w:t>保证乙方实施维保服务所必须的外部条件如电源、水源的正常供应及开启、关闭等。</w:t>
      </w:r>
    </w:p>
    <w:p w14:paraId="2CEFE583">
      <w:pPr>
        <w:pStyle w:val="29"/>
        <w:numPr>
          <w:ilvl w:val="0"/>
          <w:numId w:val="19"/>
        </w:numPr>
        <w:adjustRightInd w:val="0"/>
        <w:ind w:left="525" w:hanging="525" w:hangingChars="250"/>
        <w:contextualSpacing/>
        <w:jc w:val="left"/>
        <w:rPr>
          <w:szCs w:val="21"/>
          <w:highlight w:val="none"/>
        </w:rPr>
      </w:pPr>
      <w:r>
        <w:rPr>
          <w:szCs w:val="21"/>
          <w:highlight w:val="none"/>
        </w:rPr>
        <w:t>对于乙方在提供保修保养期间所提供的信息，甲方应予保密，未经乙方书面同意，甲方不得擅自使用或透露给第三方。</w:t>
      </w:r>
    </w:p>
    <w:p w14:paraId="0EEECB16">
      <w:pPr>
        <w:pStyle w:val="29"/>
        <w:numPr>
          <w:ilvl w:val="0"/>
          <w:numId w:val="19"/>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0A44A3AA">
      <w:pPr>
        <w:pStyle w:val="9"/>
        <w:numPr>
          <w:ilvl w:val="0"/>
          <w:numId w:val="18"/>
        </w:numPr>
        <w:spacing w:after="0" w:line="240" w:lineRule="auto"/>
        <w:ind w:left="227" w:leftChars="0" w:hanging="227"/>
        <w:contextualSpacing/>
        <w:jc w:val="left"/>
        <w:rPr>
          <w:szCs w:val="21"/>
          <w:highlight w:val="none"/>
        </w:rPr>
      </w:pPr>
      <w:r>
        <w:rPr>
          <w:szCs w:val="21"/>
          <w:highlight w:val="none"/>
        </w:rPr>
        <w:t>乙方权利与义务</w:t>
      </w:r>
    </w:p>
    <w:p w14:paraId="064778C5">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按本合同约定向甲方提供维保服务。</w:t>
      </w:r>
    </w:p>
    <w:p w14:paraId="2E4A6595">
      <w:pPr>
        <w:pStyle w:val="9"/>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7EF0C008">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乙方应保证服务中更换的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w:t>
      </w:r>
      <w:r>
        <w:rPr>
          <w:rFonts w:hint="eastAsia"/>
          <w:szCs w:val="21"/>
          <w:highlight w:val="none"/>
        </w:rPr>
        <w:t>达到本项目采购文件中的技术要求和质量标准且</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7503E206">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如维保服务涉及计算机软件产品的，乙方须承诺在维保服务中设备安装的软件已获得软件厂商的正规授权。</w:t>
      </w:r>
    </w:p>
    <w:p w14:paraId="3102E868">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乙方在提供维保服务的过程中，发现设备已经无法通过本合同第</w:t>
      </w:r>
      <w:r>
        <w:rPr>
          <w:rFonts w:hint="eastAsia"/>
          <w:szCs w:val="21"/>
          <w:highlight w:val="none"/>
        </w:rPr>
        <w:t>四</w:t>
      </w:r>
      <w:r>
        <w:rPr>
          <w:szCs w:val="21"/>
          <w:highlight w:val="none"/>
        </w:rPr>
        <w:t>条中说明的维保服务内容达到使用标准的情况，乙方须以书面形式告知甲方。</w:t>
      </w:r>
    </w:p>
    <w:p w14:paraId="73696737">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0BFDA794">
      <w:pPr>
        <w:pStyle w:val="29"/>
        <w:numPr>
          <w:ilvl w:val="0"/>
          <w:numId w:val="12"/>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44FBD3EB">
      <w:pPr>
        <w:pStyle w:val="9"/>
        <w:numPr>
          <w:ilvl w:val="0"/>
          <w:numId w:val="21"/>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szCs w:val="21"/>
          <w:highlight w:val="none"/>
          <w:u w:val="none"/>
        </w:rPr>
        <w:t>%</w:t>
      </w:r>
      <w:r>
        <w:rPr>
          <w:rFonts w:hint="eastAsia"/>
          <w:szCs w:val="21"/>
          <w:highlight w:val="none"/>
        </w:rPr>
        <w:t>作为</w:t>
      </w:r>
      <w:r>
        <w:rPr>
          <w:szCs w:val="21"/>
          <w:highlight w:val="none"/>
        </w:rPr>
        <w:t>违约金。</w:t>
      </w:r>
    </w:p>
    <w:p w14:paraId="2318BCBB">
      <w:pPr>
        <w:pStyle w:val="29"/>
        <w:numPr>
          <w:ilvl w:val="0"/>
          <w:numId w:val="21"/>
        </w:numPr>
        <w:ind w:left="0" w:firstLine="0" w:firstLineChars="0"/>
        <w:rPr>
          <w:szCs w:val="21"/>
          <w:highlight w:val="none"/>
        </w:rPr>
      </w:pPr>
      <w:r>
        <w:rPr>
          <w:szCs w:val="21"/>
          <w:highlight w:val="none"/>
        </w:rPr>
        <w:t>乙方违约责任：</w:t>
      </w:r>
    </w:p>
    <w:p w14:paraId="43F1FFB8">
      <w:pPr>
        <w:pStyle w:val="9"/>
        <w:numPr>
          <w:ilvl w:val="0"/>
          <w:numId w:val="22"/>
        </w:numPr>
        <w:spacing w:after="0" w:line="240" w:lineRule="auto"/>
        <w:ind w:left="525" w:leftChars="0" w:hanging="525" w:hangingChars="250"/>
        <w:contextualSpacing/>
        <w:jc w:val="left"/>
        <w:rPr>
          <w:szCs w:val="21"/>
          <w:highlight w:val="none"/>
        </w:rPr>
      </w:pPr>
      <w:bookmarkStart w:id="99" w:name="OLE_LINK17"/>
      <w:bookmarkStart w:id="100" w:name="OLE_LINK18"/>
      <w:r>
        <w:rPr>
          <w:szCs w:val="21"/>
          <w:highlight w:val="none"/>
        </w:rPr>
        <w:t>乙方应派遣具备相关资质的技术人员为甲方提供维保服务，维保服务过程中，乙方技术人员因操作不当、未采取必要的安全防范措施等原因导致安全责任事故的，由乙方承担由此造成的全部法律责任。</w:t>
      </w:r>
    </w:p>
    <w:p w14:paraId="3B7EA59E">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因乙方在维保服务中更换的备件或材料在质保期内并在正常使用情况下出现质量原因导致甲方或第三方财产或人身损害的，由乙方承担赔偿责任。</w:t>
      </w:r>
    </w:p>
    <w:p w14:paraId="04A47C83">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乙方提供的维保服务存在重大的设计、工艺或材料缺陷（包括潜在缺陷），乙方应当对由于上述缺陷造成的损失负责。</w:t>
      </w:r>
    </w:p>
    <w:p w14:paraId="392919B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在本合同履行中，设备出现故障时，如乙方在接到甲方或使用单位通知后，在本合同第三条中写明的响应时间内，没有作出响应措施，每发生一次，乙方应按</w:t>
      </w:r>
      <w:r>
        <w:rPr>
          <w:rFonts w:hint="eastAsia"/>
          <w:szCs w:val="21"/>
          <w:highlight w:val="none"/>
          <w:u w:val="single"/>
        </w:rPr>
        <w:t>合同总金额</w:t>
      </w:r>
      <w:r>
        <w:rPr>
          <w:szCs w:val="21"/>
          <w:highlight w:val="none"/>
        </w:rPr>
        <w:t>的</w:t>
      </w:r>
      <w:r>
        <w:rPr>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6E1BD5E6">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提供维保服务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rPr>
        <w:t>10</w:t>
      </w:r>
      <w:r>
        <w:rPr>
          <w:szCs w:val="21"/>
          <w:highlight w:val="none"/>
        </w:rPr>
        <w:t>%作为赔偿违约金。</w:t>
      </w:r>
    </w:p>
    <w:p w14:paraId="3CE9D77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rPr>
        <w:t>合同总金额的</w:t>
      </w:r>
      <w:r>
        <w:rPr>
          <w:rFonts w:hint="eastAsia"/>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99"/>
    <w:bookmarkEnd w:id="100"/>
    <w:p w14:paraId="71FC7E7E">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1C7787E0">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7B29E042">
      <w:pPr>
        <w:pStyle w:val="9"/>
        <w:numPr>
          <w:ilvl w:val="0"/>
          <w:numId w:val="22"/>
        </w:numPr>
        <w:snapToGrid w:val="0"/>
        <w:spacing w:after="0" w:line="240" w:lineRule="auto"/>
        <w:ind w:left="525" w:leftChars="0" w:hanging="525" w:hangingChars="250"/>
        <w:contextualSpacing/>
        <w:jc w:val="left"/>
        <w:rPr>
          <w:rFonts w:hint="eastAsia"/>
          <w:szCs w:val="21"/>
          <w:highlight w:val="none"/>
        </w:rPr>
      </w:pPr>
      <w:r>
        <w:rPr>
          <w:rFonts w:hint="eastAsia"/>
          <w:szCs w:val="21"/>
          <w:highlight w:val="none"/>
        </w:rPr>
        <w:t>如本</w:t>
      </w:r>
      <w:r>
        <w:rPr>
          <w:rFonts w:ascii="宋体" w:hAnsi="宋体" w:cs="微软雅黑"/>
          <w:szCs w:val="21"/>
          <w:highlight w:val="none"/>
        </w:rPr>
        <w:t>合同</w:t>
      </w:r>
      <w:r>
        <w:rPr>
          <w:rFonts w:hint="eastAsia" w:ascii="宋体" w:hAnsi="宋体"/>
          <w:szCs w:val="21"/>
          <w:highlight w:val="none"/>
        </w:rPr>
        <w:t>要</w:t>
      </w:r>
      <w:r>
        <w:rPr>
          <w:rFonts w:hint="eastAsia"/>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33C15B0">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E11DDF7">
      <w:pPr>
        <w:pStyle w:val="29"/>
        <w:numPr>
          <w:ilvl w:val="0"/>
          <w:numId w:val="12"/>
        </w:numPr>
        <w:ind w:left="0" w:firstLine="0" w:firstLineChars="0"/>
        <w:contextualSpacing/>
        <w:jc w:val="left"/>
        <w:rPr>
          <w:b/>
          <w:szCs w:val="21"/>
          <w:highlight w:val="none"/>
        </w:rPr>
      </w:pPr>
      <w:r>
        <w:rPr>
          <w:b/>
          <w:szCs w:val="21"/>
          <w:highlight w:val="none"/>
        </w:rPr>
        <w:t>不可抗力</w:t>
      </w:r>
    </w:p>
    <w:p w14:paraId="0E7D5840">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lang w:val="en-US" w:eastAsia="zh-CN"/>
        </w:rPr>
        <w:t>日</w:t>
      </w:r>
      <w:r>
        <w:rPr>
          <w:bCs/>
          <w:szCs w:val="21"/>
          <w:highlight w:val="none"/>
        </w:rPr>
        <w:t>，甲方有权解除合同，双方互不承担违约责任。</w:t>
      </w:r>
    </w:p>
    <w:p w14:paraId="79AF4B1D">
      <w:pPr>
        <w:pStyle w:val="29"/>
        <w:numPr>
          <w:ilvl w:val="0"/>
          <w:numId w:val="12"/>
        </w:numPr>
        <w:ind w:left="0" w:firstLine="0" w:firstLineChars="0"/>
        <w:contextualSpacing/>
        <w:jc w:val="left"/>
        <w:rPr>
          <w:b/>
          <w:szCs w:val="21"/>
          <w:highlight w:val="none"/>
        </w:rPr>
      </w:pPr>
      <w:r>
        <w:rPr>
          <w:b/>
          <w:szCs w:val="21"/>
          <w:highlight w:val="none"/>
        </w:rPr>
        <w:t>合同终止及解除</w:t>
      </w:r>
    </w:p>
    <w:p w14:paraId="54E19CC2">
      <w:pPr>
        <w:pStyle w:val="29"/>
        <w:numPr>
          <w:ilvl w:val="0"/>
          <w:numId w:val="23"/>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E4796D1">
      <w:pPr>
        <w:pStyle w:val="29"/>
        <w:numPr>
          <w:ilvl w:val="0"/>
          <w:numId w:val="23"/>
        </w:numPr>
        <w:ind w:left="0" w:firstLine="0" w:firstLineChars="0"/>
        <w:rPr>
          <w:szCs w:val="21"/>
          <w:highlight w:val="none"/>
        </w:rPr>
      </w:pPr>
      <w:r>
        <w:rPr>
          <w:szCs w:val="21"/>
          <w:highlight w:val="none"/>
        </w:rPr>
        <w:t>在甲、乙任何一方有严重违约行为时，另一方有权单方解除合同。</w:t>
      </w:r>
    </w:p>
    <w:p w14:paraId="4B71AFAF">
      <w:pPr>
        <w:pStyle w:val="29"/>
        <w:numPr>
          <w:ilvl w:val="0"/>
          <w:numId w:val="12"/>
        </w:numPr>
        <w:ind w:left="0" w:firstLine="0" w:firstLineChars="0"/>
        <w:contextualSpacing/>
        <w:jc w:val="left"/>
        <w:rPr>
          <w:b/>
          <w:szCs w:val="21"/>
          <w:highlight w:val="none"/>
        </w:rPr>
      </w:pPr>
      <w:r>
        <w:rPr>
          <w:b/>
          <w:szCs w:val="21"/>
          <w:highlight w:val="none"/>
        </w:rPr>
        <w:t>争议解决办法</w:t>
      </w:r>
    </w:p>
    <w:p w14:paraId="636DABCE">
      <w:pPr>
        <w:pStyle w:val="29"/>
        <w:numPr>
          <w:ilvl w:val="0"/>
          <w:numId w:val="24"/>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0164F8DF">
      <w:pPr>
        <w:pStyle w:val="29"/>
        <w:numPr>
          <w:ilvl w:val="0"/>
          <w:numId w:val="24"/>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19AC403B">
      <w:pPr>
        <w:pStyle w:val="29"/>
        <w:numPr>
          <w:ilvl w:val="0"/>
          <w:numId w:val="12"/>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0028DA46">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3A4A6F4F">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549CEA8D">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2DF0049">
      <w:pPr>
        <w:pStyle w:val="29"/>
        <w:numPr>
          <w:ilvl w:val="0"/>
          <w:numId w:val="12"/>
        </w:numPr>
        <w:ind w:left="0" w:firstLine="0" w:firstLineChars="0"/>
        <w:contextualSpacing/>
        <w:jc w:val="left"/>
        <w:rPr>
          <w:b/>
          <w:szCs w:val="21"/>
          <w:highlight w:val="none"/>
        </w:rPr>
      </w:pPr>
      <w:r>
        <w:rPr>
          <w:b/>
          <w:szCs w:val="21"/>
          <w:highlight w:val="none"/>
        </w:rPr>
        <w:t>其他</w:t>
      </w:r>
    </w:p>
    <w:p w14:paraId="601ABAEC">
      <w:pPr>
        <w:pStyle w:val="29"/>
        <w:numPr>
          <w:ilvl w:val="0"/>
          <w:numId w:val="26"/>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7C81D7BB">
      <w:pPr>
        <w:pStyle w:val="29"/>
        <w:numPr>
          <w:ilvl w:val="0"/>
          <w:numId w:val="26"/>
        </w:numPr>
        <w:ind w:left="0" w:firstLine="0" w:firstLineChars="0"/>
        <w:rPr>
          <w:szCs w:val="21"/>
          <w:highlight w:val="none"/>
        </w:rPr>
      </w:pPr>
      <w:r>
        <w:rPr>
          <w:szCs w:val="21"/>
          <w:highlight w:val="none"/>
        </w:rPr>
        <w:t>本合同一式四份，自双方</w:t>
      </w:r>
      <w:r>
        <w:rPr>
          <w:rFonts w:hint="eastAsia" w:ascii="Times New Roman" w:hAnsi="Times New Roman"/>
          <w:szCs w:val="21"/>
          <w:highlight w:val="none"/>
          <w:lang w:val="en-US" w:eastAsia="zh-CN"/>
        </w:rPr>
        <w:t>签字且盖章</w:t>
      </w:r>
      <w:r>
        <w:rPr>
          <w:szCs w:val="21"/>
          <w:highlight w:val="none"/>
        </w:rPr>
        <w:t>之日起生效。甲方三份，乙方一份。</w:t>
      </w:r>
    </w:p>
    <w:p w14:paraId="1C3E25A2">
      <w:pPr>
        <w:pStyle w:val="29"/>
        <w:numPr>
          <w:ilvl w:val="0"/>
          <w:numId w:val="12"/>
        </w:numPr>
        <w:ind w:left="0" w:firstLine="0" w:firstLineChars="0"/>
        <w:contextualSpacing/>
        <w:jc w:val="left"/>
        <w:rPr>
          <w:b/>
          <w:szCs w:val="21"/>
          <w:highlight w:val="none"/>
        </w:rPr>
      </w:pPr>
      <w:r>
        <w:rPr>
          <w:b/>
          <w:szCs w:val="21"/>
          <w:highlight w:val="none"/>
        </w:rPr>
        <w:t>合同附件</w:t>
      </w:r>
    </w:p>
    <w:p w14:paraId="173685B4">
      <w:pPr>
        <w:rPr>
          <w:szCs w:val="21"/>
          <w:highlight w:val="none"/>
        </w:rPr>
      </w:pPr>
      <w:r>
        <w:rPr>
          <w:szCs w:val="21"/>
          <w:highlight w:val="none"/>
        </w:rPr>
        <w:t>本合同为</w:t>
      </w:r>
      <w:r>
        <w:rPr>
          <w:rFonts w:hint="eastAsia"/>
          <w:szCs w:val="21"/>
          <w:highlight w:val="non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BFD751">
      <w:pPr>
        <w:jc w:val="left"/>
        <w:outlineLvl w:val="0"/>
        <w:rPr>
          <w:szCs w:val="21"/>
          <w:highlight w:val="none"/>
        </w:rPr>
      </w:pPr>
      <w:r>
        <w:rPr>
          <w:rFonts w:hint="eastAsia"/>
          <w:szCs w:val="21"/>
          <w:highlight w:val="none"/>
        </w:rPr>
        <w:t>附件1《</w:t>
      </w:r>
      <w:bookmarkStart w:id="101" w:name="OLE_LINK32"/>
      <w:r>
        <w:rPr>
          <w:rFonts w:hint="eastAsia"/>
          <w:szCs w:val="21"/>
          <w:highlight w:val="none"/>
        </w:rPr>
        <w:t>结算单价清单</w:t>
      </w:r>
      <w:bookmarkEnd w:id="101"/>
      <w:r>
        <w:rPr>
          <w:rFonts w:hint="eastAsia"/>
          <w:szCs w:val="21"/>
          <w:highlight w:val="none"/>
        </w:rPr>
        <w:t>》</w:t>
      </w:r>
    </w:p>
    <w:p w14:paraId="3DB40CA7">
      <w:pPr>
        <w:jc w:val="left"/>
        <w:outlineLvl w:val="0"/>
        <w:rPr>
          <w:szCs w:val="21"/>
          <w:highlight w:val="none"/>
        </w:rPr>
      </w:pPr>
      <w:r>
        <w:rPr>
          <w:rFonts w:hint="eastAsia"/>
          <w:szCs w:val="21"/>
          <w:highlight w:val="none"/>
        </w:rPr>
        <w:t>附件2《考核标准》</w:t>
      </w:r>
    </w:p>
    <w:p w14:paraId="3F562E6C">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3666B086">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11368596">
        <w:tblPrEx>
          <w:tblCellMar>
            <w:top w:w="0" w:type="dxa"/>
            <w:left w:w="0" w:type="dxa"/>
            <w:bottom w:w="0" w:type="dxa"/>
            <w:right w:w="0" w:type="dxa"/>
          </w:tblCellMar>
        </w:tblPrEx>
        <w:trPr>
          <w:trHeight w:val="519" w:hRule="atLeast"/>
          <w:jc w:val="center"/>
        </w:trPr>
        <w:tc>
          <w:tcPr>
            <w:tcW w:w="10214" w:type="dxa"/>
            <w:gridSpan w:val="2"/>
          </w:tcPr>
          <w:p w14:paraId="5B66C8E9">
            <w:pPr>
              <w:rPr>
                <w:szCs w:val="21"/>
                <w:highlight w:val="none"/>
              </w:rPr>
            </w:pPr>
            <w:r>
              <w:rPr>
                <w:szCs w:val="21"/>
                <w:highlight w:val="none"/>
              </w:rPr>
              <w:t>签订时间：</w:t>
            </w:r>
            <w:r>
              <w:rPr>
                <w:highlight w:val="none"/>
              </w:rPr>
              <w:t>202</w:t>
            </w:r>
            <w:r>
              <w:rPr>
                <w:rFonts w:hint="eastAsia"/>
                <w:highlight w:val="none"/>
              </w:rPr>
              <w:t>*</w:t>
            </w:r>
            <w:r>
              <w:rPr>
                <w:szCs w:val="21"/>
                <w:highlight w:val="none"/>
              </w:rPr>
              <w:t>年***月***日</w:t>
            </w:r>
          </w:p>
        </w:tc>
      </w:tr>
      <w:tr w14:paraId="7BC71E8E">
        <w:tblPrEx>
          <w:tblCellMar>
            <w:top w:w="0" w:type="dxa"/>
            <w:left w:w="0" w:type="dxa"/>
            <w:bottom w:w="0" w:type="dxa"/>
            <w:right w:w="0" w:type="dxa"/>
          </w:tblCellMar>
        </w:tblPrEx>
        <w:trPr>
          <w:jc w:val="center"/>
        </w:trPr>
        <w:tc>
          <w:tcPr>
            <w:tcW w:w="4967" w:type="dxa"/>
          </w:tcPr>
          <w:p w14:paraId="73AF9764">
            <w:pPr>
              <w:rPr>
                <w:szCs w:val="21"/>
                <w:highlight w:val="none"/>
              </w:rPr>
            </w:pPr>
            <w:r>
              <w:rPr>
                <w:szCs w:val="21"/>
                <w:highlight w:val="none"/>
              </w:rPr>
              <w:t>甲方：四川省人民医院（盖章）</w:t>
            </w:r>
          </w:p>
          <w:p w14:paraId="324FD79B">
            <w:pPr>
              <w:rPr>
                <w:szCs w:val="21"/>
                <w:highlight w:val="none"/>
              </w:rPr>
            </w:pPr>
            <w:r>
              <w:rPr>
                <w:szCs w:val="21"/>
                <w:highlight w:val="none"/>
              </w:rPr>
              <w:t>法定代表人（授权代表签字）：</w:t>
            </w:r>
          </w:p>
          <w:p w14:paraId="3C0F2DF3">
            <w:pPr>
              <w:rPr>
                <w:szCs w:val="21"/>
                <w:highlight w:val="none"/>
              </w:rPr>
            </w:pPr>
            <w:r>
              <w:rPr>
                <w:szCs w:val="21"/>
                <w:highlight w:val="none"/>
              </w:rPr>
              <w:t>地    址：四川省成都市一环路西二段32号</w:t>
            </w:r>
          </w:p>
          <w:p w14:paraId="2D62988C">
            <w:pPr>
              <w:rPr>
                <w:szCs w:val="21"/>
                <w:highlight w:val="none"/>
              </w:rPr>
            </w:pPr>
            <w:r>
              <w:rPr>
                <w:szCs w:val="21"/>
                <w:highlight w:val="none"/>
              </w:rPr>
              <w:t>开户银行：建设银行成都青羊支行</w:t>
            </w:r>
          </w:p>
          <w:p w14:paraId="3A830176">
            <w:pPr>
              <w:rPr>
                <w:szCs w:val="21"/>
                <w:highlight w:val="none"/>
              </w:rPr>
            </w:pPr>
            <w:r>
              <w:rPr>
                <w:szCs w:val="21"/>
                <w:highlight w:val="none"/>
              </w:rPr>
              <w:t>账号：5100 1446 4360 5037 4282</w:t>
            </w:r>
          </w:p>
        </w:tc>
        <w:tc>
          <w:tcPr>
            <w:tcW w:w="5247" w:type="dxa"/>
          </w:tcPr>
          <w:p w14:paraId="4EDBD419">
            <w:pPr>
              <w:rPr>
                <w:szCs w:val="21"/>
                <w:highlight w:val="none"/>
              </w:rPr>
            </w:pPr>
            <w:r>
              <w:rPr>
                <w:szCs w:val="21"/>
                <w:highlight w:val="none"/>
              </w:rPr>
              <w:t>乙方：***（盖章）</w:t>
            </w:r>
          </w:p>
          <w:p w14:paraId="6264A0D1">
            <w:pPr>
              <w:rPr>
                <w:szCs w:val="21"/>
                <w:highlight w:val="none"/>
              </w:rPr>
            </w:pPr>
            <w:r>
              <w:rPr>
                <w:szCs w:val="21"/>
                <w:highlight w:val="none"/>
              </w:rPr>
              <w:t>法定代表人（授权代表签字）：</w:t>
            </w:r>
          </w:p>
          <w:p w14:paraId="497A54AE">
            <w:pPr>
              <w:rPr>
                <w:szCs w:val="21"/>
                <w:highlight w:val="none"/>
              </w:rPr>
            </w:pPr>
            <w:r>
              <w:rPr>
                <w:szCs w:val="21"/>
                <w:highlight w:val="none"/>
              </w:rPr>
              <w:t>地址：***</w:t>
            </w:r>
          </w:p>
          <w:p w14:paraId="750F807B">
            <w:pPr>
              <w:rPr>
                <w:szCs w:val="21"/>
                <w:highlight w:val="none"/>
              </w:rPr>
            </w:pPr>
            <w:r>
              <w:rPr>
                <w:szCs w:val="21"/>
                <w:highlight w:val="none"/>
              </w:rPr>
              <w:t>开户银行：***</w:t>
            </w:r>
          </w:p>
          <w:p w14:paraId="6EC0F6C0">
            <w:pPr>
              <w:widowControl/>
              <w:jc w:val="left"/>
              <w:rPr>
                <w:highlight w:val="none"/>
              </w:rPr>
            </w:pPr>
            <w:r>
              <w:rPr>
                <w:szCs w:val="21"/>
                <w:highlight w:val="none"/>
              </w:rPr>
              <w:t>账号：***</w:t>
            </w:r>
          </w:p>
        </w:tc>
      </w:tr>
    </w:tbl>
    <w:p w14:paraId="37526379">
      <w:pPr>
        <w:jc w:val="left"/>
        <w:outlineLvl w:val="0"/>
        <w:rPr>
          <w:b/>
          <w:bCs/>
          <w:szCs w:val="21"/>
          <w:highlight w:val="none"/>
        </w:rPr>
        <w:sectPr>
          <w:footerReference r:id="rId9" w:type="default"/>
          <w:type w:val="continuous"/>
          <w:pgSz w:w="11906" w:h="16838"/>
          <w:pgMar w:top="851" w:right="1134" w:bottom="851" w:left="1134" w:header="0" w:footer="567" w:gutter="0"/>
          <w:pgNumType w:fmt="decimal"/>
          <w:cols w:space="425" w:num="1"/>
          <w:docGrid w:linePitch="312" w:charSpace="0"/>
        </w:sectPr>
      </w:pPr>
    </w:p>
    <w:p w14:paraId="6E60DBBD">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4DADECB">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947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BA1D269">
            <w:pPr>
              <w:widowControl/>
              <w:jc w:val="center"/>
              <w:rPr>
                <w:b/>
                <w:bCs/>
                <w:szCs w:val="21"/>
                <w:highlight w:val="none"/>
              </w:rPr>
            </w:pPr>
            <w:r>
              <w:rPr>
                <w:rFonts w:hint="eastAsia"/>
                <w:b/>
                <w:bCs/>
                <w:szCs w:val="21"/>
                <w:highlight w:val="none"/>
              </w:rPr>
              <w:t>序号</w:t>
            </w:r>
          </w:p>
        </w:tc>
        <w:tc>
          <w:tcPr>
            <w:tcW w:w="3686" w:type="dxa"/>
            <w:vAlign w:val="center"/>
          </w:tcPr>
          <w:p w14:paraId="7A11D69D">
            <w:pPr>
              <w:widowControl/>
              <w:jc w:val="center"/>
              <w:rPr>
                <w:b/>
                <w:bCs/>
                <w:szCs w:val="21"/>
                <w:highlight w:val="none"/>
              </w:rPr>
            </w:pPr>
            <w:r>
              <w:rPr>
                <w:rFonts w:hint="eastAsia"/>
                <w:b/>
                <w:bCs/>
                <w:szCs w:val="21"/>
                <w:highlight w:val="none"/>
              </w:rPr>
              <w:t>结算项目名称</w:t>
            </w:r>
          </w:p>
        </w:tc>
        <w:tc>
          <w:tcPr>
            <w:tcW w:w="3402" w:type="dxa"/>
            <w:vAlign w:val="center"/>
          </w:tcPr>
          <w:p w14:paraId="1963486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10DCC17A">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7FF7320B">
            <w:pPr>
              <w:widowControl/>
              <w:jc w:val="center"/>
              <w:rPr>
                <w:b/>
                <w:bCs/>
                <w:szCs w:val="21"/>
                <w:highlight w:val="none"/>
              </w:rPr>
            </w:pPr>
            <w:r>
              <w:rPr>
                <w:rFonts w:hint="eastAsia"/>
                <w:b/>
                <w:bCs/>
                <w:szCs w:val="21"/>
                <w:highlight w:val="none"/>
              </w:rPr>
              <w:t>结算单价</w:t>
            </w:r>
          </w:p>
        </w:tc>
      </w:tr>
      <w:tr w14:paraId="43E5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30B0646">
            <w:pPr>
              <w:widowControl/>
              <w:jc w:val="center"/>
              <w:rPr>
                <w:szCs w:val="21"/>
                <w:highlight w:val="none"/>
              </w:rPr>
            </w:pPr>
            <w:r>
              <w:rPr>
                <w:rFonts w:hint="eastAsia"/>
                <w:szCs w:val="21"/>
                <w:highlight w:val="none"/>
              </w:rPr>
              <w:t>1</w:t>
            </w:r>
          </w:p>
        </w:tc>
        <w:tc>
          <w:tcPr>
            <w:tcW w:w="3686" w:type="dxa"/>
            <w:vAlign w:val="center"/>
          </w:tcPr>
          <w:p w14:paraId="38FC8BCA">
            <w:pPr>
              <w:widowControl/>
              <w:jc w:val="left"/>
              <w:rPr>
                <w:szCs w:val="21"/>
                <w:highlight w:val="none"/>
              </w:rPr>
            </w:pPr>
          </w:p>
        </w:tc>
        <w:tc>
          <w:tcPr>
            <w:tcW w:w="3402" w:type="dxa"/>
            <w:vAlign w:val="center"/>
          </w:tcPr>
          <w:p w14:paraId="4B8B8E7D">
            <w:pPr>
              <w:widowControl/>
              <w:jc w:val="left"/>
              <w:rPr>
                <w:szCs w:val="21"/>
                <w:highlight w:val="none"/>
              </w:rPr>
            </w:pPr>
          </w:p>
        </w:tc>
        <w:tc>
          <w:tcPr>
            <w:tcW w:w="992" w:type="dxa"/>
            <w:vAlign w:val="center"/>
          </w:tcPr>
          <w:p w14:paraId="43E61D8A">
            <w:pPr>
              <w:widowControl/>
              <w:jc w:val="center"/>
              <w:rPr>
                <w:szCs w:val="21"/>
                <w:highlight w:val="none"/>
              </w:rPr>
            </w:pPr>
          </w:p>
        </w:tc>
        <w:tc>
          <w:tcPr>
            <w:tcW w:w="986" w:type="dxa"/>
            <w:vAlign w:val="center"/>
          </w:tcPr>
          <w:p w14:paraId="6E07FF96">
            <w:pPr>
              <w:widowControl/>
              <w:jc w:val="center"/>
              <w:rPr>
                <w:szCs w:val="21"/>
                <w:highlight w:val="none"/>
              </w:rPr>
            </w:pPr>
          </w:p>
        </w:tc>
      </w:tr>
      <w:tr w14:paraId="3434B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5A8BEE5">
            <w:pPr>
              <w:widowControl/>
              <w:jc w:val="center"/>
              <w:rPr>
                <w:szCs w:val="21"/>
                <w:highlight w:val="none"/>
              </w:rPr>
            </w:pPr>
            <w:r>
              <w:rPr>
                <w:rFonts w:hint="eastAsia"/>
                <w:szCs w:val="21"/>
                <w:highlight w:val="none"/>
              </w:rPr>
              <w:t>2</w:t>
            </w:r>
          </w:p>
        </w:tc>
        <w:tc>
          <w:tcPr>
            <w:tcW w:w="3686" w:type="dxa"/>
            <w:vAlign w:val="center"/>
          </w:tcPr>
          <w:p w14:paraId="75B02929">
            <w:pPr>
              <w:widowControl/>
              <w:jc w:val="left"/>
              <w:rPr>
                <w:szCs w:val="21"/>
                <w:highlight w:val="none"/>
              </w:rPr>
            </w:pPr>
          </w:p>
        </w:tc>
        <w:tc>
          <w:tcPr>
            <w:tcW w:w="3402" w:type="dxa"/>
            <w:vAlign w:val="center"/>
          </w:tcPr>
          <w:p w14:paraId="0227FF29">
            <w:pPr>
              <w:widowControl/>
              <w:jc w:val="left"/>
              <w:rPr>
                <w:szCs w:val="21"/>
                <w:highlight w:val="none"/>
              </w:rPr>
            </w:pPr>
          </w:p>
        </w:tc>
        <w:tc>
          <w:tcPr>
            <w:tcW w:w="992" w:type="dxa"/>
            <w:vAlign w:val="center"/>
          </w:tcPr>
          <w:p w14:paraId="537485B6">
            <w:pPr>
              <w:widowControl/>
              <w:jc w:val="center"/>
              <w:rPr>
                <w:szCs w:val="21"/>
                <w:highlight w:val="none"/>
              </w:rPr>
            </w:pPr>
          </w:p>
        </w:tc>
        <w:tc>
          <w:tcPr>
            <w:tcW w:w="986" w:type="dxa"/>
            <w:vAlign w:val="center"/>
          </w:tcPr>
          <w:p w14:paraId="383A6B57">
            <w:pPr>
              <w:widowControl/>
              <w:jc w:val="center"/>
              <w:rPr>
                <w:szCs w:val="21"/>
                <w:highlight w:val="none"/>
              </w:rPr>
            </w:pPr>
          </w:p>
        </w:tc>
      </w:tr>
      <w:tr w14:paraId="41A8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5B890BB">
            <w:pPr>
              <w:widowControl/>
              <w:jc w:val="center"/>
              <w:rPr>
                <w:szCs w:val="21"/>
                <w:highlight w:val="none"/>
              </w:rPr>
            </w:pPr>
            <w:r>
              <w:rPr>
                <w:szCs w:val="21"/>
                <w:highlight w:val="none"/>
              </w:rPr>
              <w:t>…</w:t>
            </w:r>
          </w:p>
        </w:tc>
        <w:tc>
          <w:tcPr>
            <w:tcW w:w="3686" w:type="dxa"/>
            <w:vAlign w:val="center"/>
          </w:tcPr>
          <w:p w14:paraId="7495559C">
            <w:pPr>
              <w:widowControl/>
              <w:jc w:val="left"/>
              <w:rPr>
                <w:szCs w:val="21"/>
                <w:highlight w:val="none"/>
              </w:rPr>
            </w:pPr>
          </w:p>
        </w:tc>
        <w:tc>
          <w:tcPr>
            <w:tcW w:w="3402" w:type="dxa"/>
            <w:vAlign w:val="center"/>
          </w:tcPr>
          <w:p w14:paraId="20022F4B">
            <w:pPr>
              <w:widowControl/>
              <w:jc w:val="left"/>
              <w:rPr>
                <w:szCs w:val="21"/>
                <w:highlight w:val="none"/>
              </w:rPr>
            </w:pPr>
          </w:p>
        </w:tc>
        <w:tc>
          <w:tcPr>
            <w:tcW w:w="992" w:type="dxa"/>
            <w:vAlign w:val="center"/>
          </w:tcPr>
          <w:p w14:paraId="0EDD2033">
            <w:pPr>
              <w:widowControl/>
              <w:jc w:val="center"/>
              <w:rPr>
                <w:szCs w:val="21"/>
                <w:highlight w:val="none"/>
              </w:rPr>
            </w:pPr>
          </w:p>
        </w:tc>
        <w:tc>
          <w:tcPr>
            <w:tcW w:w="986" w:type="dxa"/>
            <w:vAlign w:val="center"/>
          </w:tcPr>
          <w:p w14:paraId="5428F0BC">
            <w:pPr>
              <w:widowControl/>
              <w:jc w:val="center"/>
              <w:rPr>
                <w:szCs w:val="21"/>
                <w:highlight w:val="none"/>
              </w:rPr>
            </w:pPr>
          </w:p>
        </w:tc>
      </w:tr>
    </w:tbl>
    <w:p w14:paraId="2FA5D800">
      <w:pPr>
        <w:widowControl/>
        <w:jc w:val="left"/>
        <w:rPr>
          <w:szCs w:val="21"/>
        </w:rPr>
        <w:sectPr>
          <w:pgSz w:w="11906" w:h="16838"/>
          <w:pgMar w:top="851" w:right="1134" w:bottom="851" w:left="1134" w:header="0" w:footer="567" w:gutter="0"/>
          <w:pgNumType w:fmt="decimal"/>
          <w:cols w:space="425" w:num="1"/>
          <w:docGrid w:linePitch="312" w:charSpace="0"/>
        </w:sectPr>
      </w:pPr>
    </w:p>
    <w:p w14:paraId="49207082">
      <w:pPr>
        <w:widowControl/>
        <w:jc w:val="left"/>
        <w:rPr>
          <w:rFonts w:ascii="宋体" w:hAnsi="宋体"/>
          <w:b/>
          <w:bCs/>
          <w:szCs w:val="21"/>
        </w:rPr>
      </w:pPr>
      <w:r>
        <w:rPr>
          <w:rFonts w:hint="eastAsia" w:ascii="宋体" w:hAnsi="宋体"/>
          <w:b/>
          <w:bCs/>
          <w:szCs w:val="21"/>
        </w:rPr>
        <w:t>附</w:t>
      </w:r>
      <w:r>
        <w:rPr>
          <w:rFonts w:hint="eastAsia" w:ascii="宋体" w:hAnsi="宋体"/>
          <w:b/>
          <w:bCs/>
          <w:szCs w:val="21"/>
          <w:highlight w:val="none"/>
        </w:rPr>
        <w:t>件2：考核标准</w:t>
      </w:r>
      <w:r>
        <w:rPr>
          <w:rFonts w:hint="eastAsia"/>
          <w:b/>
          <w:bCs/>
          <w:i/>
          <w:iCs/>
          <w:szCs w:val="21"/>
          <w:highlight w:val="none"/>
        </w:rPr>
        <w:t>&lt;根据项目实际情况编制</w:t>
      </w:r>
      <w:r>
        <w:rPr>
          <w:b/>
          <w:bCs/>
          <w:i/>
          <w:iCs/>
          <w:szCs w:val="21"/>
          <w:highlight w:val="none"/>
        </w:rPr>
        <w:t>&gt;</w:t>
      </w:r>
    </w:p>
    <w:p w14:paraId="7C88F447"/>
    <w:p w14:paraId="4A703B0A">
      <w:pPr>
        <w:widowControl/>
        <w:jc w:val="left"/>
        <w:sectPr>
          <w:pgSz w:w="11906" w:h="16838"/>
          <w:pgMar w:top="851" w:right="1134" w:bottom="851" w:left="1134" w:header="0" w:footer="567" w:gutter="0"/>
          <w:pgNumType w:fmt="decimal"/>
          <w:cols w:space="425" w:num="1"/>
          <w:docGrid w:linePitch="312" w:charSpace="0"/>
        </w:sectPr>
      </w:pPr>
      <w:r>
        <w:rPr>
          <w:rFonts w:hint="eastAsia"/>
        </w:rPr>
        <w:t>*</w:t>
      </w:r>
      <w:r>
        <w:t>**</w:t>
      </w:r>
    </w:p>
    <w:p w14:paraId="608F479E">
      <w:pPr>
        <w:widowControl/>
        <w:jc w:val="left"/>
        <w:rPr>
          <w:rFonts w:ascii="宋体" w:hAnsi="宋体"/>
          <w:b/>
          <w:bCs/>
          <w:szCs w:val="21"/>
          <w:highlight w:val="none"/>
        </w:rPr>
      </w:pPr>
      <w:r>
        <w:rPr>
          <w:rFonts w:hint="eastAsia" w:ascii="宋体" w:hAnsi="宋体"/>
          <w:b/>
          <w:bCs/>
          <w:szCs w:val="21"/>
        </w:rPr>
        <w:t>附件</w:t>
      </w:r>
      <w:r>
        <w:rPr>
          <w:rFonts w:ascii="宋体" w:hAnsi="宋体"/>
          <w:b/>
          <w:bCs/>
          <w:szCs w:val="21"/>
        </w:rPr>
        <w:t>3</w:t>
      </w:r>
      <w:r>
        <w:rPr>
          <w:rFonts w:hint="eastAsia" w:ascii="宋体" w:hAnsi="宋体"/>
          <w:b/>
          <w:bCs/>
          <w:szCs w:val="21"/>
        </w:rPr>
        <w:t>：维保</w:t>
      </w:r>
      <w:r>
        <w:rPr>
          <w:rFonts w:ascii="宋体" w:hAnsi="宋体"/>
          <w:b/>
          <w:bCs/>
          <w:szCs w:val="21"/>
        </w:rPr>
        <w:t>服务</w:t>
      </w:r>
      <w:r>
        <w:rPr>
          <w:rFonts w:hint="eastAsia" w:ascii="宋体" w:hAnsi="宋体"/>
          <w:b/>
          <w:bCs/>
          <w:szCs w:val="21"/>
          <w:highlight w:val="none"/>
        </w:rPr>
        <w:t>方案</w:t>
      </w:r>
      <w:r>
        <w:rPr>
          <w:rFonts w:hint="eastAsia"/>
          <w:b/>
          <w:bCs/>
          <w:i/>
          <w:iCs/>
          <w:szCs w:val="21"/>
          <w:highlight w:val="none"/>
        </w:rPr>
        <w:t>&lt;根据项目实际情况编制</w:t>
      </w:r>
      <w:r>
        <w:rPr>
          <w:b/>
          <w:bCs/>
          <w:i/>
          <w:iCs/>
          <w:szCs w:val="21"/>
          <w:highlight w:val="none"/>
        </w:rPr>
        <w:t>&gt;</w:t>
      </w:r>
    </w:p>
    <w:p w14:paraId="3060B2D3"/>
    <w:p w14:paraId="252FA403">
      <w:r>
        <w:rPr>
          <w:rFonts w:hint="eastAsia"/>
        </w:rPr>
        <w:t>*</w:t>
      </w:r>
      <w:r>
        <w:t>**</w:t>
      </w:r>
    </w:p>
    <w:p w14:paraId="18B9C1B5">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73796783">
      <w:pPr>
        <w:pStyle w:val="26"/>
        <w:rPr>
          <w:rFonts w:ascii="Times New Roman" w:hAnsi="Times New Roman"/>
        </w:rPr>
      </w:pPr>
    </w:p>
    <w:sectPr>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6055CD6-D294-4001-8FED-F008098F991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6552D40-AF66-406B-B1BF-1E75ED9B5A2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BB8D60F-0A22-4743-BCD0-19C5D430876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embedRegular r:id="rId4" w:fontKey="{712B4AAB-3C04-4FBF-8035-EC8DDFBC6BC8}"/>
  </w:font>
  <w:font w:name="Segoe UI Symbol">
    <w:panose1 w:val="020B0502040204020203"/>
    <w:charset w:val="00"/>
    <w:family w:val="swiss"/>
    <w:pitch w:val="default"/>
    <w:sig w:usb0="800001E3" w:usb1="1200FFEF" w:usb2="00040000" w:usb3="04000000" w:csb0="00000001" w:csb1="40000000"/>
    <w:embedRegular r:id="rId5" w:fontKey="{D53B3551-3EB4-4839-88C2-6012C712D4D8}"/>
  </w:font>
  <w:font w:name="Wingdings 2">
    <w:altName w:val="Wingdings"/>
    <w:panose1 w:val="05020102010507070707"/>
    <w:charset w:val="4D"/>
    <w:family w:val="decorative"/>
    <w:pitch w:val="default"/>
    <w:sig w:usb0="00000000" w:usb1="00000000" w:usb2="00000000" w:usb3="00000000" w:csb0="80000000" w:csb1="00000000"/>
    <w:embedRegular r:id="rId6" w:fontKey="{32D6D8D9-9B53-4C54-9C2F-ED3E8111CCBC}"/>
  </w:font>
  <w:font w:name="微软雅黑">
    <w:panose1 w:val="020B0503020204020204"/>
    <w:charset w:val="86"/>
    <w:family w:val="auto"/>
    <w:pitch w:val="default"/>
    <w:sig w:usb0="80000287" w:usb1="2ACF3C50" w:usb2="00000016" w:usb3="00000000" w:csb0="0004001F" w:csb1="00000000"/>
    <w:embedRegular r:id="rId7" w:fontKey="{925AE5F1-C580-4AA6-A220-B5EF38A7B0C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B8557">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12433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12433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0C71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7D719151">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E027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ECAE3">
                          <w:pPr>
                            <w:pStyle w:val="1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3ECAE3">
                    <w:pPr>
                      <w:pStyle w:val="1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42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EB3DFA">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6EB3DFA">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5E0DB4"/>
    <w:multiLevelType w:val="multilevel"/>
    <w:tmpl w:val="315E0DB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C4D2E"/>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0D7DD7"/>
    <w:rsid w:val="010F7FF3"/>
    <w:rsid w:val="0168325F"/>
    <w:rsid w:val="01A1683A"/>
    <w:rsid w:val="01AC5842"/>
    <w:rsid w:val="01D50A7C"/>
    <w:rsid w:val="01EA636A"/>
    <w:rsid w:val="01FF7230"/>
    <w:rsid w:val="020F65B7"/>
    <w:rsid w:val="023C235A"/>
    <w:rsid w:val="024C0DD3"/>
    <w:rsid w:val="025722C7"/>
    <w:rsid w:val="0286060F"/>
    <w:rsid w:val="03C87B13"/>
    <w:rsid w:val="03D1158F"/>
    <w:rsid w:val="041F679F"/>
    <w:rsid w:val="04BC1856"/>
    <w:rsid w:val="04D565B4"/>
    <w:rsid w:val="04D87E49"/>
    <w:rsid w:val="058C78B0"/>
    <w:rsid w:val="05E13064"/>
    <w:rsid w:val="05E51322"/>
    <w:rsid w:val="05F814A1"/>
    <w:rsid w:val="05FD48BE"/>
    <w:rsid w:val="060A7D56"/>
    <w:rsid w:val="065564A8"/>
    <w:rsid w:val="06897EFF"/>
    <w:rsid w:val="078A573C"/>
    <w:rsid w:val="082425D6"/>
    <w:rsid w:val="083251D0"/>
    <w:rsid w:val="08326375"/>
    <w:rsid w:val="083640B7"/>
    <w:rsid w:val="0837398B"/>
    <w:rsid w:val="083A1BBD"/>
    <w:rsid w:val="08745B19"/>
    <w:rsid w:val="08A31E3F"/>
    <w:rsid w:val="08A63489"/>
    <w:rsid w:val="08E04023"/>
    <w:rsid w:val="08EE39BE"/>
    <w:rsid w:val="08FA50E4"/>
    <w:rsid w:val="093A3733"/>
    <w:rsid w:val="0A220AAD"/>
    <w:rsid w:val="0A5151D8"/>
    <w:rsid w:val="0A726EFC"/>
    <w:rsid w:val="0A7B4003"/>
    <w:rsid w:val="0AD64167"/>
    <w:rsid w:val="0B3D750A"/>
    <w:rsid w:val="0B4508AE"/>
    <w:rsid w:val="0BAA50B0"/>
    <w:rsid w:val="0C076B26"/>
    <w:rsid w:val="0C120997"/>
    <w:rsid w:val="0C2D757F"/>
    <w:rsid w:val="0C774C9E"/>
    <w:rsid w:val="0C965124"/>
    <w:rsid w:val="0CF161C9"/>
    <w:rsid w:val="0D26294C"/>
    <w:rsid w:val="0D49663A"/>
    <w:rsid w:val="0D5C636E"/>
    <w:rsid w:val="0D690A8B"/>
    <w:rsid w:val="0D7D4536"/>
    <w:rsid w:val="0D9D57F1"/>
    <w:rsid w:val="0DF742E8"/>
    <w:rsid w:val="0E0B7FF0"/>
    <w:rsid w:val="0E4D215A"/>
    <w:rsid w:val="0E5B6625"/>
    <w:rsid w:val="0EAC189D"/>
    <w:rsid w:val="0F0740B7"/>
    <w:rsid w:val="0F5D2ECD"/>
    <w:rsid w:val="0FC05ABE"/>
    <w:rsid w:val="0FC14BAE"/>
    <w:rsid w:val="101A497B"/>
    <w:rsid w:val="10432B4B"/>
    <w:rsid w:val="106A5752"/>
    <w:rsid w:val="10A15B58"/>
    <w:rsid w:val="110E1F50"/>
    <w:rsid w:val="113373E5"/>
    <w:rsid w:val="117A5014"/>
    <w:rsid w:val="127D0434"/>
    <w:rsid w:val="127F05A0"/>
    <w:rsid w:val="129801D4"/>
    <w:rsid w:val="1299771C"/>
    <w:rsid w:val="12BC165D"/>
    <w:rsid w:val="130A5001"/>
    <w:rsid w:val="13451652"/>
    <w:rsid w:val="136D78F8"/>
    <w:rsid w:val="13806B2E"/>
    <w:rsid w:val="13AC16D1"/>
    <w:rsid w:val="14221993"/>
    <w:rsid w:val="14301CC2"/>
    <w:rsid w:val="144B0EEA"/>
    <w:rsid w:val="14776934"/>
    <w:rsid w:val="14A32AD4"/>
    <w:rsid w:val="15033573"/>
    <w:rsid w:val="15567E5A"/>
    <w:rsid w:val="15CC4977"/>
    <w:rsid w:val="16077093"/>
    <w:rsid w:val="162A4F7D"/>
    <w:rsid w:val="16A82A66"/>
    <w:rsid w:val="16B74615"/>
    <w:rsid w:val="16DE614F"/>
    <w:rsid w:val="170D06D9"/>
    <w:rsid w:val="17233056"/>
    <w:rsid w:val="173E758D"/>
    <w:rsid w:val="17826121"/>
    <w:rsid w:val="17B110EA"/>
    <w:rsid w:val="17E4768B"/>
    <w:rsid w:val="18063F07"/>
    <w:rsid w:val="18316649"/>
    <w:rsid w:val="184243B2"/>
    <w:rsid w:val="186E51A7"/>
    <w:rsid w:val="18B27E87"/>
    <w:rsid w:val="18E216F1"/>
    <w:rsid w:val="1954595C"/>
    <w:rsid w:val="19940C3D"/>
    <w:rsid w:val="1994787E"/>
    <w:rsid w:val="19CA28B1"/>
    <w:rsid w:val="1A400DC5"/>
    <w:rsid w:val="1A710D72"/>
    <w:rsid w:val="1A82318C"/>
    <w:rsid w:val="1AB1581F"/>
    <w:rsid w:val="1B010554"/>
    <w:rsid w:val="1B0B27A2"/>
    <w:rsid w:val="1B1A1616"/>
    <w:rsid w:val="1B634D6B"/>
    <w:rsid w:val="1B642891"/>
    <w:rsid w:val="1BC9751D"/>
    <w:rsid w:val="1BE32A90"/>
    <w:rsid w:val="1C314E69"/>
    <w:rsid w:val="1C485D0F"/>
    <w:rsid w:val="1C625023"/>
    <w:rsid w:val="1C746B04"/>
    <w:rsid w:val="1C7C2C9B"/>
    <w:rsid w:val="1D2821E4"/>
    <w:rsid w:val="1D4576F2"/>
    <w:rsid w:val="1D796AC8"/>
    <w:rsid w:val="1D8C2C2E"/>
    <w:rsid w:val="1DB4365C"/>
    <w:rsid w:val="1DC35F95"/>
    <w:rsid w:val="1DD000AF"/>
    <w:rsid w:val="1E09745A"/>
    <w:rsid w:val="1E0D2131"/>
    <w:rsid w:val="1E114F52"/>
    <w:rsid w:val="1E176351"/>
    <w:rsid w:val="1E5872AA"/>
    <w:rsid w:val="1ECD615C"/>
    <w:rsid w:val="1F450E46"/>
    <w:rsid w:val="1F9951FF"/>
    <w:rsid w:val="1FE21EC2"/>
    <w:rsid w:val="1FF95C9E"/>
    <w:rsid w:val="203211B0"/>
    <w:rsid w:val="209239FD"/>
    <w:rsid w:val="20CF13CE"/>
    <w:rsid w:val="20DB7785"/>
    <w:rsid w:val="20E24984"/>
    <w:rsid w:val="211E3A77"/>
    <w:rsid w:val="21596577"/>
    <w:rsid w:val="215D225D"/>
    <w:rsid w:val="21B53E47"/>
    <w:rsid w:val="21E80691"/>
    <w:rsid w:val="22935D1D"/>
    <w:rsid w:val="2369138D"/>
    <w:rsid w:val="23814F05"/>
    <w:rsid w:val="2393373D"/>
    <w:rsid w:val="23B24AE2"/>
    <w:rsid w:val="23D4489F"/>
    <w:rsid w:val="23D83E1C"/>
    <w:rsid w:val="23DC4779"/>
    <w:rsid w:val="24466FD8"/>
    <w:rsid w:val="24727DCD"/>
    <w:rsid w:val="25186BC6"/>
    <w:rsid w:val="252B6033"/>
    <w:rsid w:val="25537BFE"/>
    <w:rsid w:val="25E621FF"/>
    <w:rsid w:val="25F95EEC"/>
    <w:rsid w:val="26031625"/>
    <w:rsid w:val="260E0D1D"/>
    <w:rsid w:val="262001B9"/>
    <w:rsid w:val="264F486A"/>
    <w:rsid w:val="271635BC"/>
    <w:rsid w:val="273B094A"/>
    <w:rsid w:val="27B87AF9"/>
    <w:rsid w:val="27DA0163"/>
    <w:rsid w:val="27E80EA9"/>
    <w:rsid w:val="280414A1"/>
    <w:rsid w:val="284C4266"/>
    <w:rsid w:val="28570368"/>
    <w:rsid w:val="287C2FFC"/>
    <w:rsid w:val="28862099"/>
    <w:rsid w:val="289064B1"/>
    <w:rsid w:val="28A27020"/>
    <w:rsid w:val="28E14F1E"/>
    <w:rsid w:val="28E76FDC"/>
    <w:rsid w:val="294E705B"/>
    <w:rsid w:val="29C5318E"/>
    <w:rsid w:val="29E9194F"/>
    <w:rsid w:val="2A142F93"/>
    <w:rsid w:val="2A5C7555"/>
    <w:rsid w:val="2A694C89"/>
    <w:rsid w:val="2A81391B"/>
    <w:rsid w:val="2AD134D0"/>
    <w:rsid w:val="2AEB08D9"/>
    <w:rsid w:val="2AF07C9E"/>
    <w:rsid w:val="2B502F98"/>
    <w:rsid w:val="2B7E52A9"/>
    <w:rsid w:val="2BD63337"/>
    <w:rsid w:val="2BDA267D"/>
    <w:rsid w:val="2BE05F64"/>
    <w:rsid w:val="2C882884"/>
    <w:rsid w:val="2C9A0A9E"/>
    <w:rsid w:val="2D2F2FAF"/>
    <w:rsid w:val="2DA70D65"/>
    <w:rsid w:val="2DAC25A2"/>
    <w:rsid w:val="2DAD00C8"/>
    <w:rsid w:val="2DBC4548"/>
    <w:rsid w:val="2DF80288"/>
    <w:rsid w:val="2E3D31FA"/>
    <w:rsid w:val="2E693FEF"/>
    <w:rsid w:val="2E9C2616"/>
    <w:rsid w:val="2EA27501"/>
    <w:rsid w:val="2EA4771D"/>
    <w:rsid w:val="2EBA6EE4"/>
    <w:rsid w:val="2F1E6861"/>
    <w:rsid w:val="2F575E37"/>
    <w:rsid w:val="2FEF6776"/>
    <w:rsid w:val="30063D65"/>
    <w:rsid w:val="30136908"/>
    <w:rsid w:val="30517430"/>
    <w:rsid w:val="30E31FB7"/>
    <w:rsid w:val="31215055"/>
    <w:rsid w:val="31322DBE"/>
    <w:rsid w:val="31464ABB"/>
    <w:rsid w:val="32024E86"/>
    <w:rsid w:val="320A5AE9"/>
    <w:rsid w:val="32165D3B"/>
    <w:rsid w:val="32201990"/>
    <w:rsid w:val="325356E2"/>
    <w:rsid w:val="33260436"/>
    <w:rsid w:val="332B5D17"/>
    <w:rsid w:val="333C7F24"/>
    <w:rsid w:val="333F7A14"/>
    <w:rsid w:val="33723946"/>
    <w:rsid w:val="3427766B"/>
    <w:rsid w:val="343706EB"/>
    <w:rsid w:val="34713BFD"/>
    <w:rsid w:val="34830DA6"/>
    <w:rsid w:val="351A08D0"/>
    <w:rsid w:val="35805CB0"/>
    <w:rsid w:val="35935DF5"/>
    <w:rsid w:val="359978AF"/>
    <w:rsid w:val="359C73A0"/>
    <w:rsid w:val="35A26038"/>
    <w:rsid w:val="35A41DB0"/>
    <w:rsid w:val="35BC70FA"/>
    <w:rsid w:val="35C91817"/>
    <w:rsid w:val="36334CE5"/>
    <w:rsid w:val="3679323D"/>
    <w:rsid w:val="3701395E"/>
    <w:rsid w:val="373B04F2"/>
    <w:rsid w:val="37920A5A"/>
    <w:rsid w:val="37BE35FD"/>
    <w:rsid w:val="37E1553E"/>
    <w:rsid w:val="380A6843"/>
    <w:rsid w:val="382B5F8F"/>
    <w:rsid w:val="38B844F1"/>
    <w:rsid w:val="38B86F38"/>
    <w:rsid w:val="390F1D27"/>
    <w:rsid w:val="391E6AEA"/>
    <w:rsid w:val="393671C3"/>
    <w:rsid w:val="39A622D7"/>
    <w:rsid w:val="39C10BD4"/>
    <w:rsid w:val="3A2406E3"/>
    <w:rsid w:val="3A304F3B"/>
    <w:rsid w:val="3A325BDD"/>
    <w:rsid w:val="3A3E7A83"/>
    <w:rsid w:val="3A3F1B1E"/>
    <w:rsid w:val="3A551407"/>
    <w:rsid w:val="3B033C36"/>
    <w:rsid w:val="3B4C2CCE"/>
    <w:rsid w:val="3B96663F"/>
    <w:rsid w:val="3B9C7486"/>
    <w:rsid w:val="3C333E8E"/>
    <w:rsid w:val="3C8A61A4"/>
    <w:rsid w:val="3CB90F2D"/>
    <w:rsid w:val="3CE05DC4"/>
    <w:rsid w:val="3CEE6201"/>
    <w:rsid w:val="3D0C4E0B"/>
    <w:rsid w:val="3D385C00"/>
    <w:rsid w:val="3DB01C3A"/>
    <w:rsid w:val="3DBF7BA4"/>
    <w:rsid w:val="3DC36A5D"/>
    <w:rsid w:val="3E067AAC"/>
    <w:rsid w:val="3E1F46CA"/>
    <w:rsid w:val="3E57579A"/>
    <w:rsid w:val="3E5D4E8E"/>
    <w:rsid w:val="3ED52F29"/>
    <w:rsid w:val="3EEF0540"/>
    <w:rsid w:val="3EF618CF"/>
    <w:rsid w:val="3FB16714"/>
    <w:rsid w:val="3FE25336"/>
    <w:rsid w:val="3FF102E8"/>
    <w:rsid w:val="40073668"/>
    <w:rsid w:val="40866C82"/>
    <w:rsid w:val="40C31C84"/>
    <w:rsid w:val="40D37F31"/>
    <w:rsid w:val="40E1035D"/>
    <w:rsid w:val="41076015"/>
    <w:rsid w:val="411E0665"/>
    <w:rsid w:val="417D5732"/>
    <w:rsid w:val="418A09F4"/>
    <w:rsid w:val="42075FF8"/>
    <w:rsid w:val="422C3859"/>
    <w:rsid w:val="427D6A3C"/>
    <w:rsid w:val="42842020"/>
    <w:rsid w:val="42876CE2"/>
    <w:rsid w:val="42C3032D"/>
    <w:rsid w:val="43D23F8D"/>
    <w:rsid w:val="44150A49"/>
    <w:rsid w:val="444340B2"/>
    <w:rsid w:val="445B51E7"/>
    <w:rsid w:val="44AE0556"/>
    <w:rsid w:val="44E81B7F"/>
    <w:rsid w:val="4513485D"/>
    <w:rsid w:val="45156827"/>
    <w:rsid w:val="45575091"/>
    <w:rsid w:val="459C2A4A"/>
    <w:rsid w:val="45A46C77"/>
    <w:rsid w:val="45DA351F"/>
    <w:rsid w:val="468567BB"/>
    <w:rsid w:val="46AE0B03"/>
    <w:rsid w:val="47117DEE"/>
    <w:rsid w:val="4734568A"/>
    <w:rsid w:val="47574ED5"/>
    <w:rsid w:val="476060E7"/>
    <w:rsid w:val="477870B1"/>
    <w:rsid w:val="4782487D"/>
    <w:rsid w:val="47B71E17"/>
    <w:rsid w:val="480A6E93"/>
    <w:rsid w:val="489F2FD7"/>
    <w:rsid w:val="48E1779E"/>
    <w:rsid w:val="48E924A4"/>
    <w:rsid w:val="48FF3E1F"/>
    <w:rsid w:val="492359B6"/>
    <w:rsid w:val="49A10689"/>
    <w:rsid w:val="49D56585"/>
    <w:rsid w:val="49FC25C6"/>
    <w:rsid w:val="4A024AA9"/>
    <w:rsid w:val="4A114D9C"/>
    <w:rsid w:val="4A20088A"/>
    <w:rsid w:val="4A25648D"/>
    <w:rsid w:val="4A3D2AA8"/>
    <w:rsid w:val="4A3E412A"/>
    <w:rsid w:val="4A475610"/>
    <w:rsid w:val="4A565917"/>
    <w:rsid w:val="4A607280"/>
    <w:rsid w:val="4ABD5996"/>
    <w:rsid w:val="4B31068E"/>
    <w:rsid w:val="4B410375"/>
    <w:rsid w:val="4BA55220"/>
    <w:rsid w:val="4BAD0151"/>
    <w:rsid w:val="4BCA036B"/>
    <w:rsid w:val="4BF453E8"/>
    <w:rsid w:val="4C184E09"/>
    <w:rsid w:val="4C2757BD"/>
    <w:rsid w:val="4C7E73A7"/>
    <w:rsid w:val="4C8F75A2"/>
    <w:rsid w:val="4C9F5895"/>
    <w:rsid w:val="4D203FBB"/>
    <w:rsid w:val="4D357A66"/>
    <w:rsid w:val="4DA14C98"/>
    <w:rsid w:val="4DAD4403"/>
    <w:rsid w:val="4E0336C0"/>
    <w:rsid w:val="4E6F0D56"/>
    <w:rsid w:val="4E8C008E"/>
    <w:rsid w:val="4E9B1B4B"/>
    <w:rsid w:val="4EA312FE"/>
    <w:rsid w:val="4EDC5ADC"/>
    <w:rsid w:val="4EE002CE"/>
    <w:rsid w:val="4EF179BD"/>
    <w:rsid w:val="4F457D08"/>
    <w:rsid w:val="4F5F526E"/>
    <w:rsid w:val="4FBA39FD"/>
    <w:rsid w:val="4FEF758C"/>
    <w:rsid w:val="500F31B8"/>
    <w:rsid w:val="501A6E72"/>
    <w:rsid w:val="501C4F0D"/>
    <w:rsid w:val="50201D6B"/>
    <w:rsid w:val="503A2AB3"/>
    <w:rsid w:val="50771A9C"/>
    <w:rsid w:val="51286055"/>
    <w:rsid w:val="51944BC6"/>
    <w:rsid w:val="51B318A1"/>
    <w:rsid w:val="51C47F6D"/>
    <w:rsid w:val="52B256B5"/>
    <w:rsid w:val="52FB52AE"/>
    <w:rsid w:val="531B14AC"/>
    <w:rsid w:val="53C725AE"/>
    <w:rsid w:val="53D252D2"/>
    <w:rsid w:val="53E2606E"/>
    <w:rsid w:val="54063F0A"/>
    <w:rsid w:val="541A1764"/>
    <w:rsid w:val="5455382C"/>
    <w:rsid w:val="547F7727"/>
    <w:rsid w:val="54C31DFB"/>
    <w:rsid w:val="551A75B7"/>
    <w:rsid w:val="55342CF9"/>
    <w:rsid w:val="554674F7"/>
    <w:rsid w:val="55B1434A"/>
    <w:rsid w:val="55C4407D"/>
    <w:rsid w:val="560662B2"/>
    <w:rsid w:val="568C1A97"/>
    <w:rsid w:val="56C360E3"/>
    <w:rsid w:val="571C1C97"/>
    <w:rsid w:val="57962DC1"/>
    <w:rsid w:val="589C07F4"/>
    <w:rsid w:val="58B32187"/>
    <w:rsid w:val="59357973"/>
    <w:rsid w:val="59396B30"/>
    <w:rsid w:val="59633BAD"/>
    <w:rsid w:val="59965D30"/>
    <w:rsid w:val="59A93DB0"/>
    <w:rsid w:val="59D32AE1"/>
    <w:rsid w:val="59E56370"/>
    <w:rsid w:val="59EE791A"/>
    <w:rsid w:val="5A117165"/>
    <w:rsid w:val="5A3727CC"/>
    <w:rsid w:val="5A6307F6"/>
    <w:rsid w:val="5A6A4AC7"/>
    <w:rsid w:val="5AA47FD9"/>
    <w:rsid w:val="5B2E2736"/>
    <w:rsid w:val="5B8D4F11"/>
    <w:rsid w:val="5B977B3E"/>
    <w:rsid w:val="5BA529F7"/>
    <w:rsid w:val="5BB66216"/>
    <w:rsid w:val="5C205D85"/>
    <w:rsid w:val="5C6043D4"/>
    <w:rsid w:val="5C6914DA"/>
    <w:rsid w:val="5C6E4D42"/>
    <w:rsid w:val="5C7C23A3"/>
    <w:rsid w:val="5D031008"/>
    <w:rsid w:val="5D0A3490"/>
    <w:rsid w:val="5D212727"/>
    <w:rsid w:val="5D7E0D39"/>
    <w:rsid w:val="5DA3713C"/>
    <w:rsid w:val="5DDF2DD1"/>
    <w:rsid w:val="5DE057CC"/>
    <w:rsid w:val="5E111E29"/>
    <w:rsid w:val="5E2E5CB0"/>
    <w:rsid w:val="5E490A40"/>
    <w:rsid w:val="5E9D3F29"/>
    <w:rsid w:val="5EDF45D6"/>
    <w:rsid w:val="5EE72B8A"/>
    <w:rsid w:val="5F353859"/>
    <w:rsid w:val="5F49114F"/>
    <w:rsid w:val="5F64242D"/>
    <w:rsid w:val="5F773F0E"/>
    <w:rsid w:val="5F8623A3"/>
    <w:rsid w:val="5F872DA5"/>
    <w:rsid w:val="5FB05672"/>
    <w:rsid w:val="5FB63195"/>
    <w:rsid w:val="602D281F"/>
    <w:rsid w:val="60384CD1"/>
    <w:rsid w:val="60536729"/>
    <w:rsid w:val="60557590"/>
    <w:rsid w:val="60655808"/>
    <w:rsid w:val="606C7EF8"/>
    <w:rsid w:val="608E1541"/>
    <w:rsid w:val="60CE5DB0"/>
    <w:rsid w:val="60E45C7D"/>
    <w:rsid w:val="60F86CEE"/>
    <w:rsid w:val="610F0B89"/>
    <w:rsid w:val="617D1584"/>
    <w:rsid w:val="6181445A"/>
    <w:rsid w:val="6220263B"/>
    <w:rsid w:val="62C94D21"/>
    <w:rsid w:val="62E93375"/>
    <w:rsid w:val="63A9427A"/>
    <w:rsid w:val="63D462B1"/>
    <w:rsid w:val="63E678B4"/>
    <w:rsid w:val="63FF44D2"/>
    <w:rsid w:val="641066DF"/>
    <w:rsid w:val="641A3596"/>
    <w:rsid w:val="64C00105"/>
    <w:rsid w:val="64C36D7E"/>
    <w:rsid w:val="64CE15B4"/>
    <w:rsid w:val="64D96647"/>
    <w:rsid w:val="64F90F01"/>
    <w:rsid w:val="650E70C3"/>
    <w:rsid w:val="655B51E5"/>
    <w:rsid w:val="65644F35"/>
    <w:rsid w:val="65766A16"/>
    <w:rsid w:val="65DE13AC"/>
    <w:rsid w:val="65E40ADA"/>
    <w:rsid w:val="663012BB"/>
    <w:rsid w:val="66330B86"/>
    <w:rsid w:val="66CD08B8"/>
    <w:rsid w:val="66E22203"/>
    <w:rsid w:val="677B6565"/>
    <w:rsid w:val="67AB0BF9"/>
    <w:rsid w:val="68582403"/>
    <w:rsid w:val="68B812C9"/>
    <w:rsid w:val="6938470E"/>
    <w:rsid w:val="694A4441"/>
    <w:rsid w:val="698536CB"/>
    <w:rsid w:val="69D50CF4"/>
    <w:rsid w:val="69D73D89"/>
    <w:rsid w:val="69EE4AD9"/>
    <w:rsid w:val="69FF522C"/>
    <w:rsid w:val="6A535578"/>
    <w:rsid w:val="6A8A03C9"/>
    <w:rsid w:val="6AA803E7"/>
    <w:rsid w:val="6AC83870"/>
    <w:rsid w:val="6AE31090"/>
    <w:rsid w:val="6AE34B4E"/>
    <w:rsid w:val="6AF503DD"/>
    <w:rsid w:val="6B7A3154"/>
    <w:rsid w:val="6B9B4B18"/>
    <w:rsid w:val="6BBB1173"/>
    <w:rsid w:val="6C027255"/>
    <w:rsid w:val="6C487AFD"/>
    <w:rsid w:val="6C7E3B0E"/>
    <w:rsid w:val="6C8664BC"/>
    <w:rsid w:val="6CB24363"/>
    <w:rsid w:val="6D3E7C18"/>
    <w:rsid w:val="6D60076F"/>
    <w:rsid w:val="6D617FAC"/>
    <w:rsid w:val="6D953E53"/>
    <w:rsid w:val="6DBB3A8B"/>
    <w:rsid w:val="6DBE53FE"/>
    <w:rsid w:val="6E721F63"/>
    <w:rsid w:val="6EA93466"/>
    <w:rsid w:val="6EBE56B6"/>
    <w:rsid w:val="6EFF37D8"/>
    <w:rsid w:val="6F146151"/>
    <w:rsid w:val="6F276F27"/>
    <w:rsid w:val="6F5C4ECE"/>
    <w:rsid w:val="6F7D4948"/>
    <w:rsid w:val="6F960C48"/>
    <w:rsid w:val="6FCF0795"/>
    <w:rsid w:val="6FE70C3C"/>
    <w:rsid w:val="700560CB"/>
    <w:rsid w:val="70291255"/>
    <w:rsid w:val="70643A4D"/>
    <w:rsid w:val="70C90342"/>
    <w:rsid w:val="70F10A19"/>
    <w:rsid w:val="71381023"/>
    <w:rsid w:val="71963CC6"/>
    <w:rsid w:val="71FE401B"/>
    <w:rsid w:val="722103D4"/>
    <w:rsid w:val="73164FC4"/>
    <w:rsid w:val="732B6917"/>
    <w:rsid w:val="735465E8"/>
    <w:rsid w:val="73714961"/>
    <w:rsid w:val="737D1F6C"/>
    <w:rsid w:val="73CC7847"/>
    <w:rsid w:val="73D72AE8"/>
    <w:rsid w:val="74060F7A"/>
    <w:rsid w:val="747A1FA3"/>
    <w:rsid w:val="74D27DA9"/>
    <w:rsid w:val="74D925D0"/>
    <w:rsid w:val="754825D6"/>
    <w:rsid w:val="754D1D92"/>
    <w:rsid w:val="75662603"/>
    <w:rsid w:val="75676A2A"/>
    <w:rsid w:val="7574614E"/>
    <w:rsid w:val="758350A9"/>
    <w:rsid w:val="75AB44BA"/>
    <w:rsid w:val="75BC4A46"/>
    <w:rsid w:val="75DE488F"/>
    <w:rsid w:val="76880357"/>
    <w:rsid w:val="76EE55AC"/>
    <w:rsid w:val="773521BD"/>
    <w:rsid w:val="77640DC4"/>
    <w:rsid w:val="77BE6726"/>
    <w:rsid w:val="77EE068E"/>
    <w:rsid w:val="78412EB3"/>
    <w:rsid w:val="7851759A"/>
    <w:rsid w:val="788B412F"/>
    <w:rsid w:val="78AA2807"/>
    <w:rsid w:val="78C95383"/>
    <w:rsid w:val="795D3D1D"/>
    <w:rsid w:val="79687E1D"/>
    <w:rsid w:val="797A7E7D"/>
    <w:rsid w:val="7A0D129F"/>
    <w:rsid w:val="7AC07E9C"/>
    <w:rsid w:val="7AD26045"/>
    <w:rsid w:val="7AFD57B8"/>
    <w:rsid w:val="7B560FD7"/>
    <w:rsid w:val="7B5F74F8"/>
    <w:rsid w:val="7B690630"/>
    <w:rsid w:val="7B7517F2"/>
    <w:rsid w:val="7B786BEC"/>
    <w:rsid w:val="7B8D37DB"/>
    <w:rsid w:val="7BC01667"/>
    <w:rsid w:val="7BD0027A"/>
    <w:rsid w:val="7BE75B20"/>
    <w:rsid w:val="7BEB1AB4"/>
    <w:rsid w:val="7C3664B7"/>
    <w:rsid w:val="7C4A67DB"/>
    <w:rsid w:val="7C5123F4"/>
    <w:rsid w:val="7C7E6FA2"/>
    <w:rsid w:val="7C8909CB"/>
    <w:rsid w:val="7C947A56"/>
    <w:rsid w:val="7D020E63"/>
    <w:rsid w:val="7D040AB6"/>
    <w:rsid w:val="7D4119E6"/>
    <w:rsid w:val="7DA0242A"/>
    <w:rsid w:val="7DAF162B"/>
    <w:rsid w:val="7DB303AF"/>
    <w:rsid w:val="7DC42B41"/>
    <w:rsid w:val="7DE06CCB"/>
    <w:rsid w:val="7DEB7B49"/>
    <w:rsid w:val="7E546F05"/>
    <w:rsid w:val="7E5971A9"/>
    <w:rsid w:val="7EA30424"/>
    <w:rsid w:val="7F01339C"/>
    <w:rsid w:val="7F2B0545"/>
    <w:rsid w:val="7F4D1F29"/>
    <w:rsid w:val="7F524A36"/>
    <w:rsid w:val="7F7462EF"/>
    <w:rsid w:val="7F77597E"/>
    <w:rsid w:val="7FA7014E"/>
    <w:rsid w:val="7FA77AA0"/>
    <w:rsid w:val="7FB0104A"/>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2"/>
    <w:qFormat/>
    <w:uiPriority w:val="0"/>
    <w:rPr>
      <w:rFonts w:ascii="Times New Roman" w:hAnsi="Times New Roman" w:eastAsia="仿宋" w:cs="Times New Roman"/>
      <w:b/>
      <w:sz w:val="32"/>
    </w:rPr>
  </w:style>
  <w:style w:type="paragraph" w:customStyle="1" w:styleId="41">
    <w:name w:val="sht标题1"/>
    <w:basedOn w:val="1"/>
    <w:next w:val="3"/>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character" w:customStyle="1" w:styleId="43">
    <w:name w:val="font21"/>
    <w:basedOn w:val="20"/>
    <w:autoRedefine/>
    <w:qFormat/>
    <w:uiPriority w:val="0"/>
    <w:rPr>
      <w:rFonts w:hint="default"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1252</Words>
  <Characters>1333</Characters>
  <Lines>72</Lines>
  <Paragraphs>20</Paragraphs>
  <TotalTime>8</TotalTime>
  <ScaleCrop>false</ScaleCrop>
  <LinksUpToDate>false</LinksUpToDate>
  <CharactersWithSpaces>1413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2026-05-28T09:05:20Z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