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四川省人民医院智慧医院-大数据底座采购项目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471310326"/>
      <w:bookmarkStart w:id="1" w:name="_Toc1907"/>
      <w:bookmarkStart w:id="2" w:name="_Toc3240"/>
      <w:bookmarkStart w:id="3" w:name="_Toc62832406"/>
      <w:bookmarkStart w:id="4" w:name="_Toc20358"/>
      <w:bookmarkStart w:id="5" w:name="_Toc21919"/>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2"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四川省人民医院智慧医院-大数据底座采购项目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6674" w:type="dxa"/>
            <w:vAlign w:val="center"/>
          </w:tcPr>
          <w:p w14:paraId="2EC76405">
            <w:pPr>
              <w:spacing w:line="360" w:lineRule="auto"/>
              <w:ind w:left="210" w:leftChars="100"/>
              <w:rPr>
                <w:rFonts w:hint="eastAsia" w:ascii="仿宋" w:hAnsi="仿宋" w:eastAsia="仿宋" w:cs="仿宋"/>
                <w:b w:val="0"/>
                <w:bCs w:val="0"/>
                <w:sz w:val="22"/>
                <w:lang w:eastAsia="zh-CN"/>
              </w:rPr>
            </w:pPr>
            <w:r>
              <w:rPr>
                <w:rFonts w:hint="eastAsia" w:ascii="仿宋" w:hAnsi="仿宋" w:eastAsia="仿宋" w:cs="仿宋"/>
                <w:b w:val="0"/>
                <w:bCs w:val="0"/>
                <w:sz w:val="22"/>
                <w:lang w:eastAsia="zh-CN"/>
              </w:rPr>
              <w:t>CGZX-YXX20261096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695万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highlight w:val="none"/>
                <w:u w:val="none"/>
                <w:lang w:val="en-US" w:eastAsia="zh-CN"/>
              </w:rPr>
              <w:t>包1：575万元；包2：120万元。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超过最高限价的报价，其响</w:t>
            </w:r>
            <w:r>
              <w:rPr>
                <w:rFonts w:ascii="Times New Roman" w:hAnsi="Times New Roman" w:eastAsia="仿宋" w:cs="Times New Roman"/>
                <w:sz w:val="22"/>
              </w:rPr>
              <w:t>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hint="eastAsia" w:ascii="Times New Roman" w:hAnsi="Times New Roman" w:eastAsia="仿宋" w:cs="Times New Roman"/>
                <w:lang w:val="en-US" w:eastAsia="zh-CN"/>
              </w:rPr>
              <w:t>包1：</w:t>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包2：</w:t>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合同总价5%（逾期未缴纳履约保证金，视为自动放弃成交资格。）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r>
              <w:rPr>
                <w:rFonts w:hint="eastAsia" w:ascii="Times New Roman" w:hAnsi="Times New Roman" w:eastAsia="仿宋" w:cs="Times New Roman"/>
                <w:sz w:val="22"/>
                <w:szCs w:val="22"/>
                <w:highlight w:val="none"/>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r>
              <w:rPr>
                <w:rFonts w:hint="eastAsia" w:ascii="Times New Roman" w:hAnsi="Times New Roman" w:eastAsia="仿宋" w:cs="Times New Roman"/>
                <w:sz w:val="22"/>
                <w:szCs w:val="22"/>
                <w:highlight w:val="none"/>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验收合格后，供应商向采购人提交退款申请及相应票据，采购人在 60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30885AFC">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C961FD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w:t>
            </w:r>
            <w:r>
              <w:rPr>
                <w:rFonts w:ascii="Times New Roman" w:hAnsi="Times New Roman" w:eastAsia="仿宋" w:cs="Times New Roman"/>
                <w:sz w:val="22"/>
                <w:highlight w:val="none"/>
              </w:rPr>
              <w:t>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w:t>
            </w:r>
            <w:r>
              <w:rPr>
                <w:rFonts w:ascii="Times New Roman" w:hAnsi="Times New Roman" w:eastAsia="仿宋" w:cs="Times New Roman"/>
                <w:color w:val="auto"/>
                <w:sz w:val="22"/>
                <w:highlight w:val="none"/>
                <w:shd w:val="clear"/>
              </w:rPr>
              <w:t>因素进行评分，得分最高的供应商为成交供应商。</w:t>
            </w:r>
            <w:r>
              <w:rPr>
                <w:rFonts w:hint="eastAsia" w:ascii="Times New Roman" w:hAnsi="Times New Roman" w:eastAsia="仿宋" w:cs="Times New Roman"/>
                <w:color w:val="auto"/>
                <w:sz w:val="22"/>
                <w:highlight w:val="none"/>
                <w:shd w:val="clear"/>
              </w:rPr>
              <w:t>若得分相同则</w:t>
            </w:r>
            <w:r>
              <w:rPr>
                <w:rFonts w:hint="eastAsia" w:ascii="Times New Roman" w:hAnsi="Times New Roman" w:eastAsia="仿宋" w:cs="Times New Roman"/>
                <w:i/>
                <w:iCs/>
                <w:color w:val="auto"/>
                <w:sz w:val="22"/>
                <w:highlight w:val="none"/>
                <w:shd w:val="clear"/>
              </w:rPr>
              <w:t>报价最低</w:t>
            </w:r>
            <w:r>
              <w:rPr>
                <w:rFonts w:hint="eastAsia" w:ascii="Times New Roman" w:hAnsi="Times New Roman" w:eastAsia="仿宋" w:cs="Times New Roman"/>
                <w:color w:val="auto"/>
                <w:sz w:val="22"/>
                <w:highlight w:val="none"/>
                <w:shd w:val="clear"/>
              </w:rPr>
              <w:t>的为成交供应</w:t>
            </w:r>
            <w:r>
              <w:rPr>
                <w:rFonts w:hint="eastAsia" w:ascii="Times New Roman" w:hAnsi="Times New Roman" w:eastAsia="仿宋" w:cs="Times New Roman"/>
                <w:sz w:val="22"/>
                <w:highlight w:val="none"/>
              </w:rPr>
              <w:t>商。若</w:t>
            </w:r>
            <w:r>
              <w:rPr>
                <w:rFonts w:hint="eastAsia" w:ascii="Times New Roman" w:hAnsi="Times New Roman" w:eastAsia="仿宋" w:cs="Times New Roman"/>
                <w:sz w:val="22"/>
              </w:rPr>
              <w:t>得分相同且报价亦相同，则采取随机抽取的方式确定成交供应商。</w:t>
            </w:r>
          </w:p>
          <w:p w14:paraId="52F84DF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127C1E81">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default"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王</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87393060</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3060</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w:t>
            </w:r>
            <w:bookmarkStart w:id="98" w:name="_GoBack"/>
            <w:bookmarkEnd w:id="98"/>
            <w:r>
              <w:rPr>
                <w:rFonts w:hint="eastAsia" w:ascii="Times New Roman" w:hAnsi="Times New Roman" w:eastAsia="仿宋" w:cs="Times New Roman"/>
                <w:sz w:val="22"/>
                <w:szCs w:val="22"/>
                <w:lang w:val="zh-CN"/>
              </w:rPr>
              <w:t>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16403"/>
      <w:bookmarkStart w:id="13" w:name="_Toc12668"/>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6E7443E2">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479" w:leftChars="228" w:firstLine="0" w:firstLineChars="0"/>
        <w:textAlignment w:val="auto"/>
        <w:rPr>
          <w:rFonts w:hint="eastAsia" w:ascii="仿宋" w:hAnsi="仿宋" w:eastAsia="仿宋" w:cs="仿宋"/>
          <w:b/>
          <w:bCs/>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p>
    <w:p w14:paraId="638C2F71">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本项目拟确定供应商</w:t>
      </w:r>
      <w:r>
        <w:rPr>
          <w:rFonts w:hint="eastAsia" w:ascii="仿宋" w:hAnsi="仿宋" w:cs="仿宋"/>
          <w:b w:val="0"/>
          <w:bCs/>
          <w:sz w:val="24"/>
          <w:szCs w:val="24"/>
          <w:lang w:val="en-US" w:eastAsia="zh-CN"/>
        </w:rPr>
        <w:t>提供2路服务器、软件一套及相关服务</w:t>
      </w:r>
      <w:r>
        <w:rPr>
          <w:rFonts w:hint="eastAsia" w:ascii="仿宋" w:hAnsi="仿宋" w:eastAsia="仿宋" w:cs="仿宋"/>
          <w:b w:val="0"/>
          <w:bCs/>
          <w:sz w:val="24"/>
          <w:szCs w:val="24"/>
          <w:lang w:val="en-US" w:eastAsia="zh-CN"/>
        </w:rPr>
        <w:t>。</w:t>
      </w:r>
    </w:p>
    <w:p w14:paraId="25CFC788">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482"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二、包1：</w:t>
      </w:r>
    </w:p>
    <w:p w14:paraId="075D7778">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481" w:leftChars="229" w:firstLine="0" w:firstLine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w:t>
      </w:r>
      <w:r>
        <w:rPr>
          <w:rFonts w:hint="eastAsia" w:ascii="仿宋" w:hAnsi="仿宋" w:cs="仿宋"/>
          <w:kern w:val="2"/>
          <w:sz w:val="24"/>
          <w:szCs w:val="24"/>
          <w:lang w:val="en-US" w:eastAsia="zh-CN" w:bidi="ar-SA"/>
        </w:rPr>
        <w:t>（一）</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96"/>
        <w:gridCol w:w="4322"/>
        <w:gridCol w:w="3225"/>
      </w:tblGrid>
      <w:tr w14:paraId="4B13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66" w:type="pct"/>
            <w:shd w:val="clear" w:color="auto" w:fill="auto"/>
            <w:tcMar>
              <w:top w:w="0" w:type="dxa"/>
              <w:left w:w="105" w:type="dxa"/>
              <w:bottom w:w="0" w:type="dxa"/>
              <w:right w:w="105" w:type="dxa"/>
            </w:tcMar>
            <w:vAlign w:val="center"/>
          </w:tcPr>
          <w:p w14:paraId="3541D153">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195" w:type="pct"/>
            <w:shd w:val="clear" w:color="auto" w:fill="auto"/>
            <w:tcMar>
              <w:top w:w="0" w:type="dxa"/>
              <w:left w:w="105" w:type="dxa"/>
              <w:bottom w:w="0" w:type="dxa"/>
              <w:right w:w="105" w:type="dxa"/>
            </w:tcMar>
            <w:vAlign w:val="center"/>
          </w:tcPr>
          <w:p w14:paraId="5920E5C1">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名称</w:t>
            </w:r>
          </w:p>
        </w:tc>
        <w:tc>
          <w:tcPr>
            <w:tcW w:w="1638" w:type="pct"/>
            <w:shd w:val="clear" w:color="auto" w:fill="auto"/>
            <w:tcMar>
              <w:top w:w="0" w:type="dxa"/>
              <w:left w:w="105" w:type="dxa"/>
              <w:bottom w:w="0" w:type="dxa"/>
              <w:right w:w="105" w:type="dxa"/>
            </w:tcMar>
            <w:vAlign w:val="center"/>
          </w:tcPr>
          <w:p w14:paraId="48D0839B">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限高价（万</w:t>
            </w:r>
            <w:r>
              <w:rPr>
                <w:rFonts w:hint="eastAsia" w:ascii="仿宋" w:hAnsi="仿宋" w:cs="仿宋"/>
                <w:sz w:val="24"/>
                <w:szCs w:val="24"/>
                <w:lang w:val="en-US" w:eastAsia="zh-CN"/>
              </w:rPr>
              <w:t>元</w:t>
            </w:r>
            <w:r>
              <w:rPr>
                <w:rFonts w:hint="eastAsia" w:ascii="仿宋" w:hAnsi="仿宋" w:eastAsia="仿宋" w:cs="仿宋"/>
                <w:sz w:val="24"/>
                <w:szCs w:val="24"/>
              </w:rPr>
              <w:t>）</w:t>
            </w:r>
          </w:p>
        </w:tc>
      </w:tr>
      <w:tr w14:paraId="6D0E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6" w:type="pct"/>
            <w:shd w:val="clear" w:color="auto" w:fill="auto"/>
            <w:tcMar>
              <w:top w:w="0" w:type="dxa"/>
              <w:left w:w="105" w:type="dxa"/>
              <w:bottom w:w="0" w:type="dxa"/>
              <w:right w:w="105" w:type="dxa"/>
            </w:tcMar>
            <w:vAlign w:val="center"/>
          </w:tcPr>
          <w:p w14:paraId="075A3D18">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highlight w:val="none"/>
                <w:lang w:eastAsia="zh-CN"/>
              </w:rPr>
            </w:pPr>
            <w:r>
              <w:rPr>
                <w:rFonts w:hint="eastAsia" w:ascii="仿宋" w:hAnsi="仿宋" w:cs="仿宋"/>
                <w:b w:val="0"/>
                <w:bCs/>
                <w:sz w:val="24"/>
                <w:szCs w:val="24"/>
                <w:highlight w:val="none"/>
                <w:lang w:val="en-US" w:eastAsia="zh-CN"/>
              </w:rPr>
              <w:t>1</w:t>
            </w:r>
          </w:p>
        </w:tc>
        <w:tc>
          <w:tcPr>
            <w:tcW w:w="2195" w:type="pct"/>
            <w:shd w:val="clear" w:color="auto" w:fill="auto"/>
            <w:tcMar>
              <w:top w:w="0" w:type="dxa"/>
              <w:left w:w="105" w:type="dxa"/>
              <w:bottom w:w="0" w:type="dxa"/>
              <w:right w:w="105" w:type="dxa"/>
            </w:tcMar>
            <w:vAlign w:val="center"/>
          </w:tcPr>
          <w:p w14:paraId="4BD254E1">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软件一套及相关服务</w:t>
            </w:r>
          </w:p>
        </w:tc>
        <w:tc>
          <w:tcPr>
            <w:tcW w:w="1638" w:type="pct"/>
            <w:shd w:val="clear" w:color="auto" w:fill="auto"/>
            <w:tcMar>
              <w:top w:w="0" w:type="dxa"/>
              <w:left w:w="105" w:type="dxa"/>
              <w:bottom w:w="0" w:type="dxa"/>
              <w:right w:w="105" w:type="dxa"/>
            </w:tcMar>
            <w:vAlign w:val="center"/>
          </w:tcPr>
          <w:p w14:paraId="2C24338B">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575</w:t>
            </w:r>
          </w:p>
        </w:tc>
      </w:tr>
    </w:tbl>
    <w:p w14:paraId="6F659206">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482" w:firstLineChars="200"/>
        <w:jc w:val="both"/>
        <w:textAlignment w:val="auto"/>
        <w:rPr>
          <w:rFonts w:hint="eastAsia" w:ascii="仿宋" w:hAnsi="仿宋" w:eastAsia="仿宋" w:cs="仿宋"/>
          <w:sz w:val="24"/>
          <w:szCs w:val="24"/>
          <w:highlight w:val="none"/>
        </w:rPr>
      </w:pPr>
      <w:r>
        <w:rPr>
          <w:rFonts w:hint="eastAsia" w:ascii="仿宋" w:hAnsi="仿宋" w:cs="仿宋"/>
          <w:kern w:val="2"/>
          <w:sz w:val="24"/>
          <w:szCs w:val="24"/>
          <w:highlight w:val="none"/>
          <w:lang w:val="en-US" w:eastAsia="zh-CN"/>
        </w:rPr>
        <w:t>2.接口</w:t>
      </w:r>
      <w:r>
        <w:rPr>
          <w:rFonts w:hint="eastAsia" w:ascii="仿宋" w:hAnsi="仿宋" w:eastAsia="仿宋" w:cs="仿宋"/>
          <w:kern w:val="2"/>
          <w:sz w:val="24"/>
          <w:szCs w:val="24"/>
          <w:highlight w:val="none"/>
        </w:rPr>
        <w:t>清单</w:t>
      </w:r>
    </w:p>
    <w:p w14:paraId="6A924F5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highlight w:val="none"/>
          <w:lang w:val="en-US" w:eastAsia="zh-CN" w:bidi="ar"/>
        </w:rPr>
        <w:t>本项目实施期间，凡涉及与东软集团股份有限公司（以下简称“东软”）既有系统对接，所产生的费</w:t>
      </w:r>
      <w:r>
        <w:rPr>
          <w:rFonts w:hint="eastAsia" w:ascii="仿宋" w:hAnsi="仿宋" w:eastAsia="仿宋" w:cs="仿宋"/>
          <w:b w:val="0"/>
          <w:bCs w:val="0"/>
          <w:kern w:val="0"/>
          <w:sz w:val="24"/>
          <w:szCs w:val="24"/>
          <w:lang w:val="en-US" w:eastAsia="zh-CN" w:bidi="ar"/>
        </w:rPr>
        <w:t>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项目合同总价的10%。</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3523"/>
        <w:gridCol w:w="2413"/>
        <w:gridCol w:w="3911"/>
      </w:tblGrid>
      <w:tr w14:paraId="65FD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5273944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系统名称</w:t>
            </w:r>
          </w:p>
        </w:tc>
        <w:tc>
          <w:tcPr>
            <w:tcW w:w="2413" w:type="dxa"/>
            <w:shd w:val="clear" w:color="auto" w:fill="auto"/>
            <w:noWrap/>
            <w:tcMar>
              <w:top w:w="0" w:type="dxa"/>
              <w:left w:w="105" w:type="dxa"/>
              <w:bottom w:w="0" w:type="dxa"/>
              <w:right w:w="105" w:type="dxa"/>
            </w:tcMar>
            <w:vAlign w:val="center"/>
          </w:tcPr>
          <w:p w14:paraId="4BDD173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数据库类型</w:t>
            </w:r>
          </w:p>
        </w:tc>
        <w:tc>
          <w:tcPr>
            <w:tcW w:w="3911" w:type="dxa"/>
            <w:shd w:val="clear" w:color="auto" w:fill="auto"/>
            <w:tcMar>
              <w:top w:w="0" w:type="dxa"/>
              <w:left w:w="105" w:type="dxa"/>
              <w:bottom w:w="0" w:type="dxa"/>
              <w:right w:w="105" w:type="dxa"/>
            </w:tcMar>
            <w:vAlign w:val="center"/>
          </w:tcPr>
          <w:p w14:paraId="1DBE186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供应商名称</w:t>
            </w:r>
          </w:p>
        </w:tc>
      </w:tr>
      <w:tr w14:paraId="0E98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4103B91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医院信息系统（HIS）</w:t>
            </w:r>
          </w:p>
        </w:tc>
        <w:tc>
          <w:tcPr>
            <w:tcW w:w="2413" w:type="dxa"/>
            <w:shd w:val="clear" w:color="auto" w:fill="auto"/>
            <w:noWrap/>
            <w:tcMar>
              <w:top w:w="0" w:type="dxa"/>
              <w:left w:w="105" w:type="dxa"/>
              <w:bottom w:w="0" w:type="dxa"/>
              <w:right w:w="105" w:type="dxa"/>
            </w:tcMar>
            <w:vAlign w:val="center"/>
          </w:tcPr>
          <w:p w14:paraId="37C8452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26C7A60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5957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315D84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护理管理系统</w:t>
            </w:r>
          </w:p>
        </w:tc>
        <w:tc>
          <w:tcPr>
            <w:tcW w:w="2413" w:type="dxa"/>
            <w:shd w:val="clear" w:color="auto" w:fill="auto"/>
            <w:noWrap/>
            <w:tcMar>
              <w:top w:w="0" w:type="dxa"/>
              <w:left w:w="105" w:type="dxa"/>
              <w:bottom w:w="0" w:type="dxa"/>
              <w:right w:w="105" w:type="dxa"/>
            </w:tcMar>
            <w:vAlign w:val="center"/>
          </w:tcPr>
          <w:p w14:paraId="33ECC25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4B25302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16DB3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06756C4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电子病历系统</w:t>
            </w:r>
          </w:p>
        </w:tc>
        <w:tc>
          <w:tcPr>
            <w:tcW w:w="2413" w:type="dxa"/>
            <w:shd w:val="clear" w:color="auto" w:fill="auto"/>
            <w:noWrap/>
            <w:tcMar>
              <w:top w:w="0" w:type="dxa"/>
              <w:left w:w="105" w:type="dxa"/>
              <w:bottom w:w="0" w:type="dxa"/>
              <w:right w:w="105" w:type="dxa"/>
            </w:tcMar>
            <w:vAlign w:val="center"/>
          </w:tcPr>
          <w:p w14:paraId="377CF62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485BDAA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481C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71AE80B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放射影像工作站(PACS)</w:t>
            </w:r>
          </w:p>
        </w:tc>
        <w:tc>
          <w:tcPr>
            <w:tcW w:w="2413" w:type="dxa"/>
            <w:shd w:val="clear" w:color="auto" w:fill="auto"/>
            <w:noWrap/>
            <w:tcMar>
              <w:top w:w="0" w:type="dxa"/>
              <w:left w:w="105" w:type="dxa"/>
              <w:bottom w:w="0" w:type="dxa"/>
              <w:right w:w="105" w:type="dxa"/>
            </w:tcMar>
            <w:vAlign w:val="center"/>
          </w:tcPr>
          <w:p w14:paraId="56DC6DD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6971716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72E7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2E0253D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统一预约系统</w:t>
            </w:r>
          </w:p>
        </w:tc>
        <w:tc>
          <w:tcPr>
            <w:tcW w:w="2413" w:type="dxa"/>
            <w:shd w:val="clear" w:color="auto" w:fill="auto"/>
            <w:noWrap/>
            <w:tcMar>
              <w:top w:w="0" w:type="dxa"/>
              <w:left w:w="105" w:type="dxa"/>
              <w:bottom w:w="0" w:type="dxa"/>
              <w:right w:w="105" w:type="dxa"/>
            </w:tcMar>
            <w:vAlign w:val="center"/>
          </w:tcPr>
          <w:p w14:paraId="4C78607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519B0F0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689A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1099DC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心电信息管理系统</w:t>
            </w:r>
          </w:p>
        </w:tc>
        <w:tc>
          <w:tcPr>
            <w:tcW w:w="2413" w:type="dxa"/>
            <w:shd w:val="clear" w:color="auto" w:fill="auto"/>
            <w:noWrap/>
            <w:tcMar>
              <w:top w:w="0" w:type="dxa"/>
              <w:left w:w="105" w:type="dxa"/>
              <w:bottom w:w="0" w:type="dxa"/>
              <w:right w:w="105" w:type="dxa"/>
            </w:tcMar>
            <w:vAlign w:val="center"/>
          </w:tcPr>
          <w:p w14:paraId="7099278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62F3AD0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厦门纳龙健康科技股份有限公司</w:t>
            </w:r>
          </w:p>
        </w:tc>
      </w:tr>
      <w:tr w14:paraId="31CB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F68165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实验室信息管理系统（LIS）</w:t>
            </w:r>
          </w:p>
        </w:tc>
        <w:tc>
          <w:tcPr>
            <w:tcW w:w="2413" w:type="dxa"/>
            <w:shd w:val="clear" w:color="auto" w:fill="auto"/>
            <w:noWrap/>
            <w:tcMar>
              <w:top w:w="0" w:type="dxa"/>
              <w:left w:w="105" w:type="dxa"/>
              <w:bottom w:w="0" w:type="dxa"/>
              <w:right w:w="105" w:type="dxa"/>
            </w:tcMar>
            <w:vAlign w:val="center"/>
          </w:tcPr>
          <w:p w14:paraId="1922561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266F04F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东软集团股份有限公司</w:t>
            </w:r>
          </w:p>
        </w:tc>
      </w:tr>
      <w:tr w14:paraId="1526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8215CA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老版麻醉临床信息系统</w:t>
            </w:r>
          </w:p>
        </w:tc>
        <w:tc>
          <w:tcPr>
            <w:tcW w:w="2413" w:type="dxa"/>
            <w:shd w:val="clear" w:color="auto" w:fill="auto"/>
            <w:noWrap/>
            <w:tcMar>
              <w:top w:w="0" w:type="dxa"/>
              <w:left w:w="105" w:type="dxa"/>
              <w:bottom w:w="0" w:type="dxa"/>
              <w:right w:w="105" w:type="dxa"/>
            </w:tcMar>
            <w:vAlign w:val="center"/>
          </w:tcPr>
          <w:p w14:paraId="0DA748A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27E4F18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苏州麦迪斯顿科技股份有限公司</w:t>
            </w:r>
          </w:p>
        </w:tc>
      </w:tr>
      <w:tr w14:paraId="13E2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03369CD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新版麻醉系统</w:t>
            </w:r>
          </w:p>
        </w:tc>
        <w:tc>
          <w:tcPr>
            <w:tcW w:w="2413" w:type="dxa"/>
            <w:shd w:val="clear" w:color="auto" w:fill="auto"/>
            <w:noWrap/>
            <w:tcMar>
              <w:top w:w="0" w:type="dxa"/>
              <w:left w:w="105" w:type="dxa"/>
              <w:bottom w:w="0" w:type="dxa"/>
              <w:right w:w="105" w:type="dxa"/>
            </w:tcMar>
            <w:vAlign w:val="center"/>
          </w:tcPr>
          <w:p w14:paraId="0DC9D65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086AAD9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成都信通网易医疗科技发展有限公司</w:t>
            </w:r>
          </w:p>
        </w:tc>
      </w:tr>
      <w:tr w14:paraId="5C10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68A2C36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图特物资供应链系统</w:t>
            </w:r>
          </w:p>
        </w:tc>
        <w:tc>
          <w:tcPr>
            <w:tcW w:w="2413" w:type="dxa"/>
            <w:shd w:val="clear" w:color="auto" w:fill="auto"/>
            <w:noWrap/>
            <w:tcMar>
              <w:top w:w="0" w:type="dxa"/>
              <w:left w:w="105" w:type="dxa"/>
              <w:bottom w:w="0" w:type="dxa"/>
              <w:right w:w="105" w:type="dxa"/>
            </w:tcMar>
            <w:vAlign w:val="center"/>
          </w:tcPr>
          <w:p w14:paraId="27BBE04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7FCDC29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杭州图特信息科技有限公司</w:t>
            </w:r>
          </w:p>
        </w:tc>
      </w:tr>
      <w:tr w14:paraId="7D3F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04D0CA8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智慧财务系统</w:t>
            </w:r>
          </w:p>
        </w:tc>
        <w:tc>
          <w:tcPr>
            <w:tcW w:w="2413" w:type="dxa"/>
            <w:shd w:val="clear" w:color="auto" w:fill="auto"/>
            <w:noWrap/>
            <w:tcMar>
              <w:top w:w="0" w:type="dxa"/>
              <w:left w:w="105" w:type="dxa"/>
              <w:bottom w:w="0" w:type="dxa"/>
              <w:right w:w="105" w:type="dxa"/>
            </w:tcMar>
            <w:vAlign w:val="center"/>
          </w:tcPr>
          <w:p w14:paraId="1625D2C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3708CC6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四川望海康信科技有限公司</w:t>
            </w:r>
          </w:p>
        </w:tc>
      </w:tr>
      <w:tr w14:paraId="2201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7533FEC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超声PACS影像系统</w:t>
            </w:r>
          </w:p>
        </w:tc>
        <w:tc>
          <w:tcPr>
            <w:tcW w:w="2413" w:type="dxa"/>
            <w:shd w:val="clear" w:color="auto" w:fill="auto"/>
            <w:noWrap/>
            <w:tcMar>
              <w:top w:w="0" w:type="dxa"/>
              <w:left w:w="105" w:type="dxa"/>
              <w:bottom w:w="0" w:type="dxa"/>
              <w:right w:w="105" w:type="dxa"/>
            </w:tcMar>
            <w:vAlign w:val="center"/>
          </w:tcPr>
          <w:p w14:paraId="2552A7E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16B6783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成都试金石软件开发责任有限公司</w:t>
            </w:r>
          </w:p>
        </w:tc>
      </w:tr>
      <w:tr w14:paraId="4BF74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71A0C18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电生理系统</w:t>
            </w:r>
          </w:p>
        </w:tc>
        <w:tc>
          <w:tcPr>
            <w:tcW w:w="2413" w:type="dxa"/>
            <w:shd w:val="clear" w:color="auto" w:fill="auto"/>
            <w:noWrap/>
            <w:tcMar>
              <w:top w:w="0" w:type="dxa"/>
              <w:left w:w="105" w:type="dxa"/>
              <w:bottom w:w="0" w:type="dxa"/>
              <w:right w:w="105" w:type="dxa"/>
            </w:tcMar>
            <w:vAlign w:val="center"/>
          </w:tcPr>
          <w:p w14:paraId="124F870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0C2E251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成都试金石软件开发责任有限公司</w:t>
            </w:r>
          </w:p>
        </w:tc>
      </w:tr>
      <w:tr w14:paraId="24BE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5A57D94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内镜综合管理系统</w:t>
            </w:r>
          </w:p>
        </w:tc>
        <w:tc>
          <w:tcPr>
            <w:tcW w:w="2413" w:type="dxa"/>
            <w:shd w:val="clear" w:color="auto" w:fill="auto"/>
            <w:noWrap/>
            <w:tcMar>
              <w:top w:w="0" w:type="dxa"/>
              <w:left w:w="105" w:type="dxa"/>
              <w:bottom w:w="0" w:type="dxa"/>
              <w:right w:w="105" w:type="dxa"/>
            </w:tcMar>
            <w:vAlign w:val="center"/>
          </w:tcPr>
          <w:p w14:paraId="7826CE9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5EE06FB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四川深蓝鸟科技有限公司</w:t>
            </w:r>
          </w:p>
        </w:tc>
      </w:tr>
      <w:tr w14:paraId="1F21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75659C7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急诊急救信息管理系统</w:t>
            </w:r>
          </w:p>
        </w:tc>
        <w:tc>
          <w:tcPr>
            <w:tcW w:w="2413" w:type="dxa"/>
            <w:shd w:val="clear" w:color="auto" w:fill="auto"/>
            <w:noWrap/>
            <w:tcMar>
              <w:top w:w="0" w:type="dxa"/>
              <w:left w:w="105" w:type="dxa"/>
              <w:bottom w:w="0" w:type="dxa"/>
              <w:right w:w="105" w:type="dxa"/>
            </w:tcMar>
            <w:vAlign w:val="center"/>
          </w:tcPr>
          <w:p w14:paraId="5F704F2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299D1FF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成都信通网易医疗科技发展有限公司</w:t>
            </w:r>
          </w:p>
        </w:tc>
      </w:tr>
      <w:tr w14:paraId="2423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1AB29E9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移动护理信息系统（CMIS）</w:t>
            </w:r>
          </w:p>
        </w:tc>
        <w:tc>
          <w:tcPr>
            <w:tcW w:w="2413" w:type="dxa"/>
            <w:shd w:val="clear" w:color="auto" w:fill="auto"/>
            <w:noWrap/>
            <w:tcMar>
              <w:top w:w="0" w:type="dxa"/>
              <w:left w:w="105" w:type="dxa"/>
              <w:bottom w:w="0" w:type="dxa"/>
              <w:right w:w="105" w:type="dxa"/>
            </w:tcMar>
            <w:vAlign w:val="center"/>
          </w:tcPr>
          <w:p w14:paraId="521B0E1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18A4BE5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北京远卓科技有限责任公司</w:t>
            </w:r>
          </w:p>
        </w:tc>
      </w:tr>
      <w:tr w14:paraId="09DD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5A39870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医学装备信息化管理平台系统</w:t>
            </w:r>
          </w:p>
        </w:tc>
        <w:tc>
          <w:tcPr>
            <w:tcW w:w="2413" w:type="dxa"/>
            <w:shd w:val="clear" w:color="auto" w:fill="auto"/>
            <w:noWrap/>
            <w:tcMar>
              <w:top w:w="0" w:type="dxa"/>
              <w:left w:w="105" w:type="dxa"/>
              <w:bottom w:w="0" w:type="dxa"/>
              <w:right w:w="105" w:type="dxa"/>
            </w:tcMar>
            <w:vAlign w:val="center"/>
          </w:tcPr>
          <w:p w14:paraId="5F3ADC7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5DE6F3F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杭州爱惠信息技术有限公司</w:t>
            </w:r>
          </w:p>
        </w:tc>
      </w:tr>
      <w:tr w14:paraId="6439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FEB212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DRG院内版</w:t>
            </w:r>
          </w:p>
        </w:tc>
        <w:tc>
          <w:tcPr>
            <w:tcW w:w="2413" w:type="dxa"/>
            <w:shd w:val="clear" w:color="auto" w:fill="auto"/>
            <w:noWrap/>
            <w:tcMar>
              <w:top w:w="0" w:type="dxa"/>
              <w:left w:w="105" w:type="dxa"/>
              <w:bottom w:w="0" w:type="dxa"/>
              <w:right w:w="105" w:type="dxa"/>
            </w:tcMar>
            <w:vAlign w:val="center"/>
          </w:tcPr>
          <w:p w14:paraId="6C8A430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1AD3556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国新健康保障服务有限公司</w:t>
            </w:r>
          </w:p>
        </w:tc>
      </w:tr>
      <w:tr w14:paraId="74F40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577701F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病案管理系统</w:t>
            </w:r>
          </w:p>
        </w:tc>
        <w:tc>
          <w:tcPr>
            <w:tcW w:w="2413" w:type="dxa"/>
            <w:shd w:val="clear" w:color="auto" w:fill="auto"/>
            <w:noWrap/>
            <w:tcMar>
              <w:top w:w="0" w:type="dxa"/>
              <w:left w:w="105" w:type="dxa"/>
              <w:bottom w:w="0" w:type="dxa"/>
              <w:right w:w="105" w:type="dxa"/>
            </w:tcMar>
            <w:vAlign w:val="center"/>
          </w:tcPr>
          <w:p w14:paraId="54066CB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52DA2A1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今创集团股份有限公司</w:t>
            </w:r>
          </w:p>
        </w:tc>
      </w:tr>
      <w:tr w14:paraId="6CC6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1A32E2A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人事管理系统</w:t>
            </w:r>
          </w:p>
        </w:tc>
        <w:tc>
          <w:tcPr>
            <w:tcW w:w="2413" w:type="dxa"/>
            <w:shd w:val="clear" w:color="auto" w:fill="auto"/>
            <w:noWrap/>
            <w:tcMar>
              <w:top w:w="0" w:type="dxa"/>
              <w:left w:w="105" w:type="dxa"/>
              <w:bottom w:w="0" w:type="dxa"/>
              <w:right w:w="105" w:type="dxa"/>
            </w:tcMar>
            <w:vAlign w:val="center"/>
          </w:tcPr>
          <w:p w14:paraId="7F6ABEC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MYsql</w:t>
            </w:r>
          </w:p>
        </w:tc>
        <w:tc>
          <w:tcPr>
            <w:tcW w:w="3911" w:type="dxa"/>
            <w:shd w:val="clear" w:color="auto" w:fill="auto"/>
            <w:tcMar>
              <w:top w:w="0" w:type="dxa"/>
              <w:left w:w="105" w:type="dxa"/>
              <w:bottom w:w="0" w:type="dxa"/>
              <w:right w:w="105" w:type="dxa"/>
            </w:tcMar>
            <w:vAlign w:val="center"/>
          </w:tcPr>
          <w:p w14:paraId="27EE506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广州仁智云科技有限公司</w:t>
            </w:r>
          </w:p>
        </w:tc>
      </w:tr>
      <w:tr w14:paraId="609DC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B37B20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合理用药整体解决方案系统</w:t>
            </w:r>
          </w:p>
        </w:tc>
        <w:tc>
          <w:tcPr>
            <w:tcW w:w="2413" w:type="dxa"/>
            <w:shd w:val="clear" w:color="auto" w:fill="auto"/>
            <w:noWrap/>
            <w:tcMar>
              <w:top w:w="0" w:type="dxa"/>
              <w:left w:w="105" w:type="dxa"/>
              <w:bottom w:w="0" w:type="dxa"/>
              <w:right w:w="105" w:type="dxa"/>
            </w:tcMar>
            <w:vAlign w:val="center"/>
          </w:tcPr>
          <w:p w14:paraId="1D72EE3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245DCE6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四川美康医药软件研究开发股份有限公司</w:t>
            </w:r>
          </w:p>
        </w:tc>
      </w:tr>
      <w:tr w14:paraId="7277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2A63846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门诊叫号系统</w:t>
            </w:r>
          </w:p>
        </w:tc>
        <w:tc>
          <w:tcPr>
            <w:tcW w:w="2413" w:type="dxa"/>
            <w:shd w:val="clear" w:color="auto" w:fill="auto"/>
            <w:noWrap/>
            <w:tcMar>
              <w:top w:w="0" w:type="dxa"/>
              <w:left w:w="105" w:type="dxa"/>
              <w:bottom w:w="0" w:type="dxa"/>
              <w:right w:w="105" w:type="dxa"/>
            </w:tcMar>
            <w:vAlign w:val="center"/>
          </w:tcPr>
          <w:p w14:paraId="201E7DA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152B017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成都欧利德电子科技有限公司</w:t>
            </w:r>
          </w:p>
        </w:tc>
      </w:tr>
      <w:tr w14:paraId="7605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3471561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医技叫号系统</w:t>
            </w:r>
          </w:p>
        </w:tc>
        <w:tc>
          <w:tcPr>
            <w:tcW w:w="2413" w:type="dxa"/>
            <w:shd w:val="clear" w:color="auto" w:fill="auto"/>
            <w:noWrap/>
            <w:tcMar>
              <w:top w:w="0" w:type="dxa"/>
              <w:left w:w="105" w:type="dxa"/>
              <w:bottom w:w="0" w:type="dxa"/>
              <w:right w:w="105" w:type="dxa"/>
            </w:tcMar>
            <w:vAlign w:val="center"/>
          </w:tcPr>
          <w:p w14:paraId="2582D4C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0924A68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成都欧利德电子科技有限公司</w:t>
            </w:r>
          </w:p>
        </w:tc>
      </w:tr>
      <w:tr w14:paraId="2ED7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2273C9A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住院叫号系统</w:t>
            </w:r>
          </w:p>
        </w:tc>
        <w:tc>
          <w:tcPr>
            <w:tcW w:w="2413" w:type="dxa"/>
            <w:shd w:val="clear" w:color="auto" w:fill="auto"/>
            <w:noWrap/>
            <w:tcMar>
              <w:top w:w="0" w:type="dxa"/>
              <w:left w:w="105" w:type="dxa"/>
              <w:bottom w:w="0" w:type="dxa"/>
              <w:right w:w="105" w:type="dxa"/>
            </w:tcMar>
            <w:vAlign w:val="center"/>
          </w:tcPr>
          <w:p w14:paraId="04463F5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1DDC33F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成都欧利德电子科技有限公司</w:t>
            </w:r>
          </w:p>
        </w:tc>
      </w:tr>
      <w:tr w14:paraId="7938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6084E6E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核医学科专科管理系统</w:t>
            </w:r>
          </w:p>
        </w:tc>
        <w:tc>
          <w:tcPr>
            <w:tcW w:w="2413" w:type="dxa"/>
            <w:shd w:val="clear" w:color="auto" w:fill="auto"/>
            <w:noWrap/>
            <w:tcMar>
              <w:top w:w="0" w:type="dxa"/>
              <w:left w:w="105" w:type="dxa"/>
              <w:bottom w:w="0" w:type="dxa"/>
              <w:right w:w="105" w:type="dxa"/>
            </w:tcMar>
            <w:vAlign w:val="center"/>
          </w:tcPr>
          <w:p w14:paraId="06A5D2A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sqlserver</w:t>
            </w:r>
          </w:p>
        </w:tc>
        <w:tc>
          <w:tcPr>
            <w:tcW w:w="3911" w:type="dxa"/>
            <w:shd w:val="clear" w:color="auto" w:fill="auto"/>
            <w:tcMar>
              <w:top w:w="0" w:type="dxa"/>
              <w:left w:w="105" w:type="dxa"/>
              <w:bottom w:w="0" w:type="dxa"/>
              <w:right w:w="105" w:type="dxa"/>
            </w:tcMar>
            <w:vAlign w:val="center"/>
          </w:tcPr>
          <w:p w14:paraId="190B1B5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四川天思创信息技术有限公司</w:t>
            </w:r>
          </w:p>
        </w:tc>
      </w:tr>
      <w:tr w14:paraId="05C6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534B7E5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VTE（静脉血栓）信息系统</w:t>
            </w:r>
          </w:p>
        </w:tc>
        <w:tc>
          <w:tcPr>
            <w:tcW w:w="2413" w:type="dxa"/>
            <w:shd w:val="clear" w:color="auto" w:fill="auto"/>
            <w:noWrap/>
            <w:tcMar>
              <w:top w:w="0" w:type="dxa"/>
              <w:left w:w="105" w:type="dxa"/>
              <w:bottom w:w="0" w:type="dxa"/>
              <w:right w:w="105" w:type="dxa"/>
            </w:tcMar>
            <w:vAlign w:val="center"/>
          </w:tcPr>
          <w:p w14:paraId="47CC8D9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PostgreSQL</w:t>
            </w:r>
          </w:p>
        </w:tc>
        <w:tc>
          <w:tcPr>
            <w:tcW w:w="3911" w:type="dxa"/>
            <w:shd w:val="clear" w:color="auto" w:fill="auto"/>
            <w:tcMar>
              <w:top w:w="0" w:type="dxa"/>
              <w:left w:w="105" w:type="dxa"/>
              <w:bottom w:w="0" w:type="dxa"/>
              <w:right w:w="105" w:type="dxa"/>
            </w:tcMar>
            <w:vAlign w:val="center"/>
          </w:tcPr>
          <w:p w14:paraId="310D112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上海森亿医疗科技有限公司</w:t>
            </w:r>
          </w:p>
        </w:tc>
      </w:tr>
      <w:tr w14:paraId="2861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4FF1491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单病种质控系统</w:t>
            </w:r>
          </w:p>
        </w:tc>
        <w:tc>
          <w:tcPr>
            <w:tcW w:w="2413" w:type="dxa"/>
            <w:shd w:val="clear" w:color="auto" w:fill="auto"/>
            <w:noWrap/>
            <w:tcMar>
              <w:top w:w="0" w:type="dxa"/>
              <w:left w:w="105" w:type="dxa"/>
              <w:bottom w:w="0" w:type="dxa"/>
              <w:right w:w="105" w:type="dxa"/>
            </w:tcMar>
            <w:vAlign w:val="center"/>
          </w:tcPr>
          <w:p w14:paraId="7BCFF0A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MYsql</w:t>
            </w:r>
          </w:p>
        </w:tc>
        <w:tc>
          <w:tcPr>
            <w:tcW w:w="3911" w:type="dxa"/>
            <w:shd w:val="clear" w:color="auto" w:fill="auto"/>
            <w:tcMar>
              <w:top w:w="0" w:type="dxa"/>
              <w:left w:w="105" w:type="dxa"/>
              <w:bottom w:w="0" w:type="dxa"/>
              <w:right w:w="105" w:type="dxa"/>
            </w:tcMar>
            <w:vAlign w:val="center"/>
          </w:tcPr>
          <w:p w14:paraId="4D7B9A8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北京惠每云科技有限公司</w:t>
            </w:r>
          </w:p>
        </w:tc>
      </w:tr>
      <w:tr w14:paraId="2C32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7F03F3A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不良事件管理平台</w:t>
            </w:r>
          </w:p>
        </w:tc>
        <w:tc>
          <w:tcPr>
            <w:tcW w:w="2413" w:type="dxa"/>
            <w:shd w:val="clear" w:color="auto" w:fill="auto"/>
            <w:noWrap/>
            <w:tcMar>
              <w:top w:w="0" w:type="dxa"/>
              <w:left w:w="105" w:type="dxa"/>
              <w:bottom w:w="0" w:type="dxa"/>
              <w:right w:w="105" w:type="dxa"/>
            </w:tcMar>
            <w:vAlign w:val="center"/>
          </w:tcPr>
          <w:p w14:paraId="40A208B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oracle</w:t>
            </w:r>
          </w:p>
        </w:tc>
        <w:tc>
          <w:tcPr>
            <w:tcW w:w="3911" w:type="dxa"/>
            <w:shd w:val="clear" w:color="auto" w:fill="auto"/>
            <w:tcMar>
              <w:top w:w="0" w:type="dxa"/>
              <w:left w:w="105" w:type="dxa"/>
              <w:bottom w:w="0" w:type="dxa"/>
              <w:right w:w="105" w:type="dxa"/>
            </w:tcMar>
            <w:vAlign w:val="center"/>
          </w:tcPr>
          <w:p w14:paraId="08C1A11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广州火龙果信息科技有限公司</w:t>
            </w:r>
          </w:p>
        </w:tc>
      </w:tr>
      <w:tr w14:paraId="47B2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11CBD71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智能康复系统</w:t>
            </w:r>
          </w:p>
        </w:tc>
        <w:tc>
          <w:tcPr>
            <w:tcW w:w="2413" w:type="dxa"/>
            <w:shd w:val="clear" w:color="auto" w:fill="auto"/>
            <w:noWrap/>
            <w:tcMar>
              <w:top w:w="0" w:type="dxa"/>
              <w:left w:w="105" w:type="dxa"/>
              <w:bottom w:w="0" w:type="dxa"/>
              <w:right w:w="105" w:type="dxa"/>
            </w:tcMar>
            <w:vAlign w:val="center"/>
          </w:tcPr>
          <w:p w14:paraId="472C278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mysql</w:t>
            </w:r>
          </w:p>
        </w:tc>
        <w:tc>
          <w:tcPr>
            <w:tcW w:w="3911" w:type="dxa"/>
            <w:shd w:val="clear" w:color="auto" w:fill="auto"/>
            <w:tcMar>
              <w:top w:w="0" w:type="dxa"/>
              <w:left w:w="105" w:type="dxa"/>
              <w:bottom w:w="0" w:type="dxa"/>
              <w:right w:w="105" w:type="dxa"/>
            </w:tcMar>
            <w:vAlign w:val="center"/>
          </w:tcPr>
          <w:p w14:paraId="2674744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布法罗机器人科技（成都）有限公司</w:t>
            </w:r>
          </w:p>
        </w:tc>
      </w:tr>
      <w:tr w14:paraId="5514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1" w:hRule="atLeast"/>
          <w:jc w:val="center"/>
        </w:trPr>
        <w:tc>
          <w:tcPr>
            <w:tcW w:w="3523" w:type="dxa"/>
            <w:shd w:val="clear" w:color="auto" w:fill="auto"/>
            <w:noWrap/>
            <w:tcMar>
              <w:top w:w="0" w:type="dxa"/>
              <w:left w:w="105" w:type="dxa"/>
              <w:bottom w:w="0" w:type="dxa"/>
              <w:right w:w="105" w:type="dxa"/>
            </w:tcMar>
            <w:vAlign w:val="center"/>
          </w:tcPr>
          <w:p w14:paraId="2688191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医院OA系统</w:t>
            </w:r>
          </w:p>
        </w:tc>
        <w:tc>
          <w:tcPr>
            <w:tcW w:w="2413" w:type="dxa"/>
            <w:shd w:val="clear" w:color="auto" w:fill="auto"/>
            <w:noWrap/>
            <w:tcMar>
              <w:top w:w="0" w:type="dxa"/>
              <w:left w:w="105" w:type="dxa"/>
              <w:bottom w:w="0" w:type="dxa"/>
              <w:right w:w="105" w:type="dxa"/>
            </w:tcMar>
            <w:vAlign w:val="center"/>
          </w:tcPr>
          <w:p w14:paraId="28D3476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Mysql</w:t>
            </w:r>
          </w:p>
        </w:tc>
        <w:tc>
          <w:tcPr>
            <w:tcW w:w="3911" w:type="dxa"/>
            <w:shd w:val="clear" w:color="auto" w:fill="auto"/>
            <w:tcMar>
              <w:top w:w="0" w:type="dxa"/>
              <w:left w:w="105" w:type="dxa"/>
              <w:bottom w:w="0" w:type="dxa"/>
              <w:right w:w="105" w:type="dxa"/>
            </w:tcMar>
            <w:vAlign w:val="center"/>
          </w:tcPr>
          <w:p w14:paraId="6A7767F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成都义幻医疗科技有限公司</w:t>
            </w:r>
          </w:p>
        </w:tc>
      </w:tr>
    </w:tbl>
    <w:p w14:paraId="55BB27B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2" w:firstLineChars="200"/>
        <w:jc w:val="both"/>
        <w:textAlignment w:val="auto"/>
        <w:rPr>
          <w:rFonts w:hint="eastAsia" w:ascii="仿宋" w:hAnsi="仿宋" w:eastAsia="仿宋" w:cs="仿宋"/>
          <w:sz w:val="24"/>
          <w:szCs w:val="24"/>
          <w:lang w:eastAsia="zh-CN"/>
        </w:rPr>
      </w:pPr>
      <w:r>
        <w:rPr>
          <w:rFonts w:hint="eastAsia" w:ascii="仿宋" w:hAnsi="仿宋" w:eastAsia="仿宋" w:cs="仿宋"/>
          <w:b/>
          <w:bCs/>
          <w:kern w:val="0"/>
          <w:sz w:val="24"/>
          <w:szCs w:val="24"/>
          <w:lang w:val="en-US" w:eastAsia="zh-CN" w:bidi="ar"/>
        </w:rPr>
        <w:t>（二）</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p>
    <w:p w14:paraId="1E9A424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right="0" w:rightChars="0" w:firstLine="482" w:firstLineChars="200"/>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1.技术要求</w:t>
      </w:r>
    </w:p>
    <w:p w14:paraId="4D821A3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right="0" w:righ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（1）软件功能清单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2"/>
        <w:gridCol w:w="1682"/>
        <w:gridCol w:w="1543"/>
        <w:gridCol w:w="5790"/>
      </w:tblGrid>
      <w:tr w14:paraId="3270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shd w:val="clear" w:color="auto" w:fill="auto"/>
            <w:tcMar>
              <w:top w:w="0" w:type="dxa"/>
              <w:left w:w="105" w:type="dxa"/>
              <w:bottom w:w="0" w:type="dxa"/>
              <w:right w:w="105" w:type="dxa"/>
            </w:tcMar>
            <w:vAlign w:val="center"/>
          </w:tcPr>
          <w:p w14:paraId="2768251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序号</w:t>
            </w:r>
          </w:p>
        </w:tc>
        <w:tc>
          <w:tcPr>
            <w:tcW w:w="1682" w:type="dxa"/>
            <w:shd w:val="clear" w:color="auto" w:fill="auto"/>
            <w:tcMar>
              <w:top w:w="0" w:type="dxa"/>
              <w:left w:w="105" w:type="dxa"/>
              <w:bottom w:w="0" w:type="dxa"/>
              <w:right w:w="105" w:type="dxa"/>
            </w:tcMar>
            <w:vAlign w:val="center"/>
          </w:tcPr>
          <w:p w14:paraId="5CA4FD7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子系统名称</w:t>
            </w:r>
          </w:p>
        </w:tc>
        <w:tc>
          <w:tcPr>
            <w:tcW w:w="1543" w:type="dxa"/>
            <w:shd w:val="clear" w:color="auto" w:fill="auto"/>
            <w:noWrap/>
            <w:tcMar>
              <w:top w:w="0" w:type="dxa"/>
              <w:left w:w="105" w:type="dxa"/>
              <w:bottom w:w="0" w:type="dxa"/>
              <w:right w:w="105" w:type="dxa"/>
            </w:tcMar>
            <w:vAlign w:val="center"/>
          </w:tcPr>
          <w:p w14:paraId="7C5B362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功能</w:t>
            </w:r>
          </w:p>
        </w:tc>
        <w:tc>
          <w:tcPr>
            <w:tcW w:w="5790" w:type="dxa"/>
            <w:shd w:val="clear" w:color="auto" w:fill="auto"/>
            <w:tcMar>
              <w:top w:w="0" w:type="dxa"/>
              <w:left w:w="105" w:type="dxa"/>
              <w:bottom w:w="0" w:type="dxa"/>
              <w:right w:w="105" w:type="dxa"/>
            </w:tcMar>
            <w:vAlign w:val="center"/>
          </w:tcPr>
          <w:p w14:paraId="119CE47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技术指标</w:t>
            </w:r>
          </w:p>
        </w:tc>
      </w:tr>
      <w:tr w14:paraId="5C3E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7133D4D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1682" w:type="dxa"/>
            <w:vMerge w:val="restart"/>
            <w:shd w:val="clear" w:color="auto" w:fill="auto"/>
            <w:tcMar>
              <w:top w:w="0" w:type="dxa"/>
              <w:left w:w="105" w:type="dxa"/>
              <w:bottom w:w="0" w:type="dxa"/>
              <w:right w:w="105" w:type="dxa"/>
            </w:tcMar>
            <w:vAlign w:val="center"/>
          </w:tcPr>
          <w:p w14:paraId="426815C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数据集成平台</w:t>
            </w:r>
          </w:p>
        </w:tc>
        <w:tc>
          <w:tcPr>
            <w:tcW w:w="1543" w:type="dxa"/>
            <w:shd w:val="clear" w:color="auto" w:fill="auto"/>
            <w:noWrap/>
            <w:tcMar>
              <w:top w:w="0" w:type="dxa"/>
              <w:left w:w="105" w:type="dxa"/>
              <w:bottom w:w="0" w:type="dxa"/>
              <w:right w:w="105" w:type="dxa"/>
            </w:tcMar>
            <w:vAlign w:val="center"/>
          </w:tcPr>
          <w:p w14:paraId="494F1B3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平台配置</w:t>
            </w:r>
          </w:p>
        </w:tc>
        <w:tc>
          <w:tcPr>
            <w:tcW w:w="5790" w:type="dxa"/>
            <w:shd w:val="clear" w:color="auto" w:fill="auto"/>
            <w:tcMar>
              <w:top w:w="0" w:type="dxa"/>
              <w:left w:w="105" w:type="dxa"/>
              <w:bottom w:w="0" w:type="dxa"/>
              <w:right w:w="105" w:type="dxa"/>
            </w:tcMar>
            <w:vAlign w:val="center"/>
          </w:tcPr>
          <w:p w14:paraId="47081B6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1.提供数据源配置功能用于管理需要进行数据抽取或加载的数据源，包括数据库、文件系统、接口服务。</w:t>
            </w:r>
          </w:p>
          <w:p w14:paraId="181F1D7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2.▲数据源兼容性支持主流数据库（ORACLE、MYSQL、SQL SERVER、POSTGRESQL）和信创数据库（GBASE、GUASSDB200、DAMENG、KINGBASE），支持半结构化和非结构化数据的采集，支持全量和增量数据同步。</w:t>
            </w:r>
          </w:p>
          <w:p w14:paraId="715D8BE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3.支持分布式OCEANBASE、TDSQL、GREENPLUM、CACHE、CLICKHOUSE、ELASTICSEARCH、KAFKA、HIVE、HBASE数据库;支持FTP、HDFS文件系统。</w:t>
            </w:r>
          </w:p>
        </w:tc>
      </w:tr>
      <w:tr w14:paraId="0E722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3D6B90D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391734E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4A94BDE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ETL 开发任务管理</w:t>
            </w:r>
          </w:p>
        </w:tc>
        <w:tc>
          <w:tcPr>
            <w:tcW w:w="5790" w:type="dxa"/>
            <w:shd w:val="clear" w:color="auto" w:fill="auto"/>
            <w:tcMar>
              <w:top w:w="0" w:type="dxa"/>
              <w:left w:w="105" w:type="dxa"/>
              <w:bottom w:w="0" w:type="dxa"/>
              <w:right w:w="105" w:type="dxa"/>
            </w:tcMar>
            <w:vAlign w:val="center"/>
          </w:tcPr>
          <w:p w14:paraId="1DEB6CD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1.对ETL开发任务进行集中管理和调度，包含任务开发配置、离线任务管理、上线管理、任务组件管理。</w:t>
            </w:r>
          </w:p>
          <w:p w14:paraId="3894584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2.支持集成SPARK分布式计算引擎，实现从数据读取源头的并行化到数据加载落地的一站式并行化处理过程。</w:t>
            </w:r>
          </w:p>
          <w:p w14:paraId="7A86F74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3.▲支持建立跨任务执行依赖检测，支持任务批量复制克隆，支持自动化采集数据库表结构和数据。</w:t>
            </w:r>
          </w:p>
          <w:p w14:paraId="3A0953E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4.▲提供数据读取组件、数据转换组件、数据加载组件、脚本组件、流程控制组件5大类组件，并通过自由拖拽组件的方式，可视化配置实现任务开发。</w:t>
            </w:r>
          </w:p>
        </w:tc>
      </w:tr>
      <w:tr w14:paraId="67F8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41BBE7E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A0E0BE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0FC8EA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代码集管理</w:t>
            </w:r>
          </w:p>
        </w:tc>
        <w:tc>
          <w:tcPr>
            <w:tcW w:w="5790" w:type="dxa"/>
            <w:shd w:val="clear" w:color="auto" w:fill="auto"/>
            <w:tcMar>
              <w:top w:w="0" w:type="dxa"/>
              <w:left w:w="105" w:type="dxa"/>
              <w:bottom w:w="0" w:type="dxa"/>
              <w:right w:w="105" w:type="dxa"/>
            </w:tcMar>
            <w:vAlign w:val="center"/>
          </w:tcPr>
          <w:p w14:paraId="78D07B5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1.支持管理和维护各数据库的码值、以及码值的映射关系,便于在ETL任务中使用,支持对码和批量导入；</w:t>
            </w:r>
          </w:p>
          <w:p w14:paraId="5F9C1C0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2.支持标准导入、版本管理、项目授权、指标映射绑定功能，可快速响应国家及地方评审标准更新。</w:t>
            </w:r>
          </w:p>
        </w:tc>
      </w:tr>
      <w:tr w14:paraId="5BA8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468B16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105DB1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506608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批量集成管理</w:t>
            </w:r>
          </w:p>
        </w:tc>
        <w:tc>
          <w:tcPr>
            <w:tcW w:w="5790" w:type="dxa"/>
            <w:shd w:val="clear" w:color="auto" w:fill="auto"/>
            <w:tcMar>
              <w:top w:w="0" w:type="dxa"/>
              <w:left w:w="105" w:type="dxa"/>
              <w:bottom w:w="0" w:type="dxa"/>
              <w:right w:w="105" w:type="dxa"/>
            </w:tcMar>
            <w:vAlign w:val="center"/>
          </w:tcPr>
          <w:p w14:paraId="0C191CB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1.提供数据源库到目标库的批量数据迁移功能，包含任务组管理、任务组配置、调度监控。</w:t>
            </w:r>
          </w:p>
          <w:p w14:paraId="7F60C07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2.▲批量配置数据集成任务，支表结构批量同步创建和数据批量导入，支持读取库表清单和接口可以快速选择表和对特定表的字段进行配置。</w:t>
            </w:r>
          </w:p>
          <w:p w14:paraId="09BC6B8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3.支持批量配置数据集成任务，支表结构批量同步创建和数据批量导入，支持快速选择表和对特定表的字段进行配置，能支持全量和增量的方式选择。</w:t>
            </w:r>
          </w:p>
        </w:tc>
      </w:tr>
      <w:tr w14:paraId="54C5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7A80E2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7E8271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7B39C1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工作台</w:t>
            </w:r>
          </w:p>
        </w:tc>
        <w:tc>
          <w:tcPr>
            <w:tcW w:w="5790" w:type="dxa"/>
            <w:shd w:val="clear" w:color="auto" w:fill="auto"/>
            <w:tcMar>
              <w:top w:w="0" w:type="dxa"/>
              <w:left w:w="105" w:type="dxa"/>
              <w:bottom w:w="0" w:type="dxa"/>
              <w:right w:w="105" w:type="dxa"/>
            </w:tcMar>
            <w:vAlign w:val="center"/>
          </w:tcPr>
          <w:p w14:paraId="662E54F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1.提供整个数据集成系统目前的运行情况进行统计展示，包括了目前开发的ETL任务情况、目前ETL任务运行的情况、目前配置的数据源情况、各类ETL组件的使用热度情况信息。</w:t>
            </w:r>
          </w:p>
          <w:p w14:paraId="67B86CE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2.▲支持调度监控ETL任务的运行，支持周期性的任务自动调度、支持依赖关系触发。</w:t>
            </w:r>
          </w:p>
          <w:p w14:paraId="07B1C00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支持对整个平台的运行情况和任务开发情况进行统计展示，并提供部分快速入口和预警信息。</w:t>
            </w:r>
          </w:p>
          <w:p w14:paraId="114F1D9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3.支持按照任务进行数据的补采集/重新采集。</w:t>
            </w:r>
          </w:p>
          <w:p w14:paraId="35CDE58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4.支持对失败任务的原因归类，并可查看详细失败原因。</w:t>
            </w:r>
          </w:p>
        </w:tc>
      </w:tr>
      <w:tr w14:paraId="1132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74A27B5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1682" w:type="dxa"/>
            <w:vMerge w:val="restart"/>
            <w:shd w:val="clear" w:color="auto" w:fill="auto"/>
            <w:tcMar>
              <w:top w:w="0" w:type="dxa"/>
              <w:left w:w="105" w:type="dxa"/>
              <w:bottom w:w="0" w:type="dxa"/>
              <w:right w:w="105" w:type="dxa"/>
            </w:tcMar>
            <w:vAlign w:val="center"/>
          </w:tcPr>
          <w:p w14:paraId="378FDE6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数据治理平台</w:t>
            </w:r>
          </w:p>
        </w:tc>
        <w:tc>
          <w:tcPr>
            <w:tcW w:w="1543" w:type="dxa"/>
            <w:shd w:val="clear" w:color="auto" w:fill="auto"/>
            <w:noWrap/>
            <w:tcMar>
              <w:top w:w="0" w:type="dxa"/>
              <w:left w:w="105" w:type="dxa"/>
              <w:bottom w:w="0" w:type="dxa"/>
              <w:right w:w="105" w:type="dxa"/>
            </w:tcMar>
            <w:vAlign w:val="center"/>
          </w:tcPr>
          <w:p w14:paraId="3A330FC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数据标准管理</w:t>
            </w:r>
          </w:p>
        </w:tc>
        <w:tc>
          <w:tcPr>
            <w:tcW w:w="5790" w:type="dxa"/>
            <w:shd w:val="clear" w:color="auto" w:fill="auto"/>
            <w:tcMar>
              <w:top w:w="0" w:type="dxa"/>
              <w:left w:w="105" w:type="dxa"/>
              <w:bottom w:w="0" w:type="dxa"/>
              <w:right w:w="105" w:type="dxa"/>
            </w:tcMar>
            <w:vAlign w:val="center"/>
          </w:tcPr>
          <w:p w14:paraId="1B1719B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1.通过制定统一的数据标准，包含政策标准和本地应用标准。</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2.▲平台需支持标准增、删、改、查操作，包括标准数据元管理、标准数据字典管理、标准数据集管理；同时平台需支持标准文档管理，包括但不限于“国家卫生信息资源分类与编码管理规范”“WS 364-2011卫生信息数据元值域代码 第1-17部分”“WS 365-2011城乡居民健康档案基本数据集”相关国家标准、部级标准、行业标准以及其他标准文档进行管理和维护的功能。</w:t>
            </w:r>
          </w:p>
        </w:tc>
      </w:tr>
      <w:tr w14:paraId="072C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1318FF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38B753F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F63626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数仓管理中心</w:t>
            </w:r>
          </w:p>
        </w:tc>
        <w:tc>
          <w:tcPr>
            <w:tcW w:w="5790" w:type="dxa"/>
            <w:shd w:val="clear" w:color="auto" w:fill="auto"/>
            <w:tcMar>
              <w:top w:w="0" w:type="dxa"/>
              <w:left w:w="105" w:type="dxa"/>
              <w:bottom w:w="0" w:type="dxa"/>
              <w:right w:w="105" w:type="dxa"/>
            </w:tcMar>
            <w:vAlign w:val="center"/>
          </w:tcPr>
          <w:p w14:paraId="6D58BF6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1.支持对数据仓库进行管理，包含元数据管理、数据开发管理，提供基于行业数据标准建模工具和权限分配中心。</w:t>
            </w:r>
          </w:p>
          <w:p w14:paraId="6ACFF14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2.▲提供数据标准探查功能，探查并查看数据标准探查结果。</w:t>
            </w:r>
          </w:p>
          <w:p w14:paraId="12A0AC0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3.▲离线数据仓库分层管理：查询离线数仓各层数据表概况，并支持查看各层、各主题域、各数据表详情。</w:t>
            </w:r>
          </w:p>
          <w:p w14:paraId="2773DAA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4.▲主题域管理：对主题域进行增删改查维护操作，支持查询各主题域详情和主题域内的数据表详情。</w:t>
            </w:r>
          </w:p>
        </w:tc>
      </w:tr>
      <w:tr w14:paraId="6997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5143D8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76A1851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F332A2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质控管理中心</w:t>
            </w:r>
          </w:p>
        </w:tc>
        <w:tc>
          <w:tcPr>
            <w:tcW w:w="5790" w:type="dxa"/>
            <w:shd w:val="clear" w:color="auto" w:fill="auto"/>
            <w:tcMar>
              <w:top w:w="0" w:type="dxa"/>
              <w:left w:w="105" w:type="dxa"/>
              <w:bottom w:w="0" w:type="dxa"/>
              <w:right w:w="105" w:type="dxa"/>
            </w:tcMar>
            <w:vAlign w:val="center"/>
          </w:tcPr>
          <w:p w14:paraId="25B24BB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1.提供对数据一致性、完整性、规范性、逻辑性、及时性的质控规则体系，支持对基础规则、业务规则的数据质量检测，提供脏数据派发处理的闭环管理机制，定期对数据质控效果进行评分及报告分析。</w:t>
            </w:r>
          </w:p>
          <w:p w14:paraId="28C6C39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2.▲支持可视化质控分析，包括质控全景分析、质控分析报告管理；支持自定义数据质量评估报告，可根据业务需求个性化定制报告模板。</w:t>
            </w:r>
          </w:p>
          <w:p w14:paraId="545B215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3.▲支持对数据质控发现的脏数据进行统一派发、跟踪处理。</w:t>
            </w:r>
          </w:p>
          <w:p w14:paraId="118BED6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4.▲支持对质控任务的运行进度和状态进行监控查询，包括对质控进度监控、质控结果任务通过量和通过率。</w:t>
            </w:r>
          </w:p>
        </w:tc>
      </w:tr>
      <w:tr w14:paraId="68A4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3F108E2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349D110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651C881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数据资产可视化</w:t>
            </w:r>
          </w:p>
        </w:tc>
        <w:tc>
          <w:tcPr>
            <w:tcW w:w="5790" w:type="dxa"/>
            <w:shd w:val="clear" w:color="auto" w:fill="auto"/>
            <w:tcMar>
              <w:top w:w="0" w:type="dxa"/>
              <w:left w:w="105" w:type="dxa"/>
              <w:bottom w:w="0" w:type="dxa"/>
              <w:right w:w="105" w:type="dxa"/>
            </w:tcMar>
            <w:vAlign w:val="center"/>
          </w:tcPr>
          <w:p w14:paraId="47FECCE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1.提供数据资产进行可视化展示，包含数据资产概览、资源分类统计和资产目录，直观展现资产运行情况。</w:t>
            </w:r>
          </w:p>
        </w:tc>
      </w:tr>
      <w:tr w14:paraId="71B0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3BE943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0F83C6A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62AED1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数据平台运行大屏</w:t>
            </w:r>
          </w:p>
        </w:tc>
        <w:tc>
          <w:tcPr>
            <w:tcW w:w="5790" w:type="dxa"/>
            <w:shd w:val="clear" w:color="auto" w:fill="auto"/>
            <w:tcMar>
              <w:top w:w="0" w:type="dxa"/>
              <w:left w:w="105" w:type="dxa"/>
              <w:bottom w:w="0" w:type="dxa"/>
              <w:right w:w="105" w:type="dxa"/>
            </w:tcMar>
            <w:vAlign w:val="center"/>
          </w:tcPr>
          <w:p w14:paraId="65E1815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1.对数据闭环管理流程及成效进行大屏监测分析，其中包括数据采集、数据存储、数据标化、数据质控、数据共享交换核心数据处理节点进行分区监测。</w:t>
            </w:r>
          </w:p>
        </w:tc>
      </w:tr>
      <w:tr w14:paraId="0191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249543B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49E063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DCD7B7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敏感数据发现</w:t>
            </w:r>
          </w:p>
        </w:tc>
        <w:tc>
          <w:tcPr>
            <w:tcW w:w="5790" w:type="dxa"/>
            <w:shd w:val="clear" w:color="auto" w:fill="auto"/>
            <w:tcMar>
              <w:top w:w="0" w:type="dxa"/>
              <w:left w:w="105" w:type="dxa"/>
              <w:bottom w:w="0" w:type="dxa"/>
              <w:right w:w="105" w:type="dxa"/>
            </w:tcMar>
            <w:vAlign w:val="center"/>
          </w:tcPr>
          <w:p w14:paraId="3D383DD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1.支持对数据进行分类分级定义管理，识别关键隐私及敏感信息，为服务提供安全保障。</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2.▲支持对敏感数据的脱敏、加密处理，支持按成员和角色方式实现对数据库、数据表权限进行权限授予及权限取消的操作。</w:t>
            </w:r>
          </w:p>
          <w:p w14:paraId="3E6E640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3.需支持10种以上脱敏规则，包括：姓名脱敏、邮箱地址脱敏、身份证件号码脱敏、银行卡号脱敏、详细住址脱敏。</w:t>
            </w:r>
          </w:p>
        </w:tc>
      </w:tr>
      <w:tr w14:paraId="345E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72D2AA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9F70F3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1C3D22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数据加脱敏</w:t>
            </w:r>
          </w:p>
        </w:tc>
        <w:tc>
          <w:tcPr>
            <w:tcW w:w="5790" w:type="dxa"/>
            <w:shd w:val="clear" w:color="auto" w:fill="auto"/>
            <w:tcMar>
              <w:top w:w="0" w:type="dxa"/>
              <w:left w:w="105" w:type="dxa"/>
              <w:bottom w:w="0" w:type="dxa"/>
              <w:right w:w="105" w:type="dxa"/>
            </w:tcMar>
            <w:vAlign w:val="center"/>
          </w:tcPr>
          <w:p w14:paraId="259770C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1.提供密钥、数据加密任务、数据脱敏任务的管理和调度，保障数据加密脱敏正常运行。2.密钥配置可基于国密SM4标准，对密钥进行配置管理，通过加密配置基于密钥配置中的密钥，对数据库表进行加密操作。</w:t>
            </w:r>
          </w:p>
        </w:tc>
      </w:tr>
      <w:tr w14:paraId="47DA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75F45C1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1682" w:type="dxa"/>
            <w:vMerge w:val="restart"/>
            <w:shd w:val="clear" w:color="auto" w:fill="auto"/>
            <w:tcMar>
              <w:top w:w="0" w:type="dxa"/>
              <w:left w:w="105" w:type="dxa"/>
              <w:bottom w:w="0" w:type="dxa"/>
              <w:right w:w="105" w:type="dxa"/>
            </w:tcMar>
            <w:vAlign w:val="center"/>
          </w:tcPr>
          <w:p w14:paraId="7EA9E49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主数据管理</w:t>
            </w:r>
          </w:p>
        </w:tc>
        <w:tc>
          <w:tcPr>
            <w:tcW w:w="1543" w:type="dxa"/>
            <w:shd w:val="clear" w:color="auto" w:fill="auto"/>
            <w:noWrap/>
            <w:tcMar>
              <w:top w:w="0" w:type="dxa"/>
              <w:left w:w="105" w:type="dxa"/>
              <w:bottom w:w="0" w:type="dxa"/>
              <w:right w:w="105" w:type="dxa"/>
            </w:tcMar>
            <w:vAlign w:val="center"/>
          </w:tcPr>
          <w:p w14:paraId="30A7A8B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主数据工作台</w:t>
            </w:r>
          </w:p>
        </w:tc>
        <w:tc>
          <w:tcPr>
            <w:tcW w:w="5790" w:type="dxa"/>
            <w:shd w:val="clear" w:color="auto" w:fill="auto"/>
            <w:tcMar>
              <w:top w:w="0" w:type="dxa"/>
              <w:left w:w="105" w:type="dxa"/>
              <w:bottom w:w="0" w:type="dxa"/>
              <w:right w:w="105" w:type="dxa"/>
            </w:tcMar>
            <w:vAlign w:val="center"/>
          </w:tcPr>
          <w:p w14:paraId="2373E22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1.提供主数据分类总数统计，统计业务系统已订阅的主数据分类数量，统计业务系统未订阅的主数据分类数量以及各类主数据的启用、禁用、未启用数据的统计。</w:t>
            </w:r>
          </w:p>
        </w:tc>
      </w:tr>
      <w:tr w14:paraId="6183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3E32FB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D1575A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4D4FC5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组织管理</w:t>
            </w:r>
          </w:p>
        </w:tc>
        <w:tc>
          <w:tcPr>
            <w:tcW w:w="5790" w:type="dxa"/>
            <w:shd w:val="clear" w:color="auto" w:fill="auto"/>
            <w:tcMar>
              <w:top w:w="0" w:type="dxa"/>
              <w:left w:w="105" w:type="dxa"/>
              <w:bottom w:w="0" w:type="dxa"/>
              <w:right w:w="105" w:type="dxa"/>
            </w:tcMar>
            <w:vAlign w:val="center"/>
          </w:tcPr>
          <w:p w14:paraId="494C2CF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1.支持对管理的组织机构数据进行各类维护操作和提供数据共享服务。</w:t>
            </w:r>
          </w:p>
          <w:p w14:paraId="3A97381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2.提供不同类型部门字典管理，并可支持部门间的映射维护。</w:t>
            </w:r>
          </w:p>
        </w:tc>
      </w:tr>
      <w:tr w14:paraId="1027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0FC683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CEF6F4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6F384C8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人员管理</w:t>
            </w:r>
          </w:p>
        </w:tc>
        <w:tc>
          <w:tcPr>
            <w:tcW w:w="5790" w:type="dxa"/>
            <w:shd w:val="clear" w:color="auto" w:fill="auto"/>
            <w:tcMar>
              <w:top w:w="0" w:type="dxa"/>
              <w:left w:w="105" w:type="dxa"/>
              <w:bottom w:w="0" w:type="dxa"/>
              <w:right w:w="105" w:type="dxa"/>
            </w:tcMar>
            <w:vAlign w:val="center"/>
          </w:tcPr>
          <w:p w14:paraId="29CE76B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维护人员的基本信息、所属机构科室信息、职称职级信息，同时提供数据共享服务。支持人员属性变动管理，支持姓名、性别、出生日期、身份证号、婚姻状况、联系电话、电子邮箱、家庭住址变更审批管理。</w:t>
            </w:r>
          </w:p>
        </w:tc>
      </w:tr>
      <w:tr w14:paraId="3E9A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2EDF21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796E895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9DC1DF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人员岗位变动管理</w:t>
            </w:r>
          </w:p>
        </w:tc>
        <w:tc>
          <w:tcPr>
            <w:tcW w:w="5790" w:type="dxa"/>
            <w:shd w:val="clear" w:color="auto" w:fill="auto"/>
            <w:tcMar>
              <w:top w:w="0" w:type="dxa"/>
              <w:left w:w="105" w:type="dxa"/>
              <w:bottom w:w="0" w:type="dxa"/>
              <w:right w:w="105" w:type="dxa"/>
            </w:tcMar>
            <w:vAlign w:val="center"/>
          </w:tcPr>
          <w:p w14:paraId="1C94B62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1.根据人员变动相关流程，记录变动相关信息（包括变动类型，变动生效时间），支持通过API形式开放给外部系统使用。</w:t>
            </w:r>
          </w:p>
        </w:tc>
      </w:tr>
      <w:tr w14:paraId="0652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1772DC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D23460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1ACCC24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平台字典管理</w:t>
            </w:r>
          </w:p>
        </w:tc>
        <w:tc>
          <w:tcPr>
            <w:tcW w:w="5790" w:type="dxa"/>
            <w:shd w:val="clear" w:color="auto" w:fill="auto"/>
            <w:tcMar>
              <w:top w:w="0" w:type="dxa"/>
              <w:left w:w="105" w:type="dxa"/>
              <w:bottom w:w="0" w:type="dxa"/>
              <w:right w:w="105" w:type="dxa"/>
            </w:tcMar>
            <w:vAlign w:val="center"/>
          </w:tcPr>
          <w:p w14:paraId="6FA6CB5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对平台字典管理，包括：HIS科室字典、行政科室字典、护理单元字典、成本科室字典、绩效科室字典、物资单元字典。可对这些数据进行新增、导入、导出、批量设置操作。支持其他类别的科室字典与HIS科室字典对照，对照支持单条对照及批量对照。对照信息支持通过API形式开放给外部系统使用。</w:t>
            </w:r>
          </w:p>
        </w:tc>
      </w:tr>
      <w:tr w14:paraId="071D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B8894C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AB2078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174BF02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系统对接</w:t>
            </w:r>
          </w:p>
        </w:tc>
        <w:tc>
          <w:tcPr>
            <w:tcW w:w="5790" w:type="dxa"/>
            <w:shd w:val="clear" w:color="auto" w:fill="auto"/>
            <w:tcMar>
              <w:top w:w="0" w:type="dxa"/>
              <w:left w:w="105" w:type="dxa"/>
              <w:bottom w:w="0" w:type="dxa"/>
              <w:right w:w="105" w:type="dxa"/>
            </w:tcMar>
            <w:vAlign w:val="center"/>
          </w:tcPr>
          <w:p w14:paraId="0687C01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1.与院内OA、集成平台系统完成数据对接，实现数据的流转。</w:t>
            </w:r>
          </w:p>
        </w:tc>
      </w:tr>
      <w:tr w14:paraId="5E7C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5DAD38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9F1025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BA1C51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审核管理</w:t>
            </w:r>
          </w:p>
        </w:tc>
        <w:tc>
          <w:tcPr>
            <w:tcW w:w="5790" w:type="dxa"/>
            <w:shd w:val="clear" w:color="auto" w:fill="auto"/>
            <w:tcMar>
              <w:top w:w="0" w:type="dxa"/>
              <w:left w:w="105" w:type="dxa"/>
              <w:bottom w:w="0" w:type="dxa"/>
              <w:right w:w="105" w:type="dxa"/>
            </w:tcMar>
            <w:vAlign w:val="center"/>
          </w:tcPr>
          <w:p w14:paraId="66200CA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1.支持管理员对平台各类字典的数据进行审核管理，包括决定哪些数据需要审核、配置审核模板以及记录审核日志信息。</w:t>
            </w:r>
          </w:p>
        </w:tc>
      </w:tr>
      <w:tr w14:paraId="1F4B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FA2053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71558E4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6922F8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发布管理</w:t>
            </w:r>
          </w:p>
        </w:tc>
        <w:tc>
          <w:tcPr>
            <w:tcW w:w="5790" w:type="dxa"/>
            <w:shd w:val="clear" w:color="auto" w:fill="auto"/>
            <w:tcMar>
              <w:top w:w="0" w:type="dxa"/>
              <w:left w:w="105" w:type="dxa"/>
              <w:bottom w:w="0" w:type="dxa"/>
              <w:right w:w="105" w:type="dxa"/>
            </w:tcMar>
            <w:vAlign w:val="center"/>
          </w:tcPr>
          <w:p w14:paraId="15C3A2D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1.提供发布配置功能允许管理员配置平台字典的数据推送方式，并可设置重发次数参数，以确保数据的及时更新和分发。</w:t>
            </w:r>
          </w:p>
        </w:tc>
      </w:tr>
      <w:tr w14:paraId="2FDF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FBABD5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703FEC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0DD688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订阅管理</w:t>
            </w:r>
          </w:p>
        </w:tc>
        <w:tc>
          <w:tcPr>
            <w:tcW w:w="5790" w:type="dxa"/>
            <w:shd w:val="clear" w:color="auto" w:fill="auto"/>
            <w:tcMar>
              <w:top w:w="0" w:type="dxa"/>
              <w:left w:w="105" w:type="dxa"/>
              <w:bottom w:w="0" w:type="dxa"/>
              <w:right w:w="105" w:type="dxa"/>
            </w:tcMar>
            <w:vAlign w:val="center"/>
          </w:tcPr>
          <w:p w14:paraId="1AC3C3C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1.提供订阅管理功能用于管理各类接入系统需要订阅哪些平台字典的功能。允许接入系统根据自身需求，选择订阅特定的数据字典，从而实现数据的个性化获取。</w:t>
            </w:r>
          </w:p>
        </w:tc>
      </w:tr>
      <w:tr w14:paraId="018D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2581E50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AB0F94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984849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模块配置管理</w:t>
            </w:r>
          </w:p>
        </w:tc>
        <w:tc>
          <w:tcPr>
            <w:tcW w:w="5790" w:type="dxa"/>
            <w:shd w:val="clear" w:color="auto" w:fill="auto"/>
            <w:tcMar>
              <w:top w:w="0" w:type="dxa"/>
              <w:left w:w="105" w:type="dxa"/>
              <w:bottom w:w="0" w:type="dxa"/>
              <w:right w:w="105" w:type="dxa"/>
            </w:tcMar>
            <w:vAlign w:val="center"/>
          </w:tcPr>
          <w:p w14:paraId="61E86F1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1.提供模块配置管理功能，允许管理员动态调整字典的每个数据项的具体字段信息。</w:t>
            </w:r>
          </w:p>
        </w:tc>
      </w:tr>
      <w:tr w14:paraId="2088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4BDCD88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1682" w:type="dxa"/>
            <w:vMerge w:val="restart"/>
            <w:shd w:val="clear" w:color="auto" w:fill="auto"/>
            <w:tcMar>
              <w:top w:w="0" w:type="dxa"/>
              <w:left w:w="105" w:type="dxa"/>
              <w:bottom w:w="0" w:type="dxa"/>
              <w:right w:w="105" w:type="dxa"/>
            </w:tcMar>
            <w:vAlign w:val="center"/>
          </w:tcPr>
          <w:p w14:paraId="251EDC1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数据服务开放平台</w:t>
            </w:r>
          </w:p>
        </w:tc>
        <w:tc>
          <w:tcPr>
            <w:tcW w:w="1543" w:type="dxa"/>
            <w:shd w:val="clear" w:color="auto" w:fill="auto"/>
            <w:noWrap/>
            <w:tcMar>
              <w:top w:w="0" w:type="dxa"/>
              <w:left w:w="105" w:type="dxa"/>
              <w:bottom w:w="0" w:type="dxa"/>
              <w:right w:w="105" w:type="dxa"/>
            </w:tcMar>
            <w:vAlign w:val="center"/>
          </w:tcPr>
          <w:p w14:paraId="05FBD73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 API 管理</w:t>
            </w:r>
          </w:p>
        </w:tc>
        <w:tc>
          <w:tcPr>
            <w:tcW w:w="5790" w:type="dxa"/>
            <w:shd w:val="clear" w:color="auto" w:fill="auto"/>
            <w:tcMar>
              <w:top w:w="0" w:type="dxa"/>
              <w:left w:w="105" w:type="dxa"/>
              <w:bottom w:w="0" w:type="dxa"/>
              <w:right w:w="105" w:type="dxa"/>
            </w:tcMar>
            <w:vAlign w:val="center"/>
          </w:tcPr>
          <w:p w14:paraId="624FE2A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1.支持数据集与指标API的生成注册、按类型分组管理及接口测试功能。</w:t>
            </w:r>
          </w:p>
        </w:tc>
      </w:tr>
      <w:tr w14:paraId="2B34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EAB716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27797B6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15A405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 API 商城管理</w:t>
            </w:r>
          </w:p>
        </w:tc>
        <w:tc>
          <w:tcPr>
            <w:tcW w:w="5790" w:type="dxa"/>
            <w:shd w:val="clear" w:color="auto" w:fill="auto"/>
            <w:tcMar>
              <w:top w:w="0" w:type="dxa"/>
              <w:left w:w="105" w:type="dxa"/>
              <w:bottom w:w="0" w:type="dxa"/>
              <w:right w:w="105" w:type="dxa"/>
            </w:tcMar>
            <w:vAlign w:val="center"/>
          </w:tcPr>
          <w:p w14:paraId="354B87A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1.提供全院数据集商城和指标商城，实现数据按维度快速检索、用户API申请提交、管理员审核、申请状态跟踪及通知提醒功能。</w:t>
            </w:r>
          </w:p>
        </w:tc>
      </w:tr>
      <w:tr w14:paraId="3194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430D5A1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EDF90B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1BD49BD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 API 调用及监控</w:t>
            </w:r>
          </w:p>
        </w:tc>
        <w:tc>
          <w:tcPr>
            <w:tcW w:w="5790" w:type="dxa"/>
            <w:shd w:val="clear" w:color="auto" w:fill="auto"/>
            <w:tcMar>
              <w:top w:w="0" w:type="dxa"/>
              <w:left w:w="105" w:type="dxa"/>
              <w:bottom w:w="0" w:type="dxa"/>
              <w:right w:w="105" w:type="dxa"/>
            </w:tcMar>
            <w:vAlign w:val="center"/>
          </w:tcPr>
          <w:p w14:paraId="419659C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1.提供第三方API授权调用、调用链路监控（含调用记录与错误日志）、异常安全事件预警及通知功能。</w:t>
            </w:r>
          </w:p>
        </w:tc>
      </w:tr>
      <w:tr w14:paraId="7583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43AB6B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2BC9262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5CBB68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 API 访问控制</w:t>
            </w:r>
          </w:p>
        </w:tc>
        <w:tc>
          <w:tcPr>
            <w:tcW w:w="5790" w:type="dxa"/>
            <w:shd w:val="clear" w:color="auto" w:fill="auto"/>
            <w:tcMar>
              <w:top w:w="0" w:type="dxa"/>
              <w:left w:w="105" w:type="dxa"/>
              <w:bottom w:w="0" w:type="dxa"/>
              <w:right w:w="105" w:type="dxa"/>
            </w:tcMar>
            <w:vAlign w:val="center"/>
          </w:tcPr>
          <w:p w14:paraId="2CF3192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1.支持数据访问权限分配及数据自定义审批流程。</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2.▲数据加密：对数据进行传输加密设置，确保调用传输过程中的数据安全性。</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3.▲IP控制：支持对调用数据共享开放平台的IP进行白名单或黑名单控制，以确保数据访问对象的可信度。并且支持以单个服务的粒度设置ip黑白名单控制。</w:t>
            </w:r>
          </w:p>
        </w:tc>
      </w:tr>
      <w:tr w14:paraId="7BB3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4FB9B2F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1682" w:type="dxa"/>
            <w:vMerge w:val="restart"/>
            <w:shd w:val="clear" w:color="auto" w:fill="auto"/>
            <w:tcMar>
              <w:top w:w="0" w:type="dxa"/>
              <w:left w:w="105" w:type="dxa"/>
              <w:bottom w:w="0" w:type="dxa"/>
              <w:right w:w="105" w:type="dxa"/>
            </w:tcMar>
            <w:vAlign w:val="center"/>
          </w:tcPr>
          <w:p w14:paraId="5B2E1A9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指标管理平台</w:t>
            </w:r>
          </w:p>
        </w:tc>
        <w:tc>
          <w:tcPr>
            <w:tcW w:w="1543" w:type="dxa"/>
            <w:shd w:val="clear" w:color="auto" w:fill="auto"/>
            <w:noWrap/>
            <w:tcMar>
              <w:top w:w="0" w:type="dxa"/>
              <w:left w:w="105" w:type="dxa"/>
              <w:bottom w:w="0" w:type="dxa"/>
              <w:right w:w="105" w:type="dxa"/>
            </w:tcMar>
            <w:vAlign w:val="center"/>
          </w:tcPr>
          <w:p w14:paraId="6C716BF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指标管理</w:t>
            </w:r>
          </w:p>
        </w:tc>
        <w:tc>
          <w:tcPr>
            <w:tcW w:w="5790" w:type="dxa"/>
            <w:shd w:val="clear" w:color="auto" w:fill="auto"/>
            <w:tcMar>
              <w:top w:w="0" w:type="dxa"/>
              <w:left w:w="105" w:type="dxa"/>
              <w:bottom w:w="0" w:type="dxa"/>
              <w:right w:w="105" w:type="dxa"/>
            </w:tcMar>
            <w:vAlign w:val="center"/>
          </w:tcPr>
          <w:p w14:paraId="207AFA7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1.支持多类型粒度的指标定义管理，包括原子指标管理、派生指标管理、复合指标管理、指标维度管理。支持指标的分类分级管理，根据不同的业务类别进行指标的分类管理。</w:t>
            </w:r>
          </w:p>
        </w:tc>
      </w:tr>
      <w:tr w14:paraId="5122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464B7CC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343875E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E11F11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指标（报表）申建管理</w:t>
            </w:r>
          </w:p>
        </w:tc>
        <w:tc>
          <w:tcPr>
            <w:tcW w:w="5790" w:type="dxa"/>
            <w:shd w:val="clear" w:color="auto" w:fill="auto"/>
            <w:tcMar>
              <w:top w:w="0" w:type="dxa"/>
              <w:left w:w="105" w:type="dxa"/>
              <w:bottom w:w="0" w:type="dxa"/>
              <w:right w:w="105" w:type="dxa"/>
            </w:tcMar>
            <w:vAlign w:val="center"/>
          </w:tcPr>
          <w:p w14:paraId="581A6E3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1.支持指标（报表）申建流程的自定义，可根据不同分类建立不同的流程；支持用户申请指标（报表）的查阅及申请；支持根据角色进行审批。</w:t>
            </w:r>
          </w:p>
        </w:tc>
      </w:tr>
      <w:tr w14:paraId="3DEE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E0C57F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78DEF09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1E7275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指标集市</w:t>
            </w:r>
          </w:p>
        </w:tc>
        <w:tc>
          <w:tcPr>
            <w:tcW w:w="5790" w:type="dxa"/>
            <w:shd w:val="clear" w:color="auto" w:fill="auto"/>
            <w:tcMar>
              <w:top w:w="0" w:type="dxa"/>
              <w:left w:w="105" w:type="dxa"/>
              <w:bottom w:w="0" w:type="dxa"/>
              <w:right w:w="105" w:type="dxa"/>
            </w:tcMar>
            <w:vAlign w:val="center"/>
          </w:tcPr>
          <w:p w14:paraId="49E32BE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各颗粒度指标归集情况展示，能够查看不同指标类别下的指标总量，基于指标检索，可快速查询获取指标的全部信息。支持开放自助申请页面给用户，用户可通过网页自助申请所需指标，经过对应审批后即可查看相关指标。</w:t>
            </w:r>
          </w:p>
        </w:tc>
      </w:tr>
      <w:tr w14:paraId="5E447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E286EF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BE2F3A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1BEA1B3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指标计算管理</w:t>
            </w:r>
          </w:p>
        </w:tc>
        <w:tc>
          <w:tcPr>
            <w:tcW w:w="5790" w:type="dxa"/>
            <w:shd w:val="clear" w:color="auto" w:fill="auto"/>
            <w:tcMar>
              <w:top w:w="0" w:type="dxa"/>
              <w:left w:w="105" w:type="dxa"/>
              <w:bottom w:w="0" w:type="dxa"/>
              <w:right w:w="105" w:type="dxa"/>
            </w:tcMar>
            <w:vAlign w:val="center"/>
          </w:tcPr>
          <w:p w14:paraId="1A0FA95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1.提供指标计算相关信息配置管理，包含数据源管理、指标来源表及映射关系，并可对指标计算过程的SQL进行检索。</w:t>
            </w:r>
          </w:p>
        </w:tc>
      </w:tr>
      <w:tr w14:paraId="6E31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47CC86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D4A5A0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6C3AB74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指标填报管理</w:t>
            </w:r>
          </w:p>
        </w:tc>
        <w:tc>
          <w:tcPr>
            <w:tcW w:w="5790" w:type="dxa"/>
            <w:shd w:val="clear" w:color="auto" w:fill="auto"/>
            <w:tcMar>
              <w:top w:w="0" w:type="dxa"/>
              <w:left w:w="105" w:type="dxa"/>
              <w:bottom w:w="0" w:type="dxa"/>
              <w:right w:w="105" w:type="dxa"/>
            </w:tcMar>
            <w:vAlign w:val="center"/>
          </w:tcPr>
          <w:p w14:paraId="5113723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1.提供基于手工填报任务实现各指标填报任务的自定义流程。</w:t>
            </w:r>
          </w:p>
        </w:tc>
      </w:tr>
      <w:tr w14:paraId="6002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AB8267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0F6B15E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6C780F0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业务指标体系管理</w:t>
            </w:r>
          </w:p>
        </w:tc>
        <w:tc>
          <w:tcPr>
            <w:tcW w:w="5790" w:type="dxa"/>
            <w:shd w:val="clear" w:color="auto" w:fill="auto"/>
            <w:tcMar>
              <w:top w:w="0" w:type="dxa"/>
              <w:left w:w="105" w:type="dxa"/>
              <w:bottom w:w="0" w:type="dxa"/>
              <w:right w:w="105" w:type="dxa"/>
            </w:tcMar>
            <w:vAlign w:val="center"/>
          </w:tcPr>
          <w:p w14:paraId="11FFC0E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1.▲支持基于不同粒度指标，结合具体业务场景、业务类型，构建系统性指标体系。</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支持定义业务指标体系的基本信息以及多层级含义，选择层级对应的指标，支持查看业务指标体系全景图。</w:t>
            </w:r>
          </w:p>
        </w:tc>
      </w:tr>
      <w:tr w14:paraId="3AD5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3EEC32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D791A2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4EB95F4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指标质量监控</w:t>
            </w:r>
          </w:p>
        </w:tc>
        <w:tc>
          <w:tcPr>
            <w:tcW w:w="5790" w:type="dxa"/>
            <w:shd w:val="clear" w:color="auto" w:fill="auto"/>
            <w:tcMar>
              <w:top w:w="0" w:type="dxa"/>
              <w:left w:w="105" w:type="dxa"/>
              <w:bottom w:w="0" w:type="dxa"/>
              <w:right w:w="105" w:type="dxa"/>
            </w:tcMar>
            <w:vAlign w:val="center"/>
          </w:tcPr>
          <w:p w14:paraId="083FC9B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1.提供基于不同业务要求，支持建立统一的指标质量规则库，包括规则名称，规则条件、规则值、规则依据以及应用的指标名称信息。</w:t>
            </w:r>
          </w:p>
        </w:tc>
      </w:tr>
      <w:tr w14:paraId="0EA6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721294A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1682" w:type="dxa"/>
            <w:vMerge w:val="restart"/>
            <w:shd w:val="clear" w:color="auto" w:fill="auto"/>
            <w:tcMar>
              <w:top w:w="0" w:type="dxa"/>
              <w:left w:w="105" w:type="dxa"/>
              <w:bottom w:w="0" w:type="dxa"/>
              <w:right w:w="105" w:type="dxa"/>
            </w:tcMar>
            <w:vAlign w:val="center"/>
          </w:tcPr>
          <w:p w14:paraId="38FF060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三级公立医院绩效监测模块</w:t>
            </w:r>
          </w:p>
        </w:tc>
        <w:tc>
          <w:tcPr>
            <w:tcW w:w="1543" w:type="dxa"/>
            <w:shd w:val="clear" w:color="auto" w:fill="auto"/>
            <w:noWrap/>
            <w:tcMar>
              <w:top w:w="0" w:type="dxa"/>
              <w:left w:w="105" w:type="dxa"/>
              <w:bottom w:w="0" w:type="dxa"/>
              <w:right w:w="105" w:type="dxa"/>
            </w:tcMar>
            <w:vAlign w:val="center"/>
          </w:tcPr>
          <w:p w14:paraId="711F35F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配置管理</w:t>
            </w:r>
          </w:p>
        </w:tc>
        <w:tc>
          <w:tcPr>
            <w:tcW w:w="5790" w:type="dxa"/>
            <w:shd w:val="clear" w:color="auto" w:fill="auto"/>
            <w:tcMar>
              <w:top w:w="0" w:type="dxa"/>
              <w:left w:w="105" w:type="dxa"/>
              <w:bottom w:w="0" w:type="dxa"/>
              <w:right w:w="105" w:type="dxa"/>
            </w:tcMar>
            <w:vAlign w:val="center"/>
          </w:tcPr>
          <w:p w14:paraId="7DCFB35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1.支持医院基础信息管理维护、指标预警通知配置管理、指标政策文件在线管理。</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2.支持指标标杆值、中位值、满分值设置。</w:t>
            </w:r>
          </w:p>
        </w:tc>
      </w:tr>
      <w:tr w14:paraId="343B1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B3F0EB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06B4852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0C070D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考核管理</w:t>
            </w:r>
          </w:p>
        </w:tc>
        <w:tc>
          <w:tcPr>
            <w:tcW w:w="5790" w:type="dxa"/>
            <w:shd w:val="clear" w:color="auto" w:fill="auto"/>
            <w:tcMar>
              <w:top w:w="0" w:type="dxa"/>
              <w:left w:w="105" w:type="dxa"/>
              <w:bottom w:w="0" w:type="dxa"/>
              <w:right w:w="105" w:type="dxa"/>
            </w:tcMar>
            <w:vAlign w:val="center"/>
          </w:tcPr>
          <w:p w14:paraId="4AFF238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1.支持国家级、省级及自定义指标属性进行管理，明确指标名称、定义、说明、意义及计算方法。</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2.支持对监测指标周期性进行自动分发，实现各科室数据上报；</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3.支持配置不同科室数据上报审批流程。</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4.支持对定性指标所需佐证材料清单的管理。</w:t>
            </w:r>
          </w:p>
        </w:tc>
      </w:tr>
      <w:tr w14:paraId="5AB4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3E1CD3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D28631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3F2921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数据填报</w:t>
            </w:r>
          </w:p>
        </w:tc>
        <w:tc>
          <w:tcPr>
            <w:tcW w:w="5790" w:type="dxa"/>
            <w:shd w:val="clear" w:color="auto" w:fill="auto"/>
            <w:tcMar>
              <w:top w:w="0" w:type="dxa"/>
              <w:left w:w="105" w:type="dxa"/>
              <w:bottom w:w="0" w:type="dxa"/>
              <w:right w:w="105" w:type="dxa"/>
            </w:tcMar>
            <w:vAlign w:val="center"/>
          </w:tcPr>
          <w:p w14:paraId="61DE14F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1.针对定量指标支持流程化数据填报，数据审批及数据汇总展示。</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2.针对定性指标支持佐证材料的上传、审批及预览。</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3.▲数据汇总：国家公立医院绩效监测的考核周期为年度考核，院内精细化监管则推荐按月进行数据监管。功能支持为管理者提供绩效监测各项指标的累计运行情况，可根据责任科室查看各科室的汇总数据，也可直接查看全院所有指标的汇总的数据。实现数据一键导出，一键上报国家平台。</w:t>
            </w:r>
          </w:p>
        </w:tc>
      </w:tr>
      <w:tr w14:paraId="221B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73B0DA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491B2F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47FBF3A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数据分析</w:t>
            </w:r>
          </w:p>
        </w:tc>
        <w:tc>
          <w:tcPr>
            <w:tcW w:w="5790" w:type="dxa"/>
            <w:shd w:val="clear" w:color="auto" w:fill="auto"/>
            <w:tcMar>
              <w:top w:w="0" w:type="dxa"/>
              <w:left w:w="105" w:type="dxa"/>
              <w:bottom w:w="0" w:type="dxa"/>
              <w:right w:w="105" w:type="dxa"/>
            </w:tcMar>
            <w:vAlign w:val="center"/>
          </w:tcPr>
          <w:p w14:paraId="33AE7DA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1.支持对医疗质量、运营效率、持续发展、满意度评价指标进行可视化数据分析，数据呈现方式包括趋势图、饼图、线图、表格。</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2.支持对部分原子指标的明细数据钻取及科室指标结果钻取。</w:t>
            </w:r>
          </w:p>
        </w:tc>
      </w:tr>
      <w:tr w14:paraId="6FCD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EB5404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706D749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4C0C77D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▲医疗质量指标数据分析</w:t>
            </w:r>
          </w:p>
        </w:tc>
        <w:tc>
          <w:tcPr>
            <w:tcW w:w="5790" w:type="dxa"/>
            <w:shd w:val="clear" w:color="auto" w:fill="auto"/>
            <w:tcMar>
              <w:top w:w="0" w:type="dxa"/>
              <w:left w:w="105" w:type="dxa"/>
              <w:bottom w:w="0" w:type="dxa"/>
              <w:right w:w="105" w:type="dxa"/>
            </w:tcMar>
            <w:vAlign w:val="center"/>
          </w:tcPr>
          <w:p w14:paraId="46BE8E3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1.医疗质量分析模块主要分析公立医院绩效监测医疗质量相关指标的运行情况，包括功能定位（指标1-7）、质量安全（指标8-15）、合理用药（指标16-21）及服务流程（指标22-24），其中各分析模块下标识</w:t>
            </w:r>
            <w:r>
              <w:rPr>
                <w:rFonts w:hint="eastAsia" w:ascii="仿宋" w:hAnsi="仿宋" w:eastAsia="仿宋" w:cs="仿宋"/>
                <w:kern w:val="2"/>
                <w:sz w:val="24"/>
                <w:szCs w:val="24"/>
                <w:lang w:val="en-US" w:eastAsia="zh-CN" w:bidi="ar-SA"/>
              </w:rPr>
              <w:fldChar w:fldCharType="begin"/>
            </w:r>
            <w:r>
              <w:rPr>
                <w:rFonts w:hint="eastAsia" w:ascii="仿宋" w:hAnsi="仿宋" w:eastAsia="仿宋" w:cs="仿宋"/>
                <w:kern w:val="2"/>
                <w:sz w:val="24"/>
                <w:szCs w:val="24"/>
                <w:lang w:val="en-US" w:eastAsia="zh-CN" w:bidi="ar-SA"/>
              </w:rPr>
              <w:instrText xml:space="preserve">INCLUDEPICTURE \d "E:\\staticFront\\script\\ueditor\\themes\\default\\images\\spacer.gif" \* MERGEFORMATINET </w:instrText>
            </w:r>
            <w:r>
              <w:rPr>
                <w:rFonts w:hint="eastAsia" w:ascii="仿宋" w:hAnsi="仿宋" w:eastAsia="仿宋" w:cs="仿宋"/>
                <w:kern w:val="2"/>
                <w:sz w:val="24"/>
                <w:szCs w:val="24"/>
                <w:lang w:val="en-US" w:eastAsia="zh-CN" w:bidi="ar-SA"/>
              </w:rPr>
              <w:fldChar w:fldCharType="separate"/>
            </w:r>
            <w:r>
              <w:rPr>
                <w:rFonts w:hint="eastAsia" w:ascii="仿宋" w:hAnsi="仿宋" w:eastAsia="仿宋" w:cs="仿宋"/>
                <w:kern w:val="2"/>
                <w:sz w:val="24"/>
                <w:szCs w:val="24"/>
                <w:lang w:val="en-US" w:eastAsia="zh-CN" w:bidi="ar-SA"/>
              </w:rPr>
              <w:drawing>
                <wp:inline distT="0" distB="0" distL="114300" distR="114300">
                  <wp:extent cx="114300" cy="1143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114300" cy="114300"/>
                          </a:xfrm>
                          <a:prstGeom prst="rect">
                            <a:avLst/>
                          </a:prstGeom>
                          <a:noFill/>
                          <a:ln w="9525">
                            <a:noFill/>
                          </a:ln>
                        </pic:spPr>
                      </pic:pic>
                    </a:graphicData>
                  </a:graphic>
                </wp:inline>
              </w:drawing>
            </w:r>
            <w:r>
              <w:rPr>
                <w:rFonts w:hint="eastAsia" w:ascii="仿宋" w:hAnsi="仿宋" w:eastAsia="仿宋" w:cs="仿宋"/>
                <w:kern w:val="2"/>
                <w:sz w:val="24"/>
                <w:szCs w:val="24"/>
                <w:lang w:val="en-US" w:eastAsia="zh-CN" w:bidi="ar-SA"/>
              </w:rPr>
              <w:fldChar w:fldCharType="end"/>
            </w:r>
            <w:r>
              <w:rPr>
                <w:rFonts w:hint="eastAsia" w:ascii="仿宋" w:hAnsi="仿宋" w:eastAsia="仿宋" w:cs="仿宋"/>
                <w:kern w:val="2"/>
                <w:sz w:val="24"/>
                <w:szCs w:val="24"/>
                <w:lang w:val="en-US" w:eastAsia="zh-CN" w:bidi="ar-SA"/>
              </w:rPr>
              <w:t>符号的指标，支持数据明细钻取，可查阅原子指标明细、各科室指标运行情况。</w:t>
            </w:r>
          </w:p>
        </w:tc>
      </w:tr>
      <w:tr w14:paraId="0280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0AC0A7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0156FA5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653ECEC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数据接入</w:t>
            </w:r>
          </w:p>
        </w:tc>
        <w:tc>
          <w:tcPr>
            <w:tcW w:w="5790" w:type="dxa"/>
            <w:shd w:val="clear" w:color="auto" w:fill="auto"/>
            <w:tcMar>
              <w:top w:w="0" w:type="dxa"/>
              <w:left w:w="105" w:type="dxa"/>
              <w:bottom w:w="0" w:type="dxa"/>
              <w:right w:w="105" w:type="dxa"/>
            </w:tcMar>
            <w:vAlign w:val="center"/>
          </w:tcPr>
          <w:p w14:paraId="36A2238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1.支持国家监测指标所需外部数据的接入，包括执业医师、注册护士、HQMS、财务及满意度评价数据。</w:t>
            </w:r>
          </w:p>
        </w:tc>
      </w:tr>
      <w:tr w14:paraId="3981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CD2187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34A3CB9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210148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数据稽查</w:t>
            </w:r>
          </w:p>
        </w:tc>
        <w:tc>
          <w:tcPr>
            <w:tcW w:w="5790" w:type="dxa"/>
            <w:shd w:val="clear" w:color="auto" w:fill="auto"/>
            <w:tcMar>
              <w:top w:w="0" w:type="dxa"/>
              <w:left w:w="105" w:type="dxa"/>
              <w:bottom w:w="0" w:type="dxa"/>
              <w:right w:w="105" w:type="dxa"/>
            </w:tcMar>
            <w:vAlign w:val="center"/>
          </w:tcPr>
          <w:p w14:paraId="6E04020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1.支持病案数据、人事数据与国家平台数据进行稽查比对，定位差异数据。</w:t>
            </w:r>
          </w:p>
        </w:tc>
      </w:tr>
      <w:tr w14:paraId="0896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3415FBE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27395E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70D20B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年度报告</w:t>
            </w:r>
          </w:p>
        </w:tc>
        <w:tc>
          <w:tcPr>
            <w:tcW w:w="5790" w:type="dxa"/>
            <w:shd w:val="clear" w:color="auto" w:fill="auto"/>
            <w:tcMar>
              <w:top w:w="0" w:type="dxa"/>
              <w:left w:w="105" w:type="dxa"/>
              <w:bottom w:w="0" w:type="dxa"/>
              <w:right w:w="105" w:type="dxa"/>
            </w:tcMar>
            <w:vAlign w:val="center"/>
          </w:tcPr>
          <w:p w14:paraId="30C8EEF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1.支持根据报告模板配置，根据配置模板自动生成分析报告，实现在线化管理。</w:t>
            </w:r>
          </w:p>
        </w:tc>
      </w:tr>
      <w:tr w14:paraId="076D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A4FC69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233B19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A294A6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整改通知</w:t>
            </w:r>
          </w:p>
        </w:tc>
        <w:tc>
          <w:tcPr>
            <w:tcW w:w="5790" w:type="dxa"/>
            <w:shd w:val="clear" w:color="auto" w:fill="auto"/>
            <w:tcMar>
              <w:top w:w="0" w:type="dxa"/>
              <w:left w:w="105" w:type="dxa"/>
              <w:bottom w:w="0" w:type="dxa"/>
              <w:right w:w="105" w:type="dxa"/>
            </w:tcMar>
            <w:vAlign w:val="center"/>
          </w:tcPr>
          <w:p w14:paraId="493EAFD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1.支持根据指标目标达成情况，自动统计并下达指标整改反馈通知，不断提升全院指标整体运行成效。</w:t>
            </w:r>
          </w:p>
        </w:tc>
      </w:tr>
      <w:tr w14:paraId="6BBE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5A75269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1682" w:type="dxa"/>
            <w:vMerge w:val="restart"/>
            <w:shd w:val="clear" w:color="auto" w:fill="auto"/>
            <w:tcMar>
              <w:top w:w="0" w:type="dxa"/>
              <w:left w:w="105" w:type="dxa"/>
              <w:bottom w:w="0" w:type="dxa"/>
              <w:right w:w="105" w:type="dxa"/>
            </w:tcMar>
            <w:vAlign w:val="center"/>
          </w:tcPr>
          <w:p w14:paraId="343C3D0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统一数据上报模块</w:t>
            </w:r>
          </w:p>
        </w:tc>
        <w:tc>
          <w:tcPr>
            <w:tcW w:w="1543" w:type="dxa"/>
            <w:shd w:val="clear" w:color="auto" w:fill="auto"/>
            <w:noWrap/>
            <w:tcMar>
              <w:top w:w="0" w:type="dxa"/>
              <w:left w:w="105" w:type="dxa"/>
              <w:bottom w:w="0" w:type="dxa"/>
              <w:right w:w="105" w:type="dxa"/>
            </w:tcMar>
            <w:vAlign w:val="center"/>
          </w:tcPr>
          <w:p w14:paraId="68E3BF3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基础管理</w:t>
            </w:r>
          </w:p>
        </w:tc>
        <w:tc>
          <w:tcPr>
            <w:tcW w:w="5790" w:type="dxa"/>
            <w:shd w:val="clear" w:color="auto" w:fill="auto"/>
            <w:tcMar>
              <w:top w:w="0" w:type="dxa"/>
              <w:left w:w="105" w:type="dxa"/>
              <w:bottom w:w="0" w:type="dxa"/>
              <w:right w:w="105" w:type="dxa"/>
            </w:tcMar>
            <w:vAlign w:val="center"/>
          </w:tcPr>
          <w:p w14:paraId="3FB6890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1.支持数据源管理，可按机构设置业务系统数据库连接信息</w:t>
            </w:r>
          </w:p>
          <w:p w14:paraId="5A3AD92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2.支持系统值域字典管理，业务值域管理，并提供系统值域与业务值域字典映射管理功能；</w:t>
            </w:r>
          </w:p>
          <w:p w14:paraId="2EF04F3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3.支持系统模板管理，可按上报字段需求动态增减字段信息；</w:t>
            </w:r>
          </w:p>
          <w:p w14:paraId="181A82B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4.支持数据提取、上报任务支持手工、或定时运行；</w:t>
            </w:r>
          </w:p>
        </w:tc>
      </w:tr>
      <w:tr w14:paraId="72C3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C23FB5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222D71B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91F828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上报管理</w:t>
            </w:r>
          </w:p>
        </w:tc>
        <w:tc>
          <w:tcPr>
            <w:tcW w:w="5790" w:type="dxa"/>
            <w:shd w:val="clear" w:color="auto" w:fill="auto"/>
            <w:tcMar>
              <w:top w:w="0" w:type="dxa"/>
              <w:left w:w="105" w:type="dxa"/>
              <w:bottom w:w="0" w:type="dxa"/>
              <w:right w:w="105" w:type="dxa"/>
            </w:tcMar>
            <w:vAlign w:val="center"/>
          </w:tcPr>
          <w:p w14:paraId="53279DA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1.支持数据内容查看，历次质控结果查看、支持历史上报记录查看和历次数据对比分析，提供数据下载和数据上传功能；</w:t>
            </w:r>
          </w:p>
          <w:p w14:paraId="4B2EE73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2.支持统计每个接口数据上传成功、失败情况，支持年度、月度、季度统计分析，支持科室筛选。</w:t>
            </w:r>
          </w:p>
        </w:tc>
      </w:tr>
      <w:tr w14:paraId="64E8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C3CBEF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212F7E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92A3FE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日志记录</w:t>
            </w:r>
          </w:p>
        </w:tc>
        <w:tc>
          <w:tcPr>
            <w:tcW w:w="5790" w:type="dxa"/>
            <w:shd w:val="clear" w:color="auto" w:fill="auto"/>
            <w:tcMar>
              <w:top w:w="0" w:type="dxa"/>
              <w:left w:w="105" w:type="dxa"/>
              <w:bottom w:w="0" w:type="dxa"/>
              <w:right w:w="105" w:type="dxa"/>
            </w:tcMar>
            <w:vAlign w:val="center"/>
          </w:tcPr>
          <w:p w14:paraId="309E0BA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1.支持查看上报平台每次从业务系统提取的数据总量、入平台的成功、失败数、数据质控结果；</w:t>
            </w:r>
          </w:p>
          <w:p w14:paraId="5F1329C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2.支持查看每个接口数据下载或上传的成功、失败情况；</w:t>
            </w:r>
          </w:p>
          <w:p w14:paraId="1DA56E3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3.上报类型需要支持医保飞检数据、医保清单上传数据、三医监管数据、国家抗肿瘤上报数据上报服务，并支持进行上报项目数据开发；</w:t>
            </w:r>
          </w:p>
          <w:p w14:paraId="77E5220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3.支持定制化开发上报组件，对接第三方接口，提供手工和定时触发，提供完善的任务监控和日志功能；</w:t>
            </w:r>
          </w:p>
          <w:p w14:paraId="7615BC0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4.▲支持展现历史上报数据及重点指标的统计情况，展示内容包括上报项目数、上报数据量。（提供软件系统功能截图并加盖供应商公章作为证明材料）</w:t>
            </w:r>
          </w:p>
          <w:p w14:paraId="67B7B61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上报数据提取配置支持定时任务Cron规则表达式配置提取任务执行频率，支持日期区间和前置条件数据提取条件选择，支持自定义数据提取SQL语句配置，并能够进行动态参数传递，支持上报数据字段与数据源字段一键自动映射和手工映射。（提供软件系统功能截图并加盖供应商公章作为证明材料）</w:t>
            </w:r>
          </w:p>
        </w:tc>
      </w:tr>
      <w:tr w14:paraId="74C9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661498D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1682" w:type="dxa"/>
            <w:vMerge w:val="restart"/>
            <w:shd w:val="clear" w:color="auto" w:fill="auto"/>
            <w:tcMar>
              <w:top w:w="0" w:type="dxa"/>
              <w:left w:w="105" w:type="dxa"/>
              <w:bottom w:w="0" w:type="dxa"/>
              <w:right w:w="105" w:type="dxa"/>
            </w:tcMar>
            <w:vAlign w:val="center"/>
          </w:tcPr>
          <w:p w14:paraId="6114F83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临床专科能力智能评估模块</w:t>
            </w:r>
          </w:p>
        </w:tc>
        <w:tc>
          <w:tcPr>
            <w:tcW w:w="1543" w:type="dxa"/>
            <w:shd w:val="clear" w:color="auto" w:fill="auto"/>
            <w:noWrap/>
            <w:tcMar>
              <w:top w:w="0" w:type="dxa"/>
              <w:left w:w="105" w:type="dxa"/>
              <w:bottom w:w="0" w:type="dxa"/>
              <w:right w:w="105" w:type="dxa"/>
            </w:tcMar>
            <w:vAlign w:val="center"/>
          </w:tcPr>
          <w:p w14:paraId="11AF9D3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智能评价与动态修正</w:t>
            </w:r>
          </w:p>
        </w:tc>
        <w:tc>
          <w:tcPr>
            <w:tcW w:w="5790" w:type="dxa"/>
            <w:shd w:val="clear" w:color="auto" w:fill="auto"/>
            <w:tcMar>
              <w:top w:w="0" w:type="dxa"/>
              <w:left w:w="105" w:type="dxa"/>
              <w:bottom w:w="0" w:type="dxa"/>
              <w:right w:w="105" w:type="dxa"/>
            </w:tcMar>
            <w:vAlign w:val="center"/>
          </w:tcPr>
          <w:p w14:paraId="5B96AD7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1.支持按专科、类型条件自动计算评价得分，提供人工修正功能；</w:t>
            </w:r>
          </w:p>
          <w:p w14:paraId="77CF029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2.可自定义评分修正审核流程，适配不同专科类型审批需求。</w:t>
            </w:r>
          </w:p>
        </w:tc>
      </w:tr>
      <w:tr w14:paraId="11D4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FFC4B9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17FBA3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491FEC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规则与模型管理</w:t>
            </w:r>
          </w:p>
        </w:tc>
        <w:tc>
          <w:tcPr>
            <w:tcW w:w="5790" w:type="dxa"/>
            <w:shd w:val="clear" w:color="auto" w:fill="auto"/>
            <w:tcMar>
              <w:top w:w="0" w:type="dxa"/>
              <w:left w:w="105" w:type="dxa"/>
              <w:bottom w:w="0" w:type="dxa"/>
              <w:right w:w="105" w:type="dxa"/>
            </w:tcMar>
            <w:vAlign w:val="center"/>
          </w:tcPr>
          <w:p w14:paraId="684166A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1.基于基础指标构建评价规则库，兼容系统自动计算与人工填报指标；</w:t>
            </w:r>
          </w:p>
          <w:p w14:paraId="4F90853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2.支持为各专科配置带权重的个性化评价模型，适配总院-分院管理模式。</w:t>
            </w:r>
          </w:p>
        </w:tc>
      </w:tr>
      <w:tr w14:paraId="3C6A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259CBD0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CDD3CE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0B0F47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可视化分析与定制</w:t>
            </w:r>
          </w:p>
        </w:tc>
        <w:tc>
          <w:tcPr>
            <w:tcW w:w="5790" w:type="dxa"/>
            <w:shd w:val="clear" w:color="auto" w:fill="auto"/>
            <w:tcMar>
              <w:top w:w="0" w:type="dxa"/>
              <w:left w:w="105" w:type="dxa"/>
              <w:bottom w:w="0" w:type="dxa"/>
              <w:right w:w="105" w:type="dxa"/>
            </w:tcMar>
            <w:vAlign w:val="center"/>
          </w:tcPr>
          <w:p w14:paraId="3E74F62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1.支持通过大屏展示专科能力排名、指标趋势，支持单专科数据钻取；</w:t>
            </w:r>
          </w:p>
          <w:p w14:paraId="2BD52AB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2.提供科室级个性化展示定制，可调整维度适配不同专科特色。</w:t>
            </w:r>
          </w:p>
        </w:tc>
      </w:tr>
      <w:tr w14:paraId="2B37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7F7E4CF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p>
        </w:tc>
        <w:tc>
          <w:tcPr>
            <w:tcW w:w="1682" w:type="dxa"/>
            <w:vMerge w:val="restart"/>
            <w:shd w:val="clear" w:color="auto" w:fill="auto"/>
            <w:tcMar>
              <w:top w:w="0" w:type="dxa"/>
              <w:left w:w="105" w:type="dxa"/>
              <w:bottom w:w="0" w:type="dxa"/>
              <w:right w:w="105" w:type="dxa"/>
            </w:tcMar>
            <w:vAlign w:val="center"/>
          </w:tcPr>
          <w:p w14:paraId="00DA04A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医护技画像模块</w:t>
            </w:r>
          </w:p>
        </w:tc>
        <w:tc>
          <w:tcPr>
            <w:tcW w:w="1543" w:type="dxa"/>
            <w:shd w:val="clear" w:color="auto" w:fill="auto"/>
            <w:noWrap/>
            <w:tcMar>
              <w:top w:w="0" w:type="dxa"/>
              <w:left w:w="105" w:type="dxa"/>
              <w:bottom w:w="0" w:type="dxa"/>
              <w:right w:w="105" w:type="dxa"/>
            </w:tcMar>
            <w:vAlign w:val="center"/>
          </w:tcPr>
          <w:p w14:paraId="4EB2E60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数据集管理</w:t>
            </w:r>
          </w:p>
        </w:tc>
        <w:tc>
          <w:tcPr>
            <w:tcW w:w="5790" w:type="dxa"/>
            <w:shd w:val="clear" w:color="auto" w:fill="auto"/>
            <w:tcMar>
              <w:top w:w="0" w:type="dxa"/>
              <w:left w:w="105" w:type="dxa"/>
              <w:bottom w:w="0" w:type="dxa"/>
              <w:right w:w="105" w:type="dxa"/>
            </w:tcMar>
            <w:vAlign w:val="center"/>
          </w:tcPr>
          <w:p w14:paraId="300C4DF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1.支持构建数据集，以可视化界面方式配置数据集</w:t>
            </w:r>
          </w:p>
        </w:tc>
      </w:tr>
      <w:tr w14:paraId="7CDE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6EE8FB4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EEC550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1B3174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展示管理</w:t>
            </w:r>
          </w:p>
        </w:tc>
        <w:tc>
          <w:tcPr>
            <w:tcW w:w="5790" w:type="dxa"/>
            <w:shd w:val="clear" w:color="auto" w:fill="auto"/>
            <w:tcMar>
              <w:top w:w="0" w:type="dxa"/>
              <w:left w:w="105" w:type="dxa"/>
              <w:bottom w:w="0" w:type="dxa"/>
              <w:right w:w="105" w:type="dxa"/>
            </w:tcMar>
            <w:vAlign w:val="center"/>
          </w:tcPr>
          <w:p w14:paraId="58DA798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1.支持角色化模板定制，可扩展医护药技角色展示模板</w:t>
            </w:r>
          </w:p>
        </w:tc>
      </w:tr>
      <w:tr w14:paraId="1DD3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279E699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2999BD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3764C34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标签管理</w:t>
            </w:r>
          </w:p>
        </w:tc>
        <w:tc>
          <w:tcPr>
            <w:tcW w:w="5790" w:type="dxa"/>
            <w:shd w:val="clear" w:color="auto" w:fill="auto"/>
            <w:tcMar>
              <w:top w:w="0" w:type="dxa"/>
              <w:left w:w="105" w:type="dxa"/>
              <w:bottom w:w="0" w:type="dxa"/>
              <w:right w:w="105" w:type="dxa"/>
            </w:tcMar>
            <w:vAlign w:val="center"/>
          </w:tcPr>
          <w:p w14:paraId="46472F1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1.支持联动临床科研数据配置规则，生成医护多属性人员标签</w:t>
            </w:r>
          </w:p>
        </w:tc>
      </w:tr>
      <w:tr w14:paraId="79A6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2DD6B5C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439C88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7EB6BB7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人员列表</w:t>
            </w:r>
          </w:p>
        </w:tc>
        <w:tc>
          <w:tcPr>
            <w:tcW w:w="5790" w:type="dxa"/>
            <w:shd w:val="clear" w:color="auto" w:fill="auto"/>
            <w:tcMar>
              <w:top w:w="0" w:type="dxa"/>
              <w:left w:w="105" w:type="dxa"/>
              <w:bottom w:w="0" w:type="dxa"/>
              <w:right w:w="105" w:type="dxa"/>
            </w:tcMar>
            <w:vAlign w:val="center"/>
          </w:tcPr>
          <w:p w14:paraId="20EF498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1.提供院内医护人员全清单，以卡片展示人员概览，支持人员快速检索</w:t>
            </w:r>
          </w:p>
        </w:tc>
      </w:tr>
      <w:tr w14:paraId="42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886769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6DCA0F8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4ADAC85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人员画像</w:t>
            </w:r>
          </w:p>
        </w:tc>
        <w:tc>
          <w:tcPr>
            <w:tcW w:w="5790" w:type="dxa"/>
            <w:shd w:val="clear" w:color="auto" w:fill="auto"/>
            <w:tcMar>
              <w:top w:w="0" w:type="dxa"/>
              <w:left w:w="105" w:type="dxa"/>
              <w:bottom w:w="0" w:type="dxa"/>
              <w:right w:w="105" w:type="dxa"/>
            </w:tcMar>
            <w:vAlign w:val="center"/>
          </w:tcPr>
          <w:p w14:paraId="2B1189C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1.支持配置不同展示主题，概览呈现医生临床、科研相关数据</w:t>
            </w:r>
          </w:p>
        </w:tc>
      </w:tr>
      <w:tr w14:paraId="340A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7C6C012C">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608B32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A6A363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年终回顾</w:t>
            </w:r>
          </w:p>
        </w:tc>
        <w:tc>
          <w:tcPr>
            <w:tcW w:w="5790" w:type="dxa"/>
            <w:shd w:val="clear" w:color="auto" w:fill="auto"/>
            <w:tcMar>
              <w:top w:w="0" w:type="dxa"/>
              <w:left w:w="105" w:type="dxa"/>
              <w:bottom w:w="0" w:type="dxa"/>
              <w:right w:w="105" w:type="dxa"/>
            </w:tcMar>
            <w:vAlign w:val="center"/>
          </w:tcPr>
          <w:p w14:paraId="7BE1F74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1.支持结合医护年度临床、科研数据生成个性化年度总结</w:t>
            </w:r>
          </w:p>
        </w:tc>
      </w:tr>
      <w:tr w14:paraId="448D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restart"/>
            <w:shd w:val="clear" w:color="auto" w:fill="auto"/>
            <w:noWrap/>
            <w:tcMar>
              <w:top w:w="0" w:type="dxa"/>
              <w:left w:w="105" w:type="dxa"/>
              <w:bottom w:w="0" w:type="dxa"/>
              <w:right w:w="105" w:type="dxa"/>
            </w:tcMar>
            <w:vAlign w:val="center"/>
          </w:tcPr>
          <w:p w14:paraId="1D48C0D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1682" w:type="dxa"/>
            <w:vMerge w:val="restart"/>
            <w:shd w:val="clear" w:color="auto" w:fill="auto"/>
            <w:tcMar>
              <w:top w:w="0" w:type="dxa"/>
              <w:left w:w="105" w:type="dxa"/>
              <w:bottom w:w="0" w:type="dxa"/>
              <w:right w:w="105" w:type="dxa"/>
            </w:tcMar>
            <w:vAlign w:val="center"/>
          </w:tcPr>
          <w:p w14:paraId="6255F2C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三级医院等级评审管理模块</w:t>
            </w:r>
          </w:p>
        </w:tc>
        <w:tc>
          <w:tcPr>
            <w:tcW w:w="1543" w:type="dxa"/>
            <w:shd w:val="clear" w:color="auto" w:fill="auto"/>
            <w:noWrap/>
            <w:tcMar>
              <w:top w:w="0" w:type="dxa"/>
              <w:left w:w="105" w:type="dxa"/>
              <w:bottom w:w="0" w:type="dxa"/>
              <w:right w:w="105" w:type="dxa"/>
            </w:tcMar>
            <w:vAlign w:val="center"/>
          </w:tcPr>
          <w:p w14:paraId="1422C55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基础配置</w:t>
            </w:r>
          </w:p>
        </w:tc>
        <w:tc>
          <w:tcPr>
            <w:tcW w:w="5790" w:type="dxa"/>
            <w:shd w:val="clear" w:color="auto" w:fill="auto"/>
            <w:tcMar>
              <w:top w:w="0" w:type="dxa"/>
              <w:left w:w="105" w:type="dxa"/>
              <w:bottom w:w="0" w:type="dxa"/>
              <w:right w:w="105" w:type="dxa"/>
            </w:tcMar>
            <w:vAlign w:val="center"/>
          </w:tcPr>
          <w:p w14:paraId="7FB6F98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1.内置《三级医院评审标准》标准细则，支持指标层级化排布，提供多方式快速查询能力。</w:t>
            </w:r>
          </w:p>
          <w:p w14:paraId="4B5D08A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2.支持多版本/多标准并行，配备标准升级，完善全生命周期管理并配套相关功能，保障标准更新无影响且指标独立延续。</w:t>
            </w:r>
          </w:p>
        </w:tc>
      </w:tr>
      <w:tr w14:paraId="0ADE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74A0B5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55761D56">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15F9B07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指标配置</w:t>
            </w:r>
          </w:p>
        </w:tc>
        <w:tc>
          <w:tcPr>
            <w:tcW w:w="5790" w:type="dxa"/>
            <w:shd w:val="clear" w:color="auto" w:fill="auto"/>
            <w:tcMar>
              <w:top w:w="0" w:type="dxa"/>
              <w:left w:w="105" w:type="dxa"/>
              <w:bottom w:w="0" w:type="dxa"/>
              <w:right w:w="105" w:type="dxa"/>
            </w:tcMar>
            <w:vAlign w:val="center"/>
          </w:tcPr>
          <w:p w14:paraId="45E7DC6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1.提供指标全览视图，直观展示承办科室、数据来源、采集状态核心信息，支持多条件组合查询；可精准分配指标责任科室，支持标准配置批量分发及冲突处理</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2.▲支持基础指标取数信息全维护，提供组件选择式可视化算法组合配置，支持多类运算与条件判断，可自动转换为 SQL 验证，算法支持查看、编辑与复用；配套指标数据预览、溯源 / 循证内容自定义配置、关联指标依赖展示能力，同时支持算法组件化管理与自定义 SQL 编写校验。</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3. ▲涵盖科室、ICD-10/ICD-9-CM-3、医嘱 / 药品评审全量业务字典，支持定期更新；提供可视化配置界面，支持规则+ 手工双筛选方式，规则配置即时生效，可完成字典调整、修改与查看</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4.支持指标数据来源、开展状态、统计口径信息维护，可自动生成信息化支撑情况报告，提供多周期报告对比以展示改进成效；支持院、科两级指标目标分层设置，适配年度常态化监测，可配置目标值 / 标杆值，支持目标值批量导入与调整</w:t>
            </w:r>
          </w:p>
          <w:p w14:paraId="0AD339C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5.▲支持指标算法具备多源筛选能力，支持通过模版选择+业务字典快速完成算法配置，支持多字典、多筛选条件配置，允许编写自定义SQL</w:t>
            </w:r>
          </w:p>
        </w:tc>
      </w:tr>
      <w:tr w14:paraId="32DF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13A7A81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2E08309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55B57A6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数据同步</w:t>
            </w:r>
          </w:p>
        </w:tc>
        <w:tc>
          <w:tcPr>
            <w:tcW w:w="5790" w:type="dxa"/>
            <w:shd w:val="clear" w:color="auto" w:fill="auto"/>
            <w:tcMar>
              <w:top w:w="0" w:type="dxa"/>
              <w:left w:w="105" w:type="dxa"/>
              <w:bottom w:w="0" w:type="dxa"/>
              <w:right w:w="105" w:type="dxa"/>
            </w:tcMar>
            <w:vAlign w:val="center"/>
          </w:tcPr>
          <w:p w14:paraId="6346912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1.提供覆盖病案、医嘱、检验核心业务场景的评审指标业务数据集，支持数据集在线字段定义、数据脚本编写、字段类型（字符型 / 数值型）修改</w:t>
            </w:r>
          </w:p>
          <w:p w14:paraId="2725C33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2.支持指标溯源展示信息维护（自定义溯源数据字段）及数据集关联溯源展示样式管理；提供多种业务展示样式，支持分类多样式模板可视化配置</w:t>
            </w:r>
          </w:p>
          <w:p w14:paraId="5455A751">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3.提供算法 SQL 模板维护功能，内置常用 SQL 模板，支持模板自定义修改、保存与复用，降低业务人员操作难度</w:t>
            </w:r>
          </w:p>
          <w:p w14:paraId="6895A547">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4.具备数据集及指标执行任务管理能力，支持增量 / 全量任务设置，可查看任务执行状态（待执行 / 执行中）、执行时间、执行结果全量信息,具备数据变动监测功能，标记数据新增 / 删除便于追溯排查</w:t>
            </w:r>
          </w:p>
        </w:tc>
      </w:tr>
      <w:tr w14:paraId="4892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EF7EF1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112EA63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69AFC7F">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数据管理</w:t>
            </w:r>
          </w:p>
        </w:tc>
        <w:tc>
          <w:tcPr>
            <w:tcW w:w="5790" w:type="dxa"/>
            <w:shd w:val="clear" w:color="auto" w:fill="auto"/>
            <w:tcMar>
              <w:top w:w="0" w:type="dxa"/>
              <w:left w:w="105" w:type="dxa"/>
              <w:bottom w:w="0" w:type="dxa"/>
              <w:right w:w="105" w:type="dxa"/>
            </w:tcMar>
            <w:vAlign w:val="center"/>
          </w:tcPr>
          <w:p w14:paraId="6F8AEF9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1.支持用户可查看、填报并确认本科室负责的指标数据；所有指标均支持个案循证，支持院科两级审核。</w:t>
            </w:r>
          </w:p>
          <w:p w14:paraId="17A9A00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2.提供任务进度统计分析查询功能，可按填报周期统计本科室评审 / 基础指标总数、待办数，以及依赖关系、数据质疑 / 变动引发的指标影响进度数据。</w:t>
            </w:r>
          </w:p>
          <w:p w14:paraId="59C8F02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3.指标循证可一键查看基础信息、统计口径核心要求，展示个案溯源信息；支持二级循证，精准追溯个案口径数据，可查看患者病历、检验报告详情并联动 360 健康视图，循证界面支持指标和维度切换。</w:t>
            </w:r>
          </w:p>
          <w:p w14:paraId="5AABDB7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4.▲支持在填报数据基础上对个案数据进行补录、排除干预操作，操作全程留痕（记录操作人、时间、内容、原因），且可查看干预记录。</w:t>
            </w:r>
          </w:p>
          <w:p w14:paraId="25AC2BD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5.支持 PDF、Word、Excel、图片多格式佐证材料批量上传，提供在线预览、下载、删除功能，可指定分子 / 分母专项佐证，满足循证材料留存需求</w:t>
            </w:r>
          </w:p>
        </w:tc>
      </w:tr>
      <w:tr w14:paraId="0AADE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01B983B2">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2BBDE3BA">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0F9387C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数据监测</w:t>
            </w:r>
          </w:p>
        </w:tc>
        <w:tc>
          <w:tcPr>
            <w:tcW w:w="5790" w:type="dxa"/>
            <w:shd w:val="clear" w:color="auto" w:fill="auto"/>
            <w:tcMar>
              <w:top w:w="0" w:type="dxa"/>
              <w:left w:w="105" w:type="dxa"/>
              <w:bottom w:w="0" w:type="dxa"/>
              <w:right w:w="105" w:type="dxa"/>
            </w:tcMar>
            <w:vAlign w:val="center"/>
          </w:tcPr>
          <w:p w14:paraId="245714D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1.指标结果可按指定维度分列展示，自动生成汇总、中位数、均值综合统计数据；一屏展示指标结果、分子 / 分母值及统计口径，且同屏呈现趋势变化、管理目标、区域中位数、行业标杆值四类核心数据。</w:t>
            </w:r>
          </w:p>
          <w:p w14:paraId="6290D7D9">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2.支持查看指标明细数据，涵盖分子/分母个案信息、佐证材料、分科统计、溯源 SQL，以及指标基础信息和统计口径全维度内容。</w:t>
            </w:r>
          </w:p>
          <w:p w14:paraId="4FFDE38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3.支持指标个案口径条件数据精准追溯，可查看患者病案首页、检验报告信息；同时支持查看、复制指标计算的完整溯源 SQL 语句。</w:t>
            </w:r>
          </w:p>
          <w:p w14:paraId="73C22C1E">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4.支持指标数据与明细数据合并或分开导出，可导出包含环比、同比、标杆值对比动态对比结果，满足数据存档与分析需求。</w:t>
            </w:r>
          </w:p>
        </w:tc>
      </w:tr>
      <w:tr w14:paraId="7CA2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2" w:type="dxa"/>
            <w:vMerge w:val="continue"/>
            <w:shd w:val="clear" w:color="auto" w:fill="auto"/>
            <w:noWrap/>
            <w:tcMar>
              <w:top w:w="0" w:type="dxa"/>
              <w:left w:w="105" w:type="dxa"/>
              <w:bottom w:w="0" w:type="dxa"/>
              <w:right w:w="105" w:type="dxa"/>
            </w:tcMar>
            <w:vAlign w:val="center"/>
          </w:tcPr>
          <w:p w14:paraId="5C18A7CD">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682" w:type="dxa"/>
            <w:vMerge w:val="continue"/>
            <w:shd w:val="clear" w:color="auto" w:fill="auto"/>
            <w:tcMar>
              <w:top w:w="0" w:type="dxa"/>
              <w:left w:w="105" w:type="dxa"/>
              <w:bottom w:w="0" w:type="dxa"/>
              <w:right w:w="105" w:type="dxa"/>
            </w:tcMar>
            <w:vAlign w:val="center"/>
          </w:tcPr>
          <w:p w14:paraId="48A75ABB">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p>
        </w:tc>
        <w:tc>
          <w:tcPr>
            <w:tcW w:w="1543" w:type="dxa"/>
            <w:shd w:val="clear" w:color="auto" w:fill="auto"/>
            <w:noWrap/>
            <w:tcMar>
              <w:top w:w="0" w:type="dxa"/>
              <w:left w:w="105" w:type="dxa"/>
              <w:bottom w:w="0" w:type="dxa"/>
              <w:right w:w="105" w:type="dxa"/>
            </w:tcMar>
            <w:vAlign w:val="center"/>
          </w:tcPr>
          <w:p w14:paraId="27C8A57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预警管理</w:t>
            </w:r>
          </w:p>
        </w:tc>
        <w:tc>
          <w:tcPr>
            <w:tcW w:w="5790" w:type="dxa"/>
            <w:shd w:val="clear" w:color="auto" w:fill="auto"/>
            <w:tcMar>
              <w:top w:w="0" w:type="dxa"/>
              <w:left w:w="105" w:type="dxa"/>
              <w:bottom w:w="0" w:type="dxa"/>
              <w:right w:w="105" w:type="dxa"/>
            </w:tcMar>
            <w:vAlign w:val="center"/>
          </w:tcPr>
          <w:p w14:paraId="01C438E4">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1.支持期末与日末双监控模式，涵盖不达标、超标、趋势波动的预警，可自定义周期设置预警规则。</w:t>
            </w:r>
          </w:p>
          <w:p w14:paraId="7C01B235">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2.实行红（严重异常）、橙（高风险）、黄（中风险）、蓝（低风险）四级预警分级，各级别阈值与分级逻辑可自定义。</w:t>
            </w:r>
          </w:p>
          <w:p w14:paraId="71EF75A3">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firstLine="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3.支持按监控模式统计四级预警指标数及汇总数据，提供预警结果审核（确认 / 取消预警）功能，可将预警指标纳入督查任务下发至责任科室确认知晓，形成管理闭环。</w:t>
            </w:r>
          </w:p>
        </w:tc>
      </w:tr>
    </w:tbl>
    <w:p w14:paraId="18780A7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★（2）治理服务内容</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251"/>
        <w:gridCol w:w="6596"/>
      </w:tblGrid>
      <w:tr w14:paraId="2027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trPr>
        <w:tc>
          <w:tcPr>
            <w:tcW w:w="3251" w:type="dxa"/>
            <w:shd w:val="clear" w:color="auto" w:fill="auto"/>
            <w:tcMar>
              <w:top w:w="0" w:type="dxa"/>
              <w:left w:w="105" w:type="dxa"/>
              <w:bottom w:w="0" w:type="dxa"/>
              <w:right w:w="105" w:type="dxa"/>
            </w:tcMar>
            <w:vAlign w:val="center"/>
          </w:tcPr>
          <w:p w14:paraId="325625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服务名称</w:t>
            </w:r>
          </w:p>
        </w:tc>
        <w:tc>
          <w:tcPr>
            <w:tcW w:w="6596" w:type="dxa"/>
            <w:shd w:val="clear" w:color="auto" w:fill="auto"/>
            <w:tcMar>
              <w:top w:w="0" w:type="dxa"/>
              <w:left w:w="105" w:type="dxa"/>
              <w:bottom w:w="0" w:type="dxa"/>
              <w:right w:w="105" w:type="dxa"/>
            </w:tcMar>
            <w:vAlign w:val="center"/>
          </w:tcPr>
          <w:p w14:paraId="60BBF1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具体内容</w:t>
            </w:r>
          </w:p>
        </w:tc>
      </w:tr>
      <w:tr w14:paraId="681A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3251" w:type="dxa"/>
            <w:shd w:val="clear" w:color="auto" w:fill="auto"/>
            <w:noWrap/>
            <w:tcMar>
              <w:top w:w="0" w:type="dxa"/>
              <w:left w:w="105" w:type="dxa"/>
              <w:bottom w:w="0" w:type="dxa"/>
              <w:right w:w="105" w:type="dxa"/>
            </w:tcMar>
            <w:vAlign w:val="center"/>
          </w:tcPr>
          <w:p w14:paraId="43E1BD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数据标准制定服务</w:t>
            </w:r>
          </w:p>
        </w:tc>
        <w:tc>
          <w:tcPr>
            <w:tcW w:w="6596" w:type="dxa"/>
            <w:shd w:val="clear" w:color="auto" w:fill="auto"/>
            <w:tcMar>
              <w:top w:w="0" w:type="dxa"/>
              <w:left w:w="105" w:type="dxa"/>
              <w:bottom w:w="0" w:type="dxa"/>
              <w:right w:w="105" w:type="dxa"/>
            </w:tcMar>
            <w:vAlign w:val="center"/>
          </w:tcPr>
          <w:p w14:paraId="4E1C71E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1、支持以国家/行业/地方标准为基础，结合医院实际需求定制院内数据标准；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2、支持根据国家卫健委权威机构发布的最新标准进行同步，并提供手动更新入口，确保院内标准与外部要求对齐。</w:t>
            </w:r>
          </w:p>
        </w:tc>
      </w:tr>
      <w:tr w14:paraId="3D6B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125" w:hRule="atLeast"/>
        </w:trPr>
        <w:tc>
          <w:tcPr>
            <w:tcW w:w="3251" w:type="dxa"/>
            <w:shd w:val="clear" w:color="auto" w:fill="auto"/>
            <w:noWrap/>
            <w:tcMar>
              <w:top w:w="0" w:type="dxa"/>
              <w:left w:w="105" w:type="dxa"/>
              <w:bottom w:w="0" w:type="dxa"/>
              <w:right w:w="105" w:type="dxa"/>
            </w:tcMar>
            <w:vAlign w:val="center"/>
          </w:tcPr>
          <w:p w14:paraId="05214B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数据集成服务</w:t>
            </w:r>
          </w:p>
        </w:tc>
        <w:tc>
          <w:tcPr>
            <w:tcW w:w="6596" w:type="dxa"/>
            <w:shd w:val="clear" w:color="auto" w:fill="auto"/>
            <w:tcMar>
              <w:top w:w="0" w:type="dxa"/>
              <w:left w:w="105" w:type="dxa"/>
              <w:bottom w:w="0" w:type="dxa"/>
              <w:right w:w="105" w:type="dxa"/>
            </w:tcMar>
            <w:vAlign w:val="center"/>
          </w:tcPr>
          <w:p w14:paraId="1E7457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1、支持Oracle、SQL Server、MySQL主流数据库的全量+增量采集，适配医院异构数据环境。</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2、提供数据同步、备份、接口集成采集方式；</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3、支持采集本院及分院业务系统，包含30个业务系统的数据采集服务。</w:t>
            </w:r>
          </w:p>
        </w:tc>
      </w:tr>
      <w:tr w14:paraId="5671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680" w:hRule="atLeast"/>
        </w:trPr>
        <w:tc>
          <w:tcPr>
            <w:tcW w:w="3251" w:type="dxa"/>
            <w:shd w:val="clear" w:color="auto" w:fill="auto"/>
            <w:noWrap/>
            <w:tcMar>
              <w:top w:w="0" w:type="dxa"/>
              <w:left w:w="105" w:type="dxa"/>
              <w:bottom w:w="0" w:type="dxa"/>
              <w:right w:w="105" w:type="dxa"/>
            </w:tcMar>
            <w:vAlign w:val="center"/>
          </w:tcPr>
          <w:p w14:paraId="70750A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数据治理服务</w:t>
            </w:r>
          </w:p>
        </w:tc>
        <w:tc>
          <w:tcPr>
            <w:tcW w:w="6596" w:type="dxa"/>
            <w:shd w:val="clear" w:color="auto" w:fill="auto"/>
            <w:tcMar>
              <w:top w:w="0" w:type="dxa"/>
              <w:left w:w="105" w:type="dxa"/>
              <w:bottom w:w="0" w:type="dxa"/>
              <w:right w:w="105" w:type="dxa"/>
            </w:tcMar>
            <w:vAlign w:val="center"/>
          </w:tcPr>
          <w:p w14:paraId="759B466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1、提供涵盖流程规范建设、数据模型构建、数据清洗加工、质控监控、问题闭环改进及历史数据接入的数据治理服务。</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2、需满足国家医保飞检、四川省三医监管、国家公立医院绩效监测、医院等级评审、医保清单上传合规要求，提供对应校验规则、数据整改协同及数据治理。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3、具备细粒度数据质控（完整性/一致性维度）、问题标注分发、改进验证闭环、定期质量报告输出能力，支持数据治理全流程的追溯与优化。</w:t>
            </w:r>
          </w:p>
        </w:tc>
      </w:tr>
      <w:tr w14:paraId="1E6E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3251" w:type="dxa"/>
            <w:shd w:val="clear" w:color="auto" w:fill="auto"/>
            <w:noWrap/>
            <w:tcMar>
              <w:top w:w="0" w:type="dxa"/>
              <w:left w:w="105" w:type="dxa"/>
              <w:bottom w:w="0" w:type="dxa"/>
              <w:right w:w="105" w:type="dxa"/>
            </w:tcMar>
            <w:vAlign w:val="center"/>
          </w:tcPr>
          <w:p w14:paraId="2E02B6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主数据管理服务</w:t>
            </w:r>
          </w:p>
        </w:tc>
        <w:tc>
          <w:tcPr>
            <w:tcW w:w="6596" w:type="dxa"/>
            <w:shd w:val="clear" w:color="auto" w:fill="auto"/>
            <w:tcMar>
              <w:top w:w="0" w:type="dxa"/>
              <w:left w:w="105" w:type="dxa"/>
              <w:bottom w:w="0" w:type="dxa"/>
              <w:right w:w="105" w:type="dxa"/>
            </w:tcMar>
            <w:vAlign w:val="center"/>
          </w:tcPr>
          <w:p w14:paraId="66FE004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提供主数据范围梳理、标准制定、多业务系统接口对接、注册推送及运行监控功能，建立全院级的主数据管理平台，包括科室、人员、医疗组。支持方案动态修订以适配医院管理需求变化。</w:t>
            </w:r>
          </w:p>
        </w:tc>
      </w:tr>
      <w:tr w14:paraId="217B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3251" w:type="dxa"/>
            <w:shd w:val="clear" w:color="auto" w:fill="auto"/>
            <w:noWrap/>
            <w:tcMar>
              <w:top w:w="0" w:type="dxa"/>
              <w:left w:w="105" w:type="dxa"/>
              <w:bottom w:w="0" w:type="dxa"/>
              <w:right w:w="105" w:type="dxa"/>
            </w:tcMar>
            <w:vAlign w:val="center"/>
          </w:tcPr>
          <w:p w14:paraId="7DA034A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指标管理服务</w:t>
            </w:r>
          </w:p>
        </w:tc>
        <w:tc>
          <w:tcPr>
            <w:tcW w:w="6596" w:type="dxa"/>
            <w:shd w:val="clear" w:color="auto" w:fill="auto"/>
            <w:tcMar>
              <w:top w:w="0" w:type="dxa"/>
              <w:left w:w="105" w:type="dxa"/>
              <w:bottom w:w="0" w:type="dxa"/>
              <w:right w:w="105" w:type="dxa"/>
            </w:tcMar>
            <w:vAlign w:val="center"/>
          </w:tcPr>
          <w:p w14:paraId="34755A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提供医院指标管理服务，建立全院统一的指标管理体系，协同医院梳理指标的定义、口径、算法并梳理到指标库中，本次建设，根据业务科室的要求梳理不少于2000个指标。</w:t>
            </w:r>
          </w:p>
        </w:tc>
      </w:tr>
      <w:tr w14:paraId="26CD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3251" w:type="dxa"/>
            <w:shd w:val="clear" w:color="auto" w:fill="auto"/>
            <w:noWrap/>
            <w:tcMar>
              <w:top w:w="0" w:type="dxa"/>
              <w:left w:w="105" w:type="dxa"/>
              <w:bottom w:w="0" w:type="dxa"/>
              <w:right w:w="105" w:type="dxa"/>
            </w:tcMar>
            <w:vAlign w:val="center"/>
          </w:tcPr>
          <w:p w14:paraId="5A052C9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统一数据上报服务</w:t>
            </w:r>
          </w:p>
        </w:tc>
        <w:tc>
          <w:tcPr>
            <w:tcW w:w="6596" w:type="dxa"/>
            <w:shd w:val="clear" w:color="auto" w:fill="auto"/>
            <w:tcMar>
              <w:top w:w="0" w:type="dxa"/>
              <w:left w:w="105" w:type="dxa"/>
              <w:bottom w:w="0" w:type="dxa"/>
              <w:right w:w="105" w:type="dxa"/>
            </w:tcMar>
            <w:vAlign w:val="center"/>
          </w:tcPr>
          <w:p w14:paraId="209FB51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提供统一数据上报服务，包括门（急）诊诊疗信息页、医保飞检数据、医保清单上传数据、三医监管数据、国家抗肿瘤上报数据，包括上报数据的梳理及治理服务。</w:t>
            </w:r>
          </w:p>
        </w:tc>
      </w:tr>
      <w:tr w14:paraId="73C3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3251" w:type="dxa"/>
            <w:shd w:val="clear" w:color="auto" w:fill="auto"/>
            <w:noWrap/>
            <w:tcMar>
              <w:top w:w="0" w:type="dxa"/>
              <w:left w:w="105" w:type="dxa"/>
              <w:bottom w:w="0" w:type="dxa"/>
              <w:right w:w="105" w:type="dxa"/>
            </w:tcMar>
            <w:vAlign w:val="center"/>
          </w:tcPr>
          <w:p w14:paraId="185907E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临床专科能力智能评估服务</w:t>
            </w:r>
          </w:p>
        </w:tc>
        <w:tc>
          <w:tcPr>
            <w:tcW w:w="6596" w:type="dxa"/>
            <w:shd w:val="clear" w:color="auto" w:fill="auto"/>
            <w:tcMar>
              <w:top w:w="0" w:type="dxa"/>
              <w:left w:w="105" w:type="dxa"/>
              <w:bottom w:w="0" w:type="dxa"/>
              <w:right w:w="105" w:type="dxa"/>
            </w:tcMar>
            <w:vAlign w:val="center"/>
          </w:tcPr>
          <w:p w14:paraId="6EC6B3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支持根据医院实际专科情况，协助医院基于其提供的评估规则，完成临床专科能力模型的建设。</w:t>
            </w:r>
          </w:p>
        </w:tc>
      </w:tr>
    </w:tbl>
    <w:p w14:paraId="1C446A7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★（3）指标清单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162"/>
        <w:gridCol w:w="1907"/>
        <w:gridCol w:w="2254"/>
        <w:gridCol w:w="1976"/>
        <w:gridCol w:w="1149"/>
        <w:gridCol w:w="1399"/>
      </w:tblGrid>
      <w:tr w14:paraId="6543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shd w:val="clear" w:color="auto" w:fill="auto"/>
            <w:tcMar>
              <w:top w:w="0" w:type="dxa"/>
              <w:left w:w="105" w:type="dxa"/>
              <w:bottom w:w="0" w:type="dxa"/>
              <w:right w:w="105" w:type="dxa"/>
            </w:tcMar>
            <w:vAlign w:val="center"/>
          </w:tcPr>
          <w:p w14:paraId="639E0B2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907" w:type="dxa"/>
            <w:shd w:val="clear" w:color="auto" w:fill="auto"/>
            <w:tcMar>
              <w:top w:w="0" w:type="dxa"/>
              <w:left w:w="105" w:type="dxa"/>
              <w:bottom w:w="0" w:type="dxa"/>
              <w:right w:w="105" w:type="dxa"/>
            </w:tcMar>
            <w:vAlign w:val="center"/>
          </w:tcPr>
          <w:p w14:paraId="2C952C2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指标参数类型</w:t>
            </w:r>
          </w:p>
        </w:tc>
        <w:tc>
          <w:tcPr>
            <w:tcW w:w="2254" w:type="dxa"/>
            <w:shd w:val="clear" w:color="auto" w:fill="auto"/>
            <w:tcMar>
              <w:top w:w="0" w:type="dxa"/>
              <w:left w:w="105" w:type="dxa"/>
              <w:bottom w:w="0" w:type="dxa"/>
              <w:right w:w="105" w:type="dxa"/>
            </w:tcMar>
            <w:vAlign w:val="center"/>
          </w:tcPr>
          <w:p w14:paraId="33D292B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一级指标</w:t>
            </w:r>
          </w:p>
        </w:tc>
        <w:tc>
          <w:tcPr>
            <w:tcW w:w="1976" w:type="dxa"/>
            <w:shd w:val="clear" w:color="auto" w:fill="auto"/>
            <w:tcMar>
              <w:top w:w="0" w:type="dxa"/>
              <w:left w:w="105" w:type="dxa"/>
              <w:bottom w:w="0" w:type="dxa"/>
              <w:right w:w="105" w:type="dxa"/>
            </w:tcMar>
            <w:vAlign w:val="center"/>
          </w:tcPr>
          <w:p w14:paraId="68A50E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二级指标</w:t>
            </w:r>
          </w:p>
        </w:tc>
        <w:tc>
          <w:tcPr>
            <w:tcW w:w="1149" w:type="dxa"/>
            <w:shd w:val="clear" w:color="auto" w:fill="auto"/>
            <w:tcMar>
              <w:top w:w="0" w:type="dxa"/>
              <w:left w:w="105" w:type="dxa"/>
              <w:bottom w:w="0" w:type="dxa"/>
              <w:right w:w="105" w:type="dxa"/>
            </w:tcMar>
            <w:vAlign w:val="center"/>
          </w:tcPr>
          <w:p w14:paraId="086E307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单位</w:t>
            </w:r>
          </w:p>
        </w:tc>
        <w:tc>
          <w:tcPr>
            <w:tcW w:w="1399" w:type="dxa"/>
            <w:shd w:val="clear" w:color="auto" w:fill="auto"/>
            <w:tcMar>
              <w:top w:w="0" w:type="dxa"/>
              <w:left w:w="105" w:type="dxa"/>
              <w:bottom w:w="0" w:type="dxa"/>
              <w:right w:w="105" w:type="dxa"/>
            </w:tcMar>
            <w:vAlign w:val="center"/>
          </w:tcPr>
          <w:p w14:paraId="5236AEE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类型</w:t>
            </w:r>
          </w:p>
        </w:tc>
      </w:tr>
      <w:tr w14:paraId="79E8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shd w:val="clear" w:color="auto" w:fill="auto"/>
            <w:noWrap/>
            <w:tcMar>
              <w:top w:w="0" w:type="dxa"/>
              <w:left w:w="105" w:type="dxa"/>
              <w:bottom w:w="0" w:type="dxa"/>
              <w:right w:w="105" w:type="dxa"/>
            </w:tcMar>
            <w:vAlign w:val="center"/>
          </w:tcPr>
          <w:p w14:paraId="09C94D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07" w:type="dxa"/>
            <w:shd w:val="clear" w:color="auto" w:fill="auto"/>
            <w:tcMar>
              <w:top w:w="0" w:type="dxa"/>
              <w:left w:w="105" w:type="dxa"/>
              <w:bottom w:w="0" w:type="dxa"/>
              <w:right w:w="105" w:type="dxa"/>
            </w:tcMar>
            <w:vAlign w:val="center"/>
          </w:tcPr>
          <w:p w14:paraId="020CD7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三级公立医院绩效考核指标</w:t>
            </w:r>
          </w:p>
        </w:tc>
        <w:tc>
          <w:tcPr>
            <w:tcW w:w="4230" w:type="dxa"/>
            <w:gridSpan w:val="2"/>
            <w:shd w:val="clear" w:color="auto" w:fill="auto"/>
            <w:tcMar>
              <w:top w:w="0" w:type="dxa"/>
              <w:left w:w="105" w:type="dxa"/>
              <w:bottom w:w="0" w:type="dxa"/>
              <w:right w:w="105" w:type="dxa"/>
            </w:tcMar>
            <w:vAlign w:val="center"/>
          </w:tcPr>
          <w:p w14:paraId="00A054B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满足《国家三级公立医院绩效监测操作手册（2025版）》所有监测指标</w:t>
            </w:r>
          </w:p>
        </w:tc>
        <w:tc>
          <w:tcPr>
            <w:tcW w:w="1149" w:type="dxa"/>
            <w:shd w:val="clear" w:color="auto" w:fill="auto"/>
            <w:tcMar>
              <w:top w:w="0" w:type="dxa"/>
              <w:left w:w="105" w:type="dxa"/>
              <w:bottom w:w="0" w:type="dxa"/>
              <w:right w:w="105" w:type="dxa"/>
            </w:tcMar>
            <w:vAlign w:val="center"/>
          </w:tcPr>
          <w:p w14:paraId="1C9440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tcMar>
              <w:top w:w="0" w:type="dxa"/>
              <w:left w:w="105" w:type="dxa"/>
              <w:bottom w:w="0" w:type="dxa"/>
              <w:right w:w="105" w:type="dxa"/>
            </w:tcMar>
            <w:vAlign w:val="center"/>
          </w:tcPr>
          <w:p w14:paraId="7B89F13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w:t>
            </w:r>
          </w:p>
        </w:tc>
      </w:tr>
      <w:tr w14:paraId="5CA8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shd w:val="clear" w:color="auto" w:fill="auto"/>
            <w:noWrap/>
            <w:tcMar>
              <w:top w:w="0" w:type="dxa"/>
              <w:left w:w="105" w:type="dxa"/>
              <w:bottom w:w="0" w:type="dxa"/>
              <w:right w:w="105" w:type="dxa"/>
            </w:tcMar>
            <w:vAlign w:val="center"/>
          </w:tcPr>
          <w:p w14:paraId="1D61B3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907" w:type="dxa"/>
            <w:shd w:val="clear" w:color="auto" w:fill="auto"/>
            <w:tcMar>
              <w:top w:w="0" w:type="dxa"/>
              <w:left w:w="105" w:type="dxa"/>
              <w:bottom w:w="0" w:type="dxa"/>
              <w:right w:w="105" w:type="dxa"/>
            </w:tcMar>
            <w:vAlign w:val="center"/>
          </w:tcPr>
          <w:p w14:paraId="7B5999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三级医院等级评审指标</w:t>
            </w:r>
          </w:p>
        </w:tc>
        <w:tc>
          <w:tcPr>
            <w:tcW w:w="4230" w:type="dxa"/>
            <w:gridSpan w:val="2"/>
            <w:shd w:val="clear" w:color="auto" w:fill="auto"/>
            <w:tcMar>
              <w:top w:w="0" w:type="dxa"/>
              <w:left w:w="105" w:type="dxa"/>
              <w:bottom w:w="0" w:type="dxa"/>
              <w:right w:w="105" w:type="dxa"/>
            </w:tcMar>
            <w:vAlign w:val="center"/>
          </w:tcPr>
          <w:p w14:paraId="15687FE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满足国家卫生健康委关于印发《三级医院评审标准（2025年版）》的通知要求（国卫医政发〔2025〕4号）所有指标</w:t>
            </w:r>
          </w:p>
        </w:tc>
        <w:tc>
          <w:tcPr>
            <w:tcW w:w="1149" w:type="dxa"/>
            <w:shd w:val="clear" w:color="auto" w:fill="auto"/>
            <w:tcMar>
              <w:top w:w="0" w:type="dxa"/>
              <w:left w:w="105" w:type="dxa"/>
              <w:bottom w:w="0" w:type="dxa"/>
              <w:right w:w="105" w:type="dxa"/>
            </w:tcMar>
            <w:vAlign w:val="center"/>
          </w:tcPr>
          <w:p w14:paraId="10155B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tcMar>
              <w:top w:w="0" w:type="dxa"/>
              <w:left w:w="105" w:type="dxa"/>
              <w:bottom w:w="0" w:type="dxa"/>
              <w:right w:w="105" w:type="dxa"/>
            </w:tcMar>
            <w:vAlign w:val="center"/>
          </w:tcPr>
          <w:p w14:paraId="47B055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w:t>
            </w:r>
          </w:p>
        </w:tc>
      </w:tr>
      <w:tr w14:paraId="2574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restart"/>
            <w:shd w:val="clear" w:color="auto" w:fill="auto"/>
            <w:noWrap/>
            <w:tcMar>
              <w:top w:w="0" w:type="dxa"/>
              <w:left w:w="105" w:type="dxa"/>
              <w:bottom w:w="0" w:type="dxa"/>
              <w:right w:w="105" w:type="dxa"/>
            </w:tcMar>
            <w:vAlign w:val="center"/>
          </w:tcPr>
          <w:p w14:paraId="7842E7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907" w:type="dxa"/>
            <w:vMerge w:val="restart"/>
            <w:shd w:val="clear" w:color="auto" w:fill="auto"/>
            <w:noWrap/>
            <w:tcMar>
              <w:top w:w="0" w:type="dxa"/>
              <w:left w:w="105" w:type="dxa"/>
              <w:bottom w:w="0" w:type="dxa"/>
              <w:right w:w="105" w:type="dxa"/>
            </w:tcMar>
            <w:vAlign w:val="center"/>
          </w:tcPr>
          <w:p w14:paraId="297B2A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省医指标</w:t>
            </w:r>
          </w:p>
        </w:tc>
        <w:tc>
          <w:tcPr>
            <w:tcW w:w="2254" w:type="dxa"/>
            <w:vMerge w:val="restart"/>
            <w:shd w:val="clear" w:color="auto" w:fill="auto"/>
            <w:tcMar>
              <w:top w:w="0" w:type="dxa"/>
              <w:left w:w="105" w:type="dxa"/>
              <w:bottom w:w="0" w:type="dxa"/>
              <w:right w:w="105" w:type="dxa"/>
            </w:tcMar>
            <w:vAlign w:val="center"/>
          </w:tcPr>
          <w:p w14:paraId="0B3430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住院收入结构</w:t>
            </w:r>
          </w:p>
        </w:tc>
        <w:tc>
          <w:tcPr>
            <w:tcW w:w="1976" w:type="dxa"/>
            <w:shd w:val="clear" w:color="auto" w:fill="auto"/>
            <w:tcMar>
              <w:top w:w="0" w:type="dxa"/>
              <w:left w:w="105" w:type="dxa"/>
              <w:bottom w:w="0" w:type="dxa"/>
              <w:right w:w="105" w:type="dxa"/>
            </w:tcMar>
            <w:vAlign w:val="center"/>
          </w:tcPr>
          <w:p w14:paraId="3217E0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住院次均费用(元)</w:t>
            </w:r>
          </w:p>
        </w:tc>
        <w:tc>
          <w:tcPr>
            <w:tcW w:w="1149" w:type="dxa"/>
            <w:shd w:val="clear" w:color="auto" w:fill="auto"/>
            <w:noWrap/>
            <w:tcMar>
              <w:top w:w="0" w:type="dxa"/>
              <w:left w:w="105" w:type="dxa"/>
              <w:bottom w:w="0" w:type="dxa"/>
              <w:right w:w="105" w:type="dxa"/>
            </w:tcMar>
            <w:vAlign w:val="center"/>
          </w:tcPr>
          <w:p w14:paraId="0131A8B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1D49D0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6B68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1C83D6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D2546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CE926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A6D06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1.出院患者住院费用（住院收入）</w:t>
            </w:r>
          </w:p>
        </w:tc>
        <w:tc>
          <w:tcPr>
            <w:tcW w:w="1149" w:type="dxa"/>
            <w:shd w:val="clear" w:color="auto" w:fill="auto"/>
            <w:noWrap/>
            <w:tcMar>
              <w:top w:w="0" w:type="dxa"/>
              <w:left w:w="105" w:type="dxa"/>
              <w:bottom w:w="0" w:type="dxa"/>
              <w:right w:w="105" w:type="dxa"/>
            </w:tcMar>
            <w:vAlign w:val="center"/>
          </w:tcPr>
          <w:p w14:paraId="2673850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90013D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2033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FC407A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A93C8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C16E6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A2E30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2.出院人次数</w:t>
            </w:r>
          </w:p>
        </w:tc>
        <w:tc>
          <w:tcPr>
            <w:tcW w:w="1149" w:type="dxa"/>
            <w:shd w:val="clear" w:color="auto" w:fill="auto"/>
            <w:noWrap/>
            <w:tcMar>
              <w:top w:w="0" w:type="dxa"/>
              <w:left w:w="105" w:type="dxa"/>
              <w:bottom w:w="0" w:type="dxa"/>
              <w:right w:w="105" w:type="dxa"/>
            </w:tcMar>
            <w:vAlign w:val="center"/>
          </w:tcPr>
          <w:p w14:paraId="410D1D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4DEABD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2A6DE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C1A0D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8B8C9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9C68C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B3160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住院病人次均药品费用占比</w:t>
            </w:r>
          </w:p>
        </w:tc>
        <w:tc>
          <w:tcPr>
            <w:tcW w:w="1149" w:type="dxa"/>
            <w:shd w:val="clear" w:color="auto" w:fill="auto"/>
            <w:noWrap/>
            <w:tcMar>
              <w:top w:w="0" w:type="dxa"/>
              <w:left w:w="105" w:type="dxa"/>
              <w:bottom w:w="0" w:type="dxa"/>
              <w:right w:w="105" w:type="dxa"/>
            </w:tcMar>
            <w:vAlign w:val="center"/>
          </w:tcPr>
          <w:p w14:paraId="11DA24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21AA96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5FA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BD500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6AA83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775F0D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88FA3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1.住院病人次均药品费用</w:t>
            </w:r>
          </w:p>
        </w:tc>
        <w:tc>
          <w:tcPr>
            <w:tcW w:w="1149" w:type="dxa"/>
            <w:shd w:val="clear" w:color="auto" w:fill="auto"/>
            <w:noWrap/>
            <w:tcMar>
              <w:top w:w="0" w:type="dxa"/>
              <w:left w:w="105" w:type="dxa"/>
              <w:bottom w:w="0" w:type="dxa"/>
              <w:right w:w="105" w:type="dxa"/>
            </w:tcMar>
            <w:vAlign w:val="center"/>
          </w:tcPr>
          <w:p w14:paraId="337DD4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0E0123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3BED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EC8B5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E15E4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48E41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DB4B7F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2.住院次均费用</w:t>
            </w:r>
          </w:p>
        </w:tc>
        <w:tc>
          <w:tcPr>
            <w:tcW w:w="1149" w:type="dxa"/>
            <w:shd w:val="clear" w:color="auto" w:fill="auto"/>
            <w:noWrap/>
            <w:tcMar>
              <w:top w:w="0" w:type="dxa"/>
              <w:left w:w="105" w:type="dxa"/>
              <w:bottom w:w="0" w:type="dxa"/>
              <w:right w:w="105" w:type="dxa"/>
            </w:tcMar>
            <w:vAlign w:val="center"/>
          </w:tcPr>
          <w:p w14:paraId="203511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7A7D87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4BE63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111CB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EABD5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496F4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D0C92A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住院病人次均耗材费用占比</w:t>
            </w:r>
          </w:p>
        </w:tc>
        <w:tc>
          <w:tcPr>
            <w:tcW w:w="1149" w:type="dxa"/>
            <w:shd w:val="clear" w:color="auto" w:fill="auto"/>
            <w:noWrap/>
            <w:tcMar>
              <w:top w:w="0" w:type="dxa"/>
              <w:left w:w="105" w:type="dxa"/>
              <w:bottom w:w="0" w:type="dxa"/>
              <w:right w:w="105" w:type="dxa"/>
            </w:tcMar>
            <w:vAlign w:val="center"/>
          </w:tcPr>
          <w:p w14:paraId="280547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139797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501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39D63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FCC56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61962A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8F65E3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1.住院病人次均耗材费用</w:t>
            </w:r>
          </w:p>
        </w:tc>
        <w:tc>
          <w:tcPr>
            <w:tcW w:w="1149" w:type="dxa"/>
            <w:shd w:val="clear" w:color="auto" w:fill="auto"/>
            <w:noWrap/>
            <w:tcMar>
              <w:top w:w="0" w:type="dxa"/>
              <w:left w:w="105" w:type="dxa"/>
              <w:bottom w:w="0" w:type="dxa"/>
              <w:right w:w="105" w:type="dxa"/>
            </w:tcMar>
            <w:vAlign w:val="center"/>
          </w:tcPr>
          <w:p w14:paraId="33B748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E0AE7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0EDD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FF335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827054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A0030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D19F7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2.住院次均费用</w:t>
            </w:r>
          </w:p>
        </w:tc>
        <w:tc>
          <w:tcPr>
            <w:tcW w:w="1149" w:type="dxa"/>
            <w:shd w:val="clear" w:color="auto" w:fill="auto"/>
            <w:noWrap/>
            <w:tcMar>
              <w:top w:w="0" w:type="dxa"/>
              <w:left w:w="105" w:type="dxa"/>
              <w:bottom w:w="0" w:type="dxa"/>
              <w:right w:w="105" w:type="dxa"/>
            </w:tcMar>
            <w:vAlign w:val="center"/>
          </w:tcPr>
          <w:p w14:paraId="785F68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643C84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1EBF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2ADCE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B9D4CC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BB2FB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53E80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住院收入</w:t>
            </w:r>
          </w:p>
        </w:tc>
        <w:tc>
          <w:tcPr>
            <w:tcW w:w="1149" w:type="dxa"/>
            <w:shd w:val="clear" w:color="auto" w:fill="auto"/>
            <w:noWrap/>
            <w:tcMar>
              <w:top w:w="0" w:type="dxa"/>
              <w:left w:w="105" w:type="dxa"/>
              <w:bottom w:w="0" w:type="dxa"/>
              <w:right w:w="105" w:type="dxa"/>
            </w:tcMar>
            <w:vAlign w:val="center"/>
          </w:tcPr>
          <w:p w14:paraId="2BAF54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万元</w:t>
            </w:r>
          </w:p>
        </w:tc>
        <w:tc>
          <w:tcPr>
            <w:tcW w:w="1399" w:type="dxa"/>
            <w:shd w:val="clear" w:color="auto" w:fill="auto"/>
            <w:noWrap/>
            <w:tcMar>
              <w:top w:w="0" w:type="dxa"/>
              <w:left w:w="105" w:type="dxa"/>
              <w:bottom w:w="0" w:type="dxa"/>
              <w:right w:w="105" w:type="dxa"/>
            </w:tcMar>
            <w:vAlign w:val="center"/>
          </w:tcPr>
          <w:p w14:paraId="3B68F6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3F2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9EB8DF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6489E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494A1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41340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住院有效收入</w:t>
            </w:r>
          </w:p>
        </w:tc>
        <w:tc>
          <w:tcPr>
            <w:tcW w:w="1149" w:type="dxa"/>
            <w:shd w:val="clear" w:color="auto" w:fill="auto"/>
            <w:noWrap/>
            <w:tcMar>
              <w:top w:w="0" w:type="dxa"/>
              <w:left w:w="105" w:type="dxa"/>
              <w:bottom w:w="0" w:type="dxa"/>
              <w:right w:w="105" w:type="dxa"/>
            </w:tcMar>
            <w:vAlign w:val="center"/>
          </w:tcPr>
          <w:p w14:paraId="12E1391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万元</w:t>
            </w:r>
          </w:p>
        </w:tc>
        <w:tc>
          <w:tcPr>
            <w:tcW w:w="1399" w:type="dxa"/>
            <w:shd w:val="clear" w:color="auto" w:fill="auto"/>
            <w:noWrap/>
            <w:tcMar>
              <w:top w:w="0" w:type="dxa"/>
              <w:left w:w="105" w:type="dxa"/>
              <w:bottom w:w="0" w:type="dxa"/>
              <w:right w:w="105" w:type="dxa"/>
            </w:tcMar>
            <w:vAlign w:val="center"/>
          </w:tcPr>
          <w:p w14:paraId="5F8CEC2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358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A548E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DD34C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4A59B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F7A23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住院有效收入占比</w:t>
            </w:r>
          </w:p>
        </w:tc>
        <w:tc>
          <w:tcPr>
            <w:tcW w:w="1149" w:type="dxa"/>
            <w:shd w:val="clear" w:color="auto" w:fill="auto"/>
            <w:noWrap/>
            <w:tcMar>
              <w:top w:w="0" w:type="dxa"/>
              <w:left w:w="105" w:type="dxa"/>
              <w:bottom w:w="0" w:type="dxa"/>
              <w:right w:w="105" w:type="dxa"/>
            </w:tcMar>
            <w:vAlign w:val="center"/>
          </w:tcPr>
          <w:p w14:paraId="666F71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314E0E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B44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51ADF7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5EC9C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D42DFD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9DAF34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住院医疗服务收入</w:t>
            </w:r>
          </w:p>
        </w:tc>
        <w:tc>
          <w:tcPr>
            <w:tcW w:w="1149" w:type="dxa"/>
            <w:shd w:val="clear" w:color="auto" w:fill="auto"/>
            <w:noWrap/>
            <w:tcMar>
              <w:top w:w="0" w:type="dxa"/>
              <w:left w:w="105" w:type="dxa"/>
              <w:bottom w:w="0" w:type="dxa"/>
              <w:right w:w="105" w:type="dxa"/>
            </w:tcMar>
            <w:vAlign w:val="center"/>
          </w:tcPr>
          <w:p w14:paraId="300CF6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万元</w:t>
            </w:r>
          </w:p>
        </w:tc>
        <w:tc>
          <w:tcPr>
            <w:tcW w:w="1399" w:type="dxa"/>
            <w:shd w:val="clear" w:color="auto" w:fill="auto"/>
            <w:noWrap/>
            <w:tcMar>
              <w:top w:w="0" w:type="dxa"/>
              <w:left w:w="105" w:type="dxa"/>
              <w:bottom w:w="0" w:type="dxa"/>
              <w:right w:w="105" w:type="dxa"/>
            </w:tcMar>
            <w:vAlign w:val="center"/>
          </w:tcPr>
          <w:p w14:paraId="33106A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E7F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31235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F25F6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186C3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6AAC4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住院医疗服务收入占比</w:t>
            </w:r>
          </w:p>
        </w:tc>
        <w:tc>
          <w:tcPr>
            <w:tcW w:w="1149" w:type="dxa"/>
            <w:shd w:val="clear" w:color="auto" w:fill="auto"/>
            <w:noWrap/>
            <w:tcMar>
              <w:top w:w="0" w:type="dxa"/>
              <w:left w:w="105" w:type="dxa"/>
              <w:bottom w:w="0" w:type="dxa"/>
              <w:right w:w="105" w:type="dxa"/>
            </w:tcMar>
            <w:vAlign w:val="center"/>
          </w:tcPr>
          <w:p w14:paraId="470223C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2C80A5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E61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E3D84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A51D4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23D49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3B4B1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住院次均无药无耗费用</w:t>
            </w:r>
          </w:p>
        </w:tc>
        <w:tc>
          <w:tcPr>
            <w:tcW w:w="1149" w:type="dxa"/>
            <w:shd w:val="clear" w:color="auto" w:fill="auto"/>
            <w:noWrap/>
            <w:tcMar>
              <w:top w:w="0" w:type="dxa"/>
              <w:left w:w="105" w:type="dxa"/>
              <w:bottom w:w="0" w:type="dxa"/>
              <w:right w:w="105" w:type="dxa"/>
            </w:tcMar>
            <w:vAlign w:val="center"/>
          </w:tcPr>
          <w:p w14:paraId="58BA01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0DCE0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238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C2445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20EFC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94DF05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F839FE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住院床日均有效收入</w:t>
            </w:r>
          </w:p>
        </w:tc>
        <w:tc>
          <w:tcPr>
            <w:tcW w:w="1149" w:type="dxa"/>
            <w:shd w:val="clear" w:color="auto" w:fill="auto"/>
            <w:noWrap/>
            <w:tcMar>
              <w:top w:w="0" w:type="dxa"/>
              <w:left w:w="105" w:type="dxa"/>
              <w:bottom w:w="0" w:type="dxa"/>
              <w:right w:w="105" w:type="dxa"/>
            </w:tcMar>
            <w:vAlign w:val="center"/>
          </w:tcPr>
          <w:p w14:paraId="783CFC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23C87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750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93356E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B63EE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9C94E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3227C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药品费</w:t>
            </w:r>
          </w:p>
        </w:tc>
        <w:tc>
          <w:tcPr>
            <w:tcW w:w="1149" w:type="dxa"/>
            <w:shd w:val="clear" w:color="auto" w:fill="auto"/>
            <w:noWrap/>
            <w:tcMar>
              <w:top w:w="0" w:type="dxa"/>
              <w:left w:w="105" w:type="dxa"/>
              <w:bottom w:w="0" w:type="dxa"/>
              <w:right w:w="105" w:type="dxa"/>
            </w:tcMar>
            <w:vAlign w:val="center"/>
          </w:tcPr>
          <w:p w14:paraId="467E35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676968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1B7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9D073D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C1634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291D9B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40D07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耗材费</w:t>
            </w:r>
          </w:p>
        </w:tc>
        <w:tc>
          <w:tcPr>
            <w:tcW w:w="1149" w:type="dxa"/>
            <w:shd w:val="clear" w:color="auto" w:fill="auto"/>
            <w:noWrap/>
            <w:tcMar>
              <w:top w:w="0" w:type="dxa"/>
              <w:left w:w="105" w:type="dxa"/>
              <w:bottom w:w="0" w:type="dxa"/>
              <w:right w:w="105" w:type="dxa"/>
            </w:tcMar>
            <w:vAlign w:val="center"/>
          </w:tcPr>
          <w:p w14:paraId="19FB784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0937F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D0D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7C0257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0F74E6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07303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41FA9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医疗服务收入</w:t>
            </w:r>
          </w:p>
        </w:tc>
        <w:tc>
          <w:tcPr>
            <w:tcW w:w="1149" w:type="dxa"/>
            <w:shd w:val="clear" w:color="auto" w:fill="auto"/>
            <w:noWrap/>
            <w:tcMar>
              <w:top w:w="0" w:type="dxa"/>
              <w:left w:w="105" w:type="dxa"/>
              <w:bottom w:w="0" w:type="dxa"/>
              <w:right w:w="105" w:type="dxa"/>
            </w:tcMar>
            <w:vAlign w:val="center"/>
          </w:tcPr>
          <w:p w14:paraId="0067AD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A14D3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212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EF0F9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5DC2D7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6243E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0FD08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检查检验收入</w:t>
            </w:r>
          </w:p>
        </w:tc>
        <w:tc>
          <w:tcPr>
            <w:tcW w:w="1149" w:type="dxa"/>
            <w:shd w:val="clear" w:color="auto" w:fill="auto"/>
            <w:noWrap/>
            <w:tcMar>
              <w:top w:w="0" w:type="dxa"/>
              <w:left w:w="105" w:type="dxa"/>
              <w:bottom w:w="0" w:type="dxa"/>
              <w:right w:w="105" w:type="dxa"/>
            </w:tcMar>
            <w:vAlign w:val="center"/>
          </w:tcPr>
          <w:p w14:paraId="2861BB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B92BB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87A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374B5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251B4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7FF6D0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资源配置</w:t>
            </w:r>
          </w:p>
        </w:tc>
        <w:tc>
          <w:tcPr>
            <w:tcW w:w="1976" w:type="dxa"/>
            <w:shd w:val="clear" w:color="auto" w:fill="auto"/>
            <w:tcMar>
              <w:top w:w="0" w:type="dxa"/>
              <w:left w:w="105" w:type="dxa"/>
              <w:bottom w:w="0" w:type="dxa"/>
              <w:right w:w="105" w:type="dxa"/>
            </w:tcMar>
            <w:vAlign w:val="center"/>
          </w:tcPr>
          <w:p w14:paraId="588423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开放床位数</w:t>
            </w:r>
          </w:p>
        </w:tc>
        <w:tc>
          <w:tcPr>
            <w:tcW w:w="1149" w:type="dxa"/>
            <w:shd w:val="clear" w:color="auto" w:fill="auto"/>
            <w:noWrap/>
            <w:tcMar>
              <w:top w:w="0" w:type="dxa"/>
              <w:left w:w="105" w:type="dxa"/>
              <w:bottom w:w="0" w:type="dxa"/>
              <w:right w:w="105" w:type="dxa"/>
            </w:tcMar>
            <w:vAlign w:val="center"/>
          </w:tcPr>
          <w:p w14:paraId="422009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张</w:t>
            </w:r>
          </w:p>
        </w:tc>
        <w:tc>
          <w:tcPr>
            <w:tcW w:w="1399" w:type="dxa"/>
            <w:shd w:val="clear" w:color="auto" w:fill="auto"/>
            <w:noWrap/>
            <w:tcMar>
              <w:top w:w="0" w:type="dxa"/>
              <w:left w:w="105" w:type="dxa"/>
              <w:bottom w:w="0" w:type="dxa"/>
              <w:right w:w="105" w:type="dxa"/>
            </w:tcMar>
            <w:vAlign w:val="center"/>
          </w:tcPr>
          <w:p w14:paraId="09181A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F62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678EB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C9037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2950C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90E95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在职医师人数</w:t>
            </w:r>
          </w:p>
        </w:tc>
        <w:tc>
          <w:tcPr>
            <w:tcW w:w="1149" w:type="dxa"/>
            <w:shd w:val="clear" w:color="auto" w:fill="auto"/>
            <w:noWrap/>
            <w:tcMar>
              <w:top w:w="0" w:type="dxa"/>
              <w:left w:w="105" w:type="dxa"/>
              <w:bottom w:w="0" w:type="dxa"/>
              <w:right w:w="105" w:type="dxa"/>
            </w:tcMar>
            <w:vAlign w:val="center"/>
          </w:tcPr>
          <w:p w14:paraId="187EF7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w:t>
            </w:r>
          </w:p>
        </w:tc>
        <w:tc>
          <w:tcPr>
            <w:tcW w:w="1399" w:type="dxa"/>
            <w:shd w:val="clear" w:color="auto" w:fill="auto"/>
            <w:noWrap/>
            <w:tcMar>
              <w:top w:w="0" w:type="dxa"/>
              <w:left w:w="105" w:type="dxa"/>
              <w:bottom w:w="0" w:type="dxa"/>
              <w:right w:w="105" w:type="dxa"/>
            </w:tcMar>
            <w:vAlign w:val="center"/>
          </w:tcPr>
          <w:p w14:paraId="69CE96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97B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DA325B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6B9AC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E8181A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317F50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在职护士人数</w:t>
            </w:r>
          </w:p>
        </w:tc>
        <w:tc>
          <w:tcPr>
            <w:tcW w:w="1149" w:type="dxa"/>
            <w:shd w:val="clear" w:color="auto" w:fill="auto"/>
            <w:noWrap/>
            <w:tcMar>
              <w:top w:w="0" w:type="dxa"/>
              <w:left w:w="105" w:type="dxa"/>
              <w:bottom w:w="0" w:type="dxa"/>
              <w:right w:w="105" w:type="dxa"/>
            </w:tcMar>
            <w:vAlign w:val="center"/>
          </w:tcPr>
          <w:p w14:paraId="47845F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w:t>
            </w:r>
          </w:p>
        </w:tc>
        <w:tc>
          <w:tcPr>
            <w:tcW w:w="1399" w:type="dxa"/>
            <w:shd w:val="clear" w:color="auto" w:fill="auto"/>
            <w:noWrap/>
            <w:tcMar>
              <w:top w:w="0" w:type="dxa"/>
              <w:left w:w="105" w:type="dxa"/>
              <w:bottom w:w="0" w:type="dxa"/>
              <w:right w:w="105" w:type="dxa"/>
            </w:tcMar>
            <w:vAlign w:val="center"/>
          </w:tcPr>
          <w:p w14:paraId="15FEDC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FE8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0F1D8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977733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1F728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AE24C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医护比</w:t>
            </w:r>
          </w:p>
        </w:tc>
        <w:tc>
          <w:tcPr>
            <w:tcW w:w="1149" w:type="dxa"/>
            <w:shd w:val="clear" w:color="auto" w:fill="auto"/>
            <w:noWrap/>
            <w:tcMar>
              <w:top w:w="0" w:type="dxa"/>
              <w:left w:w="105" w:type="dxa"/>
              <w:bottom w:w="0" w:type="dxa"/>
              <w:right w:w="105" w:type="dxa"/>
            </w:tcMar>
            <w:vAlign w:val="center"/>
          </w:tcPr>
          <w:p w14:paraId="478AE5E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比值</w:t>
            </w:r>
          </w:p>
        </w:tc>
        <w:tc>
          <w:tcPr>
            <w:tcW w:w="1399" w:type="dxa"/>
            <w:shd w:val="clear" w:color="auto" w:fill="auto"/>
            <w:noWrap/>
            <w:tcMar>
              <w:top w:w="0" w:type="dxa"/>
              <w:left w:w="105" w:type="dxa"/>
              <w:bottom w:w="0" w:type="dxa"/>
              <w:right w:w="105" w:type="dxa"/>
            </w:tcMar>
            <w:vAlign w:val="center"/>
          </w:tcPr>
          <w:p w14:paraId="4FBE5E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297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42EA7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2A9CE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560CE0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门诊工作量</w:t>
            </w:r>
          </w:p>
        </w:tc>
        <w:tc>
          <w:tcPr>
            <w:tcW w:w="1976" w:type="dxa"/>
            <w:shd w:val="clear" w:color="auto" w:fill="auto"/>
            <w:tcMar>
              <w:top w:w="0" w:type="dxa"/>
              <w:left w:w="105" w:type="dxa"/>
              <w:bottom w:w="0" w:type="dxa"/>
              <w:right w:w="105" w:type="dxa"/>
            </w:tcMar>
            <w:vAlign w:val="center"/>
          </w:tcPr>
          <w:p w14:paraId="6EDC98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实际出诊诊次</w:t>
            </w:r>
          </w:p>
        </w:tc>
        <w:tc>
          <w:tcPr>
            <w:tcW w:w="1149" w:type="dxa"/>
            <w:shd w:val="clear" w:color="auto" w:fill="auto"/>
            <w:noWrap/>
            <w:tcMar>
              <w:top w:w="0" w:type="dxa"/>
              <w:left w:w="105" w:type="dxa"/>
              <w:bottom w:w="0" w:type="dxa"/>
              <w:right w:w="105" w:type="dxa"/>
            </w:tcMar>
            <w:vAlign w:val="center"/>
          </w:tcPr>
          <w:p w14:paraId="437EA0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89570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5E0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B368FF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76C21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E174D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35843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实际挂号总量</w:t>
            </w:r>
          </w:p>
        </w:tc>
        <w:tc>
          <w:tcPr>
            <w:tcW w:w="1149" w:type="dxa"/>
            <w:shd w:val="clear" w:color="auto" w:fill="auto"/>
            <w:noWrap/>
            <w:tcMar>
              <w:top w:w="0" w:type="dxa"/>
              <w:left w:w="105" w:type="dxa"/>
              <w:bottom w:w="0" w:type="dxa"/>
              <w:right w:w="105" w:type="dxa"/>
            </w:tcMar>
            <w:vAlign w:val="center"/>
          </w:tcPr>
          <w:p w14:paraId="6EB9002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2E84C7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02E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F68CA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3E2D8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274F7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8230F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门诊号源使用率</w:t>
            </w:r>
          </w:p>
        </w:tc>
        <w:tc>
          <w:tcPr>
            <w:tcW w:w="1149" w:type="dxa"/>
            <w:shd w:val="clear" w:color="auto" w:fill="auto"/>
            <w:noWrap/>
            <w:tcMar>
              <w:top w:w="0" w:type="dxa"/>
              <w:left w:w="105" w:type="dxa"/>
              <w:bottom w:w="0" w:type="dxa"/>
              <w:right w:w="105" w:type="dxa"/>
            </w:tcMar>
            <w:vAlign w:val="center"/>
          </w:tcPr>
          <w:p w14:paraId="481932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1E7EE2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BCE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F06E6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DB58E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0B9CB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CCB1B3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1.实际挂号量</w:t>
            </w:r>
          </w:p>
        </w:tc>
        <w:tc>
          <w:tcPr>
            <w:tcW w:w="1149" w:type="dxa"/>
            <w:shd w:val="clear" w:color="auto" w:fill="auto"/>
            <w:noWrap/>
            <w:tcMar>
              <w:top w:w="0" w:type="dxa"/>
              <w:left w:w="105" w:type="dxa"/>
              <w:bottom w:w="0" w:type="dxa"/>
              <w:right w:w="105" w:type="dxa"/>
            </w:tcMar>
            <w:vAlign w:val="center"/>
          </w:tcPr>
          <w:p w14:paraId="0989397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2E3BB2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07E1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FBB890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F159C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5A9ED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02F7F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2.排班号源总量</w:t>
            </w:r>
          </w:p>
        </w:tc>
        <w:tc>
          <w:tcPr>
            <w:tcW w:w="1149" w:type="dxa"/>
            <w:shd w:val="clear" w:color="auto" w:fill="auto"/>
            <w:noWrap/>
            <w:tcMar>
              <w:top w:w="0" w:type="dxa"/>
              <w:left w:w="105" w:type="dxa"/>
              <w:bottom w:w="0" w:type="dxa"/>
              <w:right w:w="105" w:type="dxa"/>
            </w:tcMar>
            <w:vAlign w:val="center"/>
          </w:tcPr>
          <w:p w14:paraId="67E1DE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61BB9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6880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C4000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735F80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76C32B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B603DD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门诊人次数与出院人次数比</w:t>
            </w:r>
          </w:p>
        </w:tc>
        <w:tc>
          <w:tcPr>
            <w:tcW w:w="1149" w:type="dxa"/>
            <w:shd w:val="clear" w:color="auto" w:fill="auto"/>
            <w:noWrap/>
            <w:tcMar>
              <w:top w:w="0" w:type="dxa"/>
              <w:left w:w="105" w:type="dxa"/>
              <w:bottom w:w="0" w:type="dxa"/>
              <w:right w:w="105" w:type="dxa"/>
            </w:tcMar>
            <w:vAlign w:val="center"/>
          </w:tcPr>
          <w:p w14:paraId="5604D9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比值</w:t>
            </w:r>
          </w:p>
        </w:tc>
        <w:tc>
          <w:tcPr>
            <w:tcW w:w="1399" w:type="dxa"/>
            <w:shd w:val="clear" w:color="auto" w:fill="auto"/>
            <w:noWrap/>
            <w:tcMar>
              <w:top w:w="0" w:type="dxa"/>
              <w:left w:w="105" w:type="dxa"/>
              <w:bottom w:w="0" w:type="dxa"/>
              <w:right w:w="105" w:type="dxa"/>
            </w:tcMar>
            <w:vAlign w:val="center"/>
          </w:tcPr>
          <w:p w14:paraId="4C6C5B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7DC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044A5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B089EB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FC64F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F1A82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1.门诊人次数</w:t>
            </w:r>
          </w:p>
        </w:tc>
        <w:tc>
          <w:tcPr>
            <w:tcW w:w="1149" w:type="dxa"/>
            <w:shd w:val="clear" w:color="auto" w:fill="auto"/>
            <w:noWrap/>
            <w:tcMar>
              <w:top w:w="0" w:type="dxa"/>
              <w:left w:w="105" w:type="dxa"/>
              <w:bottom w:w="0" w:type="dxa"/>
              <w:right w:w="105" w:type="dxa"/>
            </w:tcMar>
            <w:vAlign w:val="center"/>
          </w:tcPr>
          <w:p w14:paraId="69B312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46944B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7805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F6700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AB788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2DE8C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537FD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2.出院人次数(病案)</w:t>
            </w:r>
          </w:p>
        </w:tc>
        <w:tc>
          <w:tcPr>
            <w:tcW w:w="1149" w:type="dxa"/>
            <w:shd w:val="clear" w:color="auto" w:fill="auto"/>
            <w:noWrap/>
            <w:tcMar>
              <w:top w:w="0" w:type="dxa"/>
              <w:left w:w="105" w:type="dxa"/>
              <w:bottom w:w="0" w:type="dxa"/>
              <w:right w:w="105" w:type="dxa"/>
            </w:tcMar>
            <w:vAlign w:val="center"/>
          </w:tcPr>
          <w:p w14:paraId="3D6095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B1D3B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5EC1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779BB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3A99B9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9A870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776512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【实际挂号量】-专科门诊</w:t>
            </w:r>
          </w:p>
        </w:tc>
        <w:tc>
          <w:tcPr>
            <w:tcW w:w="1149" w:type="dxa"/>
            <w:shd w:val="clear" w:color="auto" w:fill="auto"/>
            <w:noWrap/>
            <w:tcMar>
              <w:top w:w="0" w:type="dxa"/>
              <w:left w:w="105" w:type="dxa"/>
              <w:bottom w:w="0" w:type="dxa"/>
              <w:right w:w="105" w:type="dxa"/>
            </w:tcMar>
            <w:vAlign w:val="center"/>
          </w:tcPr>
          <w:p w14:paraId="5C31F3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2EE796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2E5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52658F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93286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55A362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114AA0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【实际挂号量】-门特</w:t>
            </w:r>
          </w:p>
        </w:tc>
        <w:tc>
          <w:tcPr>
            <w:tcW w:w="1149" w:type="dxa"/>
            <w:shd w:val="clear" w:color="auto" w:fill="auto"/>
            <w:noWrap/>
            <w:tcMar>
              <w:top w:w="0" w:type="dxa"/>
              <w:left w:w="105" w:type="dxa"/>
              <w:bottom w:w="0" w:type="dxa"/>
              <w:right w:w="105" w:type="dxa"/>
            </w:tcMar>
            <w:vAlign w:val="center"/>
          </w:tcPr>
          <w:p w14:paraId="56C727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6997E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84A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722D9F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0359E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9ED6F2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5F25B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平均每诊挂号量</w:t>
            </w:r>
          </w:p>
        </w:tc>
        <w:tc>
          <w:tcPr>
            <w:tcW w:w="1149" w:type="dxa"/>
            <w:shd w:val="clear" w:color="auto" w:fill="auto"/>
            <w:noWrap/>
            <w:tcMar>
              <w:top w:w="0" w:type="dxa"/>
              <w:left w:w="105" w:type="dxa"/>
              <w:bottom w:w="0" w:type="dxa"/>
              <w:right w:w="105" w:type="dxa"/>
            </w:tcMar>
            <w:vAlign w:val="center"/>
          </w:tcPr>
          <w:p w14:paraId="6FFF66E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57FF02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60E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255D1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DA782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6AE9E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5F4BF2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特需挂号总量</w:t>
            </w:r>
          </w:p>
        </w:tc>
        <w:tc>
          <w:tcPr>
            <w:tcW w:w="1149" w:type="dxa"/>
            <w:shd w:val="clear" w:color="auto" w:fill="auto"/>
            <w:noWrap/>
            <w:tcMar>
              <w:top w:w="0" w:type="dxa"/>
              <w:left w:w="105" w:type="dxa"/>
              <w:bottom w:w="0" w:type="dxa"/>
              <w:right w:w="105" w:type="dxa"/>
            </w:tcMar>
            <w:vAlign w:val="center"/>
          </w:tcPr>
          <w:p w14:paraId="166CA2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5C6D44C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D38E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EFC6D4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51C4F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655A091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住院工作量</w:t>
            </w:r>
          </w:p>
          <w:p w14:paraId="658FBA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及难度</w:t>
            </w:r>
          </w:p>
        </w:tc>
        <w:tc>
          <w:tcPr>
            <w:tcW w:w="1976" w:type="dxa"/>
            <w:shd w:val="clear" w:color="auto" w:fill="auto"/>
            <w:tcMar>
              <w:top w:w="0" w:type="dxa"/>
              <w:left w:w="105" w:type="dxa"/>
              <w:bottom w:w="0" w:type="dxa"/>
              <w:right w:w="105" w:type="dxa"/>
            </w:tcMar>
            <w:vAlign w:val="center"/>
          </w:tcPr>
          <w:p w14:paraId="5D221B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出院人次</w:t>
            </w:r>
          </w:p>
        </w:tc>
        <w:tc>
          <w:tcPr>
            <w:tcW w:w="1149" w:type="dxa"/>
            <w:shd w:val="clear" w:color="auto" w:fill="auto"/>
            <w:noWrap/>
            <w:tcMar>
              <w:top w:w="0" w:type="dxa"/>
              <w:left w:w="105" w:type="dxa"/>
              <w:bottom w:w="0" w:type="dxa"/>
              <w:right w:w="105" w:type="dxa"/>
            </w:tcMar>
            <w:vAlign w:val="center"/>
          </w:tcPr>
          <w:p w14:paraId="67EEB5A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5FD52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D6F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55C7B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AC9C9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E516F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DA05A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病组数</w:t>
            </w:r>
          </w:p>
        </w:tc>
        <w:tc>
          <w:tcPr>
            <w:tcW w:w="1149" w:type="dxa"/>
            <w:shd w:val="clear" w:color="auto" w:fill="auto"/>
            <w:noWrap/>
            <w:tcMar>
              <w:top w:w="0" w:type="dxa"/>
              <w:left w:w="105" w:type="dxa"/>
              <w:bottom w:w="0" w:type="dxa"/>
              <w:right w:w="105" w:type="dxa"/>
            </w:tcMar>
            <w:vAlign w:val="center"/>
          </w:tcPr>
          <w:p w14:paraId="674728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个</w:t>
            </w:r>
          </w:p>
        </w:tc>
        <w:tc>
          <w:tcPr>
            <w:tcW w:w="1399" w:type="dxa"/>
            <w:shd w:val="clear" w:color="auto" w:fill="auto"/>
            <w:noWrap/>
            <w:tcMar>
              <w:top w:w="0" w:type="dxa"/>
              <w:left w:w="105" w:type="dxa"/>
              <w:bottom w:w="0" w:type="dxa"/>
              <w:right w:w="105" w:type="dxa"/>
            </w:tcMar>
            <w:vAlign w:val="center"/>
          </w:tcPr>
          <w:p w14:paraId="3E66A2E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21B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6ACEF1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6D05B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98BD0B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CBA3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CMI</w:t>
            </w:r>
          </w:p>
        </w:tc>
        <w:tc>
          <w:tcPr>
            <w:tcW w:w="1149" w:type="dxa"/>
            <w:shd w:val="clear" w:color="auto" w:fill="auto"/>
            <w:noWrap/>
            <w:tcMar>
              <w:top w:w="0" w:type="dxa"/>
              <w:left w:w="105" w:type="dxa"/>
              <w:bottom w:w="0" w:type="dxa"/>
              <w:right w:w="105" w:type="dxa"/>
            </w:tcMar>
            <w:vAlign w:val="center"/>
          </w:tcPr>
          <w:p w14:paraId="7FAAAB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8C913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AEC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BEA21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54282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4EEF4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8F842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RW≥2占比</w:t>
            </w:r>
          </w:p>
        </w:tc>
        <w:tc>
          <w:tcPr>
            <w:tcW w:w="1149" w:type="dxa"/>
            <w:shd w:val="clear" w:color="auto" w:fill="auto"/>
            <w:noWrap/>
            <w:tcMar>
              <w:top w:w="0" w:type="dxa"/>
              <w:left w:w="105" w:type="dxa"/>
              <w:bottom w:w="0" w:type="dxa"/>
              <w:right w:w="105" w:type="dxa"/>
            </w:tcMar>
            <w:vAlign w:val="center"/>
          </w:tcPr>
          <w:p w14:paraId="3D2126D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73BAA24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E78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C2B57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92327F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5E9B1A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重要手术指标</w:t>
            </w:r>
          </w:p>
        </w:tc>
        <w:tc>
          <w:tcPr>
            <w:tcW w:w="1976" w:type="dxa"/>
            <w:shd w:val="clear" w:color="auto" w:fill="auto"/>
            <w:tcMar>
              <w:top w:w="0" w:type="dxa"/>
              <w:left w:w="105" w:type="dxa"/>
              <w:bottom w:w="0" w:type="dxa"/>
              <w:right w:w="105" w:type="dxa"/>
            </w:tcMar>
            <w:vAlign w:val="center"/>
          </w:tcPr>
          <w:p w14:paraId="32A3B70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手术人次</w:t>
            </w:r>
          </w:p>
        </w:tc>
        <w:tc>
          <w:tcPr>
            <w:tcW w:w="1149" w:type="dxa"/>
            <w:shd w:val="clear" w:color="auto" w:fill="auto"/>
            <w:noWrap/>
            <w:tcMar>
              <w:top w:w="0" w:type="dxa"/>
              <w:left w:w="105" w:type="dxa"/>
              <w:bottom w:w="0" w:type="dxa"/>
              <w:right w:w="105" w:type="dxa"/>
            </w:tcMar>
            <w:vAlign w:val="center"/>
          </w:tcPr>
          <w:p w14:paraId="159043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5131F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BFA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3D582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FAF410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A3888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F01E0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四级手术人次</w:t>
            </w:r>
          </w:p>
        </w:tc>
        <w:tc>
          <w:tcPr>
            <w:tcW w:w="1149" w:type="dxa"/>
            <w:shd w:val="clear" w:color="auto" w:fill="auto"/>
            <w:noWrap/>
            <w:tcMar>
              <w:top w:w="0" w:type="dxa"/>
              <w:left w:w="105" w:type="dxa"/>
              <w:bottom w:w="0" w:type="dxa"/>
              <w:right w:w="105" w:type="dxa"/>
            </w:tcMar>
            <w:vAlign w:val="center"/>
          </w:tcPr>
          <w:p w14:paraId="280B61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1F401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1B1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8C9C7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6E064B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00FB6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AB6A6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出院患者手术占比</w:t>
            </w:r>
          </w:p>
        </w:tc>
        <w:tc>
          <w:tcPr>
            <w:tcW w:w="1149" w:type="dxa"/>
            <w:shd w:val="clear" w:color="auto" w:fill="auto"/>
            <w:noWrap/>
            <w:tcMar>
              <w:top w:w="0" w:type="dxa"/>
              <w:left w:w="105" w:type="dxa"/>
              <w:bottom w:w="0" w:type="dxa"/>
              <w:right w:w="105" w:type="dxa"/>
            </w:tcMar>
            <w:vAlign w:val="center"/>
          </w:tcPr>
          <w:p w14:paraId="568D8C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4C7638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770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AA55F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4F8E82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856F2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E2508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1.出院患者手术人次数</w:t>
            </w:r>
          </w:p>
        </w:tc>
        <w:tc>
          <w:tcPr>
            <w:tcW w:w="1149" w:type="dxa"/>
            <w:shd w:val="clear" w:color="auto" w:fill="auto"/>
            <w:noWrap/>
            <w:tcMar>
              <w:top w:w="0" w:type="dxa"/>
              <w:left w:w="105" w:type="dxa"/>
              <w:bottom w:w="0" w:type="dxa"/>
              <w:right w:w="105" w:type="dxa"/>
            </w:tcMar>
            <w:vAlign w:val="center"/>
          </w:tcPr>
          <w:p w14:paraId="464752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74B677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06FF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4D21B0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9C85D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175B4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25AC9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2.同期出院患者总人次数</w:t>
            </w:r>
          </w:p>
        </w:tc>
        <w:tc>
          <w:tcPr>
            <w:tcW w:w="1149" w:type="dxa"/>
            <w:shd w:val="clear" w:color="auto" w:fill="auto"/>
            <w:noWrap/>
            <w:tcMar>
              <w:top w:w="0" w:type="dxa"/>
              <w:left w:w="105" w:type="dxa"/>
              <w:bottom w:w="0" w:type="dxa"/>
              <w:right w:w="105" w:type="dxa"/>
            </w:tcMar>
            <w:vAlign w:val="center"/>
          </w:tcPr>
          <w:p w14:paraId="2BC4BE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43DF2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1E3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F7E6A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E2432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D37EA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250FB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出院患者四级手术占比</w:t>
            </w:r>
          </w:p>
        </w:tc>
        <w:tc>
          <w:tcPr>
            <w:tcW w:w="1149" w:type="dxa"/>
            <w:shd w:val="clear" w:color="auto" w:fill="auto"/>
            <w:noWrap/>
            <w:tcMar>
              <w:top w:w="0" w:type="dxa"/>
              <w:left w:w="105" w:type="dxa"/>
              <w:bottom w:w="0" w:type="dxa"/>
              <w:right w:w="105" w:type="dxa"/>
            </w:tcMar>
            <w:vAlign w:val="center"/>
          </w:tcPr>
          <w:p w14:paraId="5B042E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50615E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810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07D05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8F5C8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5AE17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062DA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1.出院患者四级手术人次数</w:t>
            </w:r>
          </w:p>
        </w:tc>
        <w:tc>
          <w:tcPr>
            <w:tcW w:w="1149" w:type="dxa"/>
            <w:shd w:val="clear" w:color="auto" w:fill="auto"/>
            <w:noWrap/>
            <w:tcMar>
              <w:top w:w="0" w:type="dxa"/>
              <w:left w:w="105" w:type="dxa"/>
              <w:bottom w:w="0" w:type="dxa"/>
              <w:right w:w="105" w:type="dxa"/>
            </w:tcMar>
            <w:vAlign w:val="center"/>
          </w:tcPr>
          <w:p w14:paraId="4F4EA7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A6042F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00FA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98EBA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69961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9BE94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0560E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2.同期出院患者手术总人次数</w:t>
            </w:r>
          </w:p>
        </w:tc>
        <w:tc>
          <w:tcPr>
            <w:tcW w:w="1149" w:type="dxa"/>
            <w:shd w:val="clear" w:color="auto" w:fill="auto"/>
            <w:noWrap/>
            <w:tcMar>
              <w:top w:w="0" w:type="dxa"/>
              <w:left w:w="105" w:type="dxa"/>
              <w:bottom w:w="0" w:type="dxa"/>
              <w:right w:w="105" w:type="dxa"/>
            </w:tcMar>
            <w:vAlign w:val="center"/>
          </w:tcPr>
          <w:p w14:paraId="0239E60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DCE93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2006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C334B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7FDE39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75C975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45176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微创手术人次</w:t>
            </w:r>
          </w:p>
        </w:tc>
        <w:tc>
          <w:tcPr>
            <w:tcW w:w="1149" w:type="dxa"/>
            <w:shd w:val="clear" w:color="auto" w:fill="auto"/>
            <w:noWrap/>
            <w:tcMar>
              <w:top w:w="0" w:type="dxa"/>
              <w:left w:w="105" w:type="dxa"/>
              <w:bottom w:w="0" w:type="dxa"/>
              <w:right w:w="105" w:type="dxa"/>
            </w:tcMar>
            <w:vAlign w:val="center"/>
          </w:tcPr>
          <w:p w14:paraId="08E937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BBF23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72A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0FC038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5A35C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EFD34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9BB75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日间手术人次</w:t>
            </w:r>
          </w:p>
        </w:tc>
        <w:tc>
          <w:tcPr>
            <w:tcW w:w="1149" w:type="dxa"/>
            <w:shd w:val="clear" w:color="auto" w:fill="auto"/>
            <w:noWrap/>
            <w:tcMar>
              <w:top w:w="0" w:type="dxa"/>
              <w:left w:w="105" w:type="dxa"/>
              <w:bottom w:w="0" w:type="dxa"/>
              <w:right w:w="105" w:type="dxa"/>
            </w:tcMar>
            <w:vAlign w:val="center"/>
          </w:tcPr>
          <w:p w14:paraId="180ED8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2CD2062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DD6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98EB42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5B4D6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0ED77D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2D7BD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手术时长</w:t>
            </w:r>
          </w:p>
        </w:tc>
        <w:tc>
          <w:tcPr>
            <w:tcW w:w="1149" w:type="dxa"/>
            <w:shd w:val="clear" w:color="auto" w:fill="auto"/>
            <w:noWrap/>
            <w:tcMar>
              <w:top w:w="0" w:type="dxa"/>
              <w:left w:w="105" w:type="dxa"/>
              <w:bottom w:w="0" w:type="dxa"/>
              <w:right w:w="105" w:type="dxa"/>
            </w:tcMar>
            <w:vAlign w:val="center"/>
          </w:tcPr>
          <w:p w14:paraId="6691CE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小时</w:t>
            </w:r>
          </w:p>
        </w:tc>
        <w:tc>
          <w:tcPr>
            <w:tcW w:w="1399" w:type="dxa"/>
            <w:shd w:val="clear" w:color="auto" w:fill="auto"/>
            <w:noWrap/>
            <w:tcMar>
              <w:top w:w="0" w:type="dxa"/>
              <w:left w:w="105" w:type="dxa"/>
              <w:bottom w:w="0" w:type="dxa"/>
              <w:right w:w="105" w:type="dxa"/>
            </w:tcMar>
            <w:vAlign w:val="center"/>
          </w:tcPr>
          <w:p w14:paraId="288A2F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19F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483F8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4515E2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2CF93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9B0DF5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手术台次</w:t>
            </w:r>
          </w:p>
        </w:tc>
        <w:tc>
          <w:tcPr>
            <w:tcW w:w="1149" w:type="dxa"/>
            <w:shd w:val="clear" w:color="auto" w:fill="auto"/>
            <w:noWrap/>
            <w:tcMar>
              <w:top w:w="0" w:type="dxa"/>
              <w:left w:w="105" w:type="dxa"/>
              <w:bottom w:w="0" w:type="dxa"/>
              <w:right w:w="105" w:type="dxa"/>
            </w:tcMar>
            <w:vAlign w:val="center"/>
          </w:tcPr>
          <w:p w14:paraId="5D39E6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台次</w:t>
            </w:r>
          </w:p>
        </w:tc>
        <w:tc>
          <w:tcPr>
            <w:tcW w:w="1399" w:type="dxa"/>
            <w:shd w:val="clear" w:color="auto" w:fill="auto"/>
            <w:noWrap/>
            <w:tcMar>
              <w:top w:w="0" w:type="dxa"/>
              <w:left w:w="105" w:type="dxa"/>
              <w:bottom w:w="0" w:type="dxa"/>
              <w:right w:w="105" w:type="dxa"/>
            </w:tcMar>
            <w:vAlign w:val="center"/>
          </w:tcPr>
          <w:p w14:paraId="5A59EA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A0B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6C5570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1D8779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6A885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BE8E7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平均每台手术时间</w:t>
            </w:r>
          </w:p>
        </w:tc>
        <w:tc>
          <w:tcPr>
            <w:tcW w:w="1149" w:type="dxa"/>
            <w:shd w:val="clear" w:color="auto" w:fill="auto"/>
            <w:noWrap/>
            <w:tcMar>
              <w:top w:w="0" w:type="dxa"/>
              <w:left w:w="105" w:type="dxa"/>
              <w:bottom w:w="0" w:type="dxa"/>
              <w:right w:w="105" w:type="dxa"/>
            </w:tcMar>
            <w:vAlign w:val="center"/>
          </w:tcPr>
          <w:p w14:paraId="611339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小时</w:t>
            </w:r>
          </w:p>
        </w:tc>
        <w:tc>
          <w:tcPr>
            <w:tcW w:w="1399" w:type="dxa"/>
            <w:shd w:val="clear" w:color="auto" w:fill="auto"/>
            <w:noWrap/>
            <w:tcMar>
              <w:top w:w="0" w:type="dxa"/>
              <w:left w:w="105" w:type="dxa"/>
              <w:bottom w:w="0" w:type="dxa"/>
              <w:right w:w="105" w:type="dxa"/>
            </w:tcMar>
            <w:vAlign w:val="center"/>
          </w:tcPr>
          <w:p w14:paraId="06A6B9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EFB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843689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76049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36CB2A4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效率指标</w:t>
            </w:r>
          </w:p>
        </w:tc>
        <w:tc>
          <w:tcPr>
            <w:tcW w:w="1976" w:type="dxa"/>
            <w:shd w:val="clear" w:color="auto" w:fill="auto"/>
            <w:tcMar>
              <w:top w:w="0" w:type="dxa"/>
              <w:left w:w="105" w:type="dxa"/>
              <w:bottom w:w="0" w:type="dxa"/>
              <w:right w:w="105" w:type="dxa"/>
            </w:tcMar>
            <w:vAlign w:val="center"/>
          </w:tcPr>
          <w:p w14:paraId="426CA8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平均住院日</w:t>
            </w:r>
          </w:p>
        </w:tc>
        <w:tc>
          <w:tcPr>
            <w:tcW w:w="1149" w:type="dxa"/>
            <w:shd w:val="clear" w:color="auto" w:fill="auto"/>
            <w:noWrap/>
            <w:tcMar>
              <w:top w:w="0" w:type="dxa"/>
              <w:left w:w="105" w:type="dxa"/>
              <w:bottom w:w="0" w:type="dxa"/>
              <w:right w:w="105" w:type="dxa"/>
            </w:tcMar>
            <w:vAlign w:val="center"/>
          </w:tcPr>
          <w:p w14:paraId="4EF302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7559E2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DA3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C6FC0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EDA06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2AFC6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F60EB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1.出院患者住院天数</w:t>
            </w:r>
          </w:p>
        </w:tc>
        <w:tc>
          <w:tcPr>
            <w:tcW w:w="1149" w:type="dxa"/>
            <w:shd w:val="clear" w:color="auto" w:fill="auto"/>
            <w:noWrap/>
            <w:tcMar>
              <w:top w:w="0" w:type="dxa"/>
              <w:left w:w="105" w:type="dxa"/>
              <w:bottom w:w="0" w:type="dxa"/>
              <w:right w:w="105" w:type="dxa"/>
            </w:tcMar>
            <w:vAlign w:val="center"/>
          </w:tcPr>
          <w:p w14:paraId="048AEE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41D729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3FC6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15B3F3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4980A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FE8E7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67EC0C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2.同期出院人次数</w:t>
            </w:r>
          </w:p>
        </w:tc>
        <w:tc>
          <w:tcPr>
            <w:tcW w:w="1149" w:type="dxa"/>
            <w:shd w:val="clear" w:color="auto" w:fill="auto"/>
            <w:noWrap/>
            <w:tcMar>
              <w:top w:w="0" w:type="dxa"/>
              <w:left w:w="105" w:type="dxa"/>
              <w:bottom w:w="0" w:type="dxa"/>
              <w:right w:w="105" w:type="dxa"/>
            </w:tcMar>
            <w:vAlign w:val="center"/>
          </w:tcPr>
          <w:p w14:paraId="3AC2DC1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17AC3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17C6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D5EC2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5244F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C6033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0AFEC7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床位使用率</w:t>
            </w:r>
          </w:p>
        </w:tc>
        <w:tc>
          <w:tcPr>
            <w:tcW w:w="1149" w:type="dxa"/>
            <w:shd w:val="clear" w:color="auto" w:fill="auto"/>
            <w:noWrap/>
            <w:tcMar>
              <w:top w:w="0" w:type="dxa"/>
              <w:left w:w="105" w:type="dxa"/>
              <w:bottom w:w="0" w:type="dxa"/>
              <w:right w:w="105" w:type="dxa"/>
            </w:tcMar>
            <w:vAlign w:val="center"/>
          </w:tcPr>
          <w:p w14:paraId="7F1662B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0D16DC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112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CCE584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C5DD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35AB4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CC430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1.实际占用总床日数</w:t>
            </w:r>
          </w:p>
        </w:tc>
        <w:tc>
          <w:tcPr>
            <w:tcW w:w="1149" w:type="dxa"/>
            <w:shd w:val="clear" w:color="auto" w:fill="auto"/>
            <w:noWrap/>
            <w:tcMar>
              <w:top w:w="0" w:type="dxa"/>
              <w:left w:w="105" w:type="dxa"/>
              <w:bottom w:w="0" w:type="dxa"/>
              <w:right w:w="105" w:type="dxa"/>
            </w:tcMar>
            <w:vAlign w:val="center"/>
          </w:tcPr>
          <w:p w14:paraId="0A1C0CC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7A10B1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4B760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7D90D0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9E709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A96C50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C7CCA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2.实际开放总床日数</w:t>
            </w:r>
          </w:p>
        </w:tc>
        <w:tc>
          <w:tcPr>
            <w:tcW w:w="1149" w:type="dxa"/>
            <w:shd w:val="clear" w:color="auto" w:fill="auto"/>
            <w:noWrap/>
            <w:tcMar>
              <w:top w:w="0" w:type="dxa"/>
              <w:left w:w="105" w:type="dxa"/>
              <w:bottom w:w="0" w:type="dxa"/>
              <w:right w:w="105" w:type="dxa"/>
            </w:tcMar>
            <w:vAlign w:val="center"/>
          </w:tcPr>
          <w:p w14:paraId="634328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749052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63C5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2FFA8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64AED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894302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E8402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床位周转次数</w:t>
            </w:r>
          </w:p>
        </w:tc>
        <w:tc>
          <w:tcPr>
            <w:tcW w:w="1149" w:type="dxa"/>
            <w:shd w:val="clear" w:color="auto" w:fill="auto"/>
            <w:noWrap/>
            <w:tcMar>
              <w:top w:w="0" w:type="dxa"/>
              <w:left w:w="105" w:type="dxa"/>
              <w:bottom w:w="0" w:type="dxa"/>
              <w:right w:w="105" w:type="dxa"/>
            </w:tcMar>
            <w:vAlign w:val="center"/>
          </w:tcPr>
          <w:p w14:paraId="7C2B52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700CF8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974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F26EC6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00696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3568A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3773E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1.出院人次数</w:t>
            </w:r>
          </w:p>
        </w:tc>
        <w:tc>
          <w:tcPr>
            <w:tcW w:w="1149" w:type="dxa"/>
            <w:shd w:val="clear" w:color="auto" w:fill="auto"/>
            <w:noWrap/>
            <w:tcMar>
              <w:top w:w="0" w:type="dxa"/>
              <w:left w:w="105" w:type="dxa"/>
              <w:bottom w:w="0" w:type="dxa"/>
              <w:right w:w="105" w:type="dxa"/>
            </w:tcMar>
            <w:vAlign w:val="center"/>
          </w:tcPr>
          <w:p w14:paraId="768EB6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DFD34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5171A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2DD36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C46204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E4141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AF1438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2.平均开放床位数</w:t>
            </w:r>
          </w:p>
        </w:tc>
        <w:tc>
          <w:tcPr>
            <w:tcW w:w="1149" w:type="dxa"/>
            <w:shd w:val="clear" w:color="auto" w:fill="auto"/>
            <w:noWrap/>
            <w:tcMar>
              <w:top w:w="0" w:type="dxa"/>
              <w:left w:w="105" w:type="dxa"/>
              <w:bottom w:w="0" w:type="dxa"/>
              <w:right w:w="105" w:type="dxa"/>
            </w:tcMar>
            <w:vAlign w:val="center"/>
          </w:tcPr>
          <w:p w14:paraId="5A0B6A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张</w:t>
            </w:r>
          </w:p>
        </w:tc>
        <w:tc>
          <w:tcPr>
            <w:tcW w:w="1399" w:type="dxa"/>
            <w:shd w:val="clear" w:color="auto" w:fill="auto"/>
            <w:noWrap/>
            <w:tcMar>
              <w:top w:w="0" w:type="dxa"/>
              <w:left w:w="105" w:type="dxa"/>
              <w:bottom w:w="0" w:type="dxa"/>
              <w:right w:w="105" w:type="dxa"/>
            </w:tcMar>
            <w:vAlign w:val="center"/>
          </w:tcPr>
          <w:p w14:paraId="3BEEAB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DB6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6CD91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637079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0B6D3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1559F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平均术前天数</w:t>
            </w:r>
          </w:p>
        </w:tc>
        <w:tc>
          <w:tcPr>
            <w:tcW w:w="1149" w:type="dxa"/>
            <w:shd w:val="clear" w:color="auto" w:fill="auto"/>
            <w:noWrap/>
            <w:tcMar>
              <w:top w:w="0" w:type="dxa"/>
              <w:left w:w="105" w:type="dxa"/>
              <w:bottom w:w="0" w:type="dxa"/>
              <w:right w:w="105" w:type="dxa"/>
            </w:tcMar>
            <w:vAlign w:val="center"/>
          </w:tcPr>
          <w:p w14:paraId="46112C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462110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1F0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327BE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34DA42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EB16CE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E68405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1.术前总住院天数</w:t>
            </w:r>
          </w:p>
        </w:tc>
        <w:tc>
          <w:tcPr>
            <w:tcW w:w="1149" w:type="dxa"/>
            <w:shd w:val="clear" w:color="auto" w:fill="auto"/>
            <w:noWrap/>
            <w:tcMar>
              <w:top w:w="0" w:type="dxa"/>
              <w:left w:w="105" w:type="dxa"/>
              <w:bottom w:w="0" w:type="dxa"/>
              <w:right w:w="105" w:type="dxa"/>
            </w:tcMar>
            <w:vAlign w:val="center"/>
          </w:tcPr>
          <w:p w14:paraId="589FED7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6E3985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4B31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28740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7AAB4E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ADB6B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F07A0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2.同期手术患者人次数</w:t>
            </w:r>
          </w:p>
        </w:tc>
        <w:tc>
          <w:tcPr>
            <w:tcW w:w="1149" w:type="dxa"/>
            <w:shd w:val="clear" w:color="auto" w:fill="auto"/>
            <w:noWrap/>
            <w:tcMar>
              <w:top w:w="0" w:type="dxa"/>
              <w:left w:w="105" w:type="dxa"/>
              <w:bottom w:w="0" w:type="dxa"/>
              <w:right w:w="105" w:type="dxa"/>
            </w:tcMar>
            <w:vAlign w:val="center"/>
          </w:tcPr>
          <w:p w14:paraId="084F31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6EA09D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D5D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FC27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FD9325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FCDBE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04959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平均术后天数</w:t>
            </w:r>
          </w:p>
        </w:tc>
        <w:tc>
          <w:tcPr>
            <w:tcW w:w="1149" w:type="dxa"/>
            <w:shd w:val="clear" w:color="auto" w:fill="auto"/>
            <w:noWrap/>
            <w:tcMar>
              <w:top w:w="0" w:type="dxa"/>
              <w:left w:w="105" w:type="dxa"/>
              <w:bottom w:w="0" w:type="dxa"/>
              <w:right w:w="105" w:type="dxa"/>
            </w:tcMar>
            <w:vAlign w:val="center"/>
          </w:tcPr>
          <w:p w14:paraId="75638D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4C6817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933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BC553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2856F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47906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F8520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1.术后总住院天数</w:t>
            </w:r>
          </w:p>
        </w:tc>
        <w:tc>
          <w:tcPr>
            <w:tcW w:w="1149" w:type="dxa"/>
            <w:shd w:val="clear" w:color="auto" w:fill="auto"/>
            <w:noWrap/>
            <w:tcMar>
              <w:top w:w="0" w:type="dxa"/>
              <w:left w:w="105" w:type="dxa"/>
              <w:bottom w:w="0" w:type="dxa"/>
              <w:right w:w="105" w:type="dxa"/>
            </w:tcMar>
            <w:vAlign w:val="center"/>
          </w:tcPr>
          <w:p w14:paraId="54D421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4E8EB04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7922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74D91D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86FBF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5B64B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F4A46C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2.同期手术患者人次数</w:t>
            </w:r>
          </w:p>
        </w:tc>
        <w:tc>
          <w:tcPr>
            <w:tcW w:w="1149" w:type="dxa"/>
            <w:shd w:val="clear" w:color="auto" w:fill="auto"/>
            <w:noWrap/>
            <w:tcMar>
              <w:top w:w="0" w:type="dxa"/>
              <w:left w:w="105" w:type="dxa"/>
              <w:bottom w:w="0" w:type="dxa"/>
              <w:right w:w="105" w:type="dxa"/>
            </w:tcMar>
            <w:vAlign w:val="center"/>
          </w:tcPr>
          <w:p w14:paraId="7C722A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897109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6A3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479DF3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9DBBC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7AF7A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ADF28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每名执业医师日均住院工作负担</w:t>
            </w:r>
          </w:p>
        </w:tc>
        <w:tc>
          <w:tcPr>
            <w:tcW w:w="1149" w:type="dxa"/>
            <w:shd w:val="clear" w:color="auto" w:fill="auto"/>
            <w:noWrap/>
            <w:tcMar>
              <w:top w:w="0" w:type="dxa"/>
              <w:left w:w="105" w:type="dxa"/>
              <w:bottom w:w="0" w:type="dxa"/>
              <w:right w:w="105" w:type="dxa"/>
            </w:tcMar>
            <w:vAlign w:val="center"/>
          </w:tcPr>
          <w:p w14:paraId="51F056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2B3AC7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329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C01D8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24CAF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BC8BD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209F48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1.实际占用总床日数</w:t>
            </w:r>
          </w:p>
        </w:tc>
        <w:tc>
          <w:tcPr>
            <w:tcW w:w="1149" w:type="dxa"/>
            <w:shd w:val="clear" w:color="auto" w:fill="auto"/>
            <w:noWrap/>
            <w:tcMar>
              <w:top w:w="0" w:type="dxa"/>
              <w:left w:w="105" w:type="dxa"/>
              <w:bottom w:w="0" w:type="dxa"/>
              <w:right w:w="105" w:type="dxa"/>
            </w:tcMar>
            <w:vAlign w:val="center"/>
          </w:tcPr>
          <w:p w14:paraId="209EFDE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7C6F2D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r>
      <w:tr w14:paraId="0C0A9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0DE034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A40AF7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50946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4057B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2.医师人数</w:t>
            </w:r>
          </w:p>
        </w:tc>
        <w:tc>
          <w:tcPr>
            <w:tcW w:w="1149" w:type="dxa"/>
            <w:shd w:val="clear" w:color="auto" w:fill="auto"/>
            <w:noWrap/>
            <w:tcMar>
              <w:top w:w="0" w:type="dxa"/>
              <w:left w:w="105" w:type="dxa"/>
              <w:bottom w:w="0" w:type="dxa"/>
              <w:right w:w="105" w:type="dxa"/>
            </w:tcMar>
            <w:vAlign w:val="center"/>
          </w:tcPr>
          <w:p w14:paraId="5151C42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ADD17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r>
      <w:tr w14:paraId="51B8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C9131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E9CD3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4E1B04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260374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3.当月日历天数</w:t>
            </w:r>
          </w:p>
        </w:tc>
        <w:tc>
          <w:tcPr>
            <w:tcW w:w="1149" w:type="dxa"/>
            <w:shd w:val="clear" w:color="auto" w:fill="auto"/>
            <w:noWrap/>
            <w:tcMar>
              <w:top w:w="0" w:type="dxa"/>
              <w:left w:w="105" w:type="dxa"/>
              <w:bottom w:w="0" w:type="dxa"/>
              <w:right w:w="105" w:type="dxa"/>
            </w:tcMar>
            <w:vAlign w:val="center"/>
          </w:tcPr>
          <w:p w14:paraId="6E67E6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1CA9D1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r>
      <w:tr w14:paraId="7E6A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FB6AF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016648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0B7C86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检查预约周期-操作时间</w:t>
            </w:r>
          </w:p>
        </w:tc>
        <w:tc>
          <w:tcPr>
            <w:tcW w:w="1976" w:type="dxa"/>
            <w:shd w:val="clear" w:color="auto" w:fill="auto"/>
            <w:tcMar>
              <w:top w:w="0" w:type="dxa"/>
              <w:left w:w="105" w:type="dxa"/>
              <w:bottom w:w="0" w:type="dxa"/>
              <w:right w:w="105" w:type="dxa"/>
            </w:tcMar>
            <w:vAlign w:val="center"/>
          </w:tcPr>
          <w:p w14:paraId="25F9C99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预约检查人次</w:t>
            </w:r>
          </w:p>
        </w:tc>
        <w:tc>
          <w:tcPr>
            <w:tcW w:w="1149" w:type="dxa"/>
            <w:shd w:val="clear" w:color="auto" w:fill="auto"/>
            <w:noWrap/>
            <w:tcMar>
              <w:top w:w="0" w:type="dxa"/>
              <w:left w:w="105" w:type="dxa"/>
              <w:bottom w:w="0" w:type="dxa"/>
              <w:right w:w="105" w:type="dxa"/>
            </w:tcMar>
            <w:vAlign w:val="center"/>
          </w:tcPr>
          <w:p w14:paraId="61A1B2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77ECF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D35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F58210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7895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36733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EAB2D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总预约周期（天）</w:t>
            </w:r>
          </w:p>
        </w:tc>
        <w:tc>
          <w:tcPr>
            <w:tcW w:w="1149" w:type="dxa"/>
            <w:shd w:val="clear" w:color="auto" w:fill="auto"/>
            <w:noWrap/>
            <w:tcMar>
              <w:top w:w="0" w:type="dxa"/>
              <w:left w:w="105" w:type="dxa"/>
              <w:bottom w:w="0" w:type="dxa"/>
              <w:right w:w="105" w:type="dxa"/>
            </w:tcMar>
            <w:vAlign w:val="center"/>
          </w:tcPr>
          <w:p w14:paraId="4A2A1F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668560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0EA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06FD63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E0886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96937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20222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平均预约周期（天）</w:t>
            </w:r>
          </w:p>
        </w:tc>
        <w:tc>
          <w:tcPr>
            <w:tcW w:w="1149" w:type="dxa"/>
            <w:shd w:val="clear" w:color="auto" w:fill="auto"/>
            <w:noWrap/>
            <w:tcMar>
              <w:top w:w="0" w:type="dxa"/>
              <w:left w:w="105" w:type="dxa"/>
              <w:bottom w:w="0" w:type="dxa"/>
              <w:right w:w="105" w:type="dxa"/>
            </w:tcMar>
            <w:vAlign w:val="center"/>
          </w:tcPr>
          <w:p w14:paraId="74F39C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5BF4D13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4F7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FE3ED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7F1F1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2F548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198D3E4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1.总预约周期（天）</w:t>
            </w:r>
          </w:p>
        </w:tc>
        <w:tc>
          <w:tcPr>
            <w:tcW w:w="1149" w:type="dxa"/>
            <w:shd w:val="clear" w:color="auto" w:fill="auto"/>
            <w:noWrap/>
            <w:tcMar>
              <w:top w:w="0" w:type="dxa"/>
              <w:left w:w="105" w:type="dxa"/>
              <w:bottom w:w="0" w:type="dxa"/>
              <w:right w:w="105" w:type="dxa"/>
            </w:tcMar>
            <w:vAlign w:val="center"/>
          </w:tcPr>
          <w:p w14:paraId="30D4D9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0369F7B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528E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E131F6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32B722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B8406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13E20E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2.预约检查人次</w:t>
            </w:r>
          </w:p>
        </w:tc>
        <w:tc>
          <w:tcPr>
            <w:tcW w:w="1149" w:type="dxa"/>
            <w:shd w:val="clear" w:color="auto" w:fill="auto"/>
            <w:noWrap/>
            <w:tcMar>
              <w:top w:w="0" w:type="dxa"/>
              <w:left w:w="105" w:type="dxa"/>
              <w:bottom w:w="0" w:type="dxa"/>
              <w:right w:w="105" w:type="dxa"/>
            </w:tcMar>
            <w:vAlign w:val="center"/>
          </w:tcPr>
          <w:p w14:paraId="56E583C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29E1B3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63C0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B9090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52250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7D990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2AD7F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变更预约人次</w:t>
            </w:r>
          </w:p>
        </w:tc>
        <w:tc>
          <w:tcPr>
            <w:tcW w:w="1149" w:type="dxa"/>
            <w:shd w:val="clear" w:color="auto" w:fill="auto"/>
            <w:noWrap/>
            <w:tcMar>
              <w:top w:w="0" w:type="dxa"/>
              <w:left w:w="105" w:type="dxa"/>
              <w:bottom w:w="0" w:type="dxa"/>
              <w:right w:w="105" w:type="dxa"/>
            </w:tcMar>
            <w:vAlign w:val="center"/>
          </w:tcPr>
          <w:p w14:paraId="4DC664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4310BC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116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327CC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FDE49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712F6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D7368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平均预约周期_变更（天）</w:t>
            </w:r>
          </w:p>
        </w:tc>
        <w:tc>
          <w:tcPr>
            <w:tcW w:w="1149" w:type="dxa"/>
            <w:shd w:val="clear" w:color="auto" w:fill="auto"/>
            <w:noWrap/>
            <w:tcMar>
              <w:top w:w="0" w:type="dxa"/>
              <w:left w:w="105" w:type="dxa"/>
              <w:bottom w:w="0" w:type="dxa"/>
              <w:right w:w="105" w:type="dxa"/>
            </w:tcMar>
            <w:vAlign w:val="center"/>
          </w:tcPr>
          <w:p w14:paraId="30ABB7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5E0AAB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8FB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FF423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45C03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18DC7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8F496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1.变更总天数</w:t>
            </w:r>
          </w:p>
        </w:tc>
        <w:tc>
          <w:tcPr>
            <w:tcW w:w="1149" w:type="dxa"/>
            <w:shd w:val="clear" w:color="auto" w:fill="auto"/>
            <w:noWrap/>
            <w:tcMar>
              <w:top w:w="0" w:type="dxa"/>
              <w:left w:w="105" w:type="dxa"/>
              <w:bottom w:w="0" w:type="dxa"/>
              <w:right w:w="105" w:type="dxa"/>
            </w:tcMar>
            <w:vAlign w:val="center"/>
          </w:tcPr>
          <w:p w14:paraId="72BE19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15C635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39C3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9BA6BC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11AC9F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048D99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C2652E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2.变更预约人次</w:t>
            </w:r>
          </w:p>
        </w:tc>
        <w:tc>
          <w:tcPr>
            <w:tcW w:w="1149" w:type="dxa"/>
            <w:shd w:val="clear" w:color="auto" w:fill="auto"/>
            <w:noWrap/>
            <w:tcMar>
              <w:top w:w="0" w:type="dxa"/>
              <w:left w:w="105" w:type="dxa"/>
              <w:bottom w:w="0" w:type="dxa"/>
              <w:right w:w="105" w:type="dxa"/>
            </w:tcMar>
            <w:vAlign w:val="center"/>
          </w:tcPr>
          <w:p w14:paraId="159531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0CE7F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0FD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378F4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CA0E4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E0967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B3A2D0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非变更预约人次</w:t>
            </w:r>
          </w:p>
        </w:tc>
        <w:tc>
          <w:tcPr>
            <w:tcW w:w="1149" w:type="dxa"/>
            <w:shd w:val="clear" w:color="auto" w:fill="auto"/>
            <w:noWrap/>
            <w:tcMar>
              <w:top w:w="0" w:type="dxa"/>
              <w:left w:w="105" w:type="dxa"/>
              <w:bottom w:w="0" w:type="dxa"/>
              <w:right w:w="105" w:type="dxa"/>
            </w:tcMar>
            <w:vAlign w:val="center"/>
          </w:tcPr>
          <w:p w14:paraId="6422F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9B2DFA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3DEB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AC8BE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32E03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777653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F44C3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平均预约周期_非变更（天）</w:t>
            </w:r>
          </w:p>
        </w:tc>
        <w:tc>
          <w:tcPr>
            <w:tcW w:w="1149" w:type="dxa"/>
            <w:shd w:val="clear" w:color="auto" w:fill="auto"/>
            <w:noWrap/>
            <w:tcMar>
              <w:top w:w="0" w:type="dxa"/>
              <w:left w:w="105" w:type="dxa"/>
              <w:bottom w:w="0" w:type="dxa"/>
              <w:right w:w="105" w:type="dxa"/>
            </w:tcMar>
            <w:vAlign w:val="center"/>
          </w:tcPr>
          <w:p w14:paraId="3EF5C72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0252F2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BE0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29492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531D96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1E7BC4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AB802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1.非变更总天数</w:t>
            </w:r>
          </w:p>
        </w:tc>
        <w:tc>
          <w:tcPr>
            <w:tcW w:w="1149" w:type="dxa"/>
            <w:shd w:val="clear" w:color="auto" w:fill="auto"/>
            <w:noWrap/>
            <w:tcMar>
              <w:top w:w="0" w:type="dxa"/>
              <w:left w:w="105" w:type="dxa"/>
              <w:bottom w:w="0" w:type="dxa"/>
              <w:right w:w="105" w:type="dxa"/>
            </w:tcMar>
            <w:vAlign w:val="center"/>
          </w:tcPr>
          <w:p w14:paraId="3A926D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天</w:t>
            </w:r>
          </w:p>
        </w:tc>
        <w:tc>
          <w:tcPr>
            <w:tcW w:w="1399" w:type="dxa"/>
            <w:shd w:val="clear" w:color="auto" w:fill="auto"/>
            <w:noWrap/>
            <w:tcMar>
              <w:top w:w="0" w:type="dxa"/>
              <w:left w:w="105" w:type="dxa"/>
              <w:bottom w:w="0" w:type="dxa"/>
              <w:right w:w="105" w:type="dxa"/>
            </w:tcMar>
            <w:vAlign w:val="center"/>
          </w:tcPr>
          <w:p w14:paraId="159CE3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2CB2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E49DB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6F11AD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D38A5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6B067E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2.非变更预约人次</w:t>
            </w:r>
          </w:p>
        </w:tc>
        <w:tc>
          <w:tcPr>
            <w:tcW w:w="1149" w:type="dxa"/>
            <w:shd w:val="clear" w:color="auto" w:fill="auto"/>
            <w:noWrap/>
            <w:tcMar>
              <w:top w:w="0" w:type="dxa"/>
              <w:left w:w="105" w:type="dxa"/>
              <w:bottom w:w="0" w:type="dxa"/>
              <w:right w:w="105" w:type="dxa"/>
            </w:tcMar>
            <w:vAlign w:val="center"/>
          </w:tcPr>
          <w:p w14:paraId="4F1E67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8571D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4DCC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1778B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8E481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6B7EB1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检查预约人次-渠道-按项目</w:t>
            </w:r>
          </w:p>
        </w:tc>
        <w:tc>
          <w:tcPr>
            <w:tcW w:w="1976" w:type="dxa"/>
            <w:shd w:val="clear" w:color="auto" w:fill="auto"/>
            <w:tcMar>
              <w:top w:w="0" w:type="dxa"/>
              <w:left w:w="105" w:type="dxa"/>
              <w:bottom w:w="0" w:type="dxa"/>
              <w:right w:w="105" w:type="dxa"/>
            </w:tcMar>
            <w:vAlign w:val="center"/>
          </w:tcPr>
          <w:p w14:paraId="177738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【检查预约中心】渠道检查预约人次</w:t>
            </w:r>
          </w:p>
        </w:tc>
        <w:tc>
          <w:tcPr>
            <w:tcW w:w="1149" w:type="dxa"/>
            <w:shd w:val="clear" w:color="auto" w:fill="auto"/>
            <w:noWrap/>
            <w:tcMar>
              <w:top w:w="0" w:type="dxa"/>
              <w:left w:w="105" w:type="dxa"/>
              <w:bottom w:w="0" w:type="dxa"/>
              <w:right w:w="105" w:type="dxa"/>
            </w:tcMar>
            <w:vAlign w:val="center"/>
          </w:tcPr>
          <w:p w14:paraId="1D0A5D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DEFB0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CF2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1B4AB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62DB3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F1810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89924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【微信公众号】渠道检查预约人次</w:t>
            </w:r>
          </w:p>
        </w:tc>
        <w:tc>
          <w:tcPr>
            <w:tcW w:w="1149" w:type="dxa"/>
            <w:shd w:val="clear" w:color="auto" w:fill="auto"/>
            <w:noWrap/>
            <w:tcMar>
              <w:top w:w="0" w:type="dxa"/>
              <w:left w:w="105" w:type="dxa"/>
              <w:bottom w:w="0" w:type="dxa"/>
              <w:right w:w="105" w:type="dxa"/>
            </w:tcMar>
            <w:vAlign w:val="center"/>
          </w:tcPr>
          <w:p w14:paraId="42E96C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C5919B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119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5BF5E0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74916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A0B02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77186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【自助机】渠道检查预约人次</w:t>
            </w:r>
          </w:p>
        </w:tc>
        <w:tc>
          <w:tcPr>
            <w:tcW w:w="1149" w:type="dxa"/>
            <w:shd w:val="clear" w:color="auto" w:fill="auto"/>
            <w:noWrap/>
            <w:tcMar>
              <w:top w:w="0" w:type="dxa"/>
              <w:left w:w="105" w:type="dxa"/>
              <w:bottom w:w="0" w:type="dxa"/>
              <w:right w:w="105" w:type="dxa"/>
            </w:tcMar>
            <w:vAlign w:val="center"/>
          </w:tcPr>
          <w:p w14:paraId="0D4CF25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48B89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A05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0B171C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0AEBD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44238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CDD8A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【诊间预约】渠道检查预约人次</w:t>
            </w:r>
          </w:p>
        </w:tc>
        <w:tc>
          <w:tcPr>
            <w:tcW w:w="1149" w:type="dxa"/>
            <w:shd w:val="clear" w:color="auto" w:fill="auto"/>
            <w:noWrap/>
            <w:tcMar>
              <w:top w:w="0" w:type="dxa"/>
              <w:left w:w="105" w:type="dxa"/>
              <w:bottom w:w="0" w:type="dxa"/>
              <w:right w:w="105" w:type="dxa"/>
            </w:tcMar>
            <w:vAlign w:val="center"/>
          </w:tcPr>
          <w:p w14:paraId="6F2110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50F4DE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FAE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D3314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71CD7F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9E705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826D91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【病房预约】渠道检查预约人次</w:t>
            </w:r>
          </w:p>
        </w:tc>
        <w:tc>
          <w:tcPr>
            <w:tcW w:w="1149" w:type="dxa"/>
            <w:shd w:val="clear" w:color="auto" w:fill="auto"/>
            <w:noWrap/>
            <w:tcMar>
              <w:top w:w="0" w:type="dxa"/>
              <w:left w:w="105" w:type="dxa"/>
              <w:bottom w:w="0" w:type="dxa"/>
              <w:right w:w="105" w:type="dxa"/>
            </w:tcMar>
            <w:vAlign w:val="center"/>
          </w:tcPr>
          <w:p w14:paraId="60523C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4DA42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456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739F5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15471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1C313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2832D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【科室窗口】渠道检查预约人次</w:t>
            </w:r>
          </w:p>
        </w:tc>
        <w:tc>
          <w:tcPr>
            <w:tcW w:w="1149" w:type="dxa"/>
            <w:shd w:val="clear" w:color="auto" w:fill="auto"/>
            <w:noWrap/>
            <w:tcMar>
              <w:top w:w="0" w:type="dxa"/>
              <w:left w:w="105" w:type="dxa"/>
              <w:bottom w:w="0" w:type="dxa"/>
              <w:right w:w="105" w:type="dxa"/>
            </w:tcMar>
            <w:vAlign w:val="center"/>
          </w:tcPr>
          <w:p w14:paraId="3BEC55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3B2F9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254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4833B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2DF14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0AE1D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7EC53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【其他】渠道检查预约人次</w:t>
            </w:r>
          </w:p>
        </w:tc>
        <w:tc>
          <w:tcPr>
            <w:tcW w:w="1149" w:type="dxa"/>
            <w:shd w:val="clear" w:color="auto" w:fill="auto"/>
            <w:noWrap/>
            <w:tcMar>
              <w:top w:w="0" w:type="dxa"/>
              <w:left w:w="105" w:type="dxa"/>
              <w:bottom w:w="0" w:type="dxa"/>
              <w:right w:w="105" w:type="dxa"/>
            </w:tcMar>
            <w:vAlign w:val="center"/>
          </w:tcPr>
          <w:p w14:paraId="5DD559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B8D13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CBD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AF1BC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5D526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32EDA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503070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统计周期检查预约总人次</w:t>
            </w:r>
          </w:p>
        </w:tc>
        <w:tc>
          <w:tcPr>
            <w:tcW w:w="1149" w:type="dxa"/>
            <w:shd w:val="clear" w:color="auto" w:fill="auto"/>
            <w:noWrap/>
            <w:tcMar>
              <w:top w:w="0" w:type="dxa"/>
              <w:left w:w="105" w:type="dxa"/>
              <w:bottom w:w="0" w:type="dxa"/>
              <w:right w:w="105" w:type="dxa"/>
            </w:tcMar>
            <w:vAlign w:val="center"/>
          </w:tcPr>
          <w:p w14:paraId="046F5E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7A208F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A51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FC85A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19D55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4E35D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7AC1D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完成检查人次</w:t>
            </w:r>
          </w:p>
        </w:tc>
        <w:tc>
          <w:tcPr>
            <w:tcW w:w="1149" w:type="dxa"/>
            <w:shd w:val="clear" w:color="auto" w:fill="auto"/>
            <w:noWrap/>
            <w:tcMar>
              <w:top w:w="0" w:type="dxa"/>
              <w:left w:w="105" w:type="dxa"/>
              <w:bottom w:w="0" w:type="dxa"/>
              <w:right w:w="105" w:type="dxa"/>
            </w:tcMar>
            <w:vAlign w:val="center"/>
          </w:tcPr>
          <w:p w14:paraId="273919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16829B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E21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344EA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781C3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03D9CC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CB5AB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同比比率</w:t>
            </w:r>
          </w:p>
        </w:tc>
        <w:tc>
          <w:tcPr>
            <w:tcW w:w="1149" w:type="dxa"/>
            <w:shd w:val="clear" w:color="auto" w:fill="auto"/>
            <w:noWrap/>
            <w:tcMar>
              <w:top w:w="0" w:type="dxa"/>
              <w:left w:w="105" w:type="dxa"/>
              <w:bottom w:w="0" w:type="dxa"/>
              <w:right w:w="105" w:type="dxa"/>
            </w:tcMar>
            <w:vAlign w:val="center"/>
          </w:tcPr>
          <w:p w14:paraId="6D1B50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5F88B8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F87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13D36A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CBCB29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97593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C8C6E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1.统计周期检查预约总人次-上年同期人次</w:t>
            </w:r>
          </w:p>
        </w:tc>
        <w:tc>
          <w:tcPr>
            <w:tcW w:w="1149" w:type="dxa"/>
            <w:shd w:val="clear" w:color="auto" w:fill="auto"/>
            <w:noWrap/>
            <w:tcMar>
              <w:top w:w="0" w:type="dxa"/>
              <w:left w:w="105" w:type="dxa"/>
              <w:bottom w:w="0" w:type="dxa"/>
              <w:right w:w="105" w:type="dxa"/>
            </w:tcMar>
            <w:vAlign w:val="center"/>
          </w:tcPr>
          <w:p w14:paraId="0063BE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5772FB3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5F2A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7830E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02CE63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392B9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CF128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2.上年同期人次</w:t>
            </w:r>
          </w:p>
        </w:tc>
        <w:tc>
          <w:tcPr>
            <w:tcW w:w="1149" w:type="dxa"/>
            <w:shd w:val="clear" w:color="auto" w:fill="auto"/>
            <w:noWrap/>
            <w:tcMar>
              <w:top w:w="0" w:type="dxa"/>
              <w:left w:w="105" w:type="dxa"/>
              <w:bottom w:w="0" w:type="dxa"/>
              <w:right w:w="105" w:type="dxa"/>
            </w:tcMar>
            <w:vAlign w:val="center"/>
          </w:tcPr>
          <w:p w14:paraId="5B8A96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9E51A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1757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CDFB2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61D83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7C5B3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4CBF4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环比比率</w:t>
            </w:r>
          </w:p>
        </w:tc>
        <w:tc>
          <w:tcPr>
            <w:tcW w:w="1149" w:type="dxa"/>
            <w:shd w:val="clear" w:color="auto" w:fill="auto"/>
            <w:noWrap/>
            <w:tcMar>
              <w:top w:w="0" w:type="dxa"/>
              <w:left w:w="105" w:type="dxa"/>
              <w:bottom w:w="0" w:type="dxa"/>
              <w:right w:w="105" w:type="dxa"/>
            </w:tcMar>
            <w:vAlign w:val="center"/>
          </w:tcPr>
          <w:p w14:paraId="4F4010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460193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DD0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3C0255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E75472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370D09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2B8E5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1.统计周期检查预约总人次-环比人次</w:t>
            </w:r>
          </w:p>
        </w:tc>
        <w:tc>
          <w:tcPr>
            <w:tcW w:w="1149" w:type="dxa"/>
            <w:shd w:val="clear" w:color="auto" w:fill="auto"/>
            <w:noWrap/>
            <w:tcMar>
              <w:top w:w="0" w:type="dxa"/>
              <w:left w:w="105" w:type="dxa"/>
              <w:bottom w:w="0" w:type="dxa"/>
              <w:right w:w="105" w:type="dxa"/>
            </w:tcMar>
            <w:vAlign w:val="center"/>
          </w:tcPr>
          <w:p w14:paraId="4AAFE6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3C604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49B8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FF579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D41D0E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0BB61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A6CED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2.环比人次</w:t>
            </w:r>
          </w:p>
        </w:tc>
        <w:tc>
          <w:tcPr>
            <w:tcW w:w="1149" w:type="dxa"/>
            <w:shd w:val="clear" w:color="auto" w:fill="auto"/>
            <w:noWrap/>
            <w:tcMar>
              <w:top w:w="0" w:type="dxa"/>
              <w:left w:w="105" w:type="dxa"/>
              <w:bottom w:w="0" w:type="dxa"/>
              <w:right w:w="105" w:type="dxa"/>
            </w:tcMar>
            <w:vAlign w:val="center"/>
          </w:tcPr>
          <w:p w14:paraId="012A90A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5667F6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23B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27A78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5A577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6733C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27C935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自助预约量</w:t>
            </w:r>
          </w:p>
        </w:tc>
        <w:tc>
          <w:tcPr>
            <w:tcW w:w="1149" w:type="dxa"/>
            <w:shd w:val="clear" w:color="auto" w:fill="auto"/>
            <w:noWrap/>
            <w:tcMar>
              <w:top w:w="0" w:type="dxa"/>
              <w:left w:w="105" w:type="dxa"/>
              <w:bottom w:w="0" w:type="dxa"/>
              <w:right w:w="105" w:type="dxa"/>
            </w:tcMar>
            <w:vAlign w:val="center"/>
          </w:tcPr>
          <w:p w14:paraId="093D08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3B0392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2BC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F2D8B6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1EAB9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4FDAF5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22B102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自助预约占比比率</w:t>
            </w:r>
          </w:p>
        </w:tc>
        <w:tc>
          <w:tcPr>
            <w:tcW w:w="1149" w:type="dxa"/>
            <w:shd w:val="clear" w:color="auto" w:fill="auto"/>
            <w:noWrap/>
            <w:tcMar>
              <w:top w:w="0" w:type="dxa"/>
              <w:left w:w="105" w:type="dxa"/>
              <w:bottom w:w="0" w:type="dxa"/>
              <w:right w:w="105" w:type="dxa"/>
            </w:tcMar>
            <w:vAlign w:val="center"/>
          </w:tcPr>
          <w:p w14:paraId="075AED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22E528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07F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F84AA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E18F0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D0EF6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5D0D1C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1.自助预约量</w:t>
            </w:r>
          </w:p>
        </w:tc>
        <w:tc>
          <w:tcPr>
            <w:tcW w:w="1149" w:type="dxa"/>
            <w:shd w:val="clear" w:color="auto" w:fill="auto"/>
            <w:noWrap/>
            <w:tcMar>
              <w:top w:w="0" w:type="dxa"/>
              <w:left w:w="105" w:type="dxa"/>
              <w:bottom w:w="0" w:type="dxa"/>
              <w:right w:w="105" w:type="dxa"/>
            </w:tcMar>
            <w:vAlign w:val="center"/>
          </w:tcPr>
          <w:p w14:paraId="68F179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E10C4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1297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E27F7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354FE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4699E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194FB9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2.统计周期检查预约总人次</w:t>
            </w:r>
          </w:p>
        </w:tc>
        <w:tc>
          <w:tcPr>
            <w:tcW w:w="1149" w:type="dxa"/>
            <w:shd w:val="clear" w:color="auto" w:fill="auto"/>
            <w:noWrap/>
            <w:tcMar>
              <w:top w:w="0" w:type="dxa"/>
              <w:left w:w="105" w:type="dxa"/>
              <w:bottom w:w="0" w:type="dxa"/>
              <w:right w:w="105" w:type="dxa"/>
            </w:tcMar>
            <w:vAlign w:val="center"/>
          </w:tcPr>
          <w:p w14:paraId="5333D4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52F23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65C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3CB10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ACBAEF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5E8D771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门诊检查退费率(开单科室 )</w:t>
            </w:r>
          </w:p>
        </w:tc>
        <w:tc>
          <w:tcPr>
            <w:tcW w:w="1976" w:type="dxa"/>
            <w:shd w:val="clear" w:color="auto" w:fill="auto"/>
            <w:tcMar>
              <w:top w:w="0" w:type="dxa"/>
              <w:left w:w="105" w:type="dxa"/>
              <w:bottom w:w="0" w:type="dxa"/>
              <w:right w:w="105" w:type="dxa"/>
            </w:tcMar>
            <w:vAlign w:val="center"/>
          </w:tcPr>
          <w:p w14:paraId="5D676A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项目占号</w:t>
            </w:r>
          </w:p>
        </w:tc>
        <w:tc>
          <w:tcPr>
            <w:tcW w:w="1149" w:type="dxa"/>
            <w:shd w:val="clear" w:color="auto" w:fill="auto"/>
            <w:noWrap/>
            <w:tcMar>
              <w:top w:w="0" w:type="dxa"/>
              <w:left w:w="105" w:type="dxa"/>
              <w:bottom w:w="0" w:type="dxa"/>
              <w:right w:w="105" w:type="dxa"/>
            </w:tcMar>
            <w:vAlign w:val="center"/>
          </w:tcPr>
          <w:p w14:paraId="28306B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6B749C1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B8AD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A9A45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554E8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A12E73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982C41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开单总数</w:t>
            </w:r>
          </w:p>
        </w:tc>
        <w:tc>
          <w:tcPr>
            <w:tcW w:w="1149" w:type="dxa"/>
            <w:shd w:val="clear" w:color="auto" w:fill="auto"/>
            <w:noWrap/>
            <w:tcMar>
              <w:top w:w="0" w:type="dxa"/>
              <w:left w:w="105" w:type="dxa"/>
              <w:bottom w:w="0" w:type="dxa"/>
              <w:right w:w="105" w:type="dxa"/>
            </w:tcMar>
            <w:vAlign w:val="center"/>
          </w:tcPr>
          <w:p w14:paraId="611B2F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030CFC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原子指标</w:t>
            </w:r>
          </w:p>
        </w:tc>
      </w:tr>
      <w:tr w14:paraId="0B36F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39C0D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38A682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1A93EB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53067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未支付数</w:t>
            </w:r>
          </w:p>
        </w:tc>
        <w:tc>
          <w:tcPr>
            <w:tcW w:w="1149" w:type="dxa"/>
            <w:shd w:val="clear" w:color="auto" w:fill="auto"/>
            <w:noWrap/>
            <w:tcMar>
              <w:top w:w="0" w:type="dxa"/>
              <w:left w:w="105" w:type="dxa"/>
              <w:bottom w:w="0" w:type="dxa"/>
              <w:right w:w="105" w:type="dxa"/>
            </w:tcMar>
            <w:vAlign w:val="center"/>
          </w:tcPr>
          <w:p w14:paraId="452FE2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6A283B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原子指标</w:t>
            </w:r>
          </w:p>
        </w:tc>
      </w:tr>
      <w:tr w14:paraId="608E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637962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13046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665110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BFC468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支付数</w:t>
            </w:r>
          </w:p>
        </w:tc>
        <w:tc>
          <w:tcPr>
            <w:tcW w:w="1149" w:type="dxa"/>
            <w:shd w:val="clear" w:color="auto" w:fill="auto"/>
            <w:noWrap/>
            <w:tcMar>
              <w:top w:w="0" w:type="dxa"/>
              <w:left w:w="105" w:type="dxa"/>
              <w:bottom w:w="0" w:type="dxa"/>
              <w:right w:w="105" w:type="dxa"/>
            </w:tcMar>
            <w:vAlign w:val="center"/>
          </w:tcPr>
          <w:p w14:paraId="173BEF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27F0FF5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原子指标</w:t>
            </w:r>
          </w:p>
        </w:tc>
      </w:tr>
      <w:tr w14:paraId="33F9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FB0A9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F2C69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2667B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26490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退费数</w:t>
            </w:r>
          </w:p>
        </w:tc>
        <w:tc>
          <w:tcPr>
            <w:tcW w:w="1149" w:type="dxa"/>
            <w:shd w:val="clear" w:color="auto" w:fill="auto"/>
            <w:noWrap/>
            <w:tcMar>
              <w:top w:w="0" w:type="dxa"/>
              <w:left w:w="105" w:type="dxa"/>
              <w:bottom w:w="0" w:type="dxa"/>
              <w:right w:w="105" w:type="dxa"/>
            </w:tcMar>
            <w:vAlign w:val="center"/>
          </w:tcPr>
          <w:p w14:paraId="13BC44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6CFAE6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原子指标</w:t>
            </w:r>
          </w:p>
        </w:tc>
      </w:tr>
      <w:tr w14:paraId="05DF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FCA61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4D3B6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BB028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2D1BA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退费率</w:t>
            </w:r>
          </w:p>
        </w:tc>
        <w:tc>
          <w:tcPr>
            <w:tcW w:w="1149" w:type="dxa"/>
            <w:shd w:val="clear" w:color="auto" w:fill="auto"/>
            <w:noWrap/>
            <w:tcMar>
              <w:top w:w="0" w:type="dxa"/>
              <w:left w:w="105" w:type="dxa"/>
              <w:bottom w:w="0" w:type="dxa"/>
              <w:right w:w="105" w:type="dxa"/>
            </w:tcMar>
            <w:vAlign w:val="center"/>
          </w:tcPr>
          <w:p w14:paraId="03C5FA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59BFFA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计算指标</w:t>
            </w:r>
          </w:p>
        </w:tc>
      </w:tr>
      <w:tr w14:paraId="0BB9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B1971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EDDF6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00406B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299850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1.退费数</w:t>
            </w:r>
          </w:p>
        </w:tc>
        <w:tc>
          <w:tcPr>
            <w:tcW w:w="1149" w:type="dxa"/>
            <w:shd w:val="clear" w:color="auto" w:fill="auto"/>
            <w:noWrap/>
            <w:tcMar>
              <w:top w:w="0" w:type="dxa"/>
              <w:left w:w="105" w:type="dxa"/>
              <w:bottom w:w="0" w:type="dxa"/>
              <w:right w:w="105" w:type="dxa"/>
            </w:tcMar>
            <w:vAlign w:val="center"/>
          </w:tcPr>
          <w:p w14:paraId="40B34D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1CD70B5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0FD6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DA9E5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06B74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047B3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009442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2.支付数</w:t>
            </w:r>
          </w:p>
        </w:tc>
        <w:tc>
          <w:tcPr>
            <w:tcW w:w="1149" w:type="dxa"/>
            <w:shd w:val="clear" w:color="auto" w:fill="auto"/>
            <w:noWrap/>
            <w:tcMar>
              <w:top w:w="0" w:type="dxa"/>
              <w:left w:w="105" w:type="dxa"/>
              <w:bottom w:w="0" w:type="dxa"/>
              <w:right w:w="105" w:type="dxa"/>
            </w:tcMar>
            <w:vAlign w:val="center"/>
          </w:tcPr>
          <w:p w14:paraId="790596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0EBFA7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B056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59F6A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E093E2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CE3658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542F9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同比开单数</w:t>
            </w:r>
          </w:p>
        </w:tc>
        <w:tc>
          <w:tcPr>
            <w:tcW w:w="1149" w:type="dxa"/>
            <w:shd w:val="clear" w:color="auto" w:fill="auto"/>
            <w:noWrap/>
            <w:tcMar>
              <w:top w:w="0" w:type="dxa"/>
              <w:left w:w="105" w:type="dxa"/>
              <w:bottom w:w="0" w:type="dxa"/>
              <w:right w:w="105" w:type="dxa"/>
            </w:tcMar>
            <w:vAlign w:val="center"/>
          </w:tcPr>
          <w:p w14:paraId="49B324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5CD919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FEC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129AAB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B9993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50E4B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DF1050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开单数同比比率</w:t>
            </w:r>
          </w:p>
        </w:tc>
        <w:tc>
          <w:tcPr>
            <w:tcW w:w="1149" w:type="dxa"/>
            <w:shd w:val="clear" w:color="auto" w:fill="auto"/>
            <w:noWrap/>
            <w:tcMar>
              <w:top w:w="0" w:type="dxa"/>
              <w:left w:w="105" w:type="dxa"/>
              <w:bottom w:w="0" w:type="dxa"/>
              <w:right w:w="105" w:type="dxa"/>
            </w:tcMar>
            <w:vAlign w:val="center"/>
          </w:tcPr>
          <w:p w14:paraId="65FA477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5F1986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37E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FDC2C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8F46D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10D15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72051B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1.开单总数-上年同期开单数</w:t>
            </w:r>
          </w:p>
        </w:tc>
        <w:tc>
          <w:tcPr>
            <w:tcW w:w="1149" w:type="dxa"/>
            <w:shd w:val="clear" w:color="auto" w:fill="auto"/>
            <w:noWrap/>
            <w:tcMar>
              <w:top w:w="0" w:type="dxa"/>
              <w:left w:w="105" w:type="dxa"/>
              <w:bottom w:w="0" w:type="dxa"/>
              <w:right w:w="105" w:type="dxa"/>
            </w:tcMar>
            <w:vAlign w:val="center"/>
          </w:tcPr>
          <w:p w14:paraId="7AF084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66F165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72E9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EC7A62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48BF8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8A68C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493C6D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2.上年同期开单数</w:t>
            </w:r>
          </w:p>
        </w:tc>
        <w:tc>
          <w:tcPr>
            <w:tcW w:w="1149" w:type="dxa"/>
            <w:shd w:val="clear" w:color="auto" w:fill="auto"/>
            <w:noWrap/>
            <w:tcMar>
              <w:top w:w="0" w:type="dxa"/>
              <w:left w:w="105" w:type="dxa"/>
              <w:bottom w:w="0" w:type="dxa"/>
              <w:right w:w="105" w:type="dxa"/>
            </w:tcMar>
            <w:vAlign w:val="center"/>
          </w:tcPr>
          <w:p w14:paraId="5DE7B9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0BE0F7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31083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699D6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F53747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BE9E4C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D9F9D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门诊检查退费数同比比率</w:t>
            </w:r>
          </w:p>
        </w:tc>
        <w:tc>
          <w:tcPr>
            <w:tcW w:w="1149" w:type="dxa"/>
            <w:shd w:val="clear" w:color="auto" w:fill="auto"/>
            <w:noWrap/>
            <w:tcMar>
              <w:top w:w="0" w:type="dxa"/>
              <w:left w:w="105" w:type="dxa"/>
              <w:bottom w:w="0" w:type="dxa"/>
              <w:right w:w="105" w:type="dxa"/>
            </w:tcMar>
            <w:vAlign w:val="center"/>
          </w:tcPr>
          <w:p w14:paraId="7E3A09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2FAEED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062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479A7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23CBF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35A02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03475A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1.退费数-上年同期退费数</w:t>
            </w:r>
          </w:p>
        </w:tc>
        <w:tc>
          <w:tcPr>
            <w:tcW w:w="1149" w:type="dxa"/>
            <w:shd w:val="clear" w:color="auto" w:fill="auto"/>
            <w:noWrap/>
            <w:tcMar>
              <w:top w:w="0" w:type="dxa"/>
              <w:left w:w="105" w:type="dxa"/>
              <w:bottom w:w="0" w:type="dxa"/>
              <w:right w:w="105" w:type="dxa"/>
            </w:tcMar>
            <w:vAlign w:val="center"/>
          </w:tcPr>
          <w:p w14:paraId="2AADCBF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20F25A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6656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207DF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D36EB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4B51E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5E6952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2.上年同期退费数</w:t>
            </w:r>
          </w:p>
        </w:tc>
        <w:tc>
          <w:tcPr>
            <w:tcW w:w="1149" w:type="dxa"/>
            <w:shd w:val="clear" w:color="auto" w:fill="auto"/>
            <w:noWrap/>
            <w:tcMar>
              <w:top w:w="0" w:type="dxa"/>
              <w:left w:w="105" w:type="dxa"/>
              <w:bottom w:w="0" w:type="dxa"/>
              <w:right w:w="105" w:type="dxa"/>
            </w:tcMar>
            <w:vAlign w:val="center"/>
          </w:tcPr>
          <w:p w14:paraId="6A5B3D4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49F54F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66E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B1E3AC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FCAB3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4A0ECB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8793EF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环比开单数</w:t>
            </w:r>
          </w:p>
        </w:tc>
        <w:tc>
          <w:tcPr>
            <w:tcW w:w="1149" w:type="dxa"/>
            <w:shd w:val="clear" w:color="auto" w:fill="auto"/>
            <w:noWrap/>
            <w:tcMar>
              <w:top w:w="0" w:type="dxa"/>
              <w:left w:w="105" w:type="dxa"/>
              <w:bottom w:w="0" w:type="dxa"/>
              <w:right w:w="105" w:type="dxa"/>
            </w:tcMar>
            <w:vAlign w:val="center"/>
          </w:tcPr>
          <w:p w14:paraId="052CBE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598D97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244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2AFF0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F5B4E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57107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D8A65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开单数环比比率</w:t>
            </w:r>
          </w:p>
        </w:tc>
        <w:tc>
          <w:tcPr>
            <w:tcW w:w="1149" w:type="dxa"/>
            <w:shd w:val="clear" w:color="auto" w:fill="auto"/>
            <w:noWrap/>
            <w:tcMar>
              <w:top w:w="0" w:type="dxa"/>
              <w:left w:w="105" w:type="dxa"/>
              <w:bottom w:w="0" w:type="dxa"/>
              <w:right w:w="105" w:type="dxa"/>
            </w:tcMar>
            <w:vAlign w:val="center"/>
          </w:tcPr>
          <w:p w14:paraId="2717984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16A8472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024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581AB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DF3BE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0AD0F7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164A2F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1.开单总数-环比开单数</w:t>
            </w:r>
          </w:p>
        </w:tc>
        <w:tc>
          <w:tcPr>
            <w:tcW w:w="1149" w:type="dxa"/>
            <w:shd w:val="clear" w:color="auto" w:fill="auto"/>
            <w:noWrap/>
            <w:tcMar>
              <w:top w:w="0" w:type="dxa"/>
              <w:left w:w="105" w:type="dxa"/>
              <w:bottom w:w="0" w:type="dxa"/>
              <w:right w:w="105" w:type="dxa"/>
            </w:tcMar>
            <w:vAlign w:val="center"/>
          </w:tcPr>
          <w:p w14:paraId="5E7398B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460ABFA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分子</w:t>
            </w:r>
          </w:p>
        </w:tc>
      </w:tr>
      <w:tr w14:paraId="2C34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ACAA0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43DB0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F1B73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noWrap/>
            <w:tcMar>
              <w:top w:w="0" w:type="dxa"/>
              <w:left w:w="105" w:type="dxa"/>
              <w:bottom w:w="0" w:type="dxa"/>
              <w:right w:w="105" w:type="dxa"/>
            </w:tcMar>
            <w:vAlign w:val="center"/>
          </w:tcPr>
          <w:p w14:paraId="47D2E2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2.环比开单数</w:t>
            </w:r>
          </w:p>
        </w:tc>
        <w:tc>
          <w:tcPr>
            <w:tcW w:w="1149" w:type="dxa"/>
            <w:shd w:val="clear" w:color="auto" w:fill="auto"/>
            <w:noWrap/>
            <w:tcMar>
              <w:top w:w="0" w:type="dxa"/>
              <w:left w:w="105" w:type="dxa"/>
              <w:bottom w:w="0" w:type="dxa"/>
              <w:right w:w="105" w:type="dxa"/>
            </w:tcMar>
            <w:vAlign w:val="center"/>
          </w:tcPr>
          <w:p w14:paraId="4732AD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次</w:t>
            </w:r>
          </w:p>
        </w:tc>
        <w:tc>
          <w:tcPr>
            <w:tcW w:w="1399" w:type="dxa"/>
            <w:shd w:val="clear" w:color="auto" w:fill="auto"/>
            <w:noWrap/>
            <w:tcMar>
              <w:top w:w="0" w:type="dxa"/>
              <w:left w:w="105" w:type="dxa"/>
              <w:bottom w:w="0" w:type="dxa"/>
              <w:right w:w="105" w:type="dxa"/>
            </w:tcMar>
            <w:vAlign w:val="center"/>
          </w:tcPr>
          <w:p w14:paraId="0800E8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分母</w:t>
            </w:r>
          </w:p>
        </w:tc>
      </w:tr>
      <w:tr w14:paraId="7D43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1C047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FE30B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0C7FC9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工作量指标</w:t>
            </w:r>
          </w:p>
        </w:tc>
        <w:tc>
          <w:tcPr>
            <w:tcW w:w="1976" w:type="dxa"/>
            <w:shd w:val="clear" w:color="auto" w:fill="auto"/>
            <w:tcMar>
              <w:top w:w="0" w:type="dxa"/>
              <w:left w:w="105" w:type="dxa"/>
              <w:bottom w:w="0" w:type="dxa"/>
              <w:right w:w="105" w:type="dxa"/>
            </w:tcMar>
            <w:vAlign w:val="center"/>
          </w:tcPr>
          <w:p w14:paraId="49327F6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入院人次</w:t>
            </w:r>
          </w:p>
        </w:tc>
        <w:tc>
          <w:tcPr>
            <w:tcW w:w="1149" w:type="dxa"/>
            <w:shd w:val="clear" w:color="auto" w:fill="auto"/>
            <w:noWrap/>
            <w:tcMar>
              <w:top w:w="0" w:type="dxa"/>
              <w:left w:w="105" w:type="dxa"/>
              <w:bottom w:w="0" w:type="dxa"/>
              <w:right w:w="105" w:type="dxa"/>
            </w:tcMar>
            <w:vAlign w:val="center"/>
          </w:tcPr>
          <w:p w14:paraId="3FE56F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08CBB6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DDD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072D76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22CF6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A920A2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55214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出院人次</w:t>
            </w:r>
          </w:p>
        </w:tc>
        <w:tc>
          <w:tcPr>
            <w:tcW w:w="1149" w:type="dxa"/>
            <w:shd w:val="clear" w:color="auto" w:fill="auto"/>
            <w:noWrap/>
            <w:tcMar>
              <w:top w:w="0" w:type="dxa"/>
              <w:left w:w="105" w:type="dxa"/>
              <w:bottom w:w="0" w:type="dxa"/>
              <w:right w:w="105" w:type="dxa"/>
            </w:tcMar>
            <w:vAlign w:val="center"/>
          </w:tcPr>
          <w:p w14:paraId="4D183B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人次</w:t>
            </w:r>
          </w:p>
        </w:tc>
        <w:tc>
          <w:tcPr>
            <w:tcW w:w="1399" w:type="dxa"/>
            <w:shd w:val="clear" w:color="auto" w:fill="auto"/>
            <w:noWrap/>
            <w:tcMar>
              <w:top w:w="0" w:type="dxa"/>
              <w:left w:w="105" w:type="dxa"/>
              <w:bottom w:w="0" w:type="dxa"/>
              <w:right w:w="105" w:type="dxa"/>
            </w:tcMar>
            <w:vAlign w:val="center"/>
          </w:tcPr>
          <w:p w14:paraId="4717CE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379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66BC35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4A11E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797CCC8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门诊住院转化率</w:t>
            </w:r>
          </w:p>
        </w:tc>
        <w:tc>
          <w:tcPr>
            <w:tcW w:w="1976" w:type="dxa"/>
            <w:shd w:val="clear" w:color="auto" w:fill="auto"/>
            <w:tcMar>
              <w:top w:w="0" w:type="dxa"/>
              <w:left w:w="105" w:type="dxa"/>
              <w:bottom w:w="0" w:type="dxa"/>
              <w:right w:w="105" w:type="dxa"/>
            </w:tcMar>
            <w:vAlign w:val="center"/>
          </w:tcPr>
          <w:p w14:paraId="41B973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入院证量</w:t>
            </w:r>
          </w:p>
        </w:tc>
        <w:tc>
          <w:tcPr>
            <w:tcW w:w="1149" w:type="dxa"/>
            <w:shd w:val="clear" w:color="auto" w:fill="auto"/>
            <w:noWrap/>
            <w:tcMar>
              <w:top w:w="0" w:type="dxa"/>
              <w:left w:w="105" w:type="dxa"/>
              <w:bottom w:w="0" w:type="dxa"/>
              <w:right w:w="105" w:type="dxa"/>
            </w:tcMar>
            <w:vAlign w:val="center"/>
          </w:tcPr>
          <w:p w14:paraId="14EFE4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291E3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F7F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A68B4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36513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8F0484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9CF53F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实际入院量</w:t>
            </w:r>
          </w:p>
        </w:tc>
        <w:tc>
          <w:tcPr>
            <w:tcW w:w="1149" w:type="dxa"/>
            <w:shd w:val="clear" w:color="auto" w:fill="auto"/>
            <w:noWrap/>
            <w:tcMar>
              <w:top w:w="0" w:type="dxa"/>
              <w:left w:w="105" w:type="dxa"/>
              <w:bottom w:w="0" w:type="dxa"/>
              <w:right w:w="105" w:type="dxa"/>
            </w:tcMar>
            <w:vAlign w:val="center"/>
          </w:tcPr>
          <w:p w14:paraId="28E275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6DD77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F43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B7EBF3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3A9D2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FEB11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4E4195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入院证量/挂号量</w:t>
            </w:r>
          </w:p>
        </w:tc>
        <w:tc>
          <w:tcPr>
            <w:tcW w:w="1149" w:type="dxa"/>
            <w:shd w:val="clear" w:color="auto" w:fill="auto"/>
            <w:noWrap/>
            <w:tcMar>
              <w:top w:w="0" w:type="dxa"/>
              <w:left w:w="105" w:type="dxa"/>
              <w:bottom w:w="0" w:type="dxa"/>
              <w:right w:w="105" w:type="dxa"/>
            </w:tcMar>
            <w:vAlign w:val="center"/>
          </w:tcPr>
          <w:p w14:paraId="0A5474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18CBE9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3E45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611813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233A7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8CAAE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F1CE7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实际入院量/挂号量</w:t>
            </w:r>
          </w:p>
        </w:tc>
        <w:tc>
          <w:tcPr>
            <w:tcW w:w="1149" w:type="dxa"/>
            <w:shd w:val="clear" w:color="auto" w:fill="auto"/>
            <w:noWrap/>
            <w:tcMar>
              <w:top w:w="0" w:type="dxa"/>
              <w:left w:w="105" w:type="dxa"/>
              <w:bottom w:w="0" w:type="dxa"/>
              <w:right w:w="105" w:type="dxa"/>
            </w:tcMar>
            <w:vAlign w:val="center"/>
          </w:tcPr>
          <w:p w14:paraId="24452F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7B29042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8F3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2D08B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ECC47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26ACD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DB747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实际入院量/入院证量</w:t>
            </w:r>
          </w:p>
        </w:tc>
        <w:tc>
          <w:tcPr>
            <w:tcW w:w="1149" w:type="dxa"/>
            <w:shd w:val="clear" w:color="auto" w:fill="auto"/>
            <w:noWrap/>
            <w:tcMar>
              <w:top w:w="0" w:type="dxa"/>
              <w:left w:w="105" w:type="dxa"/>
              <w:bottom w:w="0" w:type="dxa"/>
              <w:right w:w="105" w:type="dxa"/>
            </w:tcMar>
            <w:vAlign w:val="center"/>
          </w:tcPr>
          <w:p w14:paraId="2AEA71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11430E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37D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18EEB5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DDD11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35EF5F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门诊收入</w:t>
            </w:r>
          </w:p>
        </w:tc>
        <w:tc>
          <w:tcPr>
            <w:tcW w:w="1976" w:type="dxa"/>
            <w:shd w:val="clear" w:color="auto" w:fill="auto"/>
            <w:tcMar>
              <w:top w:w="0" w:type="dxa"/>
              <w:left w:w="105" w:type="dxa"/>
              <w:bottom w:w="0" w:type="dxa"/>
              <w:right w:w="105" w:type="dxa"/>
            </w:tcMar>
            <w:vAlign w:val="center"/>
          </w:tcPr>
          <w:p w14:paraId="7A179E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药品费</w:t>
            </w:r>
          </w:p>
        </w:tc>
        <w:tc>
          <w:tcPr>
            <w:tcW w:w="1149" w:type="dxa"/>
            <w:shd w:val="clear" w:color="auto" w:fill="auto"/>
            <w:noWrap/>
            <w:tcMar>
              <w:top w:w="0" w:type="dxa"/>
              <w:left w:w="105" w:type="dxa"/>
              <w:bottom w:w="0" w:type="dxa"/>
              <w:right w:w="105" w:type="dxa"/>
            </w:tcMar>
            <w:vAlign w:val="center"/>
          </w:tcPr>
          <w:p w14:paraId="7C9AA6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05E4DF2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B6F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B3BF9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9DFB7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CF6EDF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A307DA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耗材费</w:t>
            </w:r>
          </w:p>
        </w:tc>
        <w:tc>
          <w:tcPr>
            <w:tcW w:w="1149" w:type="dxa"/>
            <w:shd w:val="clear" w:color="auto" w:fill="auto"/>
            <w:noWrap/>
            <w:tcMar>
              <w:top w:w="0" w:type="dxa"/>
              <w:left w:w="105" w:type="dxa"/>
              <w:bottom w:w="0" w:type="dxa"/>
              <w:right w:w="105" w:type="dxa"/>
            </w:tcMar>
            <w:vAlign w:val="center"/>
          </w:tcPr>
          <w:p w14:paraId="510766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4A301AD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C20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E902F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A1FD8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F95B9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6CB97C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医疗服务收入</w:t>
            </w:r>
          </w:p>
        </w:tc>
        <w:tc>
          <w:tcPr>
            <w:tcW w:w="1149" w:type="dxa"/>
            <w:shd w:val="clear" w:color="auto" w:fill="auto"/>
            <w:noWrap/>
            <w:tcMar>
              <w:top w:w="0" w:type="dxa"/>
              <w:left w:w="105" w:type="dxa"/>
              <w:bottom w:w="0" w:type="dxa"/>
              <w:right w:w="105" w:type="dxa"/>
            </w:tcMar>
            <w:vAlign w:val="center"/>
          </w:tcPr>
          <w:p w14:paraId="40DF693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968ED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641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444E0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A8470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C46F7C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40047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检查检验收入</w:t>
            </w:r>
          </w:p>
        </w:tc>
        <w:tc>
          <w:tcPr>
            <w:tcW w:w="1149" w:type="dxa"/>
            <w:shd w:val="clear" w:color="auto" w:fill="auto"/>
            <w:noWrap/>
            <w:tcMar>
              <w:top w:w="0" w:type="dxa"/>
              <w:left w:w="105" w:type="dxa"/>
              <w:bottom w:w="0" w:type="dxa"/>
              <w:right w:w="105" w:type="dxa"/>
            </w:tcMar>
            <w:vAlign w:val="center"/>
          </w:tcPr>
          <w:p w14:paraId="7A0CF3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2F95E20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A10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26C77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CD73E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E8F4F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C3CD5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门诊总收入</w:t>
            </w:r>
          </w:p>
        </w:tc>
        <w:tc>
          <w:tcPr>
            <w:tcW w:w="1149" w:type="dxa"/>
            <w:shd w:val="clear" w:color="auto" w:fill="auto"/>
            <w:noWrap/>
            <w:tcMar>
              <w:top w:w="0" w:type="dxa"/>
              <w:left w:w="105" w:type="dxa"/>
              <w:bottom w:w="0" w:type="dxa"/>
              <w:right w:w="105" w:type="dxa"/>
            </w:tcMar>
            <w:vAlign w:val="center"/>
          </w:tcPr>
          <w:p w14:paraId="728796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万元</w:t>
            </w:r>
          </w:p>
        </w:tc>
        <w:tc>
          <w:tcPr>
            <w:tcW w:w="1399" w:type="dxa"/>
            <w:shd w:val="clear" w:color="auto" w:fill="auto"/>
            <w:noWrap/>
            <w:tcMar>
              <w:top w:w="0" w:type="dxa"/>
              <w:left w:w="105" w:type="dxa"/>
              <w:bottom w:w="0" w:type="dxa"/>
              <w:right w:w="105" w:type="dxa"/>
            </w:tcMar>
            <w:vAlign w:val="center"/>
          </w:tcPr>
          <w:p w14:paraId="6D27179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B4D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969F8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5E57F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3B44E5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872E33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专科门诊收入</w:t>
            </w:r>
          </w:p>
        </w:tc>
        <w:tc>
          <w:tcPr>
            <w:tcW w:w="1149" w:type="dxa"/>
            <w:shd w:val="clear" w:color="auto" w:fill="auto"/>
            <w:noWrap/>
            <w:tcMar>
              <w:top w:w="0" w:type="dxa"/>
              <w:left w:w="105" w:type="dxa"/>
              <w:bottom w:w="0" w:type="dxa"/>
              <w:right w:w="105" w:type="dxa"/>
            </w:tcMar>
            <w:vAlign w:val="center"/>
          </w:tcPr>
          <w:p w14:paraId="2DF3D4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DA63D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1AF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B92F9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90EAB2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5AC05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1AA75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【专科门诊】-医疗服务费</w:t>
            </w:r>
          </w:p>
        </w:tc>
        <w:tc>
          <w:tcPr>
            <w:tcW w:w="1149" w:type="dxa"/>
            <w:shd w:val="clear" w:color="auto" w:fill="auto"/>
            <w:noWrap/>
            <w:tcMar>
              <w:top w:w="0" w:type="dxa"/>
              <w:left w:w="105" w:type="dxa"/>
              <w:bottom w:w="0" w:type="dxa"/>
              <w:right w:w="105" w:type="dxa"/>
            </w:tcMar>
            <w:vAlign w:val="center"/>
          </w:tcPr>
          <w:p w14:paraId="2E77E73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978B8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D90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70B513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B0698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BF6F6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E896C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【专科门诊】-治疗费</w:t>
            </w:r>
          </w:p>
        </w:tc>
        <w:tc>
          <w:tcPr>
            <w:tcW w:w="1149" w:type="dxa"/>
            <w:shd w:val="clear" w:color="auto" w:fill="auto"/>
            <w:noWrap/>
            <w:tcMar>
              <w:top w:w="0" w:type="dxa"/>
              <w:left w:w="105" w:type="dxa"/>
              <w:bottom w:w="0" w:type="dxa"/>
              <w:right w:w="105" w:type="dxa"/>
            </w:tcMar>
            <w:vAlign w:val="center"/>
          </w:tcPr>
          <w:p w14:paraId="6AB355C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65A9E5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EF0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D7E633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F05A8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34753F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D51D2C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【专科门诊】-手术费</w:t>
            </w:r>
          </w:p>
        </w:tc>
        <w:tc>
          <w:tcPr>
            <w:tcW w:w="1149" w:type="dxa"/>
            <w:shd w:val="clear" w:color="auto" w:fill="auto"/>
            <w:noWrap/>
            <w:tcMar>
              <w:top w:w="0" w:type="dxa"/>
              <w:left w:w="105" w:type="dxa"/>
              <w:bottom w:w="0" w:type="dxa"/>
              <w:right w:w="105" w:type="dxa"/>
            </w:tcMar>
            <w:vAlign w:val="center"/>
          </w:tcPr>
          <w:p w14:paraId="004AC07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CC8EA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53E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2751A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10895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4DF73F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40EBB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【专科门诊】-检查检验费</w:t>
            </w:r>
          </w:p>
        </w:tc>
        <w:tc>
          <w:tcPr>
            <w:tcW w:w="1149" w:type="dxa"/>
            <w:shd w:val="clear" w:color="auto" w:fill="auto"/>
            <w:noWrap/>
            <w:tcMar>
              <w:top w:w="0" w:type="dxa"/>
              <w:left w:w="105" w:type="dxa"/>
              <w:bottom w:w="0" w:type="dxa"/>
              <w:right w:w="105" w:type="dxa"/>
            </w:tcMar>
            <w:vAlign w:val="center"/>
          </w:tcPr>
          <w:p w14:paraId="32A62F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BA212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6EB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52D9B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88CED9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19D9A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E65F8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【专科门诊】-检查费</w:t>
            </w:r>
          </w:p>
        </w:tc>
        <w:tc>
          <w:tcPr>
            <w:tcW w:w="1149" w:type="dxa"/>
            <w:shd w:val="clear" w:color="auto" w:fill="auto"/>
            <w:noWrap/>
            <w:tcMar>
              <w:top w:w="0" w:type="dxa"/>
              <w:left w:w="105" w:type="dxa"/>
              <w:bottom w:w="0" w:type="dxa"/>
              <w:right w:w="105" w:type="dxa"/>
            </w:tcMar>
            <w:vAlign w:val="center"/>
          </w:tcPr>
          <w:p w14:paraId="2C54D8B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29278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C783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55520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929EEF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9489E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655A8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【专科门诊】-检验费</w:t>
            </w:r>
          </w:p>
        </w:tc>
        <w:tc>
          <w:tcPr>
            <w:tcW w:w="1149" w:type="dxa"/>
            <w:shd w:val="clear" w:color="auto" w:fill="auto"/>
            <w:noWrap/>
            <w:tcMar>
              <w:top w:w="0" w:type="dxa"/>
              <w:left w:w="105" w:type="dxa"/>
              <w:bottom w:w="0" w:type="dxa"/>
              <w:right w:w="105" w:type="dxa"/>
            </w:tcMar>
            <w:vAlign w:val="center"/>
          </w:tcPr>
          <w:p w14:paraId="6A2C1C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2E4A33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996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189F513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A53B6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FAA14D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A5931E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【专科门诊】-药品费</w:t>
            </w:r>
          </w:p>
        </w:tc>
        <w:tc>
          <w:tcPr>
            <w:tcW w:w="1149" w:type="dxa"/>
            <w:shd w:val="clear" w:color="auto" w:fill="auto"/>
            <w:noWrap/>
            <w:tcMar>
              <w:top w:w="0" w:type="dxa"/>
              <w:left w:w="105" w:type="dxa"/>
              <w:bottom w:w="0" w:type="dxa"/>
              <w:right w:w="105" w:type="dxa"/>
            </w:tcMar>
            <w:vAlign w:val="center"/>
          </w:tcPr>
          <w:p w14:paraId="5B48C5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BBB62A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532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6B555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4C4D28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1A6534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09706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【专科门诊】-自制制剂药费</w:t>
            </w:r>
          </w:p>
        </w:tc>
        <w:tc>
          <w:tcPr>
            <w:tcW w:w="1149" w:type="dxa"/>
            <w:shd w:val="clear" w:color="auto" w:fill="auto"/>
            <w:noWrap/>
            <w:tcMar>
              <w:top w:w="0" w:type="dxa"/>
              <w:left w:w="105" w:type="dxa"/>
              <w:bottom w:w="0" w:type="dxa"/>
              <w:right w:w="105" w:type="dxa"/>
            </w:tcMar>
            <w:vAlign w:val="center"/>
          </w:tcPr>
          <w:p w14:paraId="629836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2CD1C3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C58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77CF9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737B0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151E7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C4872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【专科门诊】-材料费</w:t>
            </w:r>
          </w:p>
        </w:tc>
        <w:tc>
          <w:tcPr>
            <w:tcW w:w="1149" w:type="dxa"/>
            <w:shd w:val="clear" w:color="auto" w:fill="auto"/>
            <w:noWrap/>
            <w:tcMar>
              <w:top w:w="0" w:type="dxa"/>
              <w:left w:w="105" w:type="dxa"/>
              <w:bottom w:w="0" w:type="dxa"/>
              <w:right w:w="105" w:type="dxa"/>
            </w:tcMar>
            <w:vAlign w:val="center"/>
          </w:tcPr>
          <w:p w14:paraId="205899E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C15D57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5AA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0F5EC1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EC491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332E5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AA84D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门特收入</w:t>
            </w:r>
          </w:p>
        </w:tc>
        <w:tc>
          <w:tcPr>
            <w:tcW w:w="1149" w:type="dxa"/>
            <w:shd w:val="clear" w:color="auto" w:fill="auto"/>
            <w:noWrap/>
            <w:tcMar>
              <w:top w:w="0" w:type="dxa"/>
              <w:left w:w="105" w:type="dxa"/>
              <w:bottom w:w="0" w:type="dxa"/>
              <w:right w:w="105" w:type="dxa"/>
            </w:tcMar>
            <w:vAlign w:val="center"/>
          </w:tcPr>
          <w:p w14:paraId="31874A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05D345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BD5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B3AC23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3FAC3E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8EB970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22C098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【门特】-药品费</w:t>
            </w:r>
          </w:p>
        </w:tc>
        <w:tc>
          <w:tcPr>
            <w:tcW w:w="1149" w:type="dxa"/>
            <w:shd w:val="clear" w:color="auto" w:fill="auto"/>
            <w:noWrap/>
            <w:tcMar>
              <w:top w:w="0" w:type="dxa"/>
              <w:left w:w="105" w:type="dxa"/>
              <w:bottom w:w="0" w:type="dxa"/>
              <w:right w:w="105" w:type="dxa"/>
            </w:tcMar>
            <w:vAlign w:val="center"/>
          </w:tcPr>
          <w:p w14:paraId="35D603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09F5F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C08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FC25C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B2A99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03122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383A6A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门诊有效收入</w:t>
            </w:r>
          </w:p>
        </w:tc>
        <w:tc>
          <w:tcPr>
            <w:tcW w:w="1149" w:type="dxa"/>
            <w:shd w:val="clear" w:color="auto" w:fill="auto"/>
            <w:noWrap/>
            <w:tcMar>
              <w:top w:w="0" w:type="dxa"/>
              <w:left w:w="105" w:type="dxa"/>
              <w:bottom w:w="0" w:type="dxa"/>
              <w:right w:w="105" w:type="dxa"/>
            </w:tcMar>
            <w:vAlign w:val="center"/>
          </w:tcPr>
          <w:p w14:paraId="0C7F5D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万元</w:t>
            </w:r>
          </w:p>
        </w:tc>
        <w:tc>
          <w:tcPr>
            <w:tcW w:w="1399" w:type="dxa"/>
            <w:shd w:val="clear" w:color="auto" w:fill="auto"/>
            <w:noWrap/>
            <w:tcMar>
              <w:top w:w="0" w:type="dxa"/>
              <w:left w:w="105" w:type="dxa"/>
              <w:bottom w:w="0" w:type="dxa"/>
              <w:right w:w="105" w:type="dxa"/>
            </w:tcMar>
            <w:vAlign w:val="center"/>
          </w:tcPr>
          <w:p w14:paraId="2CA78F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6C1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6D931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EC915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809A6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0FC4B2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门诊有效收入占比</w:t>
            </w:r>
          </w:p>
        </w:tc>
        <w:tc>
          <w:tcPr>
            <w:tcW w:w="1149" w:type="dxa"/>
            <w:shd w:val="clear" w:color="auto" w:fill="auto"/>
            <w:noWrap/>
            <w:tcMar>
              <w:top w:w="0" w:type="dxa"/>
              <w:left w:w="105" w:type="dxa"/>
              <w:bottom w:w="0" w:type="dxa"/>
              <w:right w:w="105" w:type="dxa"/>
            </w:tcMar>
            <w:vAlign w:val="center"/>
          </w:tcPr>
          <w:p w14:paraId="51C5BD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百分比</w:t>
            </w:r>
          </w:p>
        </w:tc>
        <w:tc>
          <w:tcPr>
            <w:tcW w:w="1399" w:type="dxa"/>
            <w:shd w:val="clear" w:color="auto" w:fill="auto"/>
            <w:noWrap/>
            <w:tcMar>
              <w:top w:w="0" w:type="dxa"/>
              <w:left w:w="105" w:type="dxa"/>
              <w:bottom w:w="0" w:type="dxa"/>
              <w:right w:w="105" w:type="dxa"/>
            </w:tcMar>
            <w:vAlign w:val="center"/>
          </w:tcPr>
          <w:p w14:paraId="60D1F3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014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16290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C1609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035A62A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门诊次均费用</w:t>
            </w:r>
          </w:p>
        </w:tc>
        <w:tc>
          <w:tcPr>
            <w:tcW w:w="1976" w:type="dxa"/>
            <w:shd w:val="clear" w:color="auto" w:fill="auto"/>
            <w:tcMar>
              <w:top w:w="0" w:type="dxa"/>
              <w:left w:w="105" w:type="dxa"/>
              <w:bottom w:w="0" w:type="dxa"/>
              <w:right w:w="105" w:type="dxa"/>
            </w:tcMar>
            <w:vAlign w:val="center"/>
          </w:tcPr>
          <w:p w14:paraId="41748D7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门诊次均费用</w:t>
            </w:r>
          </w:p>
        </w:tc>
        <w:tc>
          <w:tcPr>
            <w:tcW w:w="1149" w:type="dxa"/>
            <w:shd w:val="clear" w:color="auto" w:fill="auto"/>
            <w:noWrap/>
            <w:tcMar>
              <w:top w:w="0" w:type="dxa"/>
              <w:left w:w="105" w:type="dxa"/>
              <w:bottom w:w="0" w:type="dxa"/>
              <w:right w:w="105" w:type="dxa"/>
            </w:tcMar>
            <w:vAlign w:val="center"/>
          </w:tcPr>
          <w:p w14:paraId="62C864F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A3C3C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4CE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D72F46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43366B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17F56C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5F97E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门诊次均无药无耗费用</w:t>
            </w:r>
          </w:p>
        </w:tc>
        <w:tc>
          <w:tcPr>
            <w:tcW w:w="1149" w:type="dxa"/>
            <w:shd w:val="clear" w:color="auto" w:fill="auto"/>
            <w:noWrap/>
            <w:tcMar>
              <w:top w:w="0" w:type="dxa"/>
              <w:left w:w="105" w:type="dxa"/>
              <w:bottom w:w="0" w:type="dxa"/>
              <w:right w:w="105" w:type="dxa"/>
            </w:tcMar>
            <w:vAlign w:val="center"/>
          </w:tcPr>
          <w:p w14:paraId="0A975B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4B81DC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1F1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2A45AC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CCBEF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F8D4A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0E5F7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门诊次均药品费用</w:t>
            </w:r>
          </w:p>
        </w:tc>
        <w:tc>
          <w:tcPr>
            <w:tcW w:w="1149" w:type="dxa"/>
            <w:shd w:val="clear" w:color="auto" w:fill="auto"/>
            <w:noWrap/>
            <w:tcMar>
              <w:top w:w="0" w:type="dxa"/>
              <w:left w:w="105" w:type="dxa"/>
              <w:bottom w:w="0" w:type="dxa"/>
              <w:right w:w="105" w:type="dxa"/>
            </w:tcMar>
            <w:vAlign w:val="center"/>
          </w:tcPr>
          <w:p w14:paraId="3D7D4F6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BE22B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7B8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E7F66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98922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BE411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8B40D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w:t>
            </w:r>
          </w:p>
        </w:tc>
        <w:tc>
          <w:tcPr>
            <w:tcW w:w="1149" w:type="dxa"/>
            <w:shd w:val="clear" w:color="auto" w:fill="auto"/>
            <w:noWrap/>
            <w:tcMar>
              <w:top w:w="0" w:type="dxa"/>
              <w:left w:w="105" w:type="dxa"/>
              <w:bottom w:w="0" w:type="dxa"/>
              <w:right w:w="105" w:type="dxa"/>
            </w:tcMar>
            <w:vAlign w:val="center"/>
          </w:tcPr>
          <w:p w14:paraId="42B2A93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AB06B6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FBA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713A08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0EF2A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A2811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9A0E7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【专科门诊次均费用】-次均医疗服务费</w:t>
            </w:r>
          </w:p>
        </w:tc>
        <w:tc>
          <w:tcPr>
            <w:tcW w:w="1149" w:type="dxa"/>
            <w:shd w:val="clear" w:color="auto" w:fill="auto"/>
            <w:noWrap/>
            <w:tcMar>
              <w:top w:w="0" w:type="dxa"/>
              <w:left w:w="105" w:type="dxa"/>
              <w:bottom w:w="0" w:type="dxa"/>
              <w:right w:w="105" w:type="dxa"/>
            </w:tcMar>
            <w:vAlign w:val="center"/>
          </w:tcPr>
          <w:p w14:paraId="3D874D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A682B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554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79A63CA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A567C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BDA7F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AB2D6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【专科门诊次均费用】-次均治疗费</w:t>
            </w:r>
          </w:p>
        </w:tc>
        <w:tc>
          <w:tcPr>
            <w:tcW w:w="1149" w:type="dxa"/>
            <w:shd w:val="clear" w:color="auto" w:fill="auto"/>
            <w:noWrap/>
            <w:tcMar>
              <w:top w:w="0" w:type="dxa"/>
              <w:left w:w="105" w:type="dxa"/>
              <w:bottom w:w="0" w:type="dxa"/>
              <w:right w:w="105" w:type="dxa"/>
            </w:tcMar>
            <w:vAlign w:val="center"/>
          </w:tcPr>
          <w:p w14:paraId="6B1AA03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52FDAE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85C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EB0A2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1B31C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25B10E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C0B86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【专科门诊次均费用】-次均手术费</w:t>
            </w:r>
          </w:p>
        </w:tc>
        <w:tc>
          <w:tcPr>
            <w:tcW w:w="1149" w:type="dxa"/>
            <w:shd w:val="clear" w:color="auto" w:fill="auto"/>
            <w:noWrap/>
            <w:tcMar>
              <w:top w:w="0" w:type="dxa"/>
              <w:left w:w="105" w:type="dxa"/>
              <w:bottom w:w="0" w:type="dxa"/>
              <w:right w:w="105" w:type="dxa"/>
            </w:tcMar>
            <w:vAlign w:val="center"/>
          </w:tcPr>
          <w:p w14:paraId="4517D6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3DBF59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7A4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1B6573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6B3BD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7F0AC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EBCFD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【专科门诊次均费用】-次均检查检验费</w:t>
            </w:r>
          </w:p>
        </w:tc>
        <w:tc>
          <w:tcPr>
            <w:tcW w:w="1149" w:type="dxa"/>
            <w:shd w:val="clear" w:color="auto" w:fill="auto"/>
            <w:noWrap/>
            <w:tcMar>
              <w:top w:w="0" w:type="dxa"/>
              <w:left w:w="105" w:type="dxa"/>
              <w:bottom w:w="0" w:type="dxa"/>
              <w:right w:w="105" w:type="dxa"/>
            </w:tcMar>
            <w:vAlign w:val="center"/>
          </w:tcPr>
          <w:p w14:paraId="6E58D0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64585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197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7F01B23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6BBF7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42AF75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E705E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【专科门诊次均费用】-次均检查费</w:t>
            </w:r>
          </w:p>
        </w:tc>
        <w:tc>
          <w:tcPr>
            <w:tcW w:w="1149" w:type="dxa"/>
            <w:shd w:val="clear" w:color="auto" w:fill="auto"/>
            <w:noWrap/>
            <w:tcMar>
              <w:top w:w="0" w:type="dxa"/>
              <w:left w:w="105" w:type="dxa"/>
              <w:bottom w:w="0" w:type="dxa"/>
              <w:right w:w="105" w:type="dxa"/>
            </w:tcMar>
            <w:vAlign w:val="center"/>
          </w:tcPr>
          <w:p w14:paraId="090209D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78C5D4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227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41E9F82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A37BB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FCDC5B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3ED53F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【专科门诊次均费用】-次均检验费</w:t>
            </w:r>
          </w:p>
        </w:tc>
        <w:tc>
          <w:tcPr>
            <w:tcW w:w="1149" w:type="dxa"/>
            <w:shd w:val="clear" w:color="auto" w:fill="auto"/>
            <w:noWrap/>
            <w:tcMar>
              <w:top w:w="0" w:type="dxa"/>
              <w:left w:w="105" w:type="dxa"/>
              <w:bottom w:w="0" w:type="dxa"/>
              <w:right w:w="105" w:type="dxa"/>
            </w:tcMar>
            <w:vAlign w:val="center"/>
          </w:tcPr>
          <w:p w14:paraId="5F2821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1A84E4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336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0049EE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71325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5EE7A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45645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【专科门诊次均费用】-次均药品费</w:t>
            </w:r>
          </w:p>
        </w:tc>
        <w:tc>
          <w:tcPr>
            <w:tcW w:w="1149" w:type="dxa"/>
            <w:shd w:val="clear" w:color="auto" w:fill="auto"/>
            <w:noWrap/>
            <w:tcMar>
              <w:top w:w="0" w:type="dxa"/>
              <w:left w:w="105" w:type="dxa"/>
              <w:bottom w:w="0" w:type="dxa"/>
              <w:right w:w="105" w:type="dxa"/>
            </w:tcMar>
            <w:vAlign w:val="center"/>
          </w:tcPr>
          <w:p w14:paraId="7407AA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712D88A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B74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FD4D8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A96AA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AF803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56A82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【专科门诊次均费用】-次均自制制剂药费</w:t>
            </w:r>
          </w:p>
        </w:tc>
        <w:tc>
          <w:tcPr>
            <w:tcW w:w="1149" w:type="dxa"/>
            <w:shd w:val="clear" w:color="auto" w:fill="auto"/>
            <w:noWrap/>
            <w:tcMar>
              <w:top w:w="0" w:type="dxa"/>
              <w:left w:w="105" w:type="dxa"/>
              <w:bottom w:w="0" w:type="dxa"/>
              <w:right w:w="105" w:type="dxa"/>
            </w:tcMar>
            <w:vAlign w:val="center"/>
          </w:tcPr>
          <w:p w14:paraId="0C4597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6179CF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9E7B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27CC3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859BB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080078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2E1781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【专科门诊次均费用】-次均材料费</w:t>
            </w:r>
          </w:p>
        </w:tc>
        <w:tc>
          <w:tcPr>
            <w:tcW w:w="1149" w:type="dxa"/>
            <w:shd w:val="clear" w:color="auto" w:fill="auto"/>
            <w:noWrap/>
            <w:tcMar>
              <w:top w:w="0" w:type="dxa"/>
              <w:left w:w="105" w:type="dxa"/>
              <w:bottom w:w="0" w:type="dxa"/>
              <w:right w:w="105" w:type="dxa"/>
            </w:tcMar>
            <w:vAlign w:val="center"/>
          </w:tcPr>
          <w:p w14:paraId="51BAC3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0A1F67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B4A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589967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68AEC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44ECE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D9524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门特次均费用</w:t>
            </w:r>
          </w:p>
        </w:tc>
        <w:tc>
          <w:tcPr>
            <w:tcW w:w="1149" w:type="dxa"/>
            <w:shd w:val="clear" w:color="auto" w:fill="auto"/>
            <w:noWrap/>
            <w:tcMar>
              <w:top w:w="0" w:type="dxa"/>
              <w:left w:w="105" w:type="dxa"/>
              <w:bottom w:w="0" w:type="dxa"/>
              <w:right w:w="105" w:type="dxa"/>
            </w:tcMar>
            <w:vAlign w:val="center"/>
          </w:tcPr>
          <w:p w14:paraId="71D448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2F2B0D7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3919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4DF968B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8C77E9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A9232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AFE46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【门特次均费用】-次均药品费</w:t>
            </w:r>
          </w:p>
        </w:tc>
        <w:tc>
          <w:tcPr>
            <w:tcW w:w="1149" w:type="dxa"/>
            <w:shd w:val="clear" w:color="auto" w:fill="auto"/>
            <w:noWrap/>
            <w:tcMar>
              <w:top w:w="0" w:type="dxa"/>
              <w:left w:w="105" w:type="dxa"/>
              <w:bottom w:w="0" w:type="dxa"/>
              <w:right w:w="105" w:type="dxa"/>
            </w:tcMar>
            <w:vAlign w:val="center"/>
          </w:tcPr>
          <w:p w14:paraId="181EC0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w:t>
            </w:r>
          </w:p>
        </w:tc>
        <w:tc>
          <w:tcPr>
            <w:tcW w:w="1399" w:type="dxa"/>
            <w:shd w:val="clear" w:color="auto" w:fill="auto"/>
            <w:noWrap/>
            <w:tcMar>
              <w:top w:w="0" w:type="dxa"/>
              <w:left w:w="105" w:type="dxa"/>
              <w:bottom w:w="0" w:type="dxa"/>
              <w:right w:w="105" w:type="dxa"/>
            </w:tcMar>
            <w:vAlign w:val="center"/>
          </w:tcPr>
          <w:p w14:paraId="26BC27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922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3DCD73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03D764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549A114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门诊费用结构</w:t>
            </w:r>
          </w:p>
        </w:tc>
        <w:tc>
          <w:tcPr>
            <w:tcW w:w="1976" w:type="dxa"/>
            <w:shd w:val="clear" w:color="auto" w:fill="auto"/>
            <w:tcMar>
              <w:top w:w="0" w:type="dxa"/>
              <w:left w:w="105" w:type="dxa"/>
              <w:bottom w:w="0" w:type="dxa"/>
              <w:right w:w="105" w:type="dxa"/>
            </w:tcMar>
            <w:vAlign w:val="center"/>
          </w:tcPr>
          <w:p w14:paraId="25D9101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【专科门诊费用结构】-医疗服务费占比</w:t>
            </w:r>
          </w:p>
        </w:tc>
        <w:tc>
          <w:tcPr>
            <w:tcW w:w="1149" w:type="dxa"/>
            <w:shd w:val="clear" w:color="auto" w:fill="auto"/>
            <w:noWrap/>
            <w:tcMar>
              <w:top w:w="0" w:type="dxa"/>
              <w:left w:w="105" w:type="dxa"/>
              <w:bottom w:w="0" w:type="dxa"/>
              <w:right w:w="105" w:type="dxa"/>
            </w:tcMar>
            <w:vAlign w:val="center"/>
          </w:tcPr>
          <w:p w14:paraId="2AF6E0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4B72183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1BF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3F1ED9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BE298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A592BB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7B4FEB1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【专科门诊费用结构】-治疗费占比</w:t>
            </w:r>
          </w:p>
        </w:tc>
        <w:tc>
          <w:tcPr>
            <w:tcW w:w="1149" w:type="dxa"/>
            <w:shd w:val="clear" w:color="auto" w:fill="auto"/>
            <w:noWrap/>
            <w:tcMar>
              <w:top w:w="0" w:type="dxa"/>
              <w:left w:w="105" w:type="dxa"/>
              <w:bottom w:w="0" w:type="dxa"/>
              <w:right w:w="105" w:type="dxa"/>
            </w:tcMar>
            <w:vAlign w:val="center"/>
          </w:tcPr>
          <w:p w14:paraId="40103D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2F89E66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19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3EB32A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C6F34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6D49E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5C3E0F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【专科门诊费用结构】-手术费占比</w:t>
            </w:r>
          </w:p>
        </w:tc>
        <w:tc>
          <w:tcPr>
            <w:tcW w:w="1149" w:type="dxa"/>
            <w:shd w:val="clear" w:color="auto" w:fill="auto"/>
            <w:noWrap/>
            <w:tcMar>
              <w:top w:w="0" w:type="dxa"/>
              <w:left w:w="105" w:type="dxa"/>
              <w:bottom w:w="0" w:type="dxa"/>
              <w:right w:w="105" w:type="dxa"/>
            </w:tcMar>
            <w:vAlign w:val="center"/>
          </w:tcPr>
          <w:p w14:paraId="45BC8A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06AAC2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855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7200037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30418B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73C2622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AB7D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【专科门诊费用结构】-检查检验费占比</w:t>
            </w:r>
          </w:p>
        </w:tc>
        <w:tc>
          <w:tcPr>
            <w:tcW w:w="1149" w:type="dxa"/>
            <w:shd w:val="clear" w:color="auto" w:fill="auto"/>
            <w:noWrap/>
            <w:tcMar>
              <w:top w:w="0" w:type="dxa"/>
              <w:left w:w="105" w:type="dxa"/>
              <w:bottom w:w="0" w:type="dxa"/>
              <w:right w:w="105" w:type="dxa"/>
            </w:tcMar>
            <w:vAlign w:val="center"/>
          </w:tcPr>
          <w:p w14:paraId="3C59F0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BC0721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3AE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C2903C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8D04EF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571DCD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10046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【专科门诊费用结构】-检查费占比</w:t>
            </w:r>
          </w:p>
        </w:tc>
        <w:tc>
          <w:tcPr>
            <w:tcW w:w="1149" w:type="dxa"/>
            <w:shd w:val="clear" w:color="auto" w:fill="auto"/>
            <w:noWrap/>
            <w:tcMar>
              <w:top w:w="0" w:type="dxa"/>
              <w:left w:w="105" w:type="dxa"/>
              <w:bottom w:w="0" w:type="dxa"/>
              <w:right w:w="105" w:type="dxa"/>
            </w:tcMar>
            <w:vAlign w:val="center"/>
          </w:tcPr>
          <w:p w14:paraId="3D4EB2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699B73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0D1F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378F7A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781B30D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896A1E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3123C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【专科门诊费用结构】-检验费占比</w:t>
            </w:r>
          </w:p>
        </w:tc>
        <w:tc>
          <w:tcPr>
            <w:tcW w:w="1149" w:type="dxa"/>
            <w:shd w:val="clear" w:color="auto" w:fill="auto"/>
            <w:noWrap/>
            <w:tcMar>
              <w:top w:w="0" w:type="dxa"/>
              <w:left w:w="105" w:type="dxa"/>
              <w:bottom w:w="0" w:type="dxa"/>
              <w:right w:w="105" w:type="dxa"/>
            </w:tcMar>
            <w:vAlign w:val="center"/>
          </w:tcPr>
          <w:p w14:paraId="1F434C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401BED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658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6B28EA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F8702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5EF0D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2D70B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【专科门诊费用结构】-药占比</w:t>
            </w:r>
          </w:p>
        </w:tc>
        <w:tc>
          <w:tcPr>
            <w:tcW w:w="1149" w:type="dxa"/>
            <w:shd w:val="clear" w:color="auto" w:fill="auto"/>
            <w:noWrap/>
            <w:tcMar>
              <w:top w:w="0" w:type="dxa"/>
              <w:left w:w="105" w:type="dxa"/>
              <w:bottom w:w="0" w:type="dxa"/>
              <w:right w:w="105" w:type="dxa"/>
            </w:tcMar>
            <w:vAlign w:val="center"/>
          </w:tcPr>
          <w:p w14:paraId="4F636C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4CBD0E4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145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7DB45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6EB261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4D4DC0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777801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【专科门诊费用结构】-自制制剂药费占比</w:t>
            </w:r>
          </w:p>
        </w:tc>
        <w:tc>
          <w:tcPr>
            <w:tcW w:w="1149" w:type="dxa"/>
            <w:shd w:val="clear" w:color="auto" w:fill="auto"/>
            <w:noWrap/>
            <w:tcMar>
              <w:top w:w="0" w:type="dxa"/>
              <w:left w:w="105" w:type="dxa"/>
              <w:bottom w:w="0" w:type="dxa"/>
              <w:right w:w="105" w:type="dxa"/>
            </w:tcMar>
            <w:vAlign w:val="center"/>
          </w:tcPr>
          <w:p w14:paraId="2FC753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3E57372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7B0B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53D3F1A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9284DF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3EAC1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0608C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【专科门诊费用结构】-耗占比</w:t>
            </w:r>
          </w:p>
        </w:tc>
        <w:tc>
          <w:tcPr>
            <w:tcW w:w="1149" w:type="dxa"/>
            <w:shd w:val="clear" w:color="auto" w:fill="auto"/>
            <w:noWrap/>
            <w:tcMar>
              <w:top w:w="0" w:type="dxa"/>
              <w:left w:w="105" w:type="dxa"/>
              <w:bottom w:w="0" w:type="dxa"/>
              <w:right w:w="105" w:type="dxa"/>
            </w:tcMar>
            <w:vAlign w:val="center"/>
          </w:tcPr>
          <w:p w14:paraId="372DB2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04B3B13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1C34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40CB49C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C1278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26B7F4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31CB1B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门特费用中药占比</w:t>
            </w:r>
          </w:p>
        </w:tc>
        <w:tc>
          <w:tcPr>
            <w:tcW w:w="1149" w:type="dxa"/>
            <w:shd w:val="clear" w:color="auto" w:fill="auto"/>
            <w:noWrap/>
            <w:tcMar>
              <w:top w:w="0" w:type="dxa"/>
              <w:left w:w="105" w:type="dxa"/>
              <w:bottom w:w="0" w:type="dxa"/>
              <w:right w:w="105" w:type="dxa"/>
            </w:tcMar>
            <w:vAlign w:val="center"/>
          </w:tcPr>
          <w:p w14:paraId="600441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6299D44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2C7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7885C83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92694A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5427E5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3851FD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【专科+门特费用结构】-无药无耗费用占比</w:t>
            </w:r>
          </w:p>
        </w:tc>
        <w:tc>
          <w:tcPr>
            <w:tcW w:w="1149" w:type="dxa"/>
            <w:shd w:val="clear" w:color="auto" w:fill="auto"/>
            <w:noWrap/>
            <w:tcMar>
              <w:top w:w="0" w:type="dxa"/>
              <w:left w:w="105" w:type="dxa"/>
              <w:bottom w:w="0" w:type="dxa"/>
              <w:right w:w="105" w:type="dxa"/>
            </w:tcMar>
            <w:vAlign w:val="center"/>
          </w:tcPr>
          <w:p w14:paraId="53E9A5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018BA76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47E3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1BC1D1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432CA0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A3CC9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503D7AA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【专科+门特费用结构】-医疗服务费占比</w:t>
            </w:r>
          </w:p>
        </w:tc>
        <w:tc>
          <w:tcPr>
            <w:tcW w:w="1149" w:type="dxa"/>
            <w:shd w:val="clear" w:color="auto" w:fill="auto"/>
            <w:noWrap/>
            <w:tcMar>
              <w:top w:w="0" w:type="dxa"/>
              <w:left w:w="105" w:type="dxa"/>
              <w:bottom w:w="0" w:type="dxa"/>
              <w:right w:w="105" w:type="dxa"/>
            </w:tcMar>
            <w:vAlign w:val="center"/>
          </w:tcPr>
          <w:p w14:paraId="710E43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58A96AD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5BEB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67285E8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4172E30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1AA606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1FA42D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【专科+门特费用结构】-检查检验费占比</w:t>
            </w:r>
          </w:p>
        </w:tc>
        <w:tc>
          <w:tcPr>
            <w:tcW w:w="1149" w:type="dxa"/>
            <w:shd w:val="clear" w:color="auto" w:fill="auto"/>
            <w:noWrap/>
            <w:tcMar>
              <w:top w:w="0" w:type="dxa"/>
              <w:left w:w="105" w:type="dxa"/>
              <w:bottom w:w="0" w:type="dxa"/>
              <w:right w:w="105" w:type="dxa"/>
            </w:tcMar>
            <w:vAlign w:val="center"/>
          </w:tcPr>
          <w:p w14:paraId="73D5FB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4BDC74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2AA6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6D487A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7F457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C9F6F8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6704BD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【专科+门特费用结构】-含专科门诊和门特药占比</w:t>
            </w:r>
          </w:p>
        </w:tc>
        <w:tc>
          <w:tcPr>
            <w:tcW w:w="1149" w:type="dxa"/>
            <w:shd w:val="clear" w:color="auto" w:fill="auto"/>
            <w:noWrap/>
            <w:tcMar>
              <w:top w:w="0" w:type="dxa"/>
              <w:left w:w="105" w:type="dxa"/>
              <w:bottom w:w="0" w:type="dxa"/>
              <w:right w:w="105" w:type="dxa"/>
            </w:tcMar>
            <w:vAlign w:val="center"/>
          </w:tcPr>
          <w:p w14:paraId="4538630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2ECB5A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A8FA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2EAA589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BD0D9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33C8C6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42E0006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【专科+门特费用结构】-不含门特药占比</w:t>
            </w:r>
          </w:p>
        </w:tc>
        <w:tc>
          <w:tcPr>
            <w:tcW w:w="1149" w:type="dxa"/>
            <w:shd w:val="clear" w:color="auto" w:fill="auto"/>
            <w:noWrap/>
            <w:tcMar>
              <w:top w:w="0" w:type="dxa"/>
              <w:left w:w="105" w:type="dxa"/>
              <w:bottom w:w="0" w:type="dxa"/>
              <w:right w:w="105" w:type="dxa"/>
            </w:tcMar>
            <w:vAlign w:val="center"/>
          </w:tcPr>
          <w:p w14:paraId="402D998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15499A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662C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162" w:type="dxa"/>
            <w:vMerge w:val="continue"/>
            <w:shd w:val="clear" w:color="auto" w:fill="auto"/>
            <w:noWrap/>
            <w:tcMar>
              <w:top w:w="0" w:type="dxa"/>
              <w:left w:w="105" w:type="dxa"/>
              <w:bottom w:w="0" w:type="dxa"/>
              <w:right w:w="105" w:type="dxa"/>
            </w:tcMar>
            <w:vAlign w:val="center"/>
          </w:tcPr>
          <w:p w14:paraId="09679C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126F4A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329E97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098DC2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【专科+门特费用结构】-耗占比</w:t>
            </w:r>
          </w:p>
        </w:tc>
        <w:tc>
          <w:tcPr>
            <w:tcW w:w="1149" w:type="dxa"/>
            <w:shd w:val="clear" w:color="auto" w:fill="auto"/>
            <w:noWrap/>
            <w:tcMar>
              <w:top w:w="0" w:type="dxa"/>
              <w:left w:w="105" w:type="dxa"/>
              <w:bottom w:w="0" w:type="dxa"/>
              <w:right w:w="105" w:type="dxa"/>
            </w:tcMar>
            <w:vAlign w:val="center"/>
          </w:tcPr>
          <w:p w14:paraId="71D973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0D4696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指标</w:t>
            </w:r>
          </w:p>
        </w:tc>
      </w:tr>
      <w:tr w14:paraId="1A4D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trPr>
        <w:tc>
          <w:tcPr>
            <w:tcW w:w="1162" w:type="dxa"/>
            <w:vMerge w:val="continue"/>
            <w:shd w:val="clear" w:color="auto" w:fill="auto"/>
            <w:noWrap/>
            <w:tcMar>
              <w:top w:w="0" w:type="dxa"/>
              <w:left w:w="105" w:type="dxa"/>
              <w:bottom w:w="0" w:type="dxa"/>
              <w:right w:w="105" w:type="dxa"/>
            </w:tcMar>
            <w:vAlign w:val="center"/>
          </w:tcPr>
          <w:p w14:paraId="33D28E0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559389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restart"/>
            <w:shd w:val="clear" w:color="auto" w:fill="auto"/>
            <w:tcMar>
              <w:top w:w="0" w:type="dxa"/>
              <w:left w:w="105" w:type="dxa"/>
              <w:bottom w:w="0" w:type="dxa"/>
              <w:right w:w="105" w:type="dxa"/>
            </w:tcMar>
            <w:vAlign w:val="center"/>
          </w:tcPr>
          <w:p w14:paraId="511086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运管统计</w:t>
            </w:r>
          </w:p>
        </w:tc>
        <w:tc>
          <w:tcPr>
            <w:tcW w:w="1976" w:type="dxa"/>
            <w:shd w:val="clear" w:color="auto" w:fill="auto"/>
            <w:tcMar>
              <w:top w:w="0" w:type="dxa"/>
              <w:left w:w="105" w:type="dxa"/>
              <w:bottom w:w="0" w:type="dxa"/>
              <w:right w:w="105" w:type="dxa"/>
            </w:tcMar>
            <w:vAlign w:val="center"/>
          </w:tcPr>
          <w:p w14:paraId="13F491B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皮肤科自制制剂绩效</w:t>
            </w:r>
          </w:p>
        </w:tc>
        <w:tc>
          <w:tcPr>
            <w:tcW w:w="1149" w:type="dxa"/>
            <w:shd w:val="clear" w:color="auto" w:fill="auto"/>
            <w:noWrap/>
            <w:tcMar>
              <w:top w:w="0" w:type="dxa"/>
              <w:left w:w="105" w:type="dxa"/>
              <w:bottom w:w="0" w:type="dxa"/>
              <w:right w:w="105" w:type="dxa"/>
            </w:tcMar>
            <w:vAlign w:val="center"/>
          </w:tcPr>
          <w:p w14:paraId="073645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399" w:type="dxa"/>
            <w:shd w:val="clear" w:color="auto" w:fill="auto"/>
            <w:noWrap/>
            <w:tcMar>
              <w:top w:w="0" w:type="dxa"/>
              <w:left w:w="105" w:type="dxa"/>
              <w:bottom w:w="0" w:type="dxa"/>
              <w:right w:w="105" w:type="dxa"/>
            </w:tcMar>
            <w:vAlign w:val="center"/>
          </w:tcPr>
          <w:p w14:paraId="11BE5A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报表</w:t>
            </w:r>
          </w:p>
        </w:tc>
      </w:tr>
      <w:tr w14:paraId="1296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1162" w:type="dxa"/>
            <w:vMerge w:val="continue"/>
            <w:shd w:val="clear" w:color="auto" w:fill="auto"/>
            <w:noWrap/>
            <w:tcMar>
              <w:top w:w="0" w:type="dxa"/>
              <w:left w:w="105" w:type="dxa"/>
              <w:bottom w:w="0" w:type="dxa"/>
              <w:right w:w="105" w:type="dxa"/>
            </w:tcMar>
            <w:vAlign w:val="center"/>
          </w:tcPr>
          <w:p w14:paraId="358468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07" w:type="dxa"/>
            <w:vMerge w:val="continue"/>
            <w:shd w:val="clear" w:color="auto" w:fill="auto"/>
            <w:noWrap/>
            <w:tcMar>
              <w:top w:w="0" w:type="dxa"/>
              <w:left w:w="105" w:type="dxa"/>
              <w:bottom w:w="0" w:type="dxa"/>
              <w:right w:w="105" w:type="dxa"/>
            </w:tcMar>
            <w:vAlign w:val="center"/>
          </w:tcPr>
          <w:p w14:paraId="26B2EF5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2254" w:type="dxa"/>
            <w:vMerge w:val="continue"/>
            <w:shd w:val="clear" w:color="auto" w:fill="auto"/>
            <w:tcMar>
              <w:top w:w="0" w:type="dxa"/>
              <w:left w:w="105" w:type="dxa"/>
              <w:bottom w:w="0" w:type="dxa"/>
              <w:right w:w="105" w:type="dxa"/>
            </w:tcMar>
            <w:vAlign w:val="center"/>
          </w:tcPr>
          <w:p w14:paraId="6F984C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976" w:type="dxa"/>
            <w:shd w:val="clear" w:color="auto" w:fill="auto"/>
            <w:tcMar>
              <w:top w:w="0" w:type="dxa"/>
              <w:left w:w="105" w:type="dxa"/>
              <w:bottom w:w="0" w:type="dxa"/>
              <w:right w:w="105" w:type="dxa"/>
            </w:tcMar>
            <w:vAlign w:val="center"/>
          </w:tcPr>
          <w:p w14:paraId="6E473DD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药房工作量统计</w:t>
            </w:r>
          </w:p>
        </w:tc>
        <w:tc>
          <w:tcPr>
            <w:tcW w:w="1149" w:type="dxa"/>
            <w:shd w:val="clear" w:color="auto" w:fill="auto"/>
            <w:noWrap/>
            <w:tcMar>
              <w:top w:w="0" w:type="dxa"/>
              <w:left w:w="105" w:type="dxa"/>
              <w:bottom w:w="0" w:type="dxa"/>
              <w:right w:w="105" w:type="dxa"/>
            </w:tcMar>
            <w:vAlign w:val="center"/>
          </w:tcPr>
          <w:p w14:paraId="401EF2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99" w:type="dxa"/>
            <w:shd w:val="clear" w:color="auto" w:fill="auto"/>
            <w:noWrap/>
            <w:tcMar>
              <w:top w:w="0" w:type="dxa"/>
              <w:left w:w="105" w:type="dxa"/>
              <w:bottom w:w="0" w:type="dxa"/>
              <w:right w:w="105" w:type="dxa"/>
            </w:tcMar>
            <w:vAlign w:val="center"/>
          </w:tcPr>
          <w:p w14:paraId="5F515A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报表</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66"/>
        <w:gridCol w:w="1630"/>
        <w:gridCol w:w="5871"/>
        <w:gridCol w:w="1380"/>
      </w:tblGrid>
      <w:tr w14:paraId="7A94A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top"/>
          </w:tcPr>
          <w:p w14:paraId="47C947C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序号</w:t>
            </w:r>
          </w:p>
        </w:tc>
        <w:tc>
          <w:tcPr>
            <w:tcW w:w="1470" w:type="dxa"/>
            <w:shd w:val="clear" w:color="auto" w:fill="auto"/>
            <w:tcMar>
              <w:top w:w="0" w:type="dxa"/>
              <w:left w:w="105" w:type="dxa"/>
              <w:bottom w:w="0" w:type="dxa"/>
              <w:right w:w="105" w:type="dxa"/>
            </w:tcMar>
            <w:vAlign w:val="top"/>
          </w:tcPr>
          <w:p w14:paraId="4C1484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服务类型</w:t>
            </w:r>
          </w:p>
        </w:tc>
        <w:tc>
          <w:tcPr>
            <w:tcW w:w="5295" w:type="dxa"/>
            <w:shd w:val="clear" w:color="auto" w:fill="auto"/>
            <w:tcMar>
              <w:top w:w="0" w:type="dxa"/>
              <w:left w:w="105" w:type="dxa"/>
              <w:bottom w:w="0" w:type="dxa"/>
              <w:right w:w="105" w:type="dxa"/>
            </w:tcMar>
            <w:vAlign w:val="top"/>
          </w:tcPr>
          <w:p w14:paraId="2A24357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服务内容</w:t>
            </w:r>
          </w:p>
        </w:tc>
        <w:tc>
          <w:tcPr>
            <w:tcW w:w="1245" w:type="dxa"/>
            <w:shd w:val="clear" w:color="auto" w:fill="auto"/>
            <w:tcMar>
              <w:top w:w="0" w:type="dxa"/>
              <w:left w:w="105" w:type="dxa"/>
              <w:bottom w:w="0" w:type="dxa"/>
              <w:right w:w="105" w:type="dxa"/>
            </w:tcMar>
            <w:vAlign w:val="top"/>
          </w:tcPr>
          <w:p w14:paraId="3F4C48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服务期</w:t>
            </w:r>
          </w:p>
        </w:tc>
      </w:tr>
      <w:tr w14:paraId="604E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7FF94CF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0" w:leftChars="0" w:hanging="480" w:hangingChars="20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1470" w:type="dxa"/>
            <w:shd w:val="clear" w:color="auto" w:fill="auto"/>
            <w:tcMar>
              <w:top w:w="0" w:type="dxa"/>
              <w:left w:w="105" w:type="dxa"/>
              <w:bottom w:w="0" w:type="dxa"/>
              <w:right w:w="105" w:type="dxa"/>
            </w:tcMar>
            <w:vAlign w:val="center"/>
          </w:tcPr>
          <w:p w14:paraId="461219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0" w:leftChars="0" w:hanging="480" w:hangingChars="20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w:t>
            </w:r>
          </w:p>
        </w:tc>
        <w:tc>
          <w:tcPr>
            <w:tcW w:w="5295" w:type="dxa"/>
            <w:shd w:val="clear" w:color="auto" w:fill="auto"/>
            <w:tcMar>
              <w:top w:w="0" w:type="dxa"/>
              <w:left w:w="105" w:type="dxa"/>
              <w:bottom w:w="0" w:type="dxa"/>
              <w:right w:w="105" w:type="dxa"/>
            </w:tcMar>
            <w:vAlign w:val="top"/>
          </w:tcPr>
          <w:p w14:paraId="78261DB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基本服务至少满足以下内容：</w:t>
            </w:r>
          </w:p>
          <w:p w14:paraId="587243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w:t>
            </w:r>
            <w:r>
              <w:rPr>
                <w:rFonts w:hint="eastAsia" w:ascii="仿宋" w:hAnsi="仿宋" w:eastAsia="仿宋" w:cs="仿宋"/>
                <w:b/>
                <w:bCs/>
                <w:kern w:val="2"/>
                <w:sz w:val="24"/>
                <w:szCs w:val="24"/>
                <w:lang w:val="en-US" w:eastAsia="zh-CN"/>
              </w:rPr>
              <w:t>.</w:t>
            </w:r>
            <w:r>
              <w:rPr>
                <w:rFonts w:hint="eastAsia" w:ascii="仿宋" w:hAnsi="仿宋" w:eastAsia="仿宋" w:cs="仿宋"/>
                <w:b/>
                <w:bCs/>
                <w:kern w:val="2"/>
                <w:sz w:val="24"/>
                <w:szCs w:val="24"/>
              </w:rPr>
              <w:t>稳定性：</w:t>
            </w:r>
            <w:r>
              <w:rPr>
                <w:rFonts w:hint="eastAsia" w:ascii="仿宋" w:hAnsi="仿宋" w:eastAsia="仿宋" w:cs="仿宋"/>
                <w:kern w:val="2"/>
                <w:sz w:val="24"/>
                <w:szCs w:val="24"/>
              </w:rPr>
              <w:t>服务期内需保障业务稳定，不无故出现崩溃或宕机现象；</w:t>
            </w:r>
          </w:p>
          <w:p w14:paraId="6B2BC6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2</w:t>
            </w:r>
            <w:r>
              <w:rPr>
                <w:rFonts w:hint="eastAsia" w:ascii="仿宋" w:hAnsi="仿宋" w:eastAsia="仿宋" w:cs="仿宋"/>
                <w:b/>
                <w:bCs/>
                <w:kern w:val="2"/>
                <w:sz w:val="24"/>
                <w:szCs w:val="24"/>
                <w:lang w:val="en-US" w:eastAsia="zh-CN"/>
              </w:rPr>
              <w:t>.</w:t>
            </w:r>
            <w:r>
              <w:rPr>
                <w:rFonts w:hint="eastAsia" w:ascii="仿宋" w:hAnsi="仿宋" w:eastAsia="仿宋" w:cs="仿宋"/>
                <w:b/>
                <w:bCs/>
                <w:kern w:val="2"/>
                <w:sz w:val="24"/>
                <w:szCs w:val="24"/>
              </w:rPr>
              <w:t>安全性：</w:t>
            </w:r>
            <w:r>
              <w:rPr>
                <w:rFonts w:hint="eastAsia" w:ascii="仿宋" w:hAnsi="仿宋" w:eastAsia="仿宋" w:cs="仿宋"/>
                <w:kern w:val="2"/>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77052F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3</w:t>
            </w:r>
            <w:r>
              <w:rPr>
                <w:rFonts w:hint="eastAsia" w:ascii="仿宋" w:hAnsi="仿宋" w:eastAsia="仿宋" w:cs="仿宋"/>
                <w:b/>
                <w:bCs/>
                <w:kern w:val="2"/>
                <w:sz w:val="24"/>
                <w:szCs w:val="24"/>
                <w:lang w:val="en-US" w:eastAsia="zh-CN"/>
              </w:rPr>
              <w:t>.</w:t>
            </w:r>
            <w:r>
              <w:rPr>
                <w:rFonts w:hint="eastAsia" w:ascii="仿宋" w:hAnsi="仿宋" w:eastAsia="仿宋" w:cs="仿宋"/>
                <w:b/>
                <w:bCs/>
                <w:kern w:val="2"/>
                <w:sz w:val="24"/>
                <w:szCs w:val="24"/>
              </w:rPr>
              <w:t>服务团队：</w:t>
            </w:r>
            <w:r>
              <w:rPr>
                <w:rFonts w:hint="eastAsia" w:ascii="仿宋" w:hAnsi="仿宋" w:eastAsia="仿宋" w:cs="仿宋"/>
                <w:kern w:val="2"/>
                <w:sz w:val="24"/>
                <w:szCs w:val="24"/>
              </w:rPr>
              <w:t>项目实施期间（本项目自开始实施之日起365日内）提供不少于10人驻场服务，</w:t>
            </w:r>
            <w:r>
              <w:rPr>
                <w:rFonts w:hint="eastAsia" w:ascii="仿宋" w:hAnsi="仿宋" w:eastAsia="仿宋" w:cs="仿宋"/>
                <w:kern w:val="2"/>
                <w:sz w:val="24"/>
                <w:szCs w:val="24"/>
                <w:lang w:val="en-US" w:eastAsia="zh-CN"/>
              </w:rPr>
              <w:t>第一次</w:t>
            </w:r>
            <w:r>
              <w:rPr>
                <w:rFonts w:hint="eastAsia" w:ascii="仿宋" w:hAnsi="仿宋" w:eastAsia="仿宋" w:cs="仿宋"/>
                <w:kern w:val="2"/>
                <w:sz w:val="24"/>
                <w:szCs w:val="24"/>
              </w:rPr>
              <w:t>验收合格后进入服务期，服务期驻场服务人员不少于5人；</w:t>
            </w:r>
          </w:p>
          <w:p w14:paraId="48330FE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团队整体能力：若采购人认为项目团队能力与工作所要求的能力不匹配而提出更换项目负责人时，供应商必须予以无条件更换；</w:t>
            </w:r>
          </w:p>
          <w:p w14:paraId="316516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团队稳定性：供应商单方面更换项目负责人、技术负责人必须经采购人书面同意，否则按违约处理直至合同终止。项目负责人、技术负责人因离职等原因造成的人员调整，提前和采购单位沟通；</w:t>
            </w:r>
          </w:p>
          <w:p w14:paraId="1E2B4A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4</w:t>
            </w:r>
            <w:r>
              <w:rPr>
                <w:rFonts w:hint="eastAsia" w:ascii="仿宋" w:hAnsi="仿宋" w:eastAsia="仿宋" w:cs="仿宋"/>
                <w:b/>
                <w:bCs/>
                <w:kern w:val="2"/>
                <w:sz w:val="24"/>
                <w:szCs w:val="24"/>
                <w:lang w:val="en-US" w:eastAsia="zh-CN"/>
              </w:rPr>
              <w:t>.</w:t>
            </w:r>
            <w:r>
              <w:rPr>
                <w:rFonts w:hint="eastAsia" w:ascii="仿宋" w:hAnsi="仿宋" w:eastAsia="仿宋" w:cs="仿宋"/>
                <w:b/>
                <w:bCs/>
                <w:kern w:val="2"/>
                <w:sz w:val="24"/>
                <w:szCs w:val="24"/>
              </w:rPr>
              <w:t>响应速度：</w:t>
            </w:r>
            <w:r>
              <w:rPr>
                <w:rFonts w:hint="eastAsia" w:ascii="仿宋" w:hAnsi="仿宋" w:eastAsia="仿宋" w:cs="仿宋"/>
                <w:kern w:val="2"/>
                <w:sz w:val="24"/>
                <w:szCs w:val="24"/>
              </w:rPr>
              <w:t>提供7×24小时电话、远程协助或现场服务，接到采购人服务通知，及时响应，1小时内做出明确安排，2小时内做出服务诊断。如需现场服务的，必须指派具有解决问题能力的工程师，并在与用户沟通确定的时间内到达现场，及时提供各项服务。</w:t>
            </w:r>
          </w:p>
          <w:p w14:paraId="1D7DE1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rPr>
              <w:t>5.</w:t>
            </w:r>
            <w:r>
              <w:rPr>
                <w:rFonts w:hint="eastAsia" w:ascii="仿宋" w:hAnsi="仿宋" w:eastAsia="仿宋" w:cs="仿宋"/>
                <w:b/>
                <w:bCs/>
                <w:kern w:val="2"/>
                <w:sz w:val="24"/>
                <w:szCs w:val="24"/>
              </w:rPr>
              <w:t>定期巡检：</w:t>
            </w:r>
            <w:r>
              <w:rPr>
                <w:rFonts w:hint="eastAsia" w:ascii="仿宋" w:hAnsi="仿宋" w:eastAsia="仿宋" w:cs="仿宋"/>
                <w:kern w:val="2"/>
                <w:sz w:val="24"/>
                <w:szCs w:val="24"/>
              </w:rPr>
              <w:t>服务期内每月提供至少1次软硬件服务期巡检报告；</w:t>
            </w:r>
          </w:p>
          <w:p w14:paraId="083854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rPr>
              <w:t>6.</w:t>
            </w:r>
            <w:r>
              <w:rPr>
                <w:rFonts w:hint="eastAsia" w:ascii="仿宋" w:hAnsi="仿宋" w:eastAsia="仿宋" w:cs="仿宋"/>
                <w:b/>
                <w:bCs/>
                <w:kern w:val="2"/>
                <w:sz w:val="24"/>
                <w:szCs w:val="24"/>
              </w:rPr>
              <w:t>培训服务：</w:t>
            </w:r>
            <w:r>
              <w:rPr>
                <w:rFonts w:hint="eastAsia" w:ascii="仿宋" w:hAnsi="仿宋" w:eastAsia="仿宋" w:cs="仿宋"/>
                <w:kern w:val="2"/>
                <w:sz w:val="24"/>
                <w:szCs w:val="24"/>
              </w:rPr>
              <w:t>每年提供≥2次培训服务，并提交培训方案和签到表；</w:t>
            </w:r>
          </w:p>
          <w:p w14:paraId="3A3F11F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rPr>
              <w:t>7.</w:t>
            </w:r>
            <w:r>
              <w:rPr>
                <w:rFonts w:hint="eastAsia" w:ascii="仿宋" w:hAnsi="仿宋" w:eastAsia="仿宋" w:cs="仿宋"/>
                <w:b/>
                <w:bCs/>
                <w:kern w:val="2"/>
                <w:sz w:val="24"/>
                <w:szCs w:val="24"/>
              </w:rPr>
              <w:t>文档服务：</w:t>
            </w:r>
            <w:r>
              <w:rPr>
                <w:rFonts w:hint="eastAsia" w:ascii="仿宋" w:hAnsi="仿宋" w:eastAsia="仿宋" w:cs="仿宋"/>
                <w:kern w:val="2"/>
                <w:sz w:val="24"/>
                <w:szCs w:val="24"/>
              </w:rPr>
              <w:t>上线运行之日提交本次采购内容的《四川省人民医院应用系统档案》。服务期满后需提交本次采购内容的运维记录签字扫描版本。</w:t>
            </w:r>
          </w:p>
          <w:p w14:paraId="3B0F494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rPr>
              <w:t>8.</w:t>
            </w:r>
            <w:r>
              <w:rPr>
                <w:rFonts w:hint="eastAsia" w:ascii="仿宋" w:hAnsi="仿宋" w:eastAsia="仿宋" w:cs="仿宋"/>
                <w:b/>
                <w:bCs/>
                <w:kern w:val="2"/>
                <w:sz w:val="24"/>
                <w:szCs w:val="24"/>
              </w:rPr>
              <w:t>人员服务：</w:t>
            </w:r>
            <w:r>
              <w:rPr>
                <w:rFonts w:hint="eastAsia" w:ascii="仿宋" w:hAnsi="仿宋" w:eastAsia="仿宋" w:cs="仿宋"/>
                <w:kern w:val="2"/>
                <w:sz w:val="24"/>
                <w:szCs w:val="24"/>
              </w:rPr>
              <w:t>驻场期间纳入医院统一管理。工作时间：工作日8:00-17:30,法定节假日按照医院统一放假时间，节假日期间安排人员远程值班,人员轮转、变动须提前通知采购人</w:t>
            </w:r>
          </w:p>
          <w:p w14:paraId="1267823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rPr>
              <w:t>9.</w:t>
            </w:r>
            <w:r>
              <w:rPr>
                <w:rFonts w:hint="eastAsia" w:ascii="仿宋" w:hAnsi="仿宋" w:eastAsia="仿宋" w:cs="仿宋"/>
                <w:b/>
                <w:bCs/>
                <w:kern w:val="2"/>
                <w:sz w:val="24"/>
                <w:szCs w:val="24"/>
              </w:rPr>
              <w:t>其他：</w:t>
            </w:r>
          </w:p>
          <w:p w14:paraId="30E90B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r>
              <w:rPr>
                <w:rFonts w:hint="eastAsia" w:ascii="仿宋" w:hAnsi="仿宋" w:eastAsia="仿宋" w:cs="仿宋"/>
                <w:kern w:val="2"/>
                <w:sz w:val="24"/>
                <w:szCs w:val="24"/>
                <w:lang w:val="en-US" w:eastAsia="zh-CN"/>
              </w:rPr>
              <w:t>服务期内</w:t>
            </w:r>
            <w:r>
              <w:rPr>
                <w:rFonts w:hint="eastAsia" w:ascii="仿宋" w:hAnsi="仿宋" w:eastAsia="仿宋" w:cs="仿宋"/>
                <w:kern w:val="2"/>
                <w:sz w:val="24"/>
                <w:szCs w:val="24"/>
              </w:rPr>
              <w:t>，采购人每月按照四川省人民医院供应商考核指标对供应商行为进行评价考核，考核结果关联最终付款金额和履约保证金（如有履约保证金）。</w:t>
            </w:r>
          </w:p>
          <w:p w14:paraId="2FC79FE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2）</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供应商应当与本项目相关的第三方保持有痕的沟通，明确项目的具体要求和功能等方面的细节。采购人负责组织、监督和验收，以确保项目的顺利完成。</w:t>
            </w:r>
          </w:p>
          <w:p w14:paraId="572CDE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3）如涉及因本项目开发的系统原因造成采购人的经济损失，由</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供应商负责向采购人进行赔偿。</w:t>
            </w:r>
          </w:p>
        </w:tc>
        <w:tc>
          <w:tcPr>
            <w:tcW w:w="1245" w:type="dxa"/>
            <w:shd w:val="clear" w:color="auto" w:fill="auto"/>
            <w:tcMar>
              <w:top w:w="0" w:type="dxa"/>
              <w:left w:w="105" w:type="dxa"/>
              <w:bottom w:w="0" w:type="dxa"/>
              <w:right w:w="105" w:type="dxa"/>
            </w:tcMar>
            <w:vAlign w:val="center"/>
          </w:tcPr>
          <w:p w14:paraId="466A02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第一次验收合格之日起，提供不低于1年。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（三）</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5 个工作日内开始实施。</w:t>
      </w:r>
    </w:p>
    <w:p w14:paraId="09FEFD1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365 日内，完成本项目包含的所有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条件：总价包干，</w:t>
      </w:r>
      <w:bookmarkStart w:id="15" w:name="_Toc18622"/>
      <w:bookmarkEnd w:id="15"/>
      <w:bookmarkStart w:id="16" w:name="_Toc153964904"/>
      <w:bookmarkEnd w:id="16"/>
      <w:r>
        <w:rPr>
          <w:rFonts w:hint="eastAsia" w:ascii="仿宋" w:hAnsi="仿宋" w:eastAsia="仿宋" w:cs="仿宋"/>
          <w:sz w:val="24"/>
          <w:szCs w:val="24"/>
          <w:lang w:val="en-US" w:eastAsia="zh-CN"/>
        </w:rPr>
        <w:t>多次付款方式，第一次付款：合同签订生效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30%的金额（如有因考核等原因产生的扣款，应在支付前予以扣除）。第二次付款：软件功能验收通过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50%的金额（如有因考核等原因产生的扣款，应在支付前予以扣除）。第三次付款：服务期满、完成不低于2000个指标（包括但不限于“指标清单”里面的内容）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20%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green"/>
          <w:lang w:val="en-US" w:eastAsia="zh-CN"/>
        </w:rPr>
      </w:pPr>
      <w:r>
        <w:rPr>
          <w:rFonts w:hint="eastAsia" w:ascii="仿宋" w:hAnsi="仿宋" w:eastAsia="仿宋" w:cs="仿宋"/>
          <w:sz w:val="24"/>
          <w:szCs w:val="24"/>
          <w:lang w:val="en-US" w:eastAsia="zh-CN"/>
        </w:rPr>
        <w:t>（3）验收程序：分段/分批验收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（6）履约验收时间：第一次验收：软件功能上线运行后5日内通知采购人验收，采购人接供应商通知后10日内组织验收。第二次验收：服务期满后5日内通知采购人验收，采购人接供应商通知后10日内组织验收。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491D4D7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（四）履约要求</w:t>
      </w:r>
    </w:p>
    <w:p w14:paraId="4CC1BF0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1.供应商履约能力</w:t>
      </w:r>
    </w:p>
    <w:p w14:paraId="219E181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1.1.信息安全与信息技术服务体系认证</w:t>
      </w:r>
    </w:p>
    <w:p w14:paraId="1B0D0F9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（1）供应商具备有效期内信息安全管理体系认证（ISO27001）；</w:t>
      </w:r>
    </w:p>
    <w:p w14:paraId="6CEB5FD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（2）供应商具备有效期内信息技术服务管理体系认证（ISO20000）；</w:t>
      </w:r>
    </w:p>
    <w:p w14:paraId="68853D7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 ITSS信息技术服务运维能力认证</w:t>
      </w:r>
    </w:p>
    <w:p w14:paraId="63EC4E8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供应商具有ITSS信息技术服务运行维护标准符合性证书证书；</w:t>
      </w:r>
    </w:p>
    <w:p w14:paraId="486878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 ITSS信息技术服务工具产品能力</w:t>
      </w:r>
    </w:p>
    <w:p w14:paraId="1AD639E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供应商具有ITSS信息技术服务工具产品注册符合性证书，且该产品属于监控管理类防篡改安全产品，评估等级达到标准级及以上的。</w:t>
      </w:r>
    </w:p>
    <w:p w14:paraId="4B92572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1.4.数据管理能力成熟度认证</w:t>
      </w:r>
    </w:p>
    <w:p w14:paraId="0003052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供应商具有DCMM数据管理能力成熟度等级3级或以上认证证书。</w:t>
      </w:r>
    </w:p>
    <w:p w14:paraId="25F4F16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1.5.软件著作权</w:t>
      </w:r>
    </w:p>
    <w:p w14:paraId="18539BF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供应商具有查询统计类或报表类或数据治理类或数据质量控制类或数据分析类或数据应用类软件著作权。</w:t>
      </w:r>
    </w:p>
    <w:p w14:paraId="4AD30F9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注：①供应商提供相关证书或证明材料加盖供应商公章，证书需在有效期内。</w:t>
      </w:r>
    </w:p>
    <w:p w14:paraId="1EC2305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2.服务团队</w:t>
      </w:r>
    </w:p>
    <w:p w14:paraId="34B3DCE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2.1.拟派本项目的项目经理（1人）</w:t>
      </w:r>
    </w:p>
    <w:p w14:paraId="6550A3D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（1）具有人社部门和工信部门认证的系统架构设计师（高级）证书；</w:t>
      </w:r>
    </w:p>
    <w:p w14:paraId="0540872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（2）具有人社部门和工信部门认证的系统分析师（高级）证书；</w:t>
      </w:r>
    </w:p>
    <w:p w14:paraId="6442743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2.2.拟派本项目的技术负责人（1人）</w:t>
      </w:r>
    </w:p>
    <w:p w14:paraId="0A0B889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（1）具有人社部门和工信部门认证的信息系统项目管理师（高级）证书；</w:t>
      </w:r>
    </w:p>
    <w:p w14:paraId="436DA4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（2）具有人社部门和工信部门认证的系统分析师（高级）证书的；</w:t>
      </w:r>
    </w:p>
    <w:p w14:paraId="0FD5F4A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2.3.拟派本项目的数据治理负责人（1人）</w:t>
      </w:r>
    </w:p>
    <w:p w14:paraId="50BB740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（1）具有人社部门和工信部门认证的系统规划与管理师（高级）证书；</w:t>
      </w:r>
    </w:p>
    <w:p w14:paraId="7E0EEE5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（2）具有人社部门和工信部门认证的信息系统项目管理师（高级）证书；</w:t>
      </w:r>
    </w:p>
    <w:p w14:paraId="57A3723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2.4.拟派本项目的其他服务团队人员（除项目经理、技术负责人、数据治理负责人外）</w:t>
      </w:r>
    </w:p>
    <w:p w14:paraId="2F4FFED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（1）具有人社部门或工信部门认证的系统分析师（高级）证书；</w:t>
      </w:r>
    </w:p>
    <w:p w14:paraId="570441C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（2）具有人社部门或工信部门认证的信息系统项目管理师（高级）证书；</w:t>
      </w:r>
    </w:p>
    <w:p w14:paraId="36432B8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（3）具有人社部门或工信部门认证的信息安全工程师（中级）证书；</w:t>
      </w:r>
    </w:p>
    <w:p w14:paraId="1DB5B87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（4）具有人社部门或工信部门认证的数据库系统工程师（中级）证书。</w:t>
      </w:r>
    </w:p>
    <w:p w14:paraId="769BBBB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（5）具有中国信息安全测评中心认证的注册信息安全专业人员证书(CISP)；</w:t>
      </w:r>
    </w:p>
    <w:p w14:paraId="213EFF0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（6）具有中国网络安全审查认证和市场监管大数据中心认证的信息安全保障人员认证证书（CISAW），且认证方向为安全运维。</w:t>
      </w:r>
    </w:p>
    <w:p w14:paraId="333E5E5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（7）具有中国网络安全审查认证和市场监管大数据中心认证的信息安全保障人员认证证书（CISAW），且认证方向为安全软件的。</w:t>
      </w:r>
    </w:p>
    <w:p w14:paraId="20E7684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注：以上人员提供相关证书及供应商为其缴纳社保的证明文件扫描件，并加盖供应商公章。</w:t>
      </w:r>
    </w:p>
    <w:p w14:paraId="6A3DCAC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3.业绩</w:t>
      </w:r>
    </w:p>
    <w:p w14:paraId="25F548A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供应商2023年1月1日（含）以来具有数据治理项目业绩证明的。</w:t>
      </w:r>
    </w:p>
    <w:p w14:paraId="75520CA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注：提供采购合同关键页（合同首页、建设内容、金额、签字盖章页）材料复印件，并加盖供应商公章，缺项或不提供的不得分。</w:t>
      </w:r>
    </w:p>
    <w:p w14:paraId="7039A03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4.服务方案</w:t>
      </w:r>
    </w:p>
    <w:p w14:paraId="3A67CF0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具有完善的服务方案，包括但不限于①对数据处理工作进行分析与理解、②对项目数据处理服务情况进行描述及分析、③数据标准化方案、④数据质量控制方案、⑤数据清洗治理方案、⑥数据归集同步方案、⑦数据可视化监测方案、⑧数据共享方案、⑨安全保障及应急预案方案、⑩项目管理方案（含质量管理、风险管理、进度管理、培训计划、服务响应计划）。</w:t>
      </w:r>
    </w:p>
    <w:p w14:paraId="13737EA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p>
    <w:p w14:paraId="2695F497">
      <w:pPr>
        <w:rPr>
          <w:rFonts w:hint="eastAsia" w:ascii="仿宋" w:hAnsi="仿宋" w:eastAsia="仿宋" w:cs="仿宋"/>
          <w:sz w:val="24"/>
          <w:szCs w:val="24"/>
        </w:rPr>
      </w:pPr>
      <w:r>
        <w:rPr>
          <w:rFonts w:hint="eastAsia" w:ascii="仿宋" w:hAnsi="仿宋" w:eastAsia="仿宋" w:cs="仿宋"/>
          <w:sz w:val="24"/>
          <w:szCs w:val="24"/>
        </w:rPr>
        <w:br w:type="page"/>
      </w:r>
    </w:p>
    <w:p w14:paraId="2E53C33C">
      <w:pPr>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三、包2：</w:t>
      </w:r>
    </w:p>
    <w:p w14:paraId="53D217E9">
      <w:pPr>
        <w:ind w:firstLine="482" w:firstLineChars="200"/>
        <w:rPr>
          <w:rFonts w:hint="eastAsia" w:ascii="仿宋" w:hAnsi="仿宋" w:eastAsia="仿宋" w:cs="仿宋"/>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88"/>
        <w:gridCol w:w="2612"/>
        <w:gridCol w:w="1949"/>
        <w:gridCol w:w="1949"/>
        <w:gridCol w:w="1949"/>
      </w:tblGrid>
      <w:tr w14:paraId="6BE9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388" w:type="dxa"/>
            <w:shd w:val="clear" w:color="auto" w:fill="auto"/>
            <w:tcMar>
              <w:top w:w="0" w:type="dxa"/>
              <w:left w:w="105" w:type="dxa"/>
              <w:bottom w:w="0" w:type="dxa"/>
              <w:right w:w="105" w:type="dxa"/>
            </w:tcMar>
            <w:vAlign w:val="center"/>
          </w:tcPr>
          <w:p w14:paraId="4DFF6128">
            <w:pPr>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612" w:type="dxa"/>
            <w:shd w:val="clear" w:color="auto" w:fill="auto"/>
            <w:tcMar>
              <w:top w:w="0" w:type="dxa"/>
              <w:left w:w="105" w:type="dxa"/>
              <w:bottom w:w="0" w:type="dxa"/>
              <w:right w:w="105" w:type="dxa"/>
            </w:tcMar>
            <w:vAlign w:val="center"/>
          </w:tcPr>
          <w:p w14:paraId="638A7067">
            <w:pPr>
              <w:jc w:val="center"/>
              <w:rPr>
                <w:rFonts w:hint="eastAsia" w:ascii="仿宋" w:hAnsi="仿宋" w:eastAsia="仿宋" w:cs="仿宋"/>
                <w:b/>
                <w:bCs/>
                <w:sz w:val="24"/>
                <w:szCs w:val="24"/>
              </w:rPr>
            </w:pPr>
            <w:r>
              <w:rPr>
                <w:rFonts w:hint="eastAsia" w:ascii="仿宋" w:hAnsi="仿宋" w:eastAsia="仿宋" w:cs="仿宋"/>
                <w:b/>
                <w:bCs/>
                <w:sz w:val="24"/>
                <w:szCs w:val="24"/>
              </w:rPr>
              <w:t>名称</w:t>
            </w:r>
          </w:p>
        </w:tc>
        <w:tc>
          <w:tcPr>
            <w:tcW w:w="1949" w:type="dxa"/>
            <w:shd w:val="clear" w:color="auto" w:fill="auto"/>
            <w:tcMar>
              <w:top w:w="0" w:type="dxa"/>
              <w:left w:w="105" w:type="dxa"/>
              <w:bottom w:w="0" w:type="dxa"/>
              <w:right w:w="105" w:type="dxa"/>
            </w:tcMar>
            <w:vAlign w:val="center"/>
          </w:tcPr>
          <w:p w14:paraId="3DC17BC7">
            <w:pPr>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949" w:type="dxa"/>
            <w:shd w:val="clear" w:color="auto" w:fill="auto"/>
            <w:tcMar>
              <w:top w:w="0" w:type="dxa"/>
              <w:left w:w="105" w:type="dxa"/>
              <w:bottom w:w="0" w:type="dxa"/>
              <w:right w:w="105" w:type="dxa"/>
            </w:tcMar>
            <w:vAlign w:val="center"/>
          </w:tcPr>
          <w:p w14:paraId="68F23699">
            <w:pPr>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1949" w:type="dxa"/>
            <w:shd w:val="clear" w:color="auto" w:fill="auto"/>
            <w:tcMar>
              <w:top w:w="0" w:type="dxa"/>
              <w:left w:w="105" w:type="dxa"/>
              <w:bottom w:w="0" w:type="dxa"/>
              <w:right w:w="105" w:type="dxa"/>
            </w:tcMar>
            <w:vAlign w:val="center"/>
          </w:tcPr>
          <w:p w14:paraId="7B2D20F5">
            <w:pPr>
              <w:jc w:val="center"/>
              <w:rPr>
                <w:rFonts w:hint="eastAsia" w:ascii="仿宋" w:hAnsi="仿宋" w:eastAsia="仿宋" w:cs="仿宋"/>
                <w:b/>
                <w:bCs/>
                <w:sz w:val="24"/>
                <w:szCs w:val="24"/>
              </w:rPr>
            </w:pPr>
            <w:r>
              <w:rPr>
                <w:rFonts w:hint="eastAsia" w:ascii="仿宋" w:hAnsi="仿宋" w:eastAsia="仿宋" w:cs="仿宋"/>
                <w:b/>
                <w:bCs/>
                <w:sz w:val="24"/>
                <w:szCs w:val="24"/>
              </w:rPr>
              <w:t>限高价（万</w:t>
            </w:r>
            <w:r>
              <w:rPr>
                <w:rFonts w:hint="eastAsia" w:ascii="仿宋" w:hAnsi="仿宋" w:eastAsia="仿宋" w:cs="仿宋"/>
                <w:b/>
                <w:bCs/>
                <w:sz w:val="24"/>
                <w:szCs w:val="24"/>
                <w:lang w:val="en-US" w:eastAsia="zh-CN"/>
              </w:rPr>
              <w:t>元</w:t>
            </w:r>
            <w:r>
              <w:rPr>
                <w:rFonts w:hint="eastAsia" w:ascii="仿宋" w:hAnsi="仿宋" w:eastAsia="仿宋" w:cs="仿宋"/>
                <w:b/>
                <w:bCs/>
                <w:sz w:val="24"/>
                <w:szCs w:val="24"/>
              </w:rPr>
              <w:t>）</w:t>
            </w:r>
          </w:p>
        </w:tc>
      </w:tr>
      <w:tr w14:paraId="0880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388" w:type="dxa"/>
            <w:shd w:val="clear" w:color="auto" w:fill="auto"/>
            <w:tcMar>
              <w:top w:w="0" w:type="dxa"/>
              <w:left w:w="105" w:type="dxa"/>
              <w:bottom w:w="0" w:type="dxa"/>
              <w:right w:w="105" w:type="dxa"/>
            </w:tcMar>
            <w:vAlign w:val="center"/>
          </w:tcPr>
          <w:p w14:paraId="41CB48C4">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2612" w:type="dxa"/>
            <w:shd w:val="clear" w:color="auto" w:fill="auto"/>
            <w:tcMar>
              <w:top w:w="0" w:type="dxa"/>
              <w:left w:w="105" w:type="dxa"/>
              <w:bottom w:w="0" w:type="dxa"/>
              <w:right w:w="105" w:type="dxa"/>
            </w:tcMar>
            <w:vAlign w:val="center"/>
          </w:tcPr>
          <w:p w14:paraId="0F59D5E8">
            <w:pPr>
              <w:jc w:val="center"/>
              <w:rPr>
                <w:rFonts w:hint="eastAsia" w:ascii="仿宋" w:hAnsi="仿宋" w:eastAsia="仿宋" w:cs="仿宋"/>
                <w:sz w:val="24"/>
                <w:szCs w:val="24"/>
              </w:rPr>
            </w:pPr>
            <w:r>
              <w:rPr>
                <w:rFonts w:hint="eastAsia" w:ascii="仿宋" w:hAnsi="仿宋" w:eastAsia="仿宋" w:cs="仿宋"/>
                <w:sz w:val="24"/>
                <w:szCs w:val="24"/>
                <w:lang w:val="en-US" w:eastAsia="zh-CN"/>
              </w:rPr>
              <w:t>2路</w:t>
            </w:r>
            <w:r>
              <w:rPr>
                <w:rFonts w:hint="eastAsia" w:ascii="仿宋" w:hAnsi="仿宋" w:eastAsia="仿宋" w:cs="仿宋"/>
                <w:sz w:val="24"/>
                <w:szCs w:val="24"/>
              </w:rPr>
              <w:t>服务器</w:t>
            </w:r>
          </w:p>
        </w:tc>
        <w:tc>
          <w:tcPr>
            <w:tcW w:w="1949" w:type="dxa"/>
            <w:shd w:val="clear" w:color="auto" w:fill="auto"/>
            <w:tcMar>
              <w:top w:w="0" w:type="dxa"/>
              <w:left w:w="105" w:type="dxa"/>
              <w:bottom w:w="0" w:type="dxa"/>
              <w:right w:w="105" w:type="dxa"/>
            </w:tcMar>
            <w:vAlign w:val="center"/>
          </w:tcPr>
          <w:p w14:paraId="56CF039B">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949" w:type="dxa"/>
            <w:shd w:val="clear" w:color="auto" w:fill="auto"/>
            <w:tcMar>
              <w:top w:w="0" w:type="dxa"/>
              <w:left w:w="105" w:type="dxa"/>
              <w:bottom w:w="0" w:type="dxa"/>
              <w:right w:w="105" w:type="dxa"/>
            </w:tcMar>
            <w:vAlign w:val="center"/>
          </w:tcPr>
          <w:p w14:paraId="75588AE5">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台</w:t>
            </w:r>
          </w:p>
        </w:tc>
        <w:tc>
          <w:tcPr>
            <w:tcW w:w="1949" w:type="dxa"/>
            <w:shd w:val="clear" w:color="auto" w:fill="auto"/>
            <w:tcMar>
              <w:top w:w="0" w:type="dxa"/>
              <w:left w:w="105" w:type="dxa"/>
              <w:bottom w:w="0" w:type="dxa"/>
              <w:right w:w="105" w:type="dxa"/>
            </w:tcMar>
            <w:vAlign w:val="center"/>
          </w:tcPr>
          <w:p w14:paraId="69CE6431">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120</w:t>
            </w:r>
          </w:p>
        </w:tc>
      </w:tr>
    </w:tbl>
    <w:p w14:paraId="602C0FE8">
      <w:pPr>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val="en-US" w:eastAsia="zh-CN"/>
        </w:rPr>
        <w:t>（二）技术要求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97"/>
        <w:gridCol w:w="1121"/>
        <w:gridCol w:w="6418"/>
        <w:gridCol w:w="1511"/>
      </w:tblGrid>
      <w:tr w14:paraId="4CE8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31C982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990" w:type="dxa"/>
            <w:shd w:val="clear" w:color="auto" w:fill="auto"/>
            <w:tcMar>
              <w:top w:w="0" w:type="dxa"/>
              <w:left w:w="105" w:type="dxa"/>
              <w:bottom w:w="0" w:type="dxa"/>
              <w:right w:w="105" w:type="dxa"/>
            </w:tcMar>
            <w:vAlign w:val="center"/>
          </w:tcPr>
          <w:p w14:paraId="642FC0D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指标重要性</w:t>
            </w:r>
          </w:p>
        </w:tc>
        <w:tc>
          <w:tcPr>
            <w:tcW w:w="5670" w:type="dxa"/>
            <w:shd w:val="clear" w:color="auto" w:fill="auto"/>
            <w:tcMar>
              <w:top w:w="0" w:type="dxa"/>
              <w:left w:w="105" w:type="dxa"/>
              <w:bottom w:w="0" w:type="dxa"/>
              <w:right w:w="105" w:type="dxa"/>
            </w:tcMar>
            <w:vAlign w:val="center"/>
          </w:tcPr>
          <w:p w14:paraId="3D3FB7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技术参数</w:t>
            </w:r>
          </w:p>
        </w:tc>
        <w:tc>
          <w:tcPr>
            <w:tcW w:w="1335" w:type="dxa"/>
            <w:shd w:val="clear" w:color="auto" w:fill="auto"/>
            <w:tcMar>
              <w:top w:w="0" w:type="dxa"/>
              <w:left w:w="105" w:type="dxa"/>
              <w:bottom w:w="0" w:type="dxa"/>
              <w:right w:w="105" w:type="dxa"/>
            </w:tcMar>
            <w:vAlign w:val="center"/>
          </w:tcPr>
          <w:p w14:paraId="2262FD6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证明材料（要求）</w:t>
            </w:r>
          </w:p>
        </w:tc>
      </w:tr>
      <w:tr w14:paraId="61C5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5330D58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w:t>
            </w:r>
          </w:p>
        </w:tc>
        <w:tc>
          <w:tcPr>
            <w:tcW w:w="990" w:type="dxa"/>
            <w:shd w:val="clear" w:color="auto" w:fill="auto"/>
            <w:tcMar>
              <w:top w:w="0" w:type="dxa"/>
              <w:left w:w="105" w:type="dxa"/>
              <w:bottom w:w="0" w:type="dxa"/>
              <w:right w:w="105" w:type="dxa"/>
            </w:tcMar>
            <w:vAlign w:val="center"/>
          </w:tcPr>
          <w:p w14:paraId="530152F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454C64D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2U机架式服务器；配置2颗x86架构处理器；单颗CPU主频≥2.1GHz, 核心数≥32核，缓存≥160MB，功耗≤270W；</w:t>
            </w:r>
          </w:p>
        </w:tc>
        <w:tc>
          <w:tcPr>
            <w:tcW w:w="1335" w:type="dxa"/>
            <w:shd w:val="clear" w:color="auto" w:fill="auto"/>
            <w:tcMar>
              <w:top w:w="0" w:type="dxa"/>
              <w:left w:w="105" w:type="dxa"/>
              <w:bottom w:w="0" w:type="dxa"/>
              <w:right w:w="105" w:type="dxa"/>
            </w:tcMar>
            <w:vAlign w:val="center"/>
          </w:tcPr>
          <w:p w14:paraId="44986C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r w14:paraId="6AB2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5C1DCEB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w:t>
            </w:r>
          </w:p>
        </w:tc>
        <w:tc>
          <w:tcPr>
            <w:tcW w:w="990" w:type="dxa"/>
            <w:shd w:val="clear" w:color="auto" w:fill="auto"/>
            <w:tcMar>
              <w:top w:w="0" w:type="dxa"/>
              <w:left w:w="105" w:type="dxa"/>
              <w:bottom w:w="0" w:type="dxa"/>
              <w:right w:w="105" w:type="dxa"/>
            </w:tcMar>
            <w:vAlign w:val="center"/>
          </w:tcPr>
          <w:p w14:paraId="246512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4907CD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配置≥1536GB DDR5 5600MHz内存，支持≥32个DDR5内存插槽，支持最大内存容量≥8TB；</w:t>
            </w:r>
          </w:p>
        </w:tc>
        <w:tc>
          <w:tcPr>
            <w:tcW w:w="1335" w:type="dxa"/>
            <w:shd w:val="clear" w:color="auto" w:fill="auto"/>
            <w:tcMar>
              <w:top w:w="0" w:type="dxa"/>
              <w:left w:w="105" w:type="dxa"/>
              <w:bottom w:w="0" w:type="dxa"/>
              <w:right w:w="105" w:type="dxa"/>
            </w:tcMar>
            <w:vAlign w:val="center"/>
          </w:tcPr>
          <w:p w14:paraId="429527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r w14:paraId="64BB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22050D7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3.</w:t>
            </w:r>
          </w:p>
        </w:tc>
        <w:tc>
          <w:tcPr>
            <w:tcW w:w="990" w:type="dxa"/>
            <w:shd w:val="clear" w:color="auto" w:fill="auto"/>
            <w:tcMar>
              <w:top w:w="0" w:type="dxa"/>
              <w:left w:w="105" w:type="dxa"/>
              <w:bottom w:w="0" w:type="dxa"/>
              <w:right w:w="105" w:type="dxa"/>
            </w:tcMar>
            <w:vAlign w:val="center"/>
          </w:tcPr>
          <w:p w14:paraId="38306CF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3ACFAC4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配置8 LFF SATA/SAS硬盘扩展模块，本次配置2块480G SATA SSD硬盘；配置≥4GB缓存SAS Raid卡，配置掉电保护模块；</w:t>
            </w:r>
          </w:p>
        </w:tc>
        <w:tc>
          <w:tcPr>
            <w:tcW w:w="1335" w:type="dxa"/>
            <w:shd w:val="clear" w:color="auto" w:fill="auto"/>
            <w:tcMar>
              <w:top w:w="0" w:type="dxa"/>
              <w:left w:w="105" w:type="dxa"/>
              <w:bottom w:w="0" w:type="dxa"/>
              <w:right w:w="105" w:type="dxa"/>
            </w:tcMar>
            <w:vAlign w:val="center"/>
          </w:tcPr>
          <w:p w14:paraId="36F6F62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r w14:paraId="4BBB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1BB09B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4.</w:t>
            </w:r>
          </w:p>
        </w:tc>
        <w:tc>
          <w:tcPr>
            <w:tcW w:w="990" w:type="dxa"/>
            <w:shd w:val="clear" w:color="auto" w:fill="auto"/>
            <w:tcMar>
              <w:top w:w="0" w:type="dxa"/>
              <w:left w:w="105" w:type="dxa"/>
              <w:bottom w:w="0" w:type="dxa"/>
              <w:right w:w="105" w:type="dxa"/>
            </w:tcMar>
            <w:vAlign w:val="center"/>
          </w:tcPr>
          <w:p w14:paraId="1E5D723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78FBE3D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配置≥4个千兆电口，≥4个25G SFP28光口（满配25G多模光模块）；</w:t>
            </w:r>
          </w:p>
        </w:tc>
        <w:tc>
          <w:tcPr>
            <w:tcW w:w="1335" w:type="dxa"/>
            <w:shd w:val="clear" w:color="auto" w:fill="auto"/>
            <w:tcMar>
              <w:top w:w="0" w:type="dxa"/>
              <w:left w:w="105" w:type="dxa"/>
              <w:bottom w:w="0" w:type="dxa"/>
              <w:right w:w="105" w:type="dxa"/>
            </w:tcMar>
            <w:vAlign w:val="center"/>
          </w:tcPr>
          <w:p w14:paraId="05F12A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r w14:paraId="6FE50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07EE1F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5.</w:t>
            </w:r>
          </w:p>
        </w:tc>
        <w:tc>
          <w:tcPr>
            <w:tcW w:w="990" w:type="dxa"/>
            <w:shd w:val="clear" w:color="auto" w:fill="auto"/>
            <w:tcMar>
              <w:top w:w="0" w:type="dxa"/>
              <w:left w:w="105" w:type="dxa"/>
              <w:bottom w:w="0" w:type="dxa"/>
              <w:right w:w="105" w:type="dxa"/>
            </w:tcMar>
            <w:vAlign w:val="center"/>
          </w:tcPr>
          <w:p w14:paraId="770BB4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159410F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最大支持8个OCP 3.0槽位（提供产品官网截图或产品彩页或技术白皮书）；</w:t>
            </w:r>
          </w:p>
        </w:tc>
        <w:tc>
          <w:tcPr>
            <w:tcW w:w="1335" w:type="dxa"/>
            <w:shd w:val="clear" w:color="auto" w:fill="auto"/>
            <w:tcMar>
              <w:top w:w="0" w:type="dxa"/>
              <w:left w:w="105" w:type="dxa"/>
              <w:bottom w:w="0" w:type="dxa"/>
              <w:right w:w="105" w:type="dxa"/>
            </w:tcMar>
            <w:vAlign w:val="center"/>
          </w:tcPr>
          <w:p w14:paraId="67753F9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4A897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440DE2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6.</w:t>
            </w:r>
          </w:p>
        </w:tc>
        <w:tc>
          <w:tcPr>
            <w:tcW w:w="990" w:type="dxa"/>
            <w:shd w:val="clear" w:color="auto" w:fill="auto"/>
            <w:tcMar>
              <w:top w:w="0" w:type="dxa"/>
              <w:left w:w="105" w:type="dxa"/>
              <w:bottom w:w="0" w:type="dxa"/>
              <w:right w:w="105" w:type="dxa"/>
            </w:tcMar>
            <w:vAlign w:val="center"/>
          </w:tcPr>
          <w:p w14:paraId="3699B8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205B77E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最大支持11个PCIe5.0标准槽位（提供产品官网截图或产品彩页或技术白皮书）；</w:t>
            </w:r>
          </w:p>
        </w:tc>
        <w:tc>
          <w:tcPr>
            <w:tcW w:w="1335" w:type="dxa"/>
            <w:shd w:val="clear" w:color="auto" w:fill="auto"/>
            <w:tcMar>
              <w:top w:w="0" w:type="dxa"/>
              <w:left w:w="105" w:type="dxa"/>
              <w:bottom w:w="0" w:type="dxa"/>
              <w:right w:w="105" w:type="dxa"/>
            </w:tcMar>
            <w:vAlign w:val="center"/>
          </w:tcPr>
          <w:p w14:paraId="34B717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1BAA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671F00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7.</w:t>
            </w:r>
          </w:p>
        </w:tc>
        <w:tc>
          <w:tcPr>
            <w:tcW w:w="990" w:type="dxa"/>
            <w:shd w:val="clear" w:color="auto" w:fill="auto"/>
            <w:tcMar>
              <w:top w:w="0" w:type="dxa"/>
              <w:left w:w="105" w:type="dxa"/>
              <w:bottom w:w="0" w:type="dxa"/>
              <w:right w:w="105" w:type="dxa"/>
            </w:tcMar>
            <w:vAlign w:val="center"/>
          </w:tcPr>
          <w:p w14:paraId="3D4F74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4200F49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最大支持4块双宽GPU卡或14块单宽GPU卡（提供产品官网截图或产品彩页或技术白皮书）；</w:t>
            </w:r>
          </w:p>
        </w:tc>
        <w:tc>
          <w:tcPr>
            <w:tcW w:w="1335" w:type="dxa"/>
            <w:shd w:val="clear" w:color="auto" w:fill="auto"/>
            <w:tcMar>
              <w:top w:w="0" w:type="dxa"/>
              <w:left w:w="105" w:type="dxa"/>
              <w:bottom w:w="0" w:type="dxa"/>
              <w:right w:w="105" w:type="dxa"/>
            </w:tcMar>
            <w:vAlign w:val="center"/>
          </w:tcPr>
          <w:p w14:paraId="321024C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22EC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0CCE003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8.</w:t>
            </w:r>
          </w:p>
        </w:tc>
        <w:tc>
          <w:tcPr>
            <w:tcW w:w="990" w:type="dxa"/>
            <w:shd w:val="clear" w:color="auto" w:fill="auto"/>
            <w:tcMar>
              <w:top w:w="0" w:type="dxa"/>
              <w:left w:w="105" w:type="dxa"/>
              <w:bottom w:w="0" w:type="dxa"/>
              <w:right w:w="105" w:type="dxa"/>
            </w:tcMar>
            <w:vAlign w:val="center"/>
          </w:tcPr>
          <w:p w14:paraId="1CA1963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2373EFC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配置≥4个热插拔冗余风扇，≥2个热插拔冗余电源；</w:t>
            </w:r>
          </w:p>
        </w:tc>
        <w:tc>
          <w:tcPr>
            <w:tcW w:w="1335" w:type="dxa"/>
            <w:shd w:val="clear" w:color="auto" w:fill="auto"/>
            <w:tcMar>
              <w:top w:w="0" w:type="dxa"/>
              <w:left w:w="105" w:type="dxa"/>
              <w:bottom w:w="0" w:type="dxa"/>
              <w:right w:w="105" w:type="dxa"/>
            </w:tcMar>
            <w:vAlign w:val="center"/>
          </w:tcPr>
          <w:p w14:paraId="4B5734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r w14:paraId="2F901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1ECB0C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9.</w:t>
            </w:r>
          </w:p>
        </w:tc>
        <w:tc>
          <w:tcPr>
            <w:tcW w:w="990" w:type="dxa"/>
            <w:shd w:val="clear" w:color="auto" w:fill="auto"/>
            <w:tcMar>
              <w:top w:w="0" w:type="dxa"/>
              <w:left w:w="105" w:type="dxa"/>
              <w:bottom w:w="0" w:type="dxa"/>
              <w:right w:w="105" w:type="dxa"/>
            </w:tcMar>
            <w:vAlign w:val="center"/>
          </w:tcPr>
          <w:p w14:paraId="511C39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22A62C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可通过BMC配置BIOS性能模板，实现利用预配置的配置文件，自动调优内部服务器资源，以应对不同的业务模型，如虚拟化、低时延、节能等应用场景</w:t>
            </w:r>
            <w:r>
              <w:rPr>
                <w:rFonts w:hint="eastAsia" w:ascii="仿宋" w:hAnsi="仿宋" w:eastAsia="仿宋" w:cs="仿宋"/>
                <w:sz w:val="24"/>
                <w:szCs w:val="24"/>
                <w:highlight w:val="none"/>
                <w:shd w:val="clear"/>
              </w:rPr>
              <w:t>（提供</w:t>
            </w:r>
            <w:r>
              <w:rPr>
                <w:rFonts w:hint="eastAsia" w:ascii="仿宋" w:hAnsi="仿宋" w:eastAsia="仿宋" w:cs="仿宋"/>
                <w:sz w:val="24"/>
                <w:szCs w:val="24"/>
                <w:highlight w:val="none"/>
                <w:shd w:val="clear"/>
                <w:lang w:val="en-US" w:eastAsia="zh-CN"/>
              </w:rPr>
              <w:t>国家认可的</w:t>
            </w:r>
            <w:r>
              <w:rPr>
                <w:rFonts w:hint="eastAsia" w:ascii="仿宋" w:hAnsi="仿宋" w:eastAsia="仿宋" w:cs="仿宋"/>
                <w:sz w:val="24"/>
                <w:szCs w:val="24"/>
                <w:highlight w:val="none"/>
                <w:shd w:val="clear"/>
              </w:rPr>
              <w:t>第三方检测机构出具的具有CNAS标识的检测报告）</w:t>
            </w:r>
            <w:r>
              <w:rPr>
                <w:rFonts w:hint="eastAsia" w:ascii="仿宋" w:hAnsi="仿宋" w:eastAsia="仿宋" w:cs="仿宋"/>
                <w:sz w:val="24"/>
                <w:szCs w:val="24"/>
              </w:rPr>
              <w:t>；</w:t>
            </w:r>
          </w:p>
        </w:tc>
        <w:tc>
          <w:tcPr>
            <w:tcW w:w="1335" w:type="dxa"/>
            <w:shd w:val="clear" w:color="auto" w:fill="auto"/>
            <w:tcMar>
              <w:top w:w="0" w:type="dxa"/>
              <w:left w:w="105" w:type="dxa"/>
              <w:bottom w:w="0" w:type="dxa"/>
              <w:right w:w="105" w:type="dxa"/>
            </w:tcMar>
            <w:vAlign w:val="center"/>
          </w:tcPr>
          <w:p w14:paraId="081B37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12ED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6CF97D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10.</w:t>
            </w:r>
          </w:p>
        </w:tc>
        <w:tc>
          <w:tcPr>
            <w:tcW w:w="990" w:type="dxa"/>
            <w:shd w:val="clear" w:color="auto" w:fill="auto"/>
            <w:tcMar>
              <w:top w:w="0" w:type="dxa"/>
              <w:left w:w="105" w:type="dxa"/>
              <w:bottom w:w="0" w:type="dxa"/>
              <w:right w:w="105" w:type="dxa"/>
            </w:tcMar>
            <w:vAlign w:val="center"/>
          </w:tcPr>
          <w:p w14:paraId="19250F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5583988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BMC可以根据主机系统工作负载的特性，自动推荐和场景匹配的性能模板（提供</w:t>
            </w:r>
            <w:r>
              <w:rPr>
                <w:rFonts w:hint="eastAsia" w:ascii="仿宋" w:hAnsi="仿宋" w:eastAsia="仿宋" w:cs="仿宋"/>
                <w:sz w:val="24"/>
                <w:szCs w:val="24"/>
                <w:lang w:val="en-US" w:eastAsia="zh-CN"/>
              </w:rPr>
              <w:t>国家认可的</w:t>
            </w:r>
            <w:r>
              <w:rPr>
                <w:rFonts w:hint="eastAsia" w:ascii="仿宋" w:hAnsi="仿宋" w:eastAsia="仿宋" w:cs="仿宋"/>
                <w:sz w:val="24"/>
                <w:szCs w:val="24"/>
              </w:rPr>
              <w:t>第三方检测机构出具的具有CNAS标识的检测报告）；</w:t>
            </w:r>
          </w:p>
        </w:tc>
        <w:tc>
          <w:tcPr>
            <w:tcW w:w="1335" w:type="dxa"/>
            <w:shd w:val="clear" w:color="auto" w:fill="auto"/>
            <w:tcMar>
              <w:top w:w="0" w:type="dxa"/>
              <w:left w:w="105" w:type="dxa"/>
              <w:bottom w:w="0" w:type="dxa"/>
              <w:right w:w="105" w:type="dxa"/>
            </w:tcMar>
            <w:vAlign w:val="center"/>
          </w:tcPr>
          <w:p w14:paraId="349E6D8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7114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4DDF988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11.</w:t>
            </w:r>
          </w:p>
        </w:tc>
        <w:tc>
          <w:tcPr>
            <w:tcW w:w="990" w:type="dxa"/>
            <w:shd w:val="clear" w:color="auto" w:fill="auto"/>
            <w:tcMar>
              <w:top w:w="0" w:type="dxa"/>
              <w:left w:w="105" w:type="dxa"/>
              <w:bottom w:w="0" w:type="dxa"/>
              <w:right w:w="105" w:type="dxa"/>
            </w:tcMar>
            <w:vAlign w:val="center"/>
          </w:tcPr>
          <w:p w14:paraId="53269B0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p>
        </w:tc>
        <w:tc>
          <w:tcPr>
            <w:tcW w:w="5670" w:type="dxa"/>
            <w:shd w:val="clear" w:color="auto" w:fill="auto"/>
            <w:tcMar>
              <w:top w:w="0" w:type="dxa"/>
              <w:left w:w="105" w:type="dxa"/>
              <w:bottom w:w="0" w:type="dxa"/>
              <w:right w:w="105" w:type="dxa"/>
            </w:tcMar>
            <w:vAlign w:val="center"/>
          </w:tcPr>
          <w:p w14:paraId="1EC2F1A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支持BIOS启动过程中的所有开机自检代码（POST CODE）以明文化的形式展示在界面中，方便快速定位POST阶段故障（提供</w:t>
            </w:r>
            <w:r>
              <w:rPr>
                <w:rFonts w:hint="eastAsia" w:ascii="仿宋" w:hAnsi="仿宋" w:eastAsia="仿宋" w:cs="仿宋"/>
                <w:sz w:val="24"/>
                <w:szCs w:val="24"/>
                <w:lang w:val="en-US" w:eastAsia="zh-CN"/>
              </w:rPr>
              <w:t>国家认可的</w:t>
            </w:r>
            <w:r>
              <w:rPr>
                <w:rFonts w:hint="eastAsia" w:ascii="仿宋" w:hAnsi="仿宋" w:eastAsia="仿宋" w:cs="仿宋"/>
                <w:sz w:val="24"/>
                <w:szCs w:val="24"/>
              </w:rPr>
              <w:t>第三方检测机构出具的具有CNAS标识的检测报告）；</w:t>
            </w:r>
          </w:p>
        </w:tc>
        <w:tc>
          <w:tcPr>
            <w:tcW w:w="1335" w:type="dxa"/>
            <w:shd w:val="clear" w:color="auto" w:fill="auto"/>
            <w:tcMar>
              <w:top w:w="0" w:type="dxa"/>
              <w:left w:w="105" w:type="dxa"/>
              <w:bottom w:w="0" w:type="dxa"/>
              <w:right w:w="105" w:type="dxa"/>
            </w:tcMar>
            <w:vAlign w:val="center"/>
          </w:tcPr>
          <w:p w14:paraId="429B6D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r>
      <w:tr w14:paraId="1A1D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283" w:hRule="atLeast"/>
        </w:trPr>
        <w:tc>
          <w:tcPr>
            <w:tcW w:w="705" w:type="dxa"/>
            <w:shd w:val="clear" w:color="auto" w:fill="auto"/>
            <w:tcMar>
              <w:top w:w="0" w:type="dxa"/>
              <w:left w:w="105" w:type="dxa"/>
              <w:bottom w:w="0" w:type="dxa"/>
              <w:right w:w="105" w:type="dxa"/>
            </w:tcMar>
            <w:vAlign w:val="center"/>
          </w:tcPr>
          <w:p w14:paraId="3C383F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12.</w:t>
            </w:r>
          </w:p>
        </w:tc>
        <w:tc>
          <w:tcPr>
            <w:tcW w:w="990" w:type="dxa"/>
            <w:shd w:val="clear" w:color="auto" w:fill="auto"/>
            <w:tcMar>
              <w:top w:w="0" w:type="dxa"/>
              <w:left w:w="105" w:type="dxa"/>
              <w:bottom w:w="0" w:type="dxa"/>
              <w:right w:w="105" w:type="dxa"/>
            </w:tcMar>
            <w:vAlign w:val="center"/>
          </w:tcPr>
          <w:p w14:paraId="5CCF92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670" w:type="dxa"/>
            <w:shd w:val="clear" w:color="auto" w:fill="auto"/>
            <w:tcMar>
              <w:top w:w="0" w:type="dxa"/>
              <w:left w:w="105" w:type="dxa"/>
              <w:bottom w:w="0" w:type="dxa"/>
              <w:right w:w="105" w:type="dxa"/>
            </w:tcMar>
            <w:vAlign w:val="center"/>
          </w:tcPr>
          <w:p w14:paraId="0BD2752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提供自验收合格之日起5年原厂质保服务。</w:t>
            </w:r>
          </w:p>
        </w:tc>
        <w:tc>
          <w:tcPr>
            <w:tcW w:w="1335" w:type="dxa"/>
            <w:shd w:val="clear" w:color="auto" w:fill="auto"/>
            <w:tcMar>
              <w:top w:w="0" w:type="dxa"/>
              <w:left w:w="105" w:type="dxa"/>
              <w:bottom w:w="0" w:type="dxa"/>
              <w:right w:w="105" w:type="dxa"/>
            </w:tcMar>
            <w:vAlign w:val="center"/>
          </w:tcPr>
          <w:p w14:paraId="753B6D7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bl>
    <w:p w14:paraId="2391B64D">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★（三）服务要求</w:t>
      </w:r>
    </w:p>
    <w:p w14:paraId="576100B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1.质保期内，采购人每月按照四川省人民医院供应商考核指标对供应商行为进行评价考核，考核结果关联最终付款金额和履约保证金（如有履约保证金）。</w:t>
      </w:r>
    </w:p>
    <w:p w14:paraId="15AC307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2.成交供应商应当与本项目相关的第三方保持有痕的沟通，明确项目的具体要求和功能等方面的细节。采购人负责组织、监督和验收，以确保项目的顺利完成。</w:t>
      </w:r>
    </w:p>
    <w:p w14:paraId="53AA1B06">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p>
    <w:p w14:paraId="4772FDA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highlight w:val="none"/>
          <w:lang w:val="en-US" w:eastAsia="zh-CN"/>
        </w:rPr>
        <w:t>.实施时间：本项目合同签订生效后，在合同签订成功后的5个工作日，抵达采购人单位与采购人信息管理部门面谈沟通，未按时入场，视为供应商违约并自动放弃该项目，采购人有权终止合同，合同所有款</w:t>
      </w:r>
      <w:r>
        <w:rPr>
          <w:rFonts w:hint="eastAsia" w:ascii="仿宋" w:hAnsi="仿宋" w:eastAsia="仿宋" w:cs="仿宋"/>
          <w:sz w:val="24"/>
          <w:szCs w:val="24"/>
          <w:lang w:val="en-US" w:eastAsia="zh-CN"/>
        </w:rPr>
        <w:t>项将不予支付（如有履约保证金，将不予退还），已支付款项，供应商应于7个工作日内退还采购人。</w:t>
      </w:r>
    </w:p>
    <w:p w14:paraId="2102CA2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60日内，完成本项目包含的所有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7B758EF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3.交付</w:t>
      </w:r>
      <w:r>
        <w:rPr>
          <w:rFonts w:hint="eastAsia" w:ascii="仿宋" w:hAnsi="仿宋" w:eastAsia="仿宋" w:cs="仿宋"/>
          <w:sz w:val="24"/>
          <w:szCs w:val="24"/>
        </w:rPr>
        <w:t>地点：</w:t>
      </w:r>
      <w:r>
        <w:rPr>
          <w:rFonts w:hint="eastAsia" w:ascii="仿宋" w:hAnsi="仿宋" w:eastAsia="仿宋" w:cs="仿宋"/>
          <w:sz w:val="24"/>
          <w:szCs w:val="24"/>
          <w:lang w:val="en-US" w:eastAsia="zh-CN"/>
        </w:rPr>
        <w:t>本项目涉及的四川省人民医院所有院区。</w:t>
      </w:r>
    </w:p>
    <w:p w14:paraId="73EAE3A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总价包干，一次性付款，合同签订生效且项目验收合格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100%的金额（如有因考核等原因产生的扣款，应在支付前予以扣除）。</w:t>
      </w:r>
    </w:p>
    <w:p w14:paraId="62C9279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6A1B394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7494AC4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1DDED1A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73BB850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678F9B6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（5）履约验收内容：按照基于本项目采购需求编制的采购文件要求及供应商响应文件情况，由供应商向采购人交付的全部硬件。</w:t>
      </w:r>
    </w:p>
    <w:p w14:paraId="05ABDF8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（6）履约验收时间：硬件功能上线运行后5日内通知采购人验收，采购人接供应商通知后10日内组织验收。</w:t>
      </w:r>
    </w:p>
    <w:p w14:paraId="0990966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37B8A20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0DF7E01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010BBE2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5E029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4187C25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188CB850">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4A49BE2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01192D2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67009E9D">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11549C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0895C0A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146D47B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1654A740">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452170E6">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1.履约能力</w:t>
      </w:r>
    </w:p>
    <w:p w14:paraId="3E8F72D2">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供应商实施交付团队中具有人社或工信部门颁发的系统项目管理师（高级）认证证书，具有人社或工信部门颁发的系统架构设计师（高级）认证证书。</w:t>
      </w:r>
    </w:p>
    <w:p w14:paraId="2F013B11">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注：人员不重复计算，提供资质证书扫描件及在职证明。</w:t>
      </w:r>
    </w:p>
    <w:p w14:paraId="2015B562">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2.产品综合能力</w:t>
      </w:r>
    </w:p>
    <w:p w14:paraId="3E91CB55">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2.1.响应产品满足可靠性验证要求，产品MTBF≥25万小时。（提供具备CANS标识的第三方权威机构测试报告复印件并加盖供应商公章）</w:t>
      </w:r>
    </w:p>
    <w:p w14:paraId="1AD446EF">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响应产品通过8、9级烈度抗震性能检测要求，符合通信设备抗震性能检测标准，准许进入9级烈度级以下地区信息通信网使用。（提供信息产业通信设备抗震性能质量监督检验中心出具的抗震检测报告并加盖供应商公章）</w:t>
      </w:r>
    </w:p>
    <w:p w14:paraId="5C682070">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3.项目实施方案</w:t>
      </w:r>
    </w:p>
    <w:p w14:paraId="23AB125C">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符合本项目需求的项目实施方案，至少包括（1）项目实施进度计划及安排；（2）设备的安装调试方案；（3）设备质量保证措施；（4）应急处理方案；（5）培训方案；（6）备品、备件方案；（7）巡检方案；（8）保修服务措施；（9）售后服务保障措施；（10）售后服务人员配置及联系方式。</w:t>
      </w:r>
    </w:p>
    <w:p w14:paraId="5782F0BB">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4.业绩</w:t>
      </w:r>
    </w:p>
    <w:p w14:paraId="255FA504">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供应商提供2023年1月1日（含）以来类似安全设备类项目的业绩证明。</w:t>
      </w:r>
    </w:p>
    <w:p w14:paraId="26EF60A4">
      <w:pPr>
        <w:pStyle w:val="2"/>
        <w:keepNext w:val="0"/>
        <w:keepLines w:val="0"/>
        <w:pageBreakBefore w:val="0"/>
        <w:widowControl w:val="0"/>
        <w:kinsoku/>
        <w:wordWrap/>
        <w:overflowPunct/>
        <w:topLinePunct w:val="0"/>
        <w:autoSpaceDE/>
        <w:autoSpaceDN/>
        <w:bidi w:val="0"/>
        <w:adjustRightInd w:val="0"/>
        <w:snapToGrid w:val="0"/>
        <w:spacing w:after="0" w:line="336"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注：提供采购合同关键页（至少合同首页、建设内容、金额、签字盖章页）材料复印件，并加盖供应商单位公章。</w:t>
      </w:r>
    </w:p>
    <w:p w14:paraId="78971ECF">
      <w:pPr>
        <w:pStyle w:val="2"/>
        <w:rPr>
          <w:rFonts w:hint="default" w:ascii="仿宋" w:hAnsi="仿宋" w:eastAsia="仿宋" w:cs="仿宋"/>
          <w:sz w:val="24"/>
          <w:szCs w:val="24"/>
          <w:lang w:val="en-US" w:eastAsia="zh-CN"/>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3"/>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07F6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847" w:type="dxa"/>
            <w:gridSpan w:val="6"/>
            <w:shd w:val="clear" w:color="auto" w:fill="auto"/>
            <w:tcMar>
              <w:top w:w="0" w:type="dxa"/>
              <w:left w:w="105" w:type="dxa"/>
              <w:bottom w:w="0" w:type="dxa"/>
              <w:right w:w="105" w:type="dxa"/>
            </w:tcMar>
            <w:vAlign w:val="top"/>
          </w:tcPr>
          <w:p w14:paraId="5709046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Fonts w:hint="eastAsia" w:ascii="仿宋" w:hAnsi="仿宋" w:eastAsia="仿宋" w:cs="仿宋"/>
                <w:b/>
                <w:bCs/>
                <w:sz w:val="32"/>
                <w:szCs w:val="32"/>
              </w:rPr>
              <w:t>四川省人民医院供应商考核</w:t>
            </w:r>
          </w:p>
        </w:tc>
      </w:tr>
      <w:tr w14:paraId="37FA5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shd w:val="clear" w:color="auto" w:fill="auto"/>
            <w:tcMar>
              <w:top w:w="0" w:type="dxa"/>
              <w:left w:w="105" w:type="dxa"/>
              <w:bottom w:w="0" w:type="dxa"/>
              <w:right w:w="105" w:type="dxa"/>
            </w:tcMar>
            <w:vAlign w:val="center"/>
          </w:tcPr>
          <w:p w14:paraId="4C682757">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供应商</w:t>
            </w:r>
          </w:p>
        </w:tc>
        <w:tc>
          <w:tcPr>
            <w:tcW w:w="3289" w:type="dxa"/>
            <w:gridSpan w:val="2"/>
            <w:shd w:val="clear" w:color="auto" w:fill="auto"/>
            <w:tcMar>
              <w:top w:w="0" w:type="dxa"/>
              <w:left w:w="105" w:type="dxa"/>
              <w:bottom w:w="0" w:type="dxa"/>
              <w:right w:w="105" w:type="dxa"/>
            </w:tcMar>
            <w:vAlign w:val="center"/>
          </w:tcPr>
          <w:p w14:paraId="773DA17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367" w:type="dxa"/>
            <w:shd w:val="clear" w:color="auto" w:fill="auto"/>
            <w:tcMar>
              <w:top w:w="0" w:type="dxa"/>
              <w:left w:w="105" w:type="dxa"/>
              <w:bottom w:w="0" w:type="dxa"/>
              <w:right w:w="105" w:type="dxa"/>
            </w:tcMar>
            <w:vAlign w:val="center"/>
          </w:tcPr>
          <w:p w14:paraId="6C734CF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合同名</w:t>
            </w:r>
          </w:p>
        </w:tc>
        <w:tc>
          <w:tcPr>
            <w:tcW w:w="3929" w:type="dxa"/>
            <w:gridSpan w:val="2"/>
            <w:shd w:val="clear" w:color="auto" w:fill="auto"/>
            <w:tcMar>
              <w:top w:w="0" w:type="dxa"/>
              <w:left w:w="105" w:type="dxa"/>
              <w:bottom w:w="0" w:type="dxa"/>
              <w:right w:w="105" w:type="dxa"/>
            </w:tcMar>
            <w:vAlign w:val="top"/>
          </w:tcPr>
          <w:p w14:paraId="13A9D70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5208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shd w:val="clear" w:color="auto" w:fill="auto"/>
            <w:tcMar>
              <w:top w:w="0" w:type="dxa"/>
              <w:left w:w="105" w:type="dxa"/>
              <w:bottom w:w="0" w:type="dxa"/>
              <w:right w:w="105" w:type="dxa"/>
            </w:tcMar>
            <w:vAlign w:val="center"/>
          </w:tcPr>
          <w:p w14:paraId="3FFB9B0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指标类别</w:t>
            </w:r>
          </w:p>
        </w:tc>
        <w:tc>
          <w:tcPr>
            <w:tcW w:w="1558" w:type="dxa"/>
            <w:shd w:val="clear" w:color="auto" w:fill="auto"/>
            <w:tcMar>
              <w:top w:w="0" w:type="dxa"/>
              <w:left w:w="105" w:type="dxa"/>
              <w:bottom w:w="0" w:type="dxa"/>
              <w:right w:w="105" w:type="dxa"/>
            </w:tcMar>
            <w:vAlign w:val="center"/>
          </w:tcPr>
          <w:p w14:paraId="35EF5F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指标</w:t>
            </w:r>
          </w:p>
        </w:tc>
        <w:tc>
          <w:tcPr>
            <w:tcW w:w="6248" w:type="dxa"/>
            <w:gridSpan w:val="3"/>
            <w:shd w:val="clear" w:color="auto" w:fill="auto"/>
            <w:tcMar>
              <w:top w:w="0" w:type="dxa"/>
              <w:left w:w="105" w:type="dxa"/>
              <w:bottom w:w="0" w:type="dxa"/>
              <w:right w:w="105" w:type="dxa"/>
            </w:tcMar>
            <w:vAlign w:val="center"/>
          </w:tcPr>
          <w:p w14:paraId="6476753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考核内容</w:t>
            </w:r>
          </w:p>
        </w:tc>
        <w:tc>
          <w:tcPr>
            <w:tcW w:w="779" w:type="dxa"/>
            <w:shd w:val="clear" w:color="auto" w:fill="auto"/>
            <w:tcMar>
              <w:top w:w="0" w:type="dxa"/>
              <w:left w:w="105" w:type="dxa"/>
              <w:bottom w:w="0" w:type="dxa"/>
              <w:right w:w="105" w:type="dxa"/>
            </w:tcMar>
            <w:vAlign w:val="center"/>
          </w:tcPr>
          <w:p w14:paraId="3B12410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扣分</w:t>
            </w:r>
          </w:p>
        </w:tc>
      </w:tr>
      <w:tr w14:paraId="627D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restart"/>
            <w:shd w:val="clear" w:color="auto" w:fill="auto"/>
            <w:tcMar>
              <w:top w:w="0" w:type="dxa"/>
              <w:left w:w="105" w:type="dxa"/>
              <w:bottom w:w="0" w:type="dxa"/>
              <w:right w:w="105" w:type="dxa"/>
            </w:tcMar>
            <w:vAlign w:val="center"/>
          </w:tcPr>
          <w:p w14:paraId="12AAB46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性能质</w:t>
            </w:r>
          </w:p>
          <w:p w14:paraId="4E13BE0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量评价</w:t>
            </w:r>
          </w:p>
          <w:p w14:paraId="73D02F1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lang w:eastAsia="zh-CN"/>
              </w:rPr>
            </w:pPr>
          </w:p>
        </w:tc>
        <w:tc>
          <w:tcPr>
            <w:tcW w:w="1558" w:type="dxa"/>
            <w:shd w:val="clear" w:color="auto" w:fill="auto"/>
            <w:tcMar>
              <w:top w:w="0" w:type="dxa"/>
              <w:left w:w="105" w:type="dxa"/>
              <w:bottom w:w="0" w:type="dxa"/>
              <w:right w:w="105" w:type="dxa"/>
            </w:tcMar>
            <w:vAlign w:val="center"/>
          </w:tcPr>
          <w:p w14:paraId="165F213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稳定性</w:t>
            </w:r>
          </w:p>
        </w:tc>
        <w:tc>
          <w:tcPr>
            <w:tcW w:w="6248" w:type="dxa"/>
            <w:gridSpan w:val="3"/>
            <w:shd w:val="clear" w:color="auto" w:fill="auto"/>
            <w:tcMar>
              <w:top w:w="0" w:type="dxa"/>
              <w:left w:w="105" w:type="dxa"/>
              <w:bottom w:w="0" w:type="dxa"/>
              <w:right w:w="105" w:type="dxa"/>
            </w:tcMar>
            <w:vAlign w:val="center"/>
          </w:tcPr>
          <w:p w14:paraId="1FF4E390">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w:t>
            </w:r>
            <w:r>
              <w:rPr>
                <w:rFonts w:hint="eastAsia" w:ascii="仿宋" w:hAnsi="仿宋" w:eastAsia="仿宋" w:cs="仿宋"/>
                <w:sz w:val="24"/>
                <w:szCs w:val="24"/>
                <w:lang w:val="en-US" w:eastAsia="zh-CN"/>
              </w:rPr>
              <w:t>＞</w:t>
            </w:r>
            <w:r>
              <w:rPr>
                <w:rFonts w:hint="eastAsia" w:ascii="仿宋" w:hAnsi="仿宋" w:eastAsia="仿宋" w:cs="仿宋"/>
                <w:sz w:val="24"/>
                <w:szCs w:val="24"/>
              </w:rPr>
              <w:t>60分钟扣5分；</w:t>
            </w:r>
          </w:p>
        </w:tc>
        <w:tc>
          <w:tcPr>
            <w:tcW w:w="779" w:type="dxa"/>
            <w:shd w:val="clear" w:color="auto" w:fill="auto"/>
            <w:tcMar>
              <w:top w:w="0" w:type="dxa"/>
              <w:left w:w="105" w:type="dxa"/>
              <w:bottom w:w="0" w:type="dxa"/>
              <w:right w:w="105" w:type="dxa"/>
            </w:tcMar>
            <w:vAlign w:val="top"/>
          </w:tcPr>
          <w:p w14:paraId="74D67E9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0217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08B2110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61365BC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安全性</w:t>
            </w:r>
          </w:p>
        </w:tc>
        <w:tc>
          <w:tcPr>
            <w:tcW w:w="6248" w:type="dxa"/>
            <w:gridSpan w:val="3"/>
            <w:shd w:val="clear" w:color="auto" w:fill="auto"/>
            <w:tcMar>
              <w:top w:w="0" w:type="dxa"/>
              <w:left w:w="105" w:type="dxa"/>
              <w:bottom w:w="0" w:type="dxa"/>
              <w:right w:w="105" w:type="dxa"/>
            </w:tcMar>
            <w:vAlign w:val="center"/>
          </w:tcPr>
          <w:p w14:paraId="7721F35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79" w:type="dxa"/>
            <w:shd w:val="clear" w:color="auto" w:fill="auto"/>
            <w:tcMar>
              <w:top w:w="0" w:type="dxa"/>
              <w:left w:w="105" w:type="dxa"/>
              <w:bottom w:w="0" w:type="dxa"/>
              <w:right w:w="105" w:type="dxa"/>
            </w:tcMar>
            <w:vAlign w:val="top"/>
          </w:tcPr>
          <w:p w14:paraId="7A944A3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3008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79A017C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54F2B50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用户满意度</w:t>
            </w:r>
          </w:p>
        </w:tc>
        <w:tc>
          <w:tcPr>
            <w:tcW w:w="6248" w:type="dxa"/>
            <w:gridSpan w:val="3"/>
            <w:shd w:val="clear" w:color="auto" w:fill="auto"/>
            <w:tcMar>
              <w:top w:w="0" w:type="dxa"/>
              <w:left w:w="105" w:type="dxa"/>
              <w:bottom w:w="0" w:type="dxa"/>
              <w:right w:w="105" w:type="dxa"/>
            </w:tcMar>
            <w:vAlign w:val="center"/>
          </w:tcPr>
          <w:p w14:paraId="0FED1F9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79" w:type="dxa"/>
            <w:shd w:val="clear" w:color="auto" w:fill="auto"/>
            <w:tcMar>
              <w:top w:w="0" w:type="dxa"/>
              <w:left w:w="105" w:type="dxa"/>
              <w:bottom w:w="0" w:type="dxa"/>
              <w:right w:w="105" w:type="dxa"/>
            </w:tcMar>
            <w:vAlign w:val="top"/>
          </w:tcPr>
          <w:p w14:paraId="638A7D32">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5F05B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262" w:type="dxa"/>
            <w:vMerge w:val="restart"/>
            <w:shd w:val="clear" w:color="auto" w:fill="auto"/>
            <w:tcMar>
              <w:top w:w="0" w:type="dxa"/>
              <w:left w:w="105" w:type="dxa"/>
              <w:bottom w:w="0" w:type="dxa"/>
              <w:right w:w="105" w:type="dxa"/>
            </w:tcMar>
            <w:vAlign w:val="center"/>
          </w:tcPr>
          <w:p w14:paraId="73EDB3C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使用支</w:t>
            </w:r>
          </w:p>
          <w:p w14:paraId="7DB6B99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持评价</w:t>
            </w:r>
          </w:p>
        </w:tc>
        <w:tc>
          <w:tcPr>
            <w:tcW w:w="1558" w:type="dxa"/>
            <w:shd w:val="clear" w:color="auto" w:fill="auto"/>
            <w:tcMar>
              <w:top w:w="0" w:type="dxa"/>
              <w:left w:w="105" w:type="dxa"/>
              <w:bottom w:w="0" w:type="dxa"/>
              <w:right w:w="105" w:type="dxa"/>
            </w:tcMar>
            <w:vAlign w:val="center"/>
          </w:tcPr>
          <w:p w14:paraId="0CF8097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考勤</w:t>
            </w:r>
          </w:p>
        </w:tc>
        <w:tc>
          <w:tcPr>
            <w:tcW w:w="6248" w:type="dxa"/>
            <w:gridSpan w:val="3"/>
            <w:shd w:val="clear" w:color="auto" w:fill="auto"/>
            <w:tcMar>
              <w:top w:w="0" w:type="dxa"/>
              <w:left w:w="105" w:type="dxa"/>
              <w:bottom w:w="0" w:type="dxa"/>
              <w:right w:w="105" w:type="dxa"/>
            </w:tcMar>
            <w:vAlign w:val="center"/>
          </w:tcPr>
          <w:p w14:paraId="1B2AB3D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779" w:type="dxa"/>
            <w:shd w:val="clear" w:color="auto" w:fill="auto"/>
            <w:tcMar>
              <w:top w:w="0" w:type="dxa"/>
              <w:left w:w="105" w:type="dxa"/>
              <w:bottom w:w="0" w:type="dxa"/>
              <w:right w:w="105" w:type="dxa"/>
            </w:tcMar>
            <w:vAlign w:val="top"/>
          </w:tcPr>
          <w:p w14:paraId="7604F32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1957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3974A0D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459DD40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响应速度</w:t>
            </w:r>
          </w:p>
        </w:tc>
        <w:tc>
          <w:tcPr>
            <w:tcW w:w="6248" w:type="dxa"/>
            <w:gridSpan w:val="3"/>
            <w:shd w:val="clear" w:color="auto" w:fill="auto"/>
            <w:tcMar>
              <w:top w:w="0" w:type="dxa"/>
              <w:left w:w="105" w:type="dxa"/>
              <w:bottom w:w="0" w:type="dxa"/>
              <w:right w:w="105" w:type="dxa"/>
            </w:tcMar>
            <w:vAlign w:val="center"/>
          </w:tcPr>
          <w:p w14:paraId="6DB2D9EB">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779" w:type="dxa"/>
            <w:shd w:val="clear" w:color="auto" w:fill="auto"/>
            <w:tcMar>
              <w:top w:w="0" w:type="dxa"/>
              <w:left w:w="105" w:type="dxa"/>
              <w:bottom w:w="0" w:type="dxa"/>
              <w:right w:w="105" w:type="dxa"/>
            </w:tcMar>
            <w:vAlign w:val="top"/>
          </w:tcPr>
          <w:p w14:paraId="2F600E7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7730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2497959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2B3778B2">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备件供应</w:t>
            </w:r>
          </w:p>
          <w:p w14:paraId="35EE404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(本项仅涉</w:t>
            </w:r>
          </w:p>
          <w:p w14:paraId="511E9B6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及提供硬件</w:t>
            </w:r>
          </w:p>
          <w:p w14:paraId="10AE7C5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的供应商)</w:t>
            </w:r>
          </w:p>
        </w:tc>
        <w:tc>
          <w:tcPr>
            <w:tcW w:w="6248" w:type="dxa"/>
            <w:gridSpan w:val="3"/>
            <w:shd w:val="clear" w:color="auto" w:fill="auto"/>
            <w:tcMar>
              <w:top w:w="0" w:type="dxa"/>
              <w:left w:w="105" w:type="dxa"/>
              <w:bottom w:w="0" w:type="dxa"/>
              <w:right w:w="105" w:type="dxa"/>
            </w:tcMar>
            <w:vAlign w:val="center"/>
          </w:tcPr>
          <w:p w14:paraId="4DE199F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79" w:type="dxa"/>
            <w:shd w:val="clear" w:color="auto" w:fill="auto"/>
            <w:tcMar>
              <w:top w:w="0" w:type="dxa"/>
              <w:left w:w="105" w:type="dxa"/>
              <w:bottom w:w="0" w:type="dxa"/>
              <w:right w:w="105" w:type="dxa"/>
            </w:tcMar>
            <w:vAlign w:val="top"/>
          </w:tcPr>
          <w:p w14:paraId="52EBF417">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1C2E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01D346D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4FF90E0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定期巡检</w:t>
            </w:r>
          </w:p>
        </w:tc>
        <w:tc>
          <w:tcPr>
            <w:tcW w:w="6248" w:type="dxa"/>
            <w:gridSpan w:val="3"/>
            <w:shd w:val="clear" w:color="auto" w:fill="auto"/>
            <w:tcMar>
              <w:top w:w="0" w:type="dxa"/>
              <w:left w:w="105" w:type="dxa"/>
              <w:bottom w:w="0" w:type="dxa"/>
              <w:right w:w="105" w:type="dxa"/>
            </w:tcMar>
            <w:vAlign w:val="center"/>
          </w:tcPr>
          <w:p w14:paraId="375DE67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779" w:type="dxa"/>
            <w:shd w:val="clear" w:color="auto" w:fill="auto"/>
            <w:tcMar>
              <w:top w:w="0" w:type="dxa"/>
              <w:left w:w="105" w:type="dxa"/>
              <w:bottom w:w="0" w:type="dxa"/>
              <w:right w:w="105" w:type="dxa"/>
            </w:tcMar>
            <w:vAlign w:val="top"/>
          </w:tcPr>
          <w:p w14:paraId="4917C8D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56236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48A9FAC7">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54B39E5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培训服务</w:t>
            </w:r>
          </w:p>
        </w:tc>
        <w:tc>
          <w:tcPr>
            <w:tcW w:w="6248" w:type="dxa"/>
            <w:gridSpan w:val="3"/>
            <w:shd w:val="clear" w:color="auto" w:fill="auto"/>
            <w:tcMar>
              <w:top w:w="0" w:type="dxa"/>
              <w:left w:w="105" w:type="dxa"/>
              <w:bottom w:w="0" w:type="dxa"/>
              <w:right w:w="105" w:type="dxa"/>
            </w:tcMar>
            <w:vAlign w:val="center"/>
          </w:tcPr>
          <w:p w14:paraId="0C230A97">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79" w:type="dxa"/>
            <w:shd w:val="clear" w:color="auto" w:fill="auto"/>
            <w:tcMar>
              <w:top w:w="0" w:type="dxa"/>
              <w:left w:w="105" w:type="dxa"/>
              <w:bottom w:w="0" w:type="dxa"/>
              <w:right w:w="105" w:type="dxa"/>
            </w:tcMar>
            <w:vAlign w:val="top"/>
          </w:tcPr>
          <w:p w14:paraId="2D07E72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51EB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41FC7C2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0F0910A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技术文档</w:t>
            </w:r>
          </w:p>
        </w:tc>
        <w:tc>
          <w:tcPr>
            <w:tcW w:w="6248" w:type="dxa"/>
            <w:gridSpan w:val="3"/>
            <w:shd w:val="clear" w:color="auto" w:fill="auto"/>
            <w:tcMar>
              <w:top w:w="0" w:type="dxa"/>
              <w:left w:w="105" w:type="dxa"/>
              <w:bottom w:w="0" w:type="dxa"/>
              <w:right w:w="105" w:type="dxa"/>
            </w:tcMar>
            <w:vAlign w:val="center"/>
          </w:tcPr>
          <w:p w14:paraId="31034AE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79" w:type="dxa"/>
            <w:shd w:val="clear" w:color="auto" w:fill="auto"/>
            <w:tcMar>
              <w:top w:w="0" w:type="dxa"/>
              <w:left w:w="105" w:type="dxa"/>
              <w:bottom w:w="0" w:type="dxa"/>
              <w:right w:w="105" w:type="dxa"/>
            </w:tcMar>
            <w:vAlign w:val="top"/>
          </w:tcPr>
          <w:p w14:paraId="09F192C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0D32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262" w:type="dxa"/>
            <w:vMerge w:val="restart"/>
            <w:shd w:val="clear" w:color="auto" w:fill="auto"/>
            <w:tcMar>
              <w:top w:w="0" w:type="dxa"/>
              <w:left w:w="105" w:type="dxa"/>
              <w:bottom w:w="0" w:type="dxa"/>
              <w:right w:w="105" w:type="dxa"/>
            </w:tcMar>
            <w:vAlign w:val="center"/>
          </w:tcPr>
          <w:p w14:paraId="1867F81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违规违</w:t>
            </w:r>
          </w:p>
          <w:p w14:paraId="717DF1D0">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纪评价</w:t>
            </w:r>
          </w:p>
        </w:tc>
        <w:tc>
          <w:tcPr>
            <w:tcW w:w="1558" w:type="dxa"/>
            <w:shd w:val="clear" w:color="auto" w:fill="auto"/>
            <w:tcMar>
              <w:top w:w="0" w:type="dxa"/>
              <w:left w:w="105" w:type="dxa"/>
              <w:bottom w:w="0" w:type="dxa"/>
              <w:right w:w="105" w:type="dxa"/>
            </w:tcMar>
            <w:vAlign w:val="center"/>
          </w:tcPr>
          <w:p w14:paraId="11502CF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廉洁从业</w:t>
            </w:r>
          </w:p>
        </w:tc>
        <w:tc>
          <w:tcPr>
            <w:tcW w:w="6248" w:type="dxa"/>
            <w:gridSpan w:val="3"/>
            <w:shd w:val="clear" w:color="auto" w:fill="auto"/>
            <w:tcMar>
              <w:top w:w="0" w:type="dxa"/>
              <w:left w:w="105" w:type="dxa"/>
              <w:bottom w:w="0" w:type="dxa"/>
              <w:right w:w="105" w:type="dxa"/>
            </w:tcMar>
            <w:vAlign w:val="center"/>
          </w:tcPr>
          <w:p w14:paraId="18023B6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违反行业廉洁要求或违法违纪行为，一旦查实，一票否决</w:t>
            </w:r>
          </w:p>
        </w:tc>
        <w:tc>
          <w:tcPr>
            <w:tcW w:w="779" w:type="dxa"/>
            <w:shd w:val="clear" w:color="auto" w:fill="auto"/>
            <w:tcMar>
              <w:top w:w="0" w:type="dxa"/>
              <w:left w:w="105" w:type="dxa"/>
              <w:bottom w:w="0" w:type="dxa"/>
              <w:right w:w="105" w:type="dxa"/>
            </w:tcMar>
            <w:vAlign w:val="center"/>
          </w:tcPr>
          <w:p w14:paraId="79517A2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一票否决</w:t>
            </w:r>
          </w:p>
        </w:tc>
      </w:tr>
      <w:tr w14:paraId="0D0E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150897A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5CC3374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安全规范</w:t>
            </w:r>
          </w:p>
        </w:tc>
        <w:tc>
          <w:tcPr>
            <w:tcW w:w="6248" w:type="dxa"/>
            <w:gridSpan w:val="3"/>
            <w:shd w:val="clear" w:color="auto" w:fill="auto"/>
            <w:tcMar>
              <w:top w:w="0" w:type="dxa"/>
              <w:left w:w="105" w:type="dxa"/>
              <w:bottom w:w="0" w:type="dxa"/>
              <w:right w:w="105" w:type="dxa"/>
            </w:tcMar>
            <w:vAlign w:val="center"/>
          </w:tcPr>
          <w:p w14:paraId="053D74F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779" w:type="dxa"/>
            <w:shd w:val="clear" w:color="auto" w:fill="auto"/>
            <w:tcMar>
              <w:top w:w="0" w:type="dxa"/>
              <w:left w:w="105" w:type="dxa"/>
              <w:bottom w:w="0" w:type="dxa"/>
              <w:right w:w="105" w:type="dxa"/>
            </w:tcMar>
            <w:vAlign w:val="center"/>
          </w:tcPr>
          <w:p w14:paraId="3FF7E4C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335A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vMerge w:val="continue"/>
            <w:shd w:val="clear" w:color="auto" w:fill="auto"/>
            <w:tcMar>
              <w:top w:w="0" w:type="dxa"/>
              <w:left w:w="105" w:type="dxa"/>
              <w:bottom w:w="0" w:type="dxa"/>
              <w:right w:w="105" w:type="dxa"/>
            </w:tcMar>
            <w:vAlign w:val="center"/>
          </w:tcPr>
          <w:p w14:paraId="32C5A788">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14:paraId="38CE56F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其他违纪违规</w:t>
            </w:r>
          </w:p>
        </w:tc>
        <w:tc>
          <w:tcPr>
            <w:tcW w:w="6248" w:type="dxa"/>
            <w:gridSpan w:val="3"/>
            <w:shd w:val="clear" w:color="auto" w:fill="auto"/>
            <w:tcMar>
              <w:top w:w="0" w:type="dxa"/>
              <w:left w:w="105" w:type="dxa"/>
              <w:bottom w:w="0" w:type="dxa"/>
              <w:right w:w="105" w:type="dxa"/>
            </w:tcMar>
            <w:vAlign w:val="center"/>
          </w:tcPr>
          <w:p w14:paraId="6C2B9E6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779" w:type="dxa"/>
            <w:shd w:val="clear" w:color="auto" w:fill="auto"/>
            <w:tcMar>
              <w:top w:w="0" w:type="dxa"/>
              <w:left w:w="105" w:type="dxa"/>
              <w:bottom w:w="0" w:type="dxa"/>
              <w:right w:w="105" w:type="dxa"/>
            </w:tcMar>
            <w:vAlign w:val="center"/>
          </w:tcPr>
          <w:p w14:paraId="43EB067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17B4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shd w:val="clear" w:color="auto" w:fill="auto"/>
            <w:tcMar>
              <w:top w:w="0" w:type="dxa"/>
              <w:left w:w="105" w:type="dxa"/>
              <w:bottom w:w="0" w:type="dxa"/>
              <w:right w:w="105" w:type="dxa"/>
            </w:tcMar>
            <w:vAlign w:val="center"/>
          </w:tcPr>
          <w:p w14:paraId="6853298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扣分合计</w:t>
            </w:r>
          </w:p>
        </w:tc>
        <w:tc>
          <w:tcPr>
            <w:tcW w:w="8585" w:type="dxa"/>
            <w:gridSpan w:val="5"/>
            <w:shd w:val="clear" w:color="auto" w:fill="auto"/>
            <w:tcMar>
              <w:top w:w="0" w:type="dxa"/>
              <w:left w:w="105" w:type="dxa"/>
              <w:bottom w:w="0" w:type="dxa"/>
              <w:right w:w="105" w:type="dxa"/>
            </w:tcMar>
            <w:vAlign w:val="center"/>
          </w:tcPr>
          <w:p w14:paraId="5071673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tc>
      </w:tr>
      <w:tr w14:paraId="3742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2" w:type="dxa"/>
            <w:shd w:val="clear" w:color="auto" w:fill="auto"/>
            <w:tcMar>
              <w:top w:w="0" w:type="dxa"/>
              <w:left w:w="105" w:type="dxa"/>
              <w:bottom w:w="0" w:type="dxa"/>
              <w:right w:w="105" w:type="dxa"/>
            </w:tcMar>
            <w:vAlign w:val="center"/>
          </w:tcPr>
          <w:p w14:paraId="33A7568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考核人</w:t>
            </w:r>
          </w:p>
        </w:tc>
        <w:tc>
          <w:tcPr>
            <w:tcW w:w="8585" w:type="dxa"/>
            <w:gridSpan w:val="5"/>
            <w:shd w:val="clear" w:color="auto" w:fill="auto"/>
            <w:tcMar>
              <w:top w:w="0" w:type="dxa"/>
              <w:left w:w="105" w:type="dxa"/>
              <w:bottom w:w="0" w:type="dxa"/>
              <w:right w:w="105" w:type="dxa"/>
            </w:tcMar>
            <w:vAlign w:val="center"/>
          </w:tcPr>
          <w:p w14:paraId="02A5A22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lang w:eastAsia="zh-CN"/>
              </w:rPr>
            </w:pPr>
          </w:p>
          <w:p w14:paraId="2F65CD5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                                                               年    月    日</w:t>
            </w:r>
          </w:p>
        </w:tc>
      </w:tr>
    </w:tbl>
    <w:p w14:paraId="49D01FF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6008D5A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服务期内（包1）或质保期内（包2）</w:t>
      </w:r>
      <w:r>
        <w:rPr>
          <w:rFonts w:hint="eastAsia" w:ascii="仿宋" w:hAnsi="仿宋" w:eastAsia="仿宋" w:cs="仿宋"/>
          <w:sz w:val="24"/>
          <w:szCs w:val="24"/>
        </w:rPr>
        <w:t>，采购人可按照本项目采购需求内容对应的考核指标对供应商进行考核，具体指标以采购人要求为准；</w:t>
      </w:r>
    </w:p>
    <w:p w14:paraId="3E3C58DF">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23A3021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1）平均扣分=服务期汇总考核扣分之和÷服务期内考核次数；</w:t>
      </w:r>
    </w:p>
    <w:p w14:paraId="5CF369C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448CEA9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3）3分&lt;平均扣分≤5分，对供应商提出警告，从合同待支付金额中或履约保证金中扣除合同总金额5%费用，扣完为止；</w:t>
      </w:r>
    </w:p>
    <w:p w14:paraId="4878803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4）5分&lt;平均扣分≤10分，对供应商提出严重警告，从合同待支付金额中或履约保证金中扣除合同总金额10%费用，扣完为止；</w:t>
      </w:r>
    </w:p>
    <w:p w14:paraId="7A57EE4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）10分&lt;平均扣分，视为不合格，终止合同，合同待支付金额不予支付，履约保证金（如有履约保证金）不予退还；</w:t>
      </w:r>
    </w:p>
    <w:p w14:paraId="21B7950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6C4C47A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4.如合同待支付金额或履约保证金中无款可扣且考核后出现扣款情况，供应商承诺在得到采购人考核结果后的10日内向采购人缴纳对应的扣款金额。（提供承诺函）</w:t>
      </w:r>
    </w:p>
    <w:p w14:paraId="200F0A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5.本考核指标最终解释权归四川省医学科学院·四川省人民医院。</w:t>
      </w: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szCs w:val="22"/>
          <w:lang w:val="zh-CN" w:eastAsia="zh-CN" w:bidi="ar-SA"/>
        </w:rPr>
        <w:t>第五章</w:t>
      </w:r>
      <w:r>
        <w:rPr>
          <w:rFonts w:hint="eastAsia" w:ascii="Times New Roman" w:hAnsi="Times New Roman" w:cs="Times New Roman"/>
          <w:b/>
          <w:kern w:val="44"/>
          <w:sz w:val="36"/>
          <w:szCs w:val="22"/>
          <w:lang w:val="en-US" w:eastAsia="zh-CN" w:bidi="ar-SA"/>
        </w:rPr>
        <w:t xml:space="preserve"> </w:t>
      </w:r>
      <w:r>
        <w:rPr>
          <w:rFonts w:ascii="Times New Roman" w:hAnsi="Times New Roman" w:cs="Times New Roman"/>
        </w:rPr>
        <w:t>评分标准</w:t>
      </w:r>
      <w:bookmarkEnd w:id="17"/>
      <w:bookmarkEnd w:id="18"/>
      <w:bookmarkEnd w:id="19"/>
    </w:p>
    <w:p w14:paraId="7B7FC496">
      <w:pPr>
        <w:numPr>
          <w:ilvl w:val="0"/>
          <w:numId w:val="0"/>
        </w:numPr>
        <w:spacing w:line="24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包1：</w:t>
      </w:r>
    </w:p>
    <w:tbl>
      <w:tblPr>
        <w:tblStyle w:val="18"/>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09"/>
        <w:gridCol w:w="815"/>
        <w:gridCol w:w="6952"/>
        <w:gridCol w:w="715"/>
      </w:tblGrid>
      <w:tr w14:paraId="4F2C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08D316A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zh-CN"/>
              </w:rPr>
              <w:t>序号</w:t>
            </w:r>
          </w:p>
        </w:tc>
        <w:tc>
          <w:tcPr>
            <w:tcW w:w="413" w:type="pct"/>
            <w:vAlign w:val="center"/>
          </w:tcPr>
          <w:p w14:paraId="13C5AA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zh-CN"/>
              </w:rPr>
              <w:t>评审内容</w:t>
            </w:r>
          </w:p>
        </w:tc>
        <w:tc>
          <w:tcPr>
            <w:tcW w:w="416" w:type="pct"/>
            <w:vAlign w:val="center"/>
          </w:tcPr>
          <w:p w14:paraId="3F3B70F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zh-CN"/>
              </w:rPr>
              <w:t>分值</w:t>
            </w:r>
          </w:p>
        </w:tc>
        <w:tc>
          <w:tcPr>
            <w:tcW w:w="3549" w:type="pct"/>
            <w:vAlign w:val="center"/>
          </w:tcPr>
          <w:p w14:paraId="211FDD1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zh-CN"/>
              </w:rPr>
              <w:t>评分标准</w:t>
            </w:r>
          </w:p>
        </w:tc>
        <w:tc>
          <w:tcPr>
            <w:tcW w:w="365" w:type="pct"/>
            <w:vAlign w:val="center"/>
          </w:tcPr>
          <w:p w14:paraId="5E72994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说明</w:t>
            </w:r>
          </w:p>
        </w:tc>
      </w:tr>
      <w:tr w14:paraId="0E11F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6362946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w:t>
            </w:r>
          </w:p>
        </w:tc>
        <w:tc>
          <w:tcPr>
            <w:tcW w:w="413" w:type="pct"/>
            <w:vAlign w:val="center"/>
          </w:tcPr>
          <w:p w14:paraId="4B5B9B6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报价10%</w:t>
            </w:r>
          </w:p>
        </w:tc>
        <w:tc>
          <w:tcPr>
            <w:tcW w:w="416" w:type="pct"/>
            <w:vAlign w:val="center"/>
          </w:tcPr>
          <w:p w14:paraId="745C92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10分</w:t>
            </w:r>
          </w:p>
        </w:tc>
        <w:tc>
          <w:tcPr>
            <w:tcW w:w="3549" w:type="pct"/>
            <w:vAlign w:val="center"/>
          </w:tcPr>
          <w:p w14:paraId="5F411013">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以本次最低有效谈判报价为基准价，其价格分为满分，谈判报价得分=(基准价／谈判报价) *10</w:t>
            </w:r>
          </w:p>
        </w:tc>
        <w:tc>
          <w:tcPr>
            <w:tcW w:w="365" w:type="pct"/>
            <w:vAlign w:val="center"/>
          </w:tcPr>
          <w:p w14:paraId="5A72A77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r w14:paraId="6FEB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7A6324F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w:t>
            </w:r>
          </w:p>
        </w:tc>
        <w:tc>
          <w:tcPr>
            <w:tcW w:w="413" w:type="pct"/>
            <w:vAlign w:val="center"/>
          </w:tcPr>
          <w:p w14:paraId="3C1E54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供应商履约能力17%</w:t>
            </w:r>
          </w:p>
        </w:tc>
        <w:tc>
          <w:tcPr>
            <w:tcW w:w="416" w:type="pct"/>
            <w:vAlign w:val="center"/>
          </w:tcPr>
          <w:p w14:paraId="3BE285A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17分</w:t>
            </w:r>
          </w:p>
        </w:tc>
        <w:tc>
          <w:tcPr>
            <w:tcW w:w="3549" w:type="pct"/>
            <w:vAlign w:val="center"/>
          </w:tcPr>
          <w:p w14:paraId="75192148">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1.信息安全与信息技术服务体系认证（</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15B05D1B">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（1）供应商具备有效期内信息安全管理体系认证（ISO27001），得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74260BA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（2）供应商具备有效期内信息技术服务管理体系认证（ISO20000），得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7D42C9C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2.ITSS信息技术服务运维能力认证（</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1FE3592E">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（1）供应商具有ITSS信息技术服务运行维护标准符合性证书（成熟度）壹级证书得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36A435C2">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（2）供应商具有ITSS信息技术服务运行维护标准符合性证书（成熟度）贰级证书得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7128F507">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3.数据管理能力成熟度认证（</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7811AE89">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供应商具有DCMM数据管理能力成熟度等级3级或以上认证证书得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315A23BA">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.软件著作权（5分）</w:t>
            </w:r>
          </w:p>
          <w:p w14:paraId="2971A70E">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供应商具有查询统计类或报表类或数据治理类或数据质量控制类或数据分析类或数据应用类软件著作权，每提供1个软件著作权证书的得0.5分；不提供不得分，本项最高得5分。</w:t>
            </w:r>
          </w:p>
          <w:p w14:paraId="56E8B89F">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注：①供应商提供相关证书或证明材料加盖供应商公章，证书需在有效期内；②同类软件著作权证书可重复得分；③同一资质多项证书不重复计分，按最高档次计分，大项总分值不累计超额。</w:t>
            </w:r>
          </w:p>
        </w:tc>
        <w:tc>
          <w:tcPr>
            <w:tcW w:w="365" w:type="pct"/>
            <w:vAlign w:val="center"/>
          </w:tcPr>
          <w:p w14:paraId="577C51FD">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r w14:paraId="4D92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086B32F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w:t>
            </w:r>
          </w:p>
        </w:tc>
        <w:tc>
          <w:tcPr>
            <w:tcW w:w="413" w:type="pct"/>
            <w:vAlign w:val="center"/>
          </w:tcPr>
          <w:p w14:paraId="0E24A5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服务团队31%</w:t>
            </w:r>
          </w:p>
        </w:tc>
        <w:tc>
          <w:tcPr>
            <w:tcW w:w="416" w:type="pct"/>
            <w:vAlign w:val="center"/>
          </w:tcPr>
          <w:p w14:paraId="3E77B40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31分</w:t>
            </w:r>
          </w:p>
        </w:tc>
        <w:tc>
          <w:tcPr>
            <w:tcW w:w="3549" w:type="pct"/>
            <w:vAlign w:val="center"/>
          </w:tcPr>
          <w:p w14:paraId="4679BE5D">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1.拟派本项目的项目经理（1人）（5分）</w:t>
            </w:r>
          </w:p>
          <w:p w14:paraId="7CF0477D">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（1）具有人社部门和工信部门认证的系统架构设计师（高级）证书的，得2.5分；</w:t>
            </w:r>
          </w:p>
          <w:p w14:paraId="17E6D793">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（2）具有人社部门和工信部门认证的系统分析师（高级）证书的，得2.5分；</w:t>
            </w:r>
          </w:p>
          <w:p w14:paraId="008FBF9B">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2.拟派本项目的技术负责人（1人）（5分）</w:t>
            </w:r>
          </w:p>
          <w:p w14:paraId="5F3351B3">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（1）具有人社部门和工信部门认证的信息系统项目管理师（高级）证书的，得2.5分；</w:t>
            </w:r>
          </w:p>
          <w:p w14:paraId="4FE4419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（2）具有人社部门和工信部门认证的系统分析师（高级）证书的，得2.5分；</w:t>
            </w:r>
          </w:p>
          <w:p w14:paraId="42FB0FF0">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3.拟派本项目的数据治理负责人（1人）（5分）</w:t>
            </w:r>
          </w:p>
          <w:p w14:paraId="03301B6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（1）具有人社部门和工信部门认证的系统规划与管理师（高级）证书的，得2.5分；</w:t>
            </w:r>
          </w:p>
          <w:p w14:paraId="5F5F99D2">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（2）具有人社部门和工信部门认证的信息系统项目管理师（高级）证书的，得2.5分；</w:t>
            </w:r>
          </w:p>
          <w:p w14:paraId="3DEE046F">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4.拟派本项目的其他服务团队人员（除项目经理、技术负责人、数据治理负责人外）（16分）</w:t>
            </w:r>
          </w:p>
          <w:p w14:paraId="06F0E553">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（1）具有人社部门或工信部门认证的系统分析师（高级）证书的，每提供1个证书得2.5分，本项最高得2.5分；</w:t>
            </w:r>
          </w:p>
          <w:p w14:paraId="6864DC94">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（2）具有人社部门或工信部门认证的信息系统项目管理师（高级）证书的，每提供1个证书得2.5分，本项最高得2.5分；</w:t>
            </w:r>
          </w:p>
          <w:p w14:paraId="72992A56">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（3）具有人社部门或工信部门认证的信息安全工程师（中级）证书的，每提供1个证书得1分，本项最高得2分；</w:t>
            </w:r>
          </w:p>
          <w:p w14:paraId="719473A4">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（4）具有人社部门或工信部门认证的数据库系统工程师（中级）证书的，每提供1个证书得1分，本项最高得2分。</w:t>
            </w:r>
          </w:p>
          <w:p w14:paraId="1616531F">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（5）具有中国信息安全测评中心认证的注册信息安全专业人员证书(CISP)的，每提供1个证书得0.5分，本项最高得1分；</w:t>
            </w:r>
          </w:p>
          <w:p w14:paraId="1A2AA9F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（6）具有中国网络安全审查认证和市场监管大数据中心认证的信息安全保障人员认证证书（CISAW），且认证方向为安全运维的，每提供1个证书得0.5分，本项最高得3分。</w:t>
            </w:r>
          </w:p>
          <w:p w14:paraId="332E10EE">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（7）具有中国网络安全审查认证和市场监管大数据中心认证的信息安全保障人员认证证书（CISAW），且认证方向为安全软件的，每提供1个证书得0.5分，本项最高得3分。</w:t>
            </w:r>
          </w:p>
          <w:p w14:paraId="2D7F515A">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注：①以上人员提供相关证书及供应商为其缴纳社保的证明文件扫描件，并加盖供应商公章；②一人多类证书不重复计分，大项总分值不累计超额。</w:t>
            </w:r>
          </w:p>
        </w:tc>
        <w:tc>
          <w:tcPr>
            <w:tcW w:w="365" w:type="pct"/>
            <w:vAlign w:val="center"/>
          </w:tcPr>
          <w:p w14:paraId="7B616F51">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r w14:paraId="78F3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2BE63F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w:t>
            </w:r>
          </w:p>
        </w:tc>
        <w:tc>
          <w:tcPr>
            <w:tcW w:w="413" w:type="pct"/>
            <w:vAlign w:val="center"/>
          </w:tcPr>
          <w:p w14:paraId="30669AD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业绩6%</w:t>
            </w:r>
          </w:p>
        </w:tc>
        <w:tc>
          <w:tcPr>
            <w:tcW w:w="416" w:type="pct"/>
            <w:vAlign w:val="center"/>
          </w:tcPr>
          <w:p w14:paraId="5CCBD3E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6分</w:t>
            </w:r>
          </w:p>
        </w:tc>
        <w:tc>
          <w:tcPr>
            <w:tcW w:w="3549" w:type="pct"/>
            <w:vAlign w:val="center"/>
          </w:tcPr>
          <w:p w14:paraId="4DACA70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供应商2023年1月1日（含）以来具有数据治理项目业绩证明的，每提供1个类似业绩证明得2分，最高得6分。</w:t>
            </w:r>
          </w:p>
          <w:p w14:paraId="6E250525">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注：提供采购合同关键页（合同首页、建设内容、金额、签字盖章页）材料复印件，并加盖供应商公章，缺项或不提供的不得分。</w:t>
            </w:r>
          </w:p>
        </w:tc>
        <w:tc>
          <w:tcPr>
            <w:tcW w:w="365" w:type="pct"/>
            <w:vAlign w:val="center"/>
          </w:tcPr>
          <w:p w14:paraId="306847E6">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r w14:paraId="7D63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20874B2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5</w:t>
            </w:r>
          </w:p>
        </w:tc>
        <w:tc>
          <w:tcPr>
            <w:tcW w:w="413" w:type="pct"/>
            <w:vAlign w:val="center"/>
          </w:tcPr>
          <w:p w14:paraId="649417B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技术参数21%</w:t>
            </w:r>
          </w:p>
        </w:tc>
        <w:tc>
          <w:tcPr>
            <w:tcW w:w="416" w:type="pct"/>
            <w:vAlign w:val="center"/>
          </w:tcPr>
          <w:p w14:paraId="37ACDEC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21分</w:t>
            </w:r>
          </w:p>
        </w:tc>
        <w:tc>
          <w:tcPr>
            <w:tcW w:w="3549" w:type="pct"/>
            <w:vAlign w:val="center"/>
          </w:tcPr>
          <w:p w14:paraId="58CBCC14">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带“★”的为实质性要求，不允许有负偏离，不作为评审要求；带“▲”的参数条款为重要技术参数条款，作为重要评分因素；（“▲”项在响应文件中需提供软件系统功能截图并加盖供应商公章作为证明材料，不提供或提供不完整视为不满足）非“★”、“▲”的参数条款为一般技术参数条款，作为一般评分因素。</w:t>
            </w:r>
          </w:p>
          <w:p w14:paraId="25906CC5">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供应商响应文件完全符合谈判文件“包1技术要求”的得21分。</w:t>
            </w:r>
          </w:p>
          <w:p w14:paraId="14390BF5">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技术参数条款的响应得分规则如下：</w:t>
            </w:r>
          </w:p>
          <w:p w14:paraId="5659603A">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（1）重要技术参数条款响应得分=（供应商满足重要技术参数条款的数量÷重要技术参数条款的总数量）×15分。</w:t>
            </w:r>
          </w:p>
          <w:p w14:paraId="3F6FA2EC">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（2）一般技术参数条款响应得分=（供应商满足一般技术参数条款的数量÷一般技术参数条款的总数量）×6分。</w:t>
            </w:r>
          </w:p>
          <w:p w14:paraId="205F3D19">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注：①得分保留小数点后两位小数，四舍五入。②技术要求中有明确要求的按要求提供产品佐证材料。③未提供相关证明材料或者虽提供但无法佐证者，均自行承担被谈判小组视为技术参数负偏离的风险。④供应商需严格按照采购文件技术要求进行响应，不得曲解采购文件技术要求意思或以其他技术要求来响应采购文件参数，不得以“正偏离”为由偷换技术要求描述方式进行响应，否则自行承担被谈判小组视为技术参数负偏离的风险。</w:t>
            </w:r>
          </w:p>
        </w:tc>
        <w:tc>
          <w:tcPr>
            <w:tcW w:w="365" w:type="pct"/>
            <w:noWrap/>
            <w:vAlign w:val="center"/>
          </w:tcPr>
          <w:p w14:paraId="00B7AB99">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r w14:paraId="2F09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5" w:type="pct"/>
            <w:vAlign w:val="center"/>
          </w:tcPr>
          <w:p w14:paraId="5705430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w:t>
            </w:r>
          </w:p>
        </w:tc>
        <w:tc>
          <w:tcPr>
            <w:tcW w:w="413" w:type="pct"/>
            <w:vAlign w:val="center"/>
          </w:tcPr>
          <w:p w14:paraId="435E1C9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服务方案15%</w:t>
            </w:r>
          </w:p>
        </w:tc>
        <w:tc>
          <w:tcPr>
            <w:tcW w:w="416" w:type="pct"/>
            <w:vAlign w:val="center"/>
          </w:tcPr>
          <w:p w14:paraId="1B6E32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15分</w:t>
            </w:r>
          </w:p>
        </w:tc>
        <w:tc>
          <w:tcPr>
            <w:tcW w:w="3549" w:type="pct"/>
            <w:vAlign w:val="center"/>
          </w:tcPr>
          <w:p w14:paraId="09F3F555">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供应商具有完善的服务方案，包括但不限于</w:t>
            </w:r>
            <w:r>
              <w:rPr>
                <w:rFonts w:hint="eastAsia" w:ascii="仿宋" w:hAnsi="仿宋" w:eastAsia="仿宋" w:cs="仿宋"/>
                <w:sz w:val="24"/>
                <w:szCs w:val="24"/>
                <w:lang w:val="zh-CN" w:eastAsia="zh-CN"/>
              </w:rPr>
              <w:t>①</w:t>
            </w:r>
            <w:r>
              <w:rPr>
                <w:rFonts w:hint="eastAsia" w:ascii="仿宋" w:hAnsi="仿宋" w:eastAsia="仿宋" w:cs="仿宋"/>
                <w:sz w:val="24"/>
                <w:szCs w:val="24"/>
                <w:lang w:val="zh-CN"/>
              </w:rPr>
              <w:t>对数据处理工作进行分析与理解、②对项目数据处理服务情况进行描述及分析、③数据标准化方案、④数据质量控制方案、⑤数据清洗治理方案、⑥数据归集同步方案、⑦数据可视化监测方案、⑧数据共享方案、⑨安全保障及应急预案方案、⑩项目管理方案（含质量管理、风险管理、进度管理、培训计划、服务响应计划）符合采购人需求的得1</w:t>
            </w:r>
            <w:r>
              <w:rPr>
                <w:rFonts w:hint="eastAsia" w:ascii="仿宋" w:hAnsi="仿宋" w:eastAsia="仿宋" w:cs="仿宋"/>
                <w:sz w:val="24"/>
                <w:szCs w:val="24"/>
                <w:lang w:val="zh-CN" w:eastAsia="zh-CN"/>
              </w:rPr>
              <w:t>5</w:t>
            </w:r>
            <w:r>
              <w:rPr>
                <w:rFonts w:hint="eastAsia" w:ascii="仿宋" w:hAnsi="仿宋" w:eastAsia="仿宋" w:cs="仿宋"/>
                <w:sz w:val="24"/>
                <w:szCs w:val="24"/>
                <w:lang w:val="zh-CN"/>
              </w:rPr>
              <w:t>分；每缺少一项内容扣1.5分，每有一处内容存在缺陷扣0.75分，扣完为止。</w:t>
            </w:r>
          </w:p>
          <w:p w14:paraId="04EC4746">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注：缺陷是指：内容不一致、地点名称错误、内容与本项目实际需求不符、不符合相关规范及标准。</w:t>
            </w:r>
          </w:p>
        </w:tc>
        <w:tc>
          <w:tcPr>
            <w:tcW w:w="365" w:type="pct"/>
            <w:noWrap/>
            <w:vAlign w:val="center"/>
          </w:tcPr>
          <w:p w14:paraId="28F953D1">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sz w:val="24"/>
                <w:szCs w:val="24"/>
                <w:lang w:val="zh-CN"/>
              </w:rPr>
            </w:pPr>
          </w:p>
        </w:tc>
      </w:tr>
    </w:tbl>
    <w:p w14:paraId="6893E307">
      <w:pPr>
        <w:rPr>
          <w:lang w:val="zh-CN"/>
        </w:rPr>
      </w:pPr>
    </w:p>
    <w:p w14:paraId="599AA9E9">
      <w:pPr>
        <w:spacing w:line="240" w:lineRule="auto"/>
        <w:rPr>
          <w:rFonts w:hint="eastAsia" w:ascii="Times New Roman" w:hAnsi="Times New Roman" w:cs="Times New Roman"/>
          <w:b/>
          <w:bCs/>
          <w:lang w:val="en-US" w:eastAsia="zh-CN"/>
        </w:rPr>
      </w:pPr>
      <w:r>
        <w:rPr>
          <w:rFonts w:ascii="Times New Roman" w:hAnsi="Times New Roman" w:cs="Times New Roman"/>
        </w:rPr>
        <w:br w:type="page"/>
      </w:r>
      <w:r>
        <w:rPr>
          <w:rFonts w:hint="eastAsia" w:ascii="仿宋" w:hAnsi="仿宋" w:eastAsia="仿宋" w:cs="仿宋"/>
          <w:b/>
          <w:bCs/>
          <w:sz w:val="24"/>
          <w:szCs w:val="24"/>
          <w:lang w:val="en-US" w:eastAsia="zh-CN"/>
        </w:rPr>
        <w:t>包2：</w:t>
      </w:r>
    </w:p>
    <w:tbl>
      <w:tblPr>
        <w:tblStyle w:val="1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898"/>
        <w:gridCol w:w="932"/>
        <w:gridCol w:w="6514"/>
        <w:gridCol w:w="862"/>
      </w:tblGrid>
      <w:tr w14:paraId="15E8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5" w:type="dxa"/>
            <w:tcBorders>
              <w:top w:val="single" w:color="auto" w:sz="4" w:space="0"/>
              <w:left w:val="single" w:color="auto" w:sz="4" w:space="0"/>
              <w:bottom w:val="single" w:color="auto" w:sz="4" w:space="0"/>
              <w:right w:val="single" w:color="auto" w:sz="4" w:space="0"/>
            </w:tcBorders>
            <w:vAlign w:val="center"/>
          </w:tcPr>
          <w:p w14:paraId="53ED19D4">
            <w:pPr>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898" w:type="dxa"/>
            <w:tcBorders>
              <w:top w:val="single" w:color="auto" w:sz="4" w:space="0"/>
              <w:left w:val="single" w:color="auto" w:sz="4" w:space="0"/>
              <w:bottom w:val="single" w:color="auto" w:sz="4" w:space="0"/>
              <w:right w:val="single" w:color="auto" w:sz="4" w:space="0"/>
            </w:tcBorders>
            <w:vAlign w:val="center"/>
          </w:tcPr>
          <w:p w14:paraId="421591FD">
            <w:pPr>
              <w:jc w:val="center"/>
              <w:rPr>
                <w:rFonts w:hint="eastAsia" w:ascii="仿宋" w:hAnsi="仿宋" w:eastAsia="仿宋" w:cs="仿宋"/>
                <w:b/>
                <w:bCs/>
                <w:sz w:val="24"/>
                <w:szCs w:val="24"/>
              </w:rPr>
            </w:pPr>
            <w:r>
              <w:rPr>
                <w:rFonts w:hint="eastAsia" w:ascii="仿宋" w:hAnsi="仿宋" w:eastAsia="仿宋" w:cs="仿宋"/>
                <w:b/>
                <w:bCs/>
                <w:sz w:val="24"/>
                <w:szCs w:val="24"/>
              </w:rPr>
              <w:t>评审因素</w:t>
            </w:r>
          </w:p>
        </w:tc>
        <w:tc>
          <w:tcPr>
            <w:tcW w:w="932" w:type="dxa"/>
            <w:tcBorders>
              <w:top w:val="single" w:color="auto" w:sz="4" w:space="0"/>
              <w:left w:val="single" w:color="auto" w:sz="4" w:space="0"/>
              <w:bottom w:val="single" w:color="auto" w:sz="4" w:space="0"/>
              <w:right w:val="single" w:color="auto" w:sz="4" w:space="0"/>
            </w:tcBorders>
            <w:vAlign w:val="center"/>
          </w:tcPr>
          <w:p w14:paraId="0411001B">
            <w:pPr>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6516" w:type="dxa"/>
            <w:tcBorders>
              <w:top w:val="single" w:color="auto" w:sz="4" w:space="0"/>
              <w:left w:val="single" w:color="auto" w:sz="4" w:space="0"/>
              <w:bottom w:val="single" w:color="auto" w:sz="4" w:space="0"/>
              <w:right w:val="single" w:color="auto" w:sz="4" w:space="0"/>
            </w:tcBorders>
            <w:vAlign w:val="center"/>
          </w:tcPr>
          <w:p w14:paraId="193ABD99">
            <w:pPr>
              <w:jc w:val="center"/>
              <w:rPr>
                <w:rFonts w:hint="eastAsia" w:ascii="仿宋" w:hAnsi="仿宋" w:eastAsia="仿宋" w:cs="仿宋"/>
                <w:b/>
                <w:bCs/>
                <w:sz w:val="24"/>
                <w:szCs w:val="24"/>
              </w:rPr>
            </w:pPr>
            <w:r>
              <w:rPr>
                <w:rFonts w:hint="eastAsia" w:ascii="仿宋" w:hAnsi="仿宋" w:eastAsia="仿宋" w:cs="仿宋"/>
                <w:b/>
                <w:bCs/>
                <w:sz w:val="24"/>
                <w:szCs w:val="24"/>
              </w:rPr>
              <w:t>评分标准</w:t>
            </w:r>
          </w:p>
        </w:tc>
        <w:tc>
          <w:tcPr>
            <w:tcW w:w="862" w:type="dxa"/>
            <w:tcBorders>
              <w:top w:val="single" w:color="auto" w:sz="4" w:space="0"/>
              <w:left w:val="single" w:color="auto" w:sz="4" w:space="0"/>
              <w:bottom w:val="single" w:color="auto" w:sz="4" w:space="0"/>
              <w:right w:val="single" w:color="auto" w:sz="4" w:space="0"/>
            </w:tcBorders>
            <w:vAlign w:val="center"/>
          </w:tcPr>
          <w:p w14:paraId="4E9F3C09">
            <w:pPr>
              <w:jc w:val="center"/>
              <w:rPr>
                <w:rFonts w:hint="eastAsia" w:ascii="仿宋" w:hAnsi="仿宋" w:eastAsia="仿宋" w:cs="仿宋"/>
                <w:b/>
                <w:bCs/>
                <w:sz w:val="24"/>
                <w:szCs w:val="24"/>
              </w:rPr>
            </w:pPr>
            <w:r>
              <w:rPr>
                <w:rFonts w:hint="eastAsia" w:ascii="仿宋" w:hAnsi="仿宋" w:eastAsia="仿宋" w:cs="仿宋"/>
                <w:b/>
                <w:bCs/>
                <w:sz w:val="24"/>
                <w:szCs w:val="24"/>
              </w:rPr>
              <w:t>说明</w:t>
            </w:r>
          </w:p>
        </w:tc>
      </w:tr>
      <w:tr w14:paraId="5C2E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top w:val="single" w:color="auto" w:sz="4" w:space="0"/>
              <w:left w:val="single" w:color="auto" w:sz="4" w:space="0"/>
              <w:bottom w:val="single" w:color="auto" w:sz="4" w:space="0"/>
              <w:right w:val="single" w:color="auto" w:sz="4" w:space="0"/>
            </w:tcBorders>
            <w:vAlign w:val="center"/>
          </w:tcPr>
          <w:p w14:paraId="0D4D0BE1">
            <w:pPr>
              <w:jc w:val="center"/>
              <w:rPr>
                <w:rFonts w:hint="eastAsia" w:ascii="仿宋" w:hAnsi="仿宋" w:eastAsia="仿宋" w:cs="仿宋"/>
                <w:sz w:val="24"/>
                <w:szCs w:val="24"/>
              </w:rPr>
            </w:pPr>
            <w:r>
              <w:rPr>
                <w:rFonts w:hint="eastAsia" w:ascii="仿宋" w:hAnsi="仿宋" w:eastAsia="仿宋" w:cs="仿宋"/>
                <w:sz w:val="24"/>
                <w:szCs w:val="24"/>
              </w:rPr>
              <w:t>1</w:t>
            </w:r>
          </w:p>
        </w:tc>
        <w:tc>
          <w:tcPr>
            <w:tcW w:w="898" w:type="dxa"/>
            <w:tcBorders>
              <w:top w:val="single" w:color="auto" w:sz="4" w:space="0"/>
              <w:left w:val="single" w:color="auto" w:sz="4" w:space="0"/>
              <w:bottom w:val="single" w:color="auto" w:sz="4" w:space="0"/>
              <w:right w:val="single" w:color="auto" w:sz="4" w:space="0"/>
            </w:tcBorders>
            <w:vAlign w:val="center"/>
          </w:tcPr>
          <w:p w14:paraId="69EF25D9">
            <w:pPr>
              <w:jc w:val="center"/>
              <w:rPr>
                <w:rFonts w:hint="eastAsia" w:ascii="仿宋" w:hAnsi="仿宋" w:eastAsia="仿宋" w:cs="仿宋"/>
                <w:sz w:val="24"/>
                <w:szCs w:val="24"/>
              </w:rPr>
            </w:pPr>
            <w:r>
              <w:rPr>
                <w:rFonts w:hint="eastAsia" w:ascii="仿宋" w:hAnsi="仿宋" w:eastAsia="仿宋" w:cs="仿宋"/>
                <w:sz w:val="24"/>
                <w:szCs w:val="24"/>
              </w:rPr>
              <w:t>报价30%</w:t>
            </w:r>
          </w:p>
        </w:tc>
        <w:tc>
          <w:tcPr>
            <w:tcW w:w="932" w:type="dxa"/>
            <w:tcBorders>
              <w:top w:val="single" w:color="auto" w:sz="4" w:space="0"/>
              <w:left w:val="single" w:color="auto" w:sz="4" w:space="0"/>
              <w:bottom w:val="single" w:color="auto" w:sz="4" w:space="0"/>
              <w:right w:val="single" w:color="auto" w:sz="4" w:space="0"/>
            </w:tcBorders>
            <w:vAlign w:val="center"/>
          </w:tcPr>
          <w:p w14:paraId="673CA6AE">
            <w:pPr>
              <w:jc w:val="center"/>
              <w:rPr>
                <w:rFonts w:hint="eastAsia" w:ascii="仿宋" w:hAnsi="仿宋" w:eastAsia="仿宋" w:cs="仿宋"/>
                <w:sz w:val="24"/>
                <w:szCs w:val="24"/>
              </w:rPr>
            </w:pPr>
            <w:r>
              <w:rPr>
                <w:rFonts w:hint="eastAsia" w:ascii="仿宋" w:hAnsi="仿宋" w:eastAsia="仿宋" w:cs="仿宋"/>
                <w:sz w:val="24"/>
                <w:szCs w:val="24"/>
              </w:rPr>
              <w:t>30分</w:t>
            </w:r>
          </w:p>
        </w:tc>
        <w:tc>
          <w:tcPr>
            <w:tcW w:w="6516" w:type="dxa"/>
            <w:tcBorders>
              <w:top w:val="single" w:color="auto" w:sz="4" w:space="0"/>
              <w:left w:val="single" w:color="auto" w:sz="4" w:space="0"/>
              <w:bottom w:val="single" w:color="auto" w:sz="4" w:space="0"/>
              <w:right w:val="single" w:color="auto" w:sz="4" w:space="0"/>
            </w:tcBorders>
            <w:vAlign w:val="center"/>
          </w:tcPr>
          <w:p w14:paraId="4B3240CC">
            <w:pPr>
              <w:rPr>
                <w:rFonts w:hint="eastAsia" w:ascii="仿宋" w:hAnsi="仿宋" w:eastAsia="仿宋" w:cs="仿宋"/>
                <w:sz w:val="24"/>
                <w:szCs w:val="24"/>
                <w:lang w:val="en-US" w:eastAsia="zh-CN"/>
              </w:rPr>
            </w:pPr>
            <w:r>
              <w:rPr>
                <w:rFonts w:hint="eastAsia" w:ascii="仿宋" w:hAnsi="仿宋" w:eastAsia="仿宋" w:cs="仿宋"/>
                <w:sz w:val="24"/>
                <w:szCs w:val="24"/>
              </w:rPr>
              <w:t>以本次最低有效</w:t>
            </w:r>
            <w:r>
              <w:rPr>
                <w:rFonts w:hint="eastAsia" w:ascii="仿宋" w:hAnsi="仿宋" w:eastAsia="仿宋" w:cs="仿宋"/>
                <w:sz w:val="24"/>
                <w:szCs w:val="24"/>
                <w:lang w:eastAsia="zh-CN"/>
              </w:rPr>
              <w:t>谈判</w:t>
            </w:r>
            <w:r>
              <w:rPr>
                <w:rFonts w:hint="eastAsia" w:ascii="仿宋" w:hAnsi="仿宋" w:eastAsia="仿宋" w:cs="仿宋"/>
                <w:sz w:val="24"/>
                <w:szCs w:val="24"/>
              </w:rPr>
              <w:t>报价为基准价，其价格分为满分，</w:t>
            </w:r>
            <w:r>
              <w:rPr>
                <w:rFonts w:hint="eastAsia" w:ascii="仿宋" w:hAnsi="仿宋" w:eastAsia="仿宋" w:cs="仿宋"/>
                <w:sz w:val="24"/>
                <w:szCs w:val="24"/>
                <w:lang w:eastAsia="zh-CN"/>
              </w:rPr>
              <w:t>谈判</w:t>
            </w:r>
            <w:r>
              <w:rPr>
                <w:rFonts w:hint="eastAsia" w:ascii="仿宋" w:hAnsi="仿宋" w:eastAsia="仿宋" w:cs="仿宋"/>
                <w:sz w:val="24"/>
                <w:szCs w:val="24"/>
              </w:rPr>
              <w:t>报价得分=(基准价／</w:t>
            </w:r>
            <w:r>
              <w:rPr>
                <w:rFonts w:hint="eastAsia" w:ascii="仿宋" w:hAnsi="仿宋" w:eastAsia="仿宋" w:cs="仿宋"/>
                <w:sz w:val="24"/>
                <w:szCs w:val="24"/>
                <w:lang w:eastAsia="zh-CN"/>
              </w:rPr>
              <w:t>谈判</w:t>
            </w:r>
            <w:r>
              <w:rPr>
                <w:rFonts w:hint="eastAsia" w:ascii="仿宋" w:hAnsi="仿宋" w:eastAsia="仿宋" w:cs="仿宋"/>
                <w:sz w:val="24"/>
                <w:szCs w:val="24"/>
              </w:rPr>
              <w:t>报价) *30</w:t>
            </w:r>
          </w:p>
        </w:tc>
        <w:tc>
          <w:tcPr>
            <w:tcW w:w="862" w:type="dxa"/>
            <w:tcBorders>
              <w:top w:val="single" w:color="auto" w:sz="4" w:space="0"/>
              <w:left w:val="single" w:color="auto" w:sz="4" w:space="0"/>
              <w:bottom w:val="single" w:color="auto" w:sz="4" w:space="0"/>
              <w:right w:val="single" w:color="auto" w:sz="4" w:space="0"/>
            </w:tcBorders>
            <w:vAlign w:val="center"/>
          </w:tcPr>
          <w:p w14:paraId="188BE9B1">
            <w:pPr>
              <w:rPr>
                <w:rFonts w:hint="eastAsia" w:ascii="仿宋" w:hAnsi="仿宋" w:eastAsia="仿宋" w:cs="仿宋"/>
                <w:sz w:val="24"/>
                <w:szCs w:val="24"/>
              </w:rPr>
            </w:pPr>
          </w:p>
        </w:tc>
      </w:tr>
      <w:tr w14:paraId="6782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top w:val="single" w:color="auto" w:sz="4" w:space="0"/>
              <w:left w:val="single" w:color="auto" w:sz="4" w:space="0"/>
              <w:right w:val="single" w:color="auto" w:sz="4" w:space="0"/>
            </w:tcBorders>
            <w:vAlign w:val="center"/>
          </w:tcPr>
          <w:p w14:paraId="3EFBF92D">
            <w:pPr>
              <w:jc w:val="center"/>
              <w:rPr>
                <w:rFonts w:hint="eastAsia" w:ascii="仿宋" w:hAnsi="仿宋" w:eastAsia="仿宋" w:cs="仿宋"/>
                <w:sz w:val="24"/>
                <w:szCs w:val="24"/>
              </w:rPr>
            </w:pPr>
            <w:r>
              <w:rPr>
                <w:rFonts w:hint="eastAsia" w:ascii="仿宋" w:hAnsi="仿宋" w:eastAsia="仿宋" w:cs="仿宋"/>
                <w:sz w:val="24"/>
                <w:szCs w:val="24"/>
              </w:rPr>
              <w:t>2</w:t>
            </w:r>
          </w:p>
        </w:tc>
        <w:tc>
          <w:tcPr>
            <w:tcW w:w="898" w:type="dxa"/>
            <w:tcBorders>
              <w:top w:val="single" w:color="auto" w:sz="4" w:space="0"/>
              <w:left w:val="single" w:color="auto" w:sz="4" w:space="0"/>
              <w:right w:val="single" w:color="auto" w:sz="4" w:space="0"/>
            </w:tcBorders>
            <w:vAlign w:val="center"/>
          </w:tcPr>
          <w:p w14:paraId="1AB7C6D0">
            <w:pPr>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技术参数42</w:t>
            </w:r>
            <w:r>
              <w:rPr>
                <w:rFonts w:hint="eastAsia" w:ascii="仿宋" w:hAnsi="仿宋" w:eastAsia="仿宋" w:cs="仿宋"/>
                <w:sz w:val="24"/>
                <w:szCs w:val="24"/>
              </w:rPr>
              <w:t>%</w:t>
            </w:r>
          </w:p>
        </w:tc>
        <w:tc>
          <w:tcPr>
            <w:tcW w:w="932" w:type="dxa"/>
            <w:tcBorders>
              <w:top w:val="single" w:color="auto" w:sz="4" w:space="0"/>
              <w:left w:val="single" w:color="auto" w:sz="4" w:space="0"/>
              <w:bottom w:val="single" w:color="auto" w:sz="4" w:space="0"/>
              <w:right w:val="single" w:color="auto" w:sz="4" w:space="0"/>
            </w:tcBorders>
            <w:vAlign w:val="center"/>
          </w:tcPr>
          <w:p w14:paraId="15A24AAA">
            <w:pPr>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42分</w:t>
            </w:r>
          </w:p>
        </w:tc>
        <w:tc>
          <w:tcPr>
            <w:tcW w:w="6516" w:type="dxa"/>
            <w:tcBorders>
              <w:top w:val="single" w:color="auto" w:sz="4" w:space="0"/>
              <w:left w:val="single" w:color="auto" w:sz="4" w:space="0"/>
              <w:bottom w:val="single" w:color="auto" w:sz="4" w:space="0"/>
              <w:right w:val="single" w:color="auto" w:sz="4" w:space="0"/>
            </w:tcBorders>
            <w:vAlign w:val="center"/>
          </w:tcPr>
          <w:p w14:paraId="06683FD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带“★”的为实质性要求，不允许有负偏离，不作为评审要求；非“★”的为一般技术参数条款，作为一般评分因素。</w:t>
            </w:r>
          </w:p>
          <w:p w14:paraId="772139E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供应商响应文件完全符合谈判文件采购需求“包2技术要求”的得42分。</w:t>
            </w:r>
          </w:p>
          <w:p w14:paraId="5F11384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技术参数条款的响应得分规则如下：</w:t>
            </w:r>
          </w:p>
          <w:p w14:paraId="08842E4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一般技术参数条款响应得分=（供应商满足一般技术参数条款的数量÷ 一般技术参数条款的总数量）×42分</w:t>
            </w:r>
          </w:p>
          <w:p w14:paraId="7087CDA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注：①得分保留小数点后两位小数，四舍五入。</w:t>
            </w:r>
          </w:p>
          <w:p w14:paraId="552B67FD">
            <w:pPr>
              <w:rPr>
                <w:rFonts w:hint="eastAsia" w:ascii="仿宋" w:hAnsi="仿宋" w:eastAsia="仿宋" w:cs="仿宋"/>
                <w:sz w:val="24"/>
                <w:szCs w:val="24"/>
              </w:rPr>
            </w:pPr>
            <w:r>
              <w:rPr>
                <w:rFonts w:hint="eastAsia" w:ascii="仿宋" w:hAnsi="仿宋" w:eastAsia="仿宋" w:cs="仿宋"/>
                <w:sz w:val="24"/>
                <w:szCs w:val="24"/>
                <w:lang w:val="en-US" w:eastAsia="zh-CN"/>
              </w:rPr>
              <w:t>②以“1.2.3......”标识为一项。若每一项技术指标项均有负偏离，此处分值应扣完，得0分。</w:t>
            </w:r>
          </w:p>
        </w:tc>
        <w:tc>
          <w:tcPr>
            <w:tcW w:w="862" w:type="dxa"/>
            <w:tcBorders>
              <w:top w:val="single" w:color="auto" w:sz="4" w:space="0"/>
              <w:left w:val="single" w:color="auto" w:sz="4" w:space="0"/>
              <w:bottom w:val="single" w:color="auto" w:sz="4" w:space="0"/>
              <w:right w:val="single" w:color="auto" w:sz="4" w:space="0"/>
            </w:tcBorders>
            <w:vAlign w:val="center"/>
          </w:tcPr>
          <w:p w14:paraId="16ED43C5">
            <w:pPr>
              <w:rPr>
                <w:rFonts w:hint="eastAsia" w:ascii="仿宋" w:hAnsi="仿宋" w:eastAsia="仿宋" w:cs="仿宋"/>
                <w:sz w:val="24"/>
                <w:szCs w:val="24"/>
              </w:rPr>
            </w:pPr>
          </w:p>
        </w:tc>
      </w:tr>
      <w:tr w14:paraId="2662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left w:val="single" w:color="auto" w:sz="4" w:space="0"/>
              <w:bottom w:val="single" w:color="auto" w:sz="4" w:space="0"/>
              <w:right w:val="single" w:color="auto" w:sz="4" w:space="0"/>
            </w:tcBorders>
            <w:vAlign w:val="center"/>
          </w:tcPr>
          <w:p w14:paraId="723C5EB5">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98" w:type="dxa"/>
            <w:tcBorders>
              <w:left w:val="single" w:color="auto" w:sz="4" w:space="0"/>
              <w:bottom w:val="single" w:color="auto" w:sz="4" w:space="0"/>
              <w:right w:val="single" w:color="auto" w:sz="4" w:space="0"/>
            </w:tcBorders>
            <w:vAlign w:val="center"/>
          </w:tcPr>
          <w:p w14:paraId="37434F2A">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履约能力6%</w:t>
            </w:r>
          </w:p>
        </w:tc>
        <w:tc>
          <w:tcPr>
            <w:tcW w:w="932" w:type="dxa"/>
            <w:tcBorders>
              <w:top w:val="single" w:color="auto" w:sz="4" w:space="0"/>
              <w:left w:val="single" w:color="auto" w:sz="4" w:space="0"/>
              <w:bottom w:val="single" w:color="auto" w:sz="4" w:space="0"/>
              <w:right w:val="single" w:color="auto" w:sz="4" w:space="0"/>
            </w:tcBorders>
            <w:vAlign w:val="center"/>
          </w:tcPr>
          <w:p w14:paraId="4F1A21A7">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6分</w:t>
            </w:r>
          </w:p>
        </w:tc>
        <w:tc>
          <w:tcPr>
            <w:tcW w:w="6516" w:type="dxa"/>
            <w:tcBorders>
              <w:top w:val="single" w:color="auto" w:sz="4" w:space="0"/>
              <w:left w:val="single" w:color="auto" w:sz="4" w:space="0"/>
              <w:bottom w:val="single" w:color="auto" w:sz="4" w:space="0"/>
              <w:right w:val="single" w:color="auto" w:sz="4" w:space="0"/>
            </w:tcBorders>
            <w:vAlign w:val="center"/>
          </w:tcPr>
          <w:p w14:paraId="63BC552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供应商实施交付团队中具有人社或工信部门颁发的系统项目管理师（高级）认证证书的得3分，</w:t>
            </w:r>
            <w:bookmarkStart w:id="20" w:name="OLE_LINK2"/>
            <w:r>
              <w:rPr>
                <w:rFonts w:hint="eastAsia" w:ascii="仿宋" w:hAnsi="仿宋" w:eastAsia="仿宋" w:cs="仿宋"/>
                <w:sz w:val="24"/>
                <w:szCs w:val="24"/>
                <w:lang w:val="en-US" w:eastAsia="zh-CN"/>
              </w:rPr>
              <w:t>具有人社或工信部门颁发的系统架构设计师（高级）认证证书</w:t>
            </w:r>
            <w:bookmarkEnd w:id="20"/>
            <w:r>
              <w:rPr>
                <w:rFonts w:hint="eastAsia" w:ascii="仿宋" w:hAnsi="仿宋" w:eastAsia="仿宋" w:cs="仿宋"/>
                <w:sz w:val="24"/>
                <w:szCs w:val="24"/>
                <w:lang w:val="en-US" w:eastAsia="zh-CN"/>
              </w:rPr>
              <w:t>的得3分，最高得6分。</w:t>
            </w:r>
          </w:p>
          <w:p w14:paraId="0CA9683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注：人员不重复计算，提供资质证书扫描件及在职证明。</w:t>
            </w:r>
          </w:p>
        </w:tc>
        <w:tc>
          <w:tcPr>
            <w:tcW w:w="862" w:type="dxa"/>
            <w:tcBorders>
              <w:top w:val="single" w:color="auto" w:sz="4" w:space="0"/>
              <w:left w:val="single" w:color="auto" w:sz="4" w:space="0"/>
              <w:bottom w:val="single" w:color="auto" w:sz="4" w:space="0"/>
              <w:right w:val="single" w:color="auto" w:sz="4" w:space="0"/>
            </w:tcBorders>
            <w:vAlign w:val="center"/>
          </w:tcPr>
          <w:p w14:paraId="73EAFEF0">
            <w:pPr>
              <w:rPr>
                <w:rFonts w:hint="eastAsia" w:ascii="仿宋" w:hAnsi="仿宋" w:eastAsia="仿宋" w:cs="仿宋"/>
                <w:sz w:val="24"/>
                <w:szCs w:val="24"/>
              </w:rPr>
            </w:pPr>
          </w:p>
        </w:tc>
      </w:tr>
      <w:tr w14:paraId="1352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top w:val="single" w:color="auto" w:sz="4" w:space="0"/>
              <w:left w:val="single" w:color="auto" w:sz="4" w:space="0"/>
              <w:bottom w:val="single" w:color="auto" w:sz="4" w:space="0"/>
              <w:right w:val="single" w:color="auto" w:sz="4" w:space="0"/>
            </w:tcBorders>
            <w:vAlign w:val="center"/>
          </w:tcPr>
          <w:p w14:paraId="16239851">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898" w:type="dxa"/>
            <w:tcBorders>
              <w:top w:val="single" w:color="auto" w:sz="4" w:space="0"/>
              <w:left w:val="single" w:color="auto" w:sz="4" w:space="0"/>
              <w:bottom w:val="single" w:color="auto" w:sz="4" w:space="0"/>
              <w:right w:val="single" w:color="auto" w:sz="4" w:space="0"/>
            </w:tcBorders>
            <w:vAlign w:val="center"/>
          </w:tcPr>
          <w:p w14:paraId="3CB19492">
            <w:pPr>
              <w:jc w:val="center"/>
              <w:rPr>
                <w:rFonts w:hint="eastAsia" w:ascii="仿宋" w:hAnsi="仿宋" w:eastAsia="仿宋" w:cs="仿宋"/>
                <w:sz w:val="24"/>
                <w:szCs w:val="24"/>
              </w:rPr>
            </w:pPr>
            <w:r>
              <w:rPr>
                <w:rFonts w:hint="eastAsia" w:ascii="仿宋" w:hAnsi="仿宋" w:eastAsia="仿宋" w:cs="仿宋"/>
                <w:sz w:val="24"/>
                <w:szCs w:val="24"/>
              </w:rPr>
              <w:t>产品综合能力6%</w:t>
            </w:r>
          </w:p>
        </w:tc>
        <w:tc>
          <w:tcPr>
            <w:tcW w:w="932" w:type="dxa"/>
            <w:tcBorders>
              <w:top w:val="single" w:color="auto" w:sz="4" w:space="0"/>
              <w:left w:val="single" w:color="auto" w:sz="4" w:space="0"/>
              <w:bottom w:val="single" w:color="auto" w:sz="4" w:space="0"/>
              <w:right w:val="single" w:color="auto" w:sz="4" w:space="0"/>
            </w:tcBorders>
            <w:vAlign w:val="center"/>
          </w:tcPr>
          <w:p w14:paraId="5F1538A5">
            <w:pPr>
              <w:jc w:val="center"/>
              <w:rPr>
                <w:rFonts w:hint="eastAsia" w:ascii="仿宋" w:hAnsi="仿宋" w:eastAsia="仿宋" w:cs="仿宋"/>
                <w:sz w:val="24"/>
                <w:szCs w:val="24"/>
                <w:lang w:val="en-US"/>
              </w:rPr>
            </w:pPr>
            <w:r>
              <w:rPr>
                <w:rFonts w:hint="eastAsia" w:ascii="仿宋" w:hAnsi="仿宋" w:eastAsia="仿宋" w:cs="仿宋"/>
                <w:sz w:val="24"/>
                <w:szCs w:val="24"/>
              </w:rPr>
              <w:t>6分</w:t>
            </w:r>
          </w:p>
        </w:tc>
        <w:tc>
          <w:tcPr>
            <w:tcW w:w="6516" w:type="dxa"/>
            <w:tcBorders>
              <w:top w:val="single" w:color="auto" w:sz="4" w:space="0"/>
              <w:left w:val="single" w:color="auto" w:sz="4" w:space="0"/>
              <w:bottom w:val="single" w:color="auto" w:sz="4" w:space="0"/>
              <w:right w:val="single" w:color="auto" w:sz="4" w:space="0"/>
            </w:tcBorders>
            <w:vAlign w:val="center"/>
          </w:tcPr>
          <w:p w14:paraId="78D790A0">
            <w:pPr>
              <w:rPr>
                <w:rFonts w:hint="eastAsia" w:ascii="仿宋" w:hAnsi="仿宋" w:eastAsia="仿宋" w:cs="仿宋"/>
                <w:sz w:val="24"/>
                <w:szCs w:val="24"/>
              </w:rPr>
            </w:pPr>
            <w:r>
              <w:rPr>
                <w:rFonts w:hint="eastAsia" w:ascii="仿宋" w:hAnsi="仿宋" w:eastAsia="仿宋" w:cs="仿宋"/>
                <w:sz w:val="24"/>
                <w:szCs w:val="24"/>
                <w:lang w:val="en-US" w:eastAsia="zh-CN"/>
              </w:rPr>
              <w:t>1.响应</w:t>
            </w:r>
            <w:r>
              <w:rPr>
                <w:rFonts w:hint="eastAsia" w:ascii="仿宋" w:hAnsi="仿宋" w:eastAsia="仿宋" w:cs="仿宋"/>
                <w:sz w:val="24"/>
                <w:szCs w:val="24"/>
              </w:rPr>
              <w:t>产品满足可靠性验证要求，产品MTBF≥25万小时，满足要求得</w:t>
            </w:r>
            <w:r>
              <w:rPr>
                <w:rFonts w:hint="eastAsia" w:ascii="仿宋" w:hAnsi="仿宋" w:eastAsia="仿宋" w:cs="仿宋"/>
                <w:sz w:val="24"/>
                <w:szCs w:val="24"/>
                <w:lang w:val="en-US" w:eastAsia="zh-CN"/>
              </w:rPr>
              <w:t>3</w:t>
            </w:r>
            <w:r>
              <w:rPr>
                <w:rFonts w:hint="eastAsia" w:ascii="仿宋" w:hAnsi="仿宋" w:eastAsia="仿宋" w:cs="仿宋"/>
                <w:sz w:val="24"/>
                <w:szCs w:val="24"/>
              </w:rPr>
              <w:t>分，最高得3分。（提供具备CANS标识的第三方权威机构测试报告</w:t>
            </w:r>
            <w:r>
              <w:rPr>
                <w:rFonts w:hint="eastAsia" w:ascii="仿宋" w:hAnsi="仿宋" w:eastAsia="仿宋" w:cs="仿宋"/>
                <w:sz w:val="24"/>
                <w:szCs w:val="24"/>
                <w:lang w:val="en-US" w:eastAsia="zh-CN"/>
              </w:rPr>
              <w:t>复印件并加盖供应商公章</w:t>
            </w:r>
            <w:r>
              <w:rPr>
                <w:rFonts w:hint="eastAsia" w:ascii="仿宋" w:hAnsi="仿宋" w:eastAsia="仿宋" w:cs="仿宋"/>
                <w:sz w:val="24"/>
                <w:szCs w:val="24"/>
              </w:rPr>
              <w:t>）</w:t>
            </w:r>
          </w:p>
          <w:p w14:paraId="4ACEB6E4">
            <w:pPr>
              <w:rPr>
                <w:rFonts w:hint="eastAsia" w:ascii="仿宋" w:hAnsi="仿宋" w:eastAsia="仿宋" w:cs="仿宋"/>
                <w:sz w:val="24"/>
                <w:szCs w:val="24"/>
              </w:rPr>
            </w:pPr>
            <w:r>
              <w:rPr>
                <w:rFonts w:hint="eastAsia" w:ascii="仿宋" w:hAnsi="仿宋" w:eastAsia="仿宋" w:cs="仿宋"/>
                <w:sz w:val="24"/>
                <w:szCs w:val="24"/>
                <w:lang w:val="en-US" w:eastAsia="zh-CN"/>
              </w:rPr>
              <w:t>2.响应</w:t>
            </w:r>
            <w:r>
              <w:rPr>
                <w:rFonts w:hint="eastAsia" w:ascii="仿宋" w:hAnsi="仿宋" w:eastAsia="仿宋" w:cs="仿宋"/>
                <w:sz w:val="24"/>
                <w:szCs w:val="24"/>
              </w:rPr>
              <w:t>产品通过8、9级烈度抗震性能检测要求，符合通信设备抗震性能检测标准，准许进入9</w:t>
            </w:r>
            <w:r>
              <w:rPr>
                <w:rFonts w:hint="eastAsia" w:ascii="仿宋" w:hAnsi="仿宋" w:eastAsia="仿宋" w:cs="仿宋"/>
                <w:sz w:val="24"/>
                <w:szCs w:val="24"/>
                <w:lang w:val="en-US" w:eastAsia="zh-CN"/>
              </w:rPr>
              <w:t>级</w:t>
            </w:r>
            <w:r>
              <w:rPr>
                <w:rFonts w:hint="eastAsia" w:ascii="仿宋" w:hAnsi="仿宋" w:eastAsia="仿宋" w:cs="仿宋"/>
                <w:sz w:val="24"/>
                <w:szCs w:val="24"/>
              </w:rPr>
              <w:t>烈度级以下地区信息通信网使用，满足要求得3分，最高得</w:t>
            </w:r>
            <w:r>
              <w:rPr>
                <w:rFonts w:hint="eastAsia" w:ascii="仿宋" w:hAnsi="仿宋" w:eastAsia="仿宋" w:cs="仿宋"/>
                <w:sz w:val="24"/>
                <w:szCs w:val="24"/>
                <w:lang w:val="en-US" w:eastAsia="zh-CN"/>
              </w:rPr>
              <w:t>3</w:t>
            </w:r>
            <w:r>
              <w:rPr>
                <w:rFonts w:hint="eastAsia" w:ascii="仿宋" w:hAnsi="仿宋" w:eastAsia="仿宋" w:cs="仿宋"/>
                <w:sz w:val="24"/>
                <w:szCs w:val="24"/>
              </w:rPr>
              <w:t>分。（提供信息产业通信设备抗震性能质量监督检验中心出具的抗震检测报告</w:t>
            </w:r>
            <w:r>
              <w:rPr>
                <w:rFonts w:hint="eastAsia" w:ascii="仿宋" w:hAnsi="仿宋" w:eastAsia="仿宋" w:cs="仿宋"/>
                <w:sz w:val="24"/>
                <w:szCs w:val="24"/>
                <w:lang w:val="en-US" w:eastAsia="zh-CN"/>
              </w:rPr>
              <w:t>并加盖供应商公章</w:t>
            </w:r>
            <w:r>
              <w:rPr>
                <w:rFonts w:hint="eastAsia" w:ascii="仿宋" w:hAnsi="仿宋" w:eastAsia="仿宋" w:cs="仿宋"/>
                <w:sz w:val="24"/>
                <w:szCs w:val="24"/>
              </w:rPr>
              <w:t>）</w:t>
            </w:r>
          </w:p>
        </w:tc>
        <w:tc>
          <w:tcPr>
            <w:tcW w:w="862" w:type="dxa"/>
            <w:tcBorders>
              <w:top w:val="single" w:color="auto" w:sz="4" w:space="0"/>
              <w:left w:val="single" w:color="auto" w:sz="4" w:space="0"/>
              <w:bottom w:val="single" w:color="auto" w:sz="4" w:space="0"/>
              <w:right w:val="single" w:color="auto" w:sz="4" w:space="0"/>
            </w:tcBorders>
            <w:vAlign w:val="center"/>
          </w:tcPr>
          <w:p w14:paraId="6ACFF548">
            <w:pPr>
              <w:rPr>
                <w:rFonts w:hint="eastAsia" w:ascii="仿宋" w:hAnsi="仿宋" w:eastAsia="仿宋" w:cs="仿宋"/>
                <w:sz w:val="24"/>
                <w:szCs w:val="24"/>
              </w:rPr>
            </w:pPr>
          </w:p>
        </w:tc>
      </w:tr>
      <w:tr w14:paraId="7DB9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top w:val="single" w:color="auto" w:sz="4" w:space="0"/>
              <w:left w:val="single" w:color="auto" w:sz="4" w:space="0"/>
              <w:bottom w:val="single" w:color="auto" w:sz="4" w:space="0"/>
              <w:right w:val="single" w:color="auto" w:sz="4" w:space="0"/>
            </w:tcBorders>
            <w:vAlign w:val="center"/>
          </w:tcPr>
          <w:p w14:paraId="523AA170">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14:paraId="1981DFB7">
            <w:pPr>
              <w:jc w:val="center"/>
              <w:rPr>
                <w:rFonts w:hint="eastAsia" w:ascii="仿宋" w:hAnsi="仿宋" w:eastAsia="仿宋" w:cs="仿宋"/>
                <w:sz w:val="24"/>
                <w:szCs w:val="24"/>
                <w:lang w:val="en-US" w:eastAsia="zh-CN"/>
              </w:rPr>
            </w:pPr>
            <w:r>
              <w:rPr>
                <w:rFonts w:hint="eastAsia" w:ascii="仿宋" w:hAnsi="仿宋" w:eastAsia="仿宋" w:cs="仿宋"/>
                <w:sz w:val="24"/>
                <w:szCs w:val="24"/>
              </w:rPr>
              <w:t>项目实施方案10%</w:t>
            </w:r>
          </w:p>
        </w:tc>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25B0EDD1">
            <w:pPr>
              <w:jc w:val="center"/>
              <w:rPr>
                <w:rFonts w:hint="eastAsia" w:ascii="仿宋" w:hAnsi="仿宋" w:eastAsia="仿宋" w:cs="仿宋"/>
                <w:sz w:val="24"/>
                <w:szCs w:val="24"/>
                <w:lang w:val="en-US" w:eastAsia="zh-CN"/>
              </w:rPr>
            </w:pPr>
            <w:r>
              <w:rPr>
                <w:rFonts w:hint="eastAsia" w:ascii="仿宋" w:hAnsi="仿宋" w:eastAsia="仿宋" w:cs="仿宋"/>
                <w:sz w:val="24"/>
                <w:szCs w:val="24"/>
              </w:rPr>
              <w:t>10分</w:t>
            </w:r>
          </w:p>
        </w:tc>
        <w:tc>
          <w:tcPr>
            <w:tcW w:w="6516" w:type="dxa"/>
            <w:tcBorders>
              <w:top w:val="single" w:color="auto" w:sz="4" w:space="0"/>
              <w:left w:val="single" w:color="auto" w:sz="4" w:space="0"/>
              <w:bottom w:val="single" w:color="auto" w:sz="4" w:space="0"/>
              <w:right w:val="single" w:color="auto" w:sz="4" w:space="0"/>
            </w:tcBorders>
            <w:shd w:val="clear" w:color="auto" w:fill="auto"/>
            <w:vAlign w:val="center"/>
          </w:tcPr>
          <w:p w14:paraId="2E20BEBF">
            <w:pPr>
              <w:rPr>
                <w:rFonts w:hint="eastAsia" w:ascii="仿宋" w:hAnsi="仿宋" w:eastAsia="仿宋" w:cs="仿宋"/>
                <w:sz w:val="24"/>
                <w:szCs w:val="24"/>
                <w:lang w:val="en-US" w:eastAsia="zh-CN"/>
              </w:rPr>
            </w:pPr>
            <w:r>
              <w:rPr>
                <w:rFonts w:hint="eastAsia" w:ascii="仿宋" w:hAnsi="仿宋" w:eastAsia="仿宋" w:cs="仿宋"/>
                <w:sz w:val="24"/>
                <w:szCs w:val="24"/>
              </w:rPr>
              <w:t>供应商符合本项目需求的项目实施方案，至少包括（1）项目实施进度计划及安排；（2）设备的安装调试方案；（3）设备质量保证措施；（4）应急处理方案；（5）培训方案；（6）备品、备件方案；（7）巡检方案；（8）保修服务措施；（9）售后服务保障措施；（10）售后服务人员配置及联系方式。符合采购人需求的得10分；每缺少一项内容扣1分，每有一处内容存在缺陷（缺陷是指：内容不一致、地点名称错误、内容与本项目实际需求不符、不符合相关规范及标准）扣 0.5分，扣完为止。</w:t>
            </w:r>
          </w:p>
        </w:tc>
        <w:tc>
          <w:tcPr>
            <w:tcW w:w="862" w:type="dxa"/>
            <w:tcBorders>
              <w:top w:val="single" w:color="auto" w:sz="4" w:space="0"/>
              <w:left w:val="single" w:color="auto" w:sz="4" w:space="0"/>
              <w:bottom w:val="single" w:color="auto" w:sz="4" w:space="0"/>
              <w:right w:val="single" w:color="auto" w:sz="4" w:space="0"/>
            </w:tcBorders>
            <w:vAlign w:val="center"/>
          </w:tcPr>
          <w:p w14:paraId="1E98622E">
            <w:pPr>
              <w:rPr>
                <w:rFonts w:hint="eastAsia" w:ascii="仿宋" w:hAnsi="仿宋" w:eastAsia="仿宋" w:cs="仿宋"/>
                <w:sz w:val="24"/>
                <w:szCs w:val="24"/>
              </w:rPr>
            </w:pPr>
          </w:p>
        </w:tc>
      </w:tr>
      <w:tr w14:paraId="30DC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5" w:type="dxa"/>
            <w:tcBorders>
              <w:top w:val="single" w:color="auto" w:sz="4" w:space="0"/>
              <w:left w:val="single" w:color="auto" w:sz="4" w:space="0"/>
              <w:bottom w:val="single" w:color="auto" w:sz="4" w:space="0"/>
              <w:right w:val="single" w:color="auto" w:sz="4" w:space="0"/>
            </w:tcBorders>
            <w:vAlign w:val="center"/>
          </w:tcPr>
          <w:p w14:paraId="49221241">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14:paraId="4D8DCFD7">
            <w:pPr>
              <w:jc w:val="center"/>
              <w:rPr>
                <w:rFonts w:hint="eastAsia" w:ascii="仿宋" w:hAnsi="仿宋" w:eastAsia="仿宋" w:cs="仿宋"/>
                <w:sz w:val="24"/>
                <w:szCs w:val="24"/>
              </w:rPr>
            </w:pPr>
            <w:r>
              <w:rPr>
                <w:rFonts w:hint="eastAsia" w:ascii="仿宋" w:hAnsi="仿宋" w:eastAsia="仿宋" w:cs="仿宋"/>
                <w:sz w:val="24"/>
                <w:szCs w:val="24"/>
              </w:rPr>
              <w:t>业绩6%</w:t>
            </w:r>
          </w:p>
        </w:tc>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00E640DA">
            <w:pPr>
              <w:jc w:val="center"/>
              <w:rPr>
                <w:rFonts w:hint="eastAsia" w:ascii="仿宋" w:hAnsi="仿宋" w:eastAsia="仿宋" w:cs="仿宋"/>
                <w:sz w:val="24"/>
                <w:szCs w:val="24"/>
              </w:rPr>
            </w:pPr>
            <w:r>
              <w:rPr>
                <w:rFonts w:hint="eastAsia" w:ascii="仿宋" w:hAnsi="仿宋" w:eastAsia="仿宋" w:cs="仿宋"/>
                <w:sz w:val="24"/>
                <w:szCs w:val="24"/>
              </w:rPr>
              <w:t>6分</w:t>
            </w:r>
          </w:p>
        </w:tc>
        <w:tc>
          <w:tcPr>
            <w:tcW w:w="6516" w:type="dxa"/>
            <w:tcBorders>
              <w:top w:val="single" w:color="auto" w:sz="4" w:space="0"/>
              <w:left w:val="single" w:color="auto" w:sz="4" w:space="0"/>
              <w:bottom w:val="single" w:color="auto" w:sz="4" w:space="0"/>
              <w:right w:val="single" w:color="auto" w:sz="4" w:space="0"/>
            </w:tcBorders>
            <w:shd w:val="clear" w:color="auto" w:fill="auto"/>
            <w:vAlign w:val="center"/>
          </w:tcPr>
          <w:p w14:paraId="29771D3B">
            <w:pPr>
              <w:rPr>
                <w:rFonts w:hint="eastAsia" w:ascii="仿宋" w:hAnsi="仿宋" w:eastAsia="仿宋" w:cs="仿宋"/>
                <w:sz w:val="24"/>
                <w:szCs w:val="24"/>
              </w:rPr>
            </w:pPr>
            <w:r>
              <w:rPr>
                <w:rFonts w:hint="eastAsia" w:ascii="仿宋" w:hAnsi="仿宋" w:eastAsia="仿宋" w:cs="仿宋"/>
                <w:sz w:val="24"/>
                <w:szCs w:val="24"/>
              </w:rPr>
              <w:t>供应商提供2023年1月1日（含）以来类似安全设备类项目的业绩证明，每有一个类似项目业绩得1.5分，最高得6分。</w:t>
            </w:r>
          </w:p>
          <w:p w14:paraId="75B37C26">
            <w:pPr>
              <w:rPr>
                <w:rFonts w:hint="eastAsia" w:ascii="仿宋" w:hAnsi="仿宋" w:eastAsia="仿宋" w:cs="仿宋"/>
                <w:sz w:val="24"/>
                <w:szCs w:val="24"/>
              </w:rPr>
            </w:pPr>
            <w:r>
              <w:rPr>
                <w:rFonts w:hint="eastAsia" w:ascii="仿宋" w:hAnsi="仿宋" w:eastAsia="仿宋" w:cs="仿宋"/>
                <w:sz w:val="24"/>
                <w:szCs w:val="24"/>
              </w:rPr>
              <w:t>注：提供采购合同关键页（至少合同首页、建设内容、金额、签字盖章页）材料复印件，并加盖供应商单位公章，缺项或不提供的不得分。</w:t>
            </w:r>
          </w:p>
        </w:tc>
        <w:tc>
          <w:tcPr>
            <w:tcW w:w="862" w:type="dxa"/>
            <w:tcBorders>
              <w:top w:val="single" w:color="auto" w:sz="4" w:space="0"/>
              <w:left w:val="single" w:color="auto" w:sz="4" w:space="0"/>
              <w:bottom w:val="single" w:color="auto" w:sz="4" w:space="0"/>
              <w:right w:val="single" w:color="auto" w:sz="4" w:space="0"/>
            </w:tcBorders>
            <w:vAlign w:val="center"/>
          </w:tcPr>
          <w:p w14:paraId="145DA261">
            <w:pPr>
              <w:rPr>
                <w:rFonts w:hint="eastAsia" w:ascii="仿宋" w:hAnsi="仿宋" w:eastAsia="仿宋" w:cs="仿宋"/>
                <w:sz w:val="24"/>
                <w:szCs w:val="24"/>
              </w:rPr>
            </w:pPr>
          </w:p>
        </w:tc>
      </w:tr>
    </w:tbl>
    <w:p w14:paraId="1E53B04C">
      <w:pPr>
        <w:rPr>
          <w:rFonts w:ascii="Times New Roman" w:hAnsi="Times New Roman" w:cs="Times New Roman"/>
        </w:rPr>
      </w:pPr>
      <w:r>
        <w:rPr>
          <w:rFonts w:ascii="Times New Roman" w:hAnsi="Times New Roman" w:cs="Times New Roman"/>
        </w:rPr>
        <w:br w:type="page"/>
      </w:r>
    </w:p>
    <w:p w14:paraId="1C42F2A8">
      <w:pPr>
        <w:rPr>
          <w:rFonts w:ascii="Times New Roman" w:hAnsi="Times New Roman" w:cs="Times New Roman"/>
        </w:rPr>
      </w:pPr>
    </w:p>
    <w:p w14:paraId="0B9F1C4B">
      <w:pPr>
        <w:pStyle w:val="3"/>
        <w:numPr>
          <w:ilvl w:val="0"/>
          <w:numId w:val="0"/>
        </w:numPr>
        <w:ind w:left="0" w:leftChars="0" w:firstLine="0" w:firstLineChars="0"/>
        <w:rPr>
          <w:rFonts w:ascii="Times New Roman" w:hAnsi="Times New Roman" w:cs="Times New Roman"/>
        </w:rPr>
      </w:pPr>
      <w:bookmarkStart w:id="21" w:name="_Toc22827"/>
      <w:bookmarkStart w:id="22" w:name="_Toc28171"/>
      <w:bookmarkStart w:id="23"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29819"/>
      <w:bookmarkStart w:id="25" w:name="_Toc5913"/>
      <w:bookmarkStart w:id="26" w:name="_Toc4960"/>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19851"/>
      <w:bookmarkStart w:id="28" w:name="_Toc9428"/>
      <w:bookmarkStart w:id="29" w:name="_Toc30609"/>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1544"/>
      <w:bookmarkStart w:id="31" w:name="_Toc9041"/>
      <w:bookmarkStart w:id="32" w:name="_Toc32352"/>
      <w:r>
        <w:rPr>
          <w:rFonts w:ascii="Times New Roman" w:hAnsi="Times New Roman" w:eastAsia="仿宋" w:cs="Times New Roman"/>
          <w:sz w:val="24"/>
          <w:szCs w:val="24"/>
        </w:rPr>
        <w:t>项目编号：</w:t>
      </w:r>
      <w:bookmarkEnd w:id="30"/>
      <w:bookmarkEnd w:id="31"/>
      <w:bookmarkEnd w:id="32"/>
    </w:p>
    <w:p w14:paraId="38C16EFF">
      <w:pP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包件号：</w:t>
      </w: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4097"/>
      <w:bookmarkStart w:id="34" w:name="_Toc21472"/>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1690"/>
      <w:bookmarkStart w:id="36" w:name="_Toc17163"/>
      <w:bookmarkStart w:id="37" w:name="_Toc24859"/>
      <w:bookmarkStart w:id="38" w:name="_Toc32749"/>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24123"/>
      <w:bookmarkStart w:id="40" w:name="_Toc17905"/>
      <w:bookmarkStart w:id="41" w:name="_Toc3558"/>
      <w:bookmarkStart w:id="42" w:name="_Toc6803"/>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135"/>
      <w:bookmarkStart w:id="44" w:name="_Toc27526"/>
      <w:bookmarkStart w:id="45" w:name="_Toc2989"/>
      <w:bookmarkStart w:id="46" w:name="_Toc5996"/>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2031"/>
      <w:bookmarkStart w:id="48" w:name="_Toc7233"/>
      <w:bookmarkStart w:id="49" w:name="_Toc19987"/>
      <w:bookmarkStart w:id="50" w:name="_Toc5056"/>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6482"/>
      <w:bookmarkStart w:id="52" w:name="_Toc14829"/>
      <w:bookmarkStart w:id="53" w:name="_Toc3023"/>
      <w:bookmarkStart w:id="54" w:name="_Toc16029"/>
      <w:bookmarkStart w:id="55" w:name="_Toc21519"/>
      <w:bookmarkStart w:id="56"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4"/>
        <w:ind w:firstLine="0"/>
      </w:pPr>
      <w:r>
        <w:t>承诺函</w:t>
      </w:r>
      <w:bookmarkEnd w:id="51"/>
      <w:bookmarkEnd w:id="52"/>
      <w:bookmarkEnd w:id="53"/>
      <w:bookmarkEnd w:id="54"/>
      <w:bookmarkEnd w:id="55"/>
      <w:bookmarkEnd w:id="56"/>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22676"/>
      <w:bookmarkStart w:id="58" w:name="_Toc4305"/>
      <w:bookmarkStart w:id="59" w:name="_Toc17857"/>
      <w:bookmarkStart w:id="60" w:name="_Toc30971"/>
      <w:bookmarkStart w:id="61" w:name="_Toc31838"/>
      <w:r>
        <w:rPr>
          <w:rFonts w:ascii="Times New Roman" w:hAnsi="Times New Roman" w:cs="Times New Roman"/>
        </w:rPr>
        <w:br w:type="page"/>
      </w:r>
    </w:p>
    <w:p w14:paraId="72845348">
      <w:pPr>
        <w:pStyle w:val="4"/>
        <w:ind w:firstLine="0"/>
      </w:pPr>
      <w:r>
        <w:t>具有独立承担民事责任的能力</w:t>
      </w:r>
      <w:bookmarkEnd w:id="57"/>
      <w:bookmarkEnd w:id="58"/>
      <w:bookmarkEnd w:id="59"/>
      <w:bookmarkEnd w:id="60"/>
      <w:bookmarkEnd w:id="61"/>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2"/>
          <w:szCs w:val="28"/>
        </w:rPr>
      </w:pPr>
      <w:r>
        <w:rPr>
          <w:bCs/>
        </w:rPr>
        <w:br w:type="page"/>
      </w:r>
      <w:bookmarkStart w:id="62" w:name="_Toc15613"/>
      <w:bookmarkStart w:id="63" w:name="_Toc27186"/>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706"/>
      <w:bookmarkStart w:id="66" w:name="_Toc25357"/>
      <w:bookmarkStart w:id="67" w:name="_Toc13904"/>
    </w:p>
    <w:p w14:paraId="76B8A196">
      <w:pPr>
        <w:pStyle w:val="4"/>
        <w:ind w:firstLine="0"/>
        <w:rPr>
          <w:szCs w:val="32"/>
        </w:rPr>
      </w:pPr>
      <w:bookmarkStart w:id="68" w:name="_Toc23146"/>
      <w:bookmarkStart w:id="69" w:name="_Toc15508"/>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70" w:name="_Toc20589"/>
      <w:bookmarkStart w:id="71" w:name="_Toc11351"/>
      <w:bookmarkStart w:id="72" w:name="_Toc25638"/>
      <w:bookmarkStart w:id="73" w:name="_Toc12015"/>
      <w:bookmarkStart w:id="74" w:name="_Toc15526"/>
      <w:bookmarkStart w:id="75" w:name="_Toc27661"/>
      <w:r>
        <w:rPr>
          <w:rStyle w:val="40"/>
          <w:b/>
        </w:rPr>
        <w:t>法定代表人身份证明书</w:t>
      </w:r>
      <w:bookmarkEnd w:id="70"/>
      <w:bookmarkEnd w:id="71"/>
      <w:bookmarkEnd w:id="72"/>
      <w:bookmarkEnd w:id="73"/>
      <w:bookmarkEnd w:id="74"/>
      <w:bookmarkEnd w:id="75"/>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6" w:name="_Toc2041"/>
      <w:bookmarkStart w:id="77" w:name="_Toc26969"/>
      <w:bookmarkStart w:id="78" w:name="_Toc23967"/>
      <w:bookmarkStart w:id="79" w:name="_Toc16435"/>
      <w:bookmarkStart w:id="80" w:name="_Toc12967"/>
      <w:bookmarkStart w:id="81" w:name="_Toc1074"/>
      <w:r>
        <w:rPr>
          <w:rStyle w:val="40"/>
          <w:b/>
        </w:rPr>
        <w:t>采购需求偏离表</w:t>
      </w:r>
      <w:bookmarkEnd w:id="76"/>
      <w:bookmarkEnd w:id="77"/>
      <w:bookmarkEnd w:id="78"/>
      <w:bookmarkEnd w:id="79"/>
      <w:bookmarkEnd w:id="80"/>
      <w:bookmarkEnd w:id="81"/>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82" w:name="_Toc1369"/>
      <w:bookmarkStart w:id="83" w:name="_Toc21082"/>
      <w:bookmarkStart w:id="84" w:name="_Toc24806"/>
      <w:bookmarkStart w:id="85" w:name="_Toc31686"/>
      <w:bookmarkStart w:id="86" w:name="_Toc26839"/>
      <w:bookmarkStart w:id="87" w:name="_Toc28634"/>
      <w:r>
        <w:rPr>
          <w:rStyle w:val="40"/>
          <w:b/>
        </w:rPr>
        <w:t>评分需要提供的证明材料</w:t>
      </w:r>
      <w:bookmarkEnd w:id="82"/>
      <w:bookmarkEnd w:id="83"/>
      <w:bookmarkEnd w:id="84"/>
      <w:bookmarkEnd w:id="85"/>
      <w:bookmarkEnd w:id="86"/>
      <w:bookmarkEnd w:id="87"/>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871"/>
      <w:bookmarkStart w:id="89" w:name="_Toc24494"/>
      <w:bookmarkStart w:id="90" w:name="_Toc32605"/>
    </w:p>
    <w:p w14:paraId="1483D64D">
      <w:pPr>
        <w:pStyle w:val="4"/>
        <w:ind w:firstLine="0"/>
        <w:rPr>
          <w:highlight w:val="none"/>
        </w:rPr>
      </w:pPr>
      <w:bookmarkStart w:id="91" w:name="_Toc15065"/>
      <w:r>
        <w:rPr>
          <w:highlight w:val="none"/>
        </w:rPr>
        <w:t>报价单</w:t>
      </w:r>
      <w:bookmarkEnd w:id="91"/>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2"/>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2"/>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2"/>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包1：</w:t>
      </w:r>
    </w:p>
    <w:p w14:paraId="53D1A6BA">
      <w:pPr>
        <w:pStyle w:val="2"/>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88"/>
        <w:gridCol w:w="4514"/>
        <w:gridCol w:w="3945"/>
      </w:tblGrid>
      <w:tr w14:paraId="1CB81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388" w:type="dxa"/>
            <w:shd w:val="clear" w:color="auto" w:fill="auto"/>
            <w:tcMar>
              <w:top w:w="0" w:type="dxa"/>
              <w:left w:w="105" w:type="dxa"/>
              <w:bottom w:w="0" w:type="dxa"/>
              <w:right w:w="105" w:type="dxa"/>
            </w:tcMar>
            <w:vAlign w:val="center"/>
          </w:tcPr>
          <w:p w14:paraId="43DAF565">
            <w:pPr>
              <w:pStyle w:val="2"/>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4514" w:type="dxa"/>
            <w:shd w:val="clear" w:color="auto" w:fill="auto"/>
            <w:tcMar>
              <w:top w:w="0" w:type="dxa"/>
              <w:left w:w="105" w:type="dxa"/>
              <w:bottom w:w="0" w:type="dxa"/>
              <w:right w:w="105" w:type="dxa"/>
            </w:tcMar>
            <w:vAlign w:val="center"/>
          </w:tcPr>
          <w:p w14:paraId="07C8410C">
            <w:pPr>
              <w:pStyle w:val="2"/>
              <w:jc w:val="center"/>
              <w:rPr>
                <w:rFonts w:hint="eastAsia" w:ascii="仿宋" w:hAnsi="仿宋" w:eastAsia="仿宋" w:cs="仿宋"/>
                <w:b/>
                <w:bCs/>
                <w:sz w:val="24"/>
                <w:szCs w:val="24"/>
              </w:rPr>
            </w:pPr>
            <w:r>
              <w:rPr>
                <w:rFonts w:hint="eastAsia" w:ascii="仿宋" w:hAnsi="仿宋" w:eastAsia="仿宋" w:cs="仿宋"/>
                <w:b/>
                <w:bCs/>
                <w:sz w:val="24"/>
                <w:szCs w:val="24"/>
              </w:rPr>
              <w:t>名称</w:t>
            </w:r>
          </w:p>
        </w:tc>
        <w:tc>
          <w:tcPr>
            <w:tcW w:w="3945" w:type="dxa"/>
            <w:shd w:val="clear" w:color="auto" w:fill="auto"/>
            <w:tcMar>
              <w:top w:w="0" w:type="dxa"/>
              <w:left w:w="105" w:type="dxa"/>
              <w:bottom w:w="0" w:type="dxa"/>
              <w:right w:w="105" w:type="dxa"/>
            </w:tcMar>
            <w:vAlign w:val="center"/>
          </w:tcPr>
          <w:p w14:paraId="02A94A01">
            <w:pPr>
              <w:pStyle w:val="2"/>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总价（元）</w:t>
            </w:r>
          </w:p>
        </w:tc>
      </w:tr>
      <w:tr w14:paraId="3218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388" w:type="dxa"/>
            <w:shd w:val="clear" w:color="auto" w:fill="auto"/>
            <w:tcMar>
              <w:top w:w="0" w:type="dxa"/>
              <w:left w:w="105" w:type="dxa"/>
              <w:bottom w:w="0" w:type="dxa"/>
              <w:right w:w="105" w:type="dxa"/>
            </w:tcMar>
            <w:vAlign w:val="center"/>
          </w:tcPr>
          <w:p w14:paraId="79C5AC81">
            <w:pPr>
              <w:pStyle w:val="2"/>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1</w:t>
            </w:r>
          </w:p>
        </w:tc>
        <w:tc>
          <w:tcPr>
            <w:tcW w:w="4514" w:type="dxa"/>
            <w:shd w:val="clear" w:color="auto" w:fill="auto"/>
            <w:tcMar>
              <w:top w:w="0" w:type="dxa"/>
              <w:left w:w="105" w:type="dxa"/>
              <w:bottom w:w="0" w:type="dxa"/>
              <w:right w:w="105" w:type="dxa"/>
            </w:tcMar>
            <w:vAlign w:val="center"/>
          </w:tcPr>
          <w:p w14:paraId="21CA722C">
            <w:pPr>
              <w:pStyle w:val="2"/>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软件一套及相关服务</w:t>
            </w:r>
          </w:p>
        </w:tc>
        <w:tc>
          <w:tcPr>
            <w:tcW w:w="3945" w:type="dxa"/>
            <w:shd w:val="clear" w:color="auto" w:fill="auto"/>
            <w:tcMar>
              <w:top w:w="0" w:type="dxa"/>
              <w:left w:w="105" w:type="dxa"/>
              <w:bottom w:w="0" w:type="dxa"/>
              <w:right w:w="105" w:type="dxa"/>
            </w:tcMar>
            <w:vAlign w:val="center"/>
          </w:tcPr>
          <w:p w14:paraId="177A2FCE">
            <w:pPr>
              <w:pStyle w:val="2"/>
              <w:jc w:val="center"/>
              <w:rPr>
                <w:rFonts w:hint="eastAsia" w:ascii="仿宋" w:hAnsi="仿宋" w:eastAsia="仿宋" w:cs="仿宋"/>
                <w:b w:val="0"/>
                <w:bCs w:val="0"/>
                <w:sz w:val="24"/>
                <w:szCs w:val="24"/>
              </w:rPr>
            </w:pPr>
          </w:p>
        </w:tc>
      </w:tr>
      <w:tr w14:paraId="53B7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1388" w:type="dxa"/>
            <w:shd w:val="clear" w:color="auto" w:fill="auto"/>
            <w:tcMar>
              <w:top w:w="0" w:type="dxa"/>
              <w:left w:w="105" w:type="dxa"/>
              <w:bottom w:w="0" w:type="dxa"/>
              <w:right w:w="105" w:type="dxa"/>
            </w:tcMar>
            <w:vAlign w:val="center"/>
          </w:tcPr>
          <w:p w14:paraId="65E16DE8">
            <w:pPr>
              <w:pStyle w:val="2"/>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合计</w:t>
            </w:r>
          </w:p>
        </w:tc>
        <w:tc>
          <w:tcPr>
            <w:tcW w:w="8459" w:type="dxa"/>
            <w:gridSpan w:val="2"/>
            <w:shd w:val="clear" w:color="auto" w:fill="auto"/>
            <w:tcMar>
              <w:top w:w="0" w:type="dxa"/>
              <w:left w:w="105" w:type="dxa"/>
              <w:bottom w:w="0" w:type="dxa"/>
              <w:right w:w="105" w:type="dxa"/>
            </w:tcMar>
            <w:vAlign w:val="center"/>
          </w:tcPr>
          <w:p w14:paraId="673DD6B0">
            <w:pPr>
              <w:pStyle w:val="2"/>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大写：                 小写：</w:t>
            </w:r>
          </w:p>
        </w:tc>
      </w:tr>
    </w:tbl>
    <w:p w14:paraId="56EFFCBA">
      <w:pPr>
        <w:pStyle w:val="2"/>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2.服务期：第一次验收合格之日起，提供</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年。</w:t>
      </w:r>
    </w:p>
    <w:p w14:paraId="0F7E4EA1">
      <w:pPr>
        <w:pStyle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包2：</w:t>
      </w:r>
    </w:p>
    <w:p w14:paraId="2534619A">
      <w:pPr>
        <w:widowControl/>
        <w:jc w:val="left"/>
        <w:rPr>
          <w:rFonts w:hint="eastAsia" w:ascii="仿宋" w:hAnsi="仿宋" w:eastAsia="仿宋" w:cs="仿宋"/>
          <w:b/>
          <w:bCs/>
          <w:sz w:val="24"/>
          <w:szCs w:val="24"/>
          <w:lang w:val="zh-TW"/>
        </w:rPr>
      </w:pPr>
      <w:r>
        <w:rPr>
          <w:rFonts w:hint="eastAsia" w:ascii="仿宋" w:hAnsi="仿宋" w:eastAsia="仿宋" w:cs="仿宋"/>
          <w:b/>
          <w:bCs/>
          <w:sz w:val="24"/>
          <w:szCs w:val="24"/>
          <w:lang w:val="zh-TW"/>
        </w:rPr>
        <w:t>1.报价一览表</w:t>
      </w:r>
    </w:p>
    <w:tbl>
      <w:tblPr>
        <w:tblStyle w:val="1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63"/>
        <w:gridCol w:w="1634"/>
        <w:gridCol w:w="1223"/>
        <w:gridCol w:w="1223"/>
        <w:gridCol w:w="1223"/>
        <w:gridCol w:w="1223"/>
        <w:gridCol w:w="1223"/>
        <w:gridCol w:w="1223"/>
      </w:tblGrid>
      <w:tr w14:paraId="37E2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864" w:type="dxa"/>
            <w:shd w:val="clear" w:color="auto" w:fill="auto"/>
            <w:tcMar>
              <w:top w:w="0" w:type="dxa"/>
              <w:left w:w="105" w:type="dxa"/>
              <w:bottom w:w="0" w:type="dxa"/>
              <w:right w:w="105" w:type="dxa"/>
            </w:tcMar>
            <w:vAlign w:val="center"/>
          </w:tcPr>
          <w:p w14:paraId="3D743C35">
            <w:pPr>
              <w:widowControl/>
              <w:jc w:val="center"/>
              <w:rPr>
                <w:rFonts w:hint="eastAsia" w:ascii="Times New Roman" w:hAnsi="Times New Roman" w:eastAsia="仿宋" w:cs="Times New Roman"/>
                <w:b/>
                <w:bCs/>
                <w:szCs w:val="21"/>
                <w:lang w:val="zh-TW"/>
              </w:rPr>
            </w:pPr>
            <w:r>
              <w:rPr>
                <w:rFonts w:hint="eastAsia" w:ascii="Times New Roman" w:hAnsi="Times New Roman" w:eastAsia="仿宋" w:cs="Times New Roman"/>
                <w:b/>
                <w:bCs/>
                <w:szCs w:val="21"/>
                <w:lang w:val="zh-TW"/>
              </w:rPr>
              <w:t>序号</w:t>
            </w:r>
          </w:p>
        </w:tc>
        <w:tc>
          <w:tcPr>
            <w:tcW w:w="1635" w:type="dxa"/>
            <w:shd w:val="clear" w:color="auto" w:fill="auto"/>
            <w:tcMar>
              <w:top w:w="0" w:type="dxa"/>
              <w:left w:w="105" w:type="dxa"/>
              <w:bottom w:w="0" w:type="dxa"/>
              <w:right w:w="105" w:type="dxa"/>
            </w:tcMar>
            <w:vAlign w:val="center"/>
          </w:tcPr>
          <w:p w14:paraId="06BF2847">
            <w:pPr>
              <w:widowControl/>
              <w:jc w:val="center"/>
              <w:rPr>
                <w:rFonts w:hint="eastAsia" w:ascii="Times New Roman" w:hAnsi="Times New Roman" w:eastAsia="仿宋" w:cs="Times New Roman"/>
                <w:b/>
                <w:bCs/>
                <w:szCs w:val="21"/>
                <w:lang w:val="zh-TW"/>
              </w:rPr>
            </w:pPr>
            <w:r>
              <w:rPr>
                <w:rFonts w:hint="eastAsia" w:ascii="Times New Roman" w:hAnsi="Times New Roman" w:eastAsia="仿宋" w:cs="Times New Roman"/>
                <w:b/>
                <w:bCs/>
                <w:szCs w:val="21"/>
                <w:lang w:val="zh-TW"/>
              </w:rPr>
              <w:t>名称</w:t>
            </w:r>
          </w:p>
        </w:tc>
        <w:tc>
          <w:tcPr>
            <w:tcW w:w="1223" w:type="dxa"/>
            <w:shd w:val="clear" w:color="auto" w:fill="auto"/>
            <w:tcMar>
              <w:top w:w="0" w:type="dxa"/>
              <w:left w:w="105" w:type="dxa"/>
              <w:bottom w:w="0" w:type="dxa"/>
              <w:right w:w="105" w:type="dxa"/>
            </w:tcMar>
            <w:vAlign w:val="center"/>
          </w:tcPr>
          <w:p w14:paraId="61738AF3">
            <w:pPr>
              <w:widowControl/>
              <w:jc w:val="center"/>
              <w:rPr>
                <w:rFonts w:hint="eastAsia" w:ascii="Times New Roman" w:hAnsi="Times New Roman" w:eastAsia="仿宋" w:cs="Times New Roman"/>
                <w:b/>
                <w:bCs/>
                <w:szCs w:val="21"/>
                <w:lang w:val="zh-TW"/>
              </w:rPr>
            </w:pPr>
            <w:r>
              <w:rPr>
                <w:rFonts w:hint="eastAsia" w:ascii="Times New Roman" w:hAnsi="Times New Roman" w:eastAsia="仿宋" w:cs="Times New Roman"/>
                <w:b/>
                <w:bCs/>
                <w:szCs w:val="21"/>
                <w:lang w:val="zh-TW"/>
              </w:rPr>
              <w:t>数量</w:t>
            </w:r>
          </w:p>
        </w:tc>
        <w:tc>
          <w:tcPr>
            <w:tcW w:w="1223" w:type="dxa"/>
            <w:shd w:val="clear" w:color="auto" w:fill="auto"/>
            <w:tcMar>
              <w:top w:w="0" w:type="dxa"/>
              <w:left w:w="105" w:type="dxa"/>
              <w:bottom w:w="0" w:type="dxa"/>
              <w:right w:w="105" w:type="dxa"/>
            </w:tcMar>
            <w:vAlign w:val="center"/>
          </w:tcPr>
          <w:p w14:paraId="5D3B5F1D">
            <w:pPr>
              <w:widowControl/>
              <w:jc w:val="center"/>
              <w:rPr>
                <w:rFonts w:hint="eastAsia" w:ascii="Times New Roman" w:hAnsi="Times New Roman" w:eastAsia="仿宋" w:cs="Times New Roman"/>
                <w:b/>
                <w:bCs/>
                <w:szCs w:val="21"/>
                <w:lang w:val="zh-TW"/>
              </w:rPr>
            </w:pPr>
            <w:r>
              <w:rPr>
                <w:rFonts w:hint="eastAsia" w:ascii="Times New Roman" w:hAnsi="Times New Roman" w:eastAsia="仿宋" w:cs="Times New Roman"/>
                <w:b/>
                <w:bCs/>
                <w:szCs w:val="21"/>
                <w:lang w:val="zh-TW"/>
              </w:rPr>
              <w:t>单位</w:t>
            </w:r>
          </w:p>
        </w:tc>
        <w:tc>
          <w:tcPr>
            <w:tcW w:w="1223" w:type="dxa"/>
            <w:shd w:val="clear" w:color="auto" w:fill="auto"/>
            <w:tcMar>
              <w:top w:w="0" w:type="dxa"/>
              <w:left w:w="105" w:type="dxa"/>
              <w:bottom w:w="0" w:type="dxa"/>
              <w:right w:w="105" w:type="dxa"/>
            </w:tcMar>
            <w:vAlign w:val="center"/>
          </w:tcPr>
          <w:p w14:paraId="2D5F3BD3">
            <w:pPr>
              <w:widowControl/>
              <w:jc w:val="center"/>
              <w:rPr>
                <w:rFonts w:hint="eastAsia" w:ascii="Times New Roman" w:hAnsi="Times New Roman" w:eastAsia="仿宋" w:cs="Times New Roman"/>
                <w:b/>
                <w:bCs/>
                <w:kern w:val="2"/>
                <w:sz w:val="21"/>
                <w:szCs w:val="21"/>
                <w:lang w:val="zh-TW" w:eastAsia="zh-CN" w:bidi="ar-SA"/>
              </w:rPr>
            </w:pPr>
            <w:r>
              <w:rPr>
                <w:rFonts w:hint="eastAsia" w:ascii="Times New Roman" w:hAnsi="Times New Roman" w:eastAsia="仿宋" w:cs="Times New Roman"/>
                <w:b/>
                <w:bCs/>
                <w:szCs w:val="21"/>
                <w:lang w:val="en-US" w:eastAsia="zh-CN"/>
              </w:rPr>
              <w:t>生产厂家/品牌</w:t>
            </w:r>
          </w:p>
        </w:tc>
        <w:tc>
          <w:tcPr>
            <w:tcW w:w="1223" w:type="dxa"/>
            <w:shd w:val="clear" w:color="auto" w:fill="auto"/>
            <w:tcMar>
              <w:top w:w="0" w:type="dxa"/>
              <w:left w:w="105" w:type="dxa"/>
              <w:bottom w:w="0" w:type="dxa"/>
              <w:right w:w="105" w:type="dxa"/>
            </w:tcMar>
            <w:vAlign w:val="center"/>
          </w:tcPr>
          <w:p w14:paraId="1E21DF6E">
            <w:pPr>
              <w:widowControl/>
              <w:jc w:val="center"/>
              <w:rPr>
                <w:rFonts w:hint="default" w:ascii="Times New Roman" w:hAnsi="Times New Roman" w:eastAsia="仿宋" w:cs="Times New Roman"/>
                <w:b/>
                <w:bCs/>
                <w:kern w:val="2"/>
                <w:sz w:val="21"/>
                <w:szCs w:val="21"/>
                <w:lang w:val="en-US" w:eastAsia="zh-CN" w:bidi="ar-SA"/>
              </w:rPr>
            </w:pPr>
            <w:r>
              <w:rPr>
                <w:rFonts w:hint="eastAsia" w:ascii="Times New Roman" w:hAnsi="Times New Roman" w:eastAsia="仿宋" w:cs="Times New Roman"/>
                <w:b/>
                <w:bCs/>
                <w:szCs w:val="21"/>
                <w:lang w:val="en-US" w:eastAsia="zh-CN"/>
              </w:rPr>
              <w:t>规格/型号</w:t>
            </w:r>
          </w:p>
        </w:tc>
        <w:tc>
          <w:tcPr>
            <w:tcW w:w="1223" w:type="dxa"/>
            <w:shd w:val="clear" w:color="auto" w:fill="auto"/>
            <w:tcMar>
              <w:top w:w="0" w:type="dxa"/>
              <w:left w:w="105" w:type="dxa"/>
              <w:bottom w:w="0" w:type="dxa"/>
              <w:right w:w="105" w:type="dxa"/>
            </w:tcMar>
            <w:vAlign w:val="center"/>
          </w:tcPr>
          <w:p w14:paraId="484B4556">
            <w:pPr>
              <w:widowControl/>
              <w:jc w:val="center"/>
              <w:rPr>
                <w:rFonts w:hint="default" w:ascii="Times New Roman" w:hAnsi="Times New Roman" w:eastAsia="仿宋" w:cs="Times New Roman"/>
                <w:b/>
                <w:bCs/>
                <w:kern w:val="2"/>
                <w:sz w:val="21"/>
                <w:szCs w:val="21"/>
                <w:lang w:val="en-US" w:eastAsia="zh-CN" w:bidi="ar-SA"/>
              </w:rPr>
            </w:pPr>
            <w:r>
              <w:rPr>
                <w:rFonts w:hint="eastAsia" w:ascii="Times New Roman" w:hAnsi="Times New Roman" w:eastAsia="仿宋" w:cs="Times New Roman"/>
                <w:b/>
                <w:bCs/>
                <w:szCs w:val="21"/>
                <w:lang w:val="en-US" w:eastAsia="zh-CN"/>
              </w:rPr>
              <w:t>单价</w:t>
            </w:r>
            <w:r>
              <w:rPr>
                <w:rFonts w:hint="eastAsia" w:ascii="Times New Roman" w:hAnsi="Times New Roman" w:eastAsia="仿宋" w:cs="Times New Roman"/>
                <w:b/>
                <w:bCs/>
                <w:szCs w:val="21"/>
                <w:lang w:val="zh-TW" w:eastAsia="zh-CN"/>
              </w:rPr>
              <w:t>（元）</w:t>
            </w:r>
          </w:p>
        </w:tc>
        <w:tc>
          <w:tcPr>
            <w:tcW w:w="1223" w:type="dxa"/>
            <w:shd w:val="clear" w:color="auto" w:fill="auto"/>
            <w:tcMar>
              <w:top w:w="0" w:type="dxa"/>
              <w:left w:w="105" w:type="dxa"/>
              <w:bottom w:w="0" w:type="dxa"/>
              <w:right w:w="105" w:type="dxa"/>
            </w:tcMar>
            <w:vAlign w:val="center"/>
          </w:tcPr>
          <w:p w14:paraId="07CEB098">
            <w:pPr>
              <w:widowControl/>
              <w:jc w:val="center"/>
              <w:rPr>
                <w:rFonts w:hint="default" w:ascii="Times New Roman" w:hAnsi="Times New Roman" w:eastAsia="仿宋" w:cs="Times New Roman"/>
                <w:b/>
                <w:bCs/>
                <w:kern w:val="2"/>
                <w:sz w:val="21"/>
                <w:szCs w:val="21"/>
                <w:lang w:val="en-US" w:eastAsia="zh-CN" w:bidi="ar-SA"/>
              </w:rPr>
            </w:pPr>
            <w:r>
              <w:rPr>
                <w:rFonts w:hint="eastAsia" w:ascii="Times New Roman" w:hAnsi="Times New Roman" w:eastAsia="仿宋" w:cs="Times New Roman"/>
                <w:b/>
                <w:bCs/>
                <w:szCs w:val="21"/>
                <w:lang w:val="en-US" w:eastAsia="zh-CN"/>
              </w:rPr>
              <w:t>总价（元）</w:t>
            </w:r>
          </w:p>
        </w:tc>
      </w:tr>
      <w:tr w14:paraId="52709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64" w:type="dxa"/>
            <w:shd w:val="clear" w:color="auto" w:fill="auto"/>
            <w:tcMar>
              <w:top w:w="0" w:type="dxa"/>
              <w:left w:w="105" w:type="dxa"/>
              <w:bottom w:w="0" w:type="dxa"/>
              <w:right w:w="105" w:type="dxa"/>
            </w:tcMar>
            <w:vAlign w:val="center"/>
          </w:tcPr>
          <w:p w14:paraId="2960524E">
            <w:pPr>
              <w:jc w:val="center"/>
              <w:rPr>
                <w:rFonts w:hint="eastAsia" w:ascii="Times New Roman" w:hAnsi="Times New Roman" w:eastAsia="仿宋" w:cs="Times New Roman"/>
                <w:szCs w:val="21"/>
                <w:lang w:val="zh-TW" w:eastAsia="zh-CN"/>
              </w:rPr>
            </w:pPr>
            <w:r>
              <w:rPr>
                <w:rFonts w:hint="eastAsia" w:ascii="仿宋" w:hAnsi="仿宋" w:eastAsia="仿宋" w:cs="仿宋"/>
                <w:sz w:val="24"/>
                <w:szCs w:val="24"/>
                <w:lang w:val="en-US" w:eastAsia="zh-CN"/>
              </w:rPr>
              <w:t>1</w:t>
            </w:r>
          </w:p>
        </w:tc>
        <w:tc>
          <w:tcPr>
            <w:tcW w:w="1635" w:type="dxa"/>
            <w:shd w:val="clear" w:color="auto" w:fill="auto"/>
            <w:tcMar>
              <w:top w:w="0" w:type="dxa"/>
              <w:left w:w="105" w:type="dxa"/>
              <w:bottom w:w="0" w:type="dxa"/>
              <w:right w:w="105" w:type="dxa"/>
            </w:tcMar>
            <w:vAlign w:val="center"/>
          </w:tcPr>
          <w:p w14:paraId="3C40802B">
            <w:pPr>
              <w:jc w:val="center"/>
              <w:rPr>
                <w:rFonts w:hint="eastAsia" w:ascii="Times New Roman" w:hAnsi="Times New Roman" w:eastAsia="仿宋" w:cs="Times New Roman"/>
                <w:szCs w:val="21"/>
                <w:lang w:val="zh-TW"/>
              </w:rPr>
            </w:pPr>
            <w:r>
              <w:rPr>
                <w:rFonts w:hint="eastAsia" w:ascii="仿宋" w:hAnsi="仿宋" w:eastAsia="仿宋" w:cs="仿宋"/>
                <w:sz w:val="24"/>
                <w:szCs w:val="24"/>
                <w:lang w:val="en-US" w:eastAsia="zh-CN"/>
              </w:rPr>
              <w:t>2路</w:t>
            </w:r>
            <w:r>
              <w:rPr>
                <w:rFonts w:hint="eastAsia" w:ascii="仿宋" w:hAnsi="仿宋" w:eastAsia="仿宋" w:cs="仿宋"/>
                <w:sz w:val="24"/>
                <w:szCs w:val="24"/>
              </w:rPr>
              <w:t>服务器</w:t>
            </w:r>
          </w:p>
        </w:tc>
        <w:tc>
          <w:tcPr>
            <w:tcW w:w="1223" w:type="dxa"/>
            <w:shd w:val="clear" w:color="auto" w:fill="auto"/>
            <w:tcMar>
              <w:top w:w="0" w:type="dxa"/>
              <w:left w:w="105" w:type="dxa"/>
              <w:bottom w:w="0" w:type="dxa"/>
              <w:right w:w="105" w:type="dxa"/>
            </w:tcMar>
            <w:vAlign w:val="center"/>
          </w:tcPr>
          <w:p w14:paraId="5EDD0A50">
            <w:pPr>
              <w:jc w:val="center"/>
              <w:rPr>
                <w:rFonts w:hint="eastAsia" w:ascii="Times New Roman" w:hAnsi="Times New Roman" w:eastAsia="仿宋" w:cs="Times New Roman"/>
                <w:szCs w:val="21"/>
                <w:lang w:val="zh-TW"/>
              </w:rPr>
            </w:pPr>
            <w:r>
              <w:rPr>
                <w:rFonts w:hint="eastAsia" w:ascii="仿宋" w:hAnsi="仿宋" w:eastAsia="仿宋" w:cs="仿宋"/>
                <w:sz w:val="24"/>
                <w:szCs w:val="24"/>
                <w:lang w:val="en-US" w:eastAsia="zh-CN"/>
              </w:rPr>
              <w:t>2</w:t>
            </w:r>
          </w:p>
        </w:tc>
        <w:tc>
          <w:tcPr>
            <w:tcW w:w="1223" w:type="dxa"/>
            <w:shd w:val="clear" w:color="auto" w:fill="auto"/>
            <w:tcMar>
              <w:top w:w="0" w:type="dxa"/>
              <w:left w:w="105" w:type="dxa"/>
              <w:bottom w:w="0" w:type="dxa"/>
              <w:right w:w="105" w:type="dxa"/>
            </w:tcMar>
            <w:vAlign w:val="center"/>
          </w:tcPr>
          <w:p w14:paraId="66C1B6E9">
            <w:pPr>
              <w:jc w:val="center"/>
              <w:rPr>
                <w:rFonts w:hint="eastAsia" w:ascii="Times New Roman" w:hAnsi="Times New Roman" w:eastAsia="仿宋" w:cs="Times New Roman"/>
                <w:szCs w:val="21"/>
                <w:lang w:val="zh-TW"/>
              </w:rPr>
            </w:pPr>
            <w:r>
              <w:rPr>
                <w:rFonts w:hint="eastAsia" w:ascii="仿宋" w:hAnsi="仿宋" w:eastAsia="仿宋" w:cs="仿宋"/>
                <w:sz w:val="24"/>
                <w:szCs w:val="24"/>
                <w:lang w:val="en-US" w:eastAsia="zh-CN"/>
              </w:rPr>
              <w:t>台</w:t>
            </w:r>
          </w:p>
        </w:tc>
        <w:tc>
          <w:tcPr>
            <w:tcW w:w="1223" w:type="dxa"/>
            <w:shd w:val="clear" w:color="auto" w:fill="auto"/>
            <w:tcMar>
              <w:top w:w="0" w:type="dxa"/>
              <w:left w:w="105" w:type="dxa"/>
              <w:bottom w:w="0" w:type="dxa"/>
              <w:right w:w="105" w:type="dxa"/>
            </w:tcMar>
            <w:vAlign w:val="center"/>
          </w:tcPr>
          <w:p w14:paraId="5F79A96B">
            <w:pPr>
              <w:widowControl/>
              <w:jc w:val="center"/>
              <w:rPr>
                <w:rFonts w:hint="eastAsia" w:ascii="Times New Roman" w:hAnsi="Times New Roman" w:eastAsia="仿宋" w:cs="Times New Roman"/>
                <w:szCs w:val="21"/>
                <w:lang w:val="zh-TW"/>
              </w:rPr>
            </w:pPr>
          </w:p>
        </w:tc>
        <w:tc>
          <w:tcPr>
            <w:tcW w:w="1223" w:type="dxa"/>
            <w:shd w:val="clear" w:color="auto" w:fill="auto"/>
            <w:tcMar>
              <w:top w:w="0" w:type="dxa"/>
              <w:left w:w="105" w:type="dxa"/>
              <w:bottom w:w="0" w:type="dxa"/>
              <w:right w:w="105" w:type="dxa"/>
            </w:tcMar>
            <w:vAlign w:val="center"/>
          </w:tcPr>
          <w:p w14:paraId="40B95BDE">
            <w:pPr>
              <w:widowControl/>
              <w:jc w:val="center"/>
              <w:rPr>
                <w:rFonts w:hint="eastAsia" w:ascii="Times New Roman" w:hAnsi="Times New Roman" w:eastAsia="仿宋" w:cs="Times New Roman"/>
                <w:szCs w:val="21"/>
                <w:lang w:val="zh-TW"/>
              </w:rPr>
            </w:pPr>
          </w:p>
        </w:tc>
        <w:tc>
          <w:tcPr>
            <w:tcW w:w="1223" w:type="dxa"/>
            <w:shd w:val="clear" w:color="auto" w:fill="auto"/>
            <w:tcMar>
              <w:top w:w="0" w:type="dxa"/>
              <w:left w:w="105" w:type="dxa"/>
              <w:bottom w:w="0" w:type="dxa"/>
              <w:right w:w="105" w:type="dxa"/>
            </w:tcMar>
            <w:vAlign w:val="center"/>
          </w:tcPr>
          <w:p w14:paraId="086ECF47">
            <w:pPr>
              <w:widowControl/>
              <w:jc w:val="center"/>
              <w:rPr>
                <w:rFonts w:hint="eastAsia" w:ascii="Times New Roman" w:hAnsi="Times New Roman" w:eastAsia="仿宋" w:cs="Times New Roman"/>
                <w:b/>
                <w:bCs/>
                <w:kern w:val="2"/>
                <w:sz w:val="21"/>
                <w:szCs w:val="21"/>
                <w:lang w:val="zh-TW" w:eastAsia="zh-CN" w:bidi="ar-SA"/>
              </w:rPr>
            </w:pPr>
          </w:p>
        </w:tc>
        <w:tc>
          <w:tcPr>
            <w:tcW w:w="1223" w:type="dxa"/>
            <w:shd w:val="clear" w:color="auto" w:fill="auto"/>
            <w:tcMar>
              <w:top w:w="0" w:type="dxa"/>
              <w:left w:w="105" w:type="dxa"/>
              <w:bottom w:w="0" w:type="dxa"/>
              <w:right w:w="105" w:type="dxa"/>
            </w:tcMar>
            <w:vAlign w:val="center"/>
          </w:tcPr>
          <w:p w14:paraId="2007DE52">
            <w:pPr>
              <w:widowControl/>
              <w:jc w:val="center"/>
              <w:rPr>
                <w:rFonts w:hint="eastAsia" w:ascii="Times New Roman" w:hAnsi="Times New Roman" w:eastAsia="仿宋" w:cs="Times New Roman"/>
                <w:b/>
                <w:bCs/>
                <w:kern w:val="2"/>
                <w:sz w:val="21"/>
                <w:szCs w:val="21"/>
                <w:lang w:val="zh-TW" w:eastAsia="zh-CN" w:bidi="ar-SA"/>
              </w:rPr>
            </w:pPr>
          </w:p>
        </w:tc>
      </w:tr>
      <w:tr w14:paraId="0BFE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64" w:type="dxa"/>
            <w:shd w:val="clear" w:color="auto" w:fill="auto"/>
            <w:tcMar>
              <w:top w:w="0" w:type="dxa"/>
              <w:left w:w="105" w:type="dxa"/>
              <w:bottom w:w="0" w:type="dxa"/>
              <w:right w:w="105" w:type="dxa"/>
            </w:tcMar>
            <w:vAlign w:val="center"/>
          </w:tcPr>
          <w:p w14:paraId="5E8E6EBA">
            <w:pPr>
              <w:widowControl/>
              <w:jc w:val="center"/>
              <w:rPr>
                <w:rFonts w:hint="default" w:ascii="Times New Roman" w:hAnsi="Times New Roman" w:eastAsia="仿宋" w:cs="Times New Roman"/>
                <w:szCs w:val="21"/>
                <w:lang w:val="zh-TW" w:eastAsia="zh-CN"/>
              </w:rPr>
            </w:pPr>
            <w:r>
              <w:rPr>
                <w:rFonts w:hint="eastAsia" w:ascii="Times New Roman" w:hAnsi="Times New Roman" w:eastAsia="仿宋" w:cs="Times New Roman"/>
                <w:szCs w:val="21"/>
                <w:lang w:val="zh-TW" w:eastAsia="zh-CN"/>
              </w:rPr>
              <w:t>合计</w:t>
            </w:r>
          </w:p>
        </w:tc>
        <w:tc>
          <w:tcPr>
            <w:tcW w:w="8973" w:type="dxa"/>
            <w:gridSpan w:val="7"/>
            <w:shd w:val="clear" w:color="auto" w:fill="auto"/>
            <w:tcMar>
              <w:top w:w="0" w:type="dxa"/>
              <w:left w:w="105" w:type="dxa"/>
              <w:bottom w:w="0" w:type="dxa"/>
              <w:right w:w="105" w:type="dxa"/>
            </w:tcMar>
            <w:vAlign w:val="center"/>
          </w:tcPr>
          <w:p w14:paraId="6E80A598">
            <w:pPr>
              <w:widowControl/>
              <w:jc w:val="center"/>
              <w:rPr>
                <w:rFonts w:hint="eastAsia" w:ascii="Times New Roman" w:hAnsi="Times New Roman" w:eastAsia="仿宋" w:cs="Times New Roman"/>
                <w:szCs w:val="21"/>
                <w:lang w:val="zh-TW" w:eastAsia="zh-CN"/>
              </w:rPr>
            </w:pPr>
            <w:r>
              <w:rPr>
                <w:rFonts w:hint="eastAsia" w:ascii="Times New Roman" w:hAnsi="Times New Roman" w:eastAsia="仿宋" w:cs="Times New Roman"/>
                <w:szCs w:val="21"/>
                <w:lang w:val="zh-TW" w:eastAsia="zh-CN"/>
              </w:rPr>
              <w:t>大写：                 小写：</w:t>
            </w:r>
          </w:p>
        </w:tc>
      </w:tr>
    </w:tbl>
    <w:p w14:paraId="3753CFEF">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2" w:name="_Toc14685"/>
      <w:bookmarkStart w:id="93" w:name="_Toc30002"/>
      <w:bookmarkStart w:id="94"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8"/>
      <w:bookmarkEnd w:id="89"/>
      <w:bookmarkEnd w:id="90"/>
      <w:bookmarkEnd w:id="92"/>
      <w:bookmarkEnd w:id="93"/>
      <w:bookmarkEnd w:id="94"/>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2F6A32C">
      <w:pPr>
        <w:widowControl w:val="0"/>
        <w:spacing w:line="360" w:lineRule="auto"/>
        <w:jc w:val="center"/>
        <w:rPr>
          <w:rFonts w:ascii="宋体" w:hAnsi="宋体" w:eastAsia="宋体" w:cs="宋体"/>
          <w:color w:val="000000"/>
          <w:kern w:val="0"/>
          <w:sz w:val="24"/>
          <w:szCs w:val="24"/>
        </w:rPr>
      </w:pPr>
      <w:r>
        <w:rPr>
          <w:rFonts w:hint="eastAsia" w:ascii="方正小标宋_GBK" w:hAnsi="方正小标宋_GBK" w:eastAsia="方正小标宋_GBK" w:cs="方正小标宋_GBK"/>
          <w:b w:val="0"/>
          <w:bCs/>
          <w:kern w:val="0"/>
          <w:sz w:val="44"/>
          <w:szCs w:val="44"/>
          <w:lang w:val="en-US" w:eastAsia="zh-CN" w:bidi="ar"/>
        </w:rPr>
        <w:t>合同</w:t>
      </w:r>
    </w:p>
    <w:p w14:paraId="431FE17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采购人（以下简称甲方）：四川省人民医院</w:t>
      </w:r>
    </w:p>
    <w:p w14:paraId="7C293E23">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地址：四川省成都市一环路西二段 32 号</w:t>
      </w:r>
    </w:p>
    <w:p w14:paraId="05CC556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1A8D609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联系人：                     电话： </w:t>
      </w:r>
    </w:p>
    <w:p w14:paraId="068ACC9A">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医学信息中心联系人：         电话：</w:t>
      </w:r>
    </w:p>
    <w:p w14:paraId="6D10F5B0">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p>
    <w:p w14:paraId="6D0A23BC">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乙方：中国农业银行股份有限公司成都光华支行</w:t>
      </w:r>
    </w:p>
    <w:p w14:paraId="4AEA55D5">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地址：四川省成都市小南街3号</w:t>
      </w:r>
    </w:p>
    <w:p w14:paraId="3203071B">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50772D08">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电话：028-63930892</w:t>
      </w:r>
    </w:p>
    <w:p w14:paraId="6803461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联系人：黄觅</w:t>
      </w:r>
    </w:p>
    <w:p w14:paraId="6889B89E">
      <w:pPr>
        <w:spacing w:line="480" w:lineRule="exact"/>
        <w:rPr>
          <w:rFonts w:ascii="宋体" w:hAnsi="宋体" w:eastAsia="宋体" w:cs="宋体"/>
          <w:color w:val="000000"/>
          <w:kern w:val="0"/>
          <w:sz w:val="24"/>
          <w:szCs w:val="24"/>
        </w:rPr>
      </w:pPr>
    </w:p>
    <w:p w14:paraId="5517C23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丙方：</w:t>
      </w:r>
    </w:p>
    <w:p w14:paraId="686EED1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w:t>
      </w:r>
    </w:p>
    <w:p w14:paraId="0A09A8F5">
      <w:pPr>
        <w:spacing w:line="480" w:lineRule="exact"/>
        <w:rPr>
          <w:rFonts w:ascii="Times New Roman" w:hAnsi="Times New Roman" w:eastAsia="宋体" w:cs="Times New Roman"/>
          <w:szCs w:val="21"/>
        </w:rPr>
      </w:pPr>
      <w:r>
        <w:rPr>
          <w:rFonts w:hint="eastAsia" w:ascii="宋体" w:hAnsi="宋体" w:eastAsia="宋体" w:cs="宋体"/>
          <w:color w:val="000000"/>
          <w:kern w:val="0"/>
          <w:sz w:val="24"/>
          <w:szCs w:val="24"/>
        </w:rPr>
        <w:t>法定代表人：</w:t>
      </w:r>
    </w:p>
    <w:p w14:paraId="5A030D46">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移动电话：</w:t>
      </w:r>
    </w:p>
    <w:p w14:paraId="26129503">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7962724F">
      <w:pPr>
        <w:spacing w:line="360" w:lineRule="auto"/>
        <w:rPr>
          <w:rFonts w:ascii="Times New Roman" w:hAnsi="Times New Roman" w:eastAsia="宋体" w:cs="Times New Roman"/>
          <w:sz w:val="24"/>
          <w:szCs w:val="24"/>
        </w:rPr>
      </w:pPr>
    </w:p>
    <w:p w14:paraId="560C103A">
      <w:pPr>
        <w:widowControl/>
        <w:ind w:firstLine="480" w:firstLineChars="200"/>
        <w:jc w:val="left"/>
        <w:rPr>
          <w:rFonts w:ascii="Times New Roman" w:hAnsi="Times New Roman" w:eastAsia="宋体" w:cs="Times New Roman"/>
          <w:sz w:val="24"/>
          <w:szCs w:val="24"/>
        </w:rPr>
      </w:pPr>
      <w:r>
        <w:rPr>
          <w:rFonts w:hint="eastAsia" w:ascii="宋体" w:hAnsi="宋体" w:eastAsia="宋体" w:cs="宋体"/>
          <w:color w:val="000000"/>
          <w:kern w:val="0"/>
          <w:sz w:val="24"/>
          <w:szCs w:val="24"/>
        </w:rPr>
        <w:t>甲乙丙三方确认就“”采购项目（项目编号：）甲方向丙方购买本合同中写明的货物</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eastAsia="宋体" w:cs="宋体"/>
          <w:color w:val="000000"/>
          <w:kern w:val="0"/>
          <w:sz w:val="24"/>
          <w:szCs w:val="24"/>
        </w:rPr>
        <w:t>以下</w:t>
      </w:r>
      <w:r>
        <w:rPr>
          <w:rFonts w:hint="eastAsia" w:ascii="宋体" w:hAnsi="宋体" w:eastAsia="宋体" w:cs="宋体"/>
          <w:color w:val="000000"/>
          <w:kern w:val="0"/>
          <w:sz w:val="24"/>
          <w:szCs w:val="24"/>
        </w:rPr>
        <w:t>条款。</w:t>
      </w:r>
    </w:p>
    <w:p w14:paraId="03EE95D3">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一、项目内容</w:t>
      </w:r>
    </w:p>
    <w:tbl>
      <w:tblPr>
        <w:tblStyle w:val="18"/>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459"/>
        <w:gridCol w:w="1024"/>
        <w:gridCol w:w="851"/>
        <w:gridCol w:w="1337"/>
        <w:gridCol w:w="731"/>
        <w:gridCol w:w="1215"/>
        <w:gridCol w:w="1215"/>
        <w:gridCol w:w="1095"/>
        <w:gridCol w:w="918"/>
      </w:tblGrid>
      <w:tr w14:paraId="7A2CA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3ED67F3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520" w:type="pct"/>
            <w:tcBorders>
              <w:top w:val="single" w:color="auto" w:sz="4" w:space="0"/>
              <w:left w:val="single" w:color="auto" w:sz="4" w:space="0"/>
              <w:bottom w:val="single" w:color="auto" w:sz="4" w:space="0"/>
              <w:right w:val="single" w:color="auto" w:sz="4" w:space="0"/>
            </w:tcBorders>
            <w:vAlign w:val="center"/>
          </w:tcPr>
          <w:p w14:paraId="31208C08">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品牌</w:t>
            </w:r>
          </w:p>
        </w:tc>
        <w:tc>
          <w:tcPr>
            <w:tcW w:w="432" w:type="pct"/>
            <w:tcBorders>
              <w:top w:val="single" w:color="auto" w:sz="4" w:space="0"/>
              <w:left w:val="single" w:color="auto" w:sz="4" w:space="0"/>
              <w:bottom w:val="single" w:color="auto" w:sz="4" w:space="0"/>
              <w:right w:val="single" w:color="auto" w:sz="4" w:space="0"/>
            </w:tcBorders>
            <w:vAlign w:val="center"/>
          </w:tcPr>
          <w:p w14:paraId="2B2574FA">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产地</w:t>
            </w:r>
          </w:p>
        </w:tc>
        <w:tc>
          <w:tcPr>
            <w:tcW w:w="679" w:type="pct"/>
            <w:tcBorders>
              <w:top w:val="single" w:color="auto" w:sz="4" w:space="0"/>
              <w:left w:val="single" w:color="auto" w:sz="4" w:space="0"/>
              <w:bottom w:val="single" w:color="auto" w:sz="4" w:space="0"/>
              <w:right w:val="single" w:color="auto" w:sz="4" w:space="0"/>
            </w:tcBorders>
            <w:vAlign w:val="center"/>
          </w:tcPr>
          <w:p w14:paraId="62363A2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371" w:type="pct"/>
            <w:tcBorders>
              <w:top w:val="single" w:color="auto" w:sz="4" w:space="0"/>
              <w:left w:val="single" w:color="auto" w:sz="4" w:space="0"/>
              <w:bottom w:val="single" w:color="auto" w:sz="4" w:space="0"/>
              <w:right w:val="single" w:color="auto" w:sz="4" w:space="0"/>
            </w:tcBorders>
            <w:vAlign w:val="center"/>
          </w:tcPr>
          <w:p w14:paraId="5609BE2F">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617" w:type="pct"/>
            <w:tcBorders>
              <w:top w:val="single" w:color="auto" w:sz="4" w:space="0"/>
              <w:left w:val="single" w:color="auto" w:sz="4" w:space="0"/>
              <w:bottom w:val="single" w:color="auto" w:sz="4" w:space="0"/>
              <w:right w:val="single" w:color="auto" w:sz="4" w:space="0"/>
            </w:tcBorders>
          </w:tcPr>
          <w:p w14:paraId="56B60AE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617" w:type="pct"/>
            <w:tcBorders>
              <w:top w:val="single" w:color="auto" w:sz="4" w:space="0"/>
              <w:left w:val="single" w:color="auto" w:sz="4" w:space="0"/>
              <w:bottom w:val="single" w:color="auto" w:sz="4" w:space="0"/>
              <w:right w:val="single" w:color="auto" w:sz="4" w:space="0"/>
            </w:tcBorders>
            <w:vAlign w:val="center"/>
          </w:tcPr>
          <w:p w14:paraId="541F8345">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单价</w:t>
            </w:r>
          </w:p>
        </w:tc>
        <w:tc>
          <w:tcPr>
            <w:tcW w:w="556" w:type="pct"/>
            <w:tcBorders>
              <w:top w:val="single" w:color="auto" w:sz="4" w:space="0"/>
              <w:left w:val="single" w:color="auto" w:sz="4" w:space="0"/>
              <w:bottom w:val="single" w:color="auto" w:sz="4" w:space="0"/>
              <w:right w:val="single" w:color="auto" w:sz="4" w:space="0"/>
            </w:tcBorders>
            <w:vAlign w:val="center"/>
          </w:tcPr>
          <w:p w14:paraId="2422E2AB">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总价</w:t>
            </w:r>
          </w:p>
        </w:tc>
        <w:tc>
          <w:tcPr>
            <w:tcW w:w="462" w:type="pct"/>
            <w:tcBorders>
              <w:top w:val="single" w:color="auto" w:sz="4" w:space="0"/>
              <w:left w:val="single" w:color="auto" w:sz="4" w:space="0"/>
              <w:bottom w:val="single" w:color="auto" w:sz="4" w:space="0"/>
              <w:right w:val="single" w:color="auto" w:sz="4" w:space="0"/>
            </w:tcBorders>
            <w:vAlign w:val="center"/>
          </w:tcPr>
          <w:p w14:paraId="335FBDA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07FAEE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239E06FB">
            <w:pPr>
              <w:adjustRightInd w:val="0"/>
              <w:snapToGrid w:val="0"/>
              <w:spacing w:line="240" w:lineRule="auto"/>
              <w:jc w:val="center"/>
              <w:rPr>
                <w:rFonts w:ascii="宋体" w:hAnsi="宋体" w:eastAsia="宋体" w:cs="宋体"/>
                <w:sz w:val="24"/>
                <w:szCs w:val="24"/>
              </w:rPr>
            </w:pPr>
          </w:p>
        </w:tc>
        <w:tc>
          <w:tcPr>
            <w:tcW w:w="520" w:type="pct"/>
            <w:tcBorders>
              <w:top w:val="single" w:color="auto" w:sz="4" w:space="0"/>
              <w:left w:val="single" w:color="auto" w:sz="4" w:space="0"/>
              <w:bottom w:val="single" w:color="auto" w:sz="4" w:space="0"/>
              <w:right w:val="single" w:color="auto" w:sz="4" w:space="0"/>
            </w:tcBorders>
            <w:vAlign w:val="center"/>
          </w:tcPr>
          <w:p w14:paraId="403CC806">
            <w:pPr>
              <w:adjustRightInd w:val="0"/>
              <w:snapToGrid w:val="0"/>
              <w:spacing w:line="240" w:lineRule="auto"/>
              <w:jc w:val="center"/>
              <w:rPr>
                <w:rFonts w:ascii="宋体" w:hAnsi="宋体" w:eastAsia="宋体" w:cs="宋体"/>
                <w:sz w:val="24"/>
                <w:szCs w:val="24"/>
              </w:rPr>
            </w:pPr>
          </w:p>
        </w:tc>
        <w:tc>
          <w:tcPr>
            <w:tcW w:w="432" w:type="pct"/>
            <w:tcBorders>
              <w:top w:val="single" w:color="auto" w:sz="4" w:space="0"/>
              <w:left w:val="single" w:color="auto" w:sz="4" w:space="0"/>
              <w:bottom w:val="single" w:color="auto" w:sz="4" w:space="0"/>
              <w:right w:val="single" w:color="auto" w:sz="4" w:space="0"/>
            </w:tcBorders>
            <w:vAlign w:val="center"/>
          </w:tcPr>
          <w:p w14:paraId="0A655B1C">
            <w:pPr>
              <w:adjustRightInd w:val="0"/>
              <w:snapToGrid w:val="0"/>
              <w:spacing w:line="240" w:lineRule="auto"/>
              <w:jc w:val="center"/>
              <w:rPr>
                <w:rFonts w:ascii="宋体" w:hAnsi="宋体" w:eastAsia="宋体" w:cs="宋体"/>
                <w:sz w:val="24"/>
                <w:szCs w:val="24"/>
              </w:rPr>
            </w:pPr>
          </w:p>
        </w:tc>
        <w:tc>
          <w:tcPr>
            <w:tcW w:w="679" w:type="pct"/>
            <w:tcBorders>
              <w:top w:val="single" w:color="auto" w:sz="4" w:space="0"/>
              <w:left w:val="single" w:color="auto" w:sz="4" w:space="0"/>
              <w:bottom w:val="single" w:color="auto" w:sz="4" w:space="0"/>
              <w:right w:val="single" w:color="auto" w:sz="4" w:space="0"/>
            </w:tcBorders>
            <w:vAlign w:val="center"/>
          </w:tcPr>
          <w:p w14:paraId="6400A4AF">
            <w:pPr>
              <w:adjustRightInd w:val="0"/>
              <w:snapToGrid w:val="0"/>
              <w:spacing w:line="240" w:lineRule="auto"/>
              <w:jc w:val="center"/>
              <w:rPr>
                <w:rFonts w:ascii="宋体" w:hAnsi="宋体" w:eastAsia="宋体" w:cs="宋体"/>
                <w:sz w:val="24"/>
                <w:szCs w:val="24"/>
              </w:rPr>
            </w:pPr>
          </w:p>
        </w:tc>
        <w:tc>
          <w:tcPr>
            <w:tcW w:w="371" w:type="pct"/>
            <w:tcBorders>
              <w:top w:val="single" w:color="auto" w:sz="4" w:space="0"/>
              <w:left w:val="single" w:color="auto" w:sz="4" w:space="0"/>
              <w:bottom w:val="single" w:color="auto" w:sz="4" w:space="0"/>
              <w:right w:val="single" w:color="auto" w:sz="4" w:space="0"/>
            </w:tcBorders>
            <w:vAlign w:val="center"/>
          </w:tcPr>
          <w:p w14:paraId="2370E043">
            <w:pPr>
              <w:adjustRightInd w:val="0"/>
              <w:snapToGrid w:val="0"/>
              <w:spacing w:line="240" w:lineRule="auto"/>
              <w:jc w:val="center"/>
              <w:rPr>
                <w:rFonts w:ascii="宋体" w:hAnsi="宋体" w:eastAsia="宋体" w:cs="宋体"/>
                <w:sz w:val="24"/>
                <w:szCs w:val="24"/>
              </w:rPr>
            </w:pPr>
          </w:p>
        </w:tc>
        <w:tc>
          <w:tcPr>
            <w:tcW w:w="617" w:type="pct"/>
            <w:tcBorders>
              <w:top w:val="single" w:color="auto" w:sz="4" w:space="0"/>
              <w:left w:val="single" w:color="auto" w:sz="4" w:space="0"/>
              <w:bottom w:val="single" w:color="auto" w:sz="4" w:space="0"/>
              <w:right w:val="single" w:color="auto" w:sz="4" w:space="0"/>
            </w:tcBorders>
          </w:tcPr>
          <w:p w14:paraId="4EF144D9">
            <w:pPr>
              <w:adjustRightInd w:val="0"/>
              <w:snapToGrid w:val="0"/>
              <w:spacing w:line="240" w:lineRule="auto"/>
              <w:jc w:val="center"/>
              <w:rPr>
                <w:rFonts w:ascii="宋体" w:hAnsi="宋体" w:eastAsia="宋体" w:cs="宋体"/>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5685E71">
            <w:pPr>
              <w:adjustRightInd w:val="0"/>
              <w:snapToGrid w:val="0"/>
              <w:spacing w:line="240" w:lineRule="auto"/>
              <w:jc w:val="center"/>
              <w:rPr>
                <w:rFonts w:ascii="宋体" w:hAnsi="宋体" w:eastAsia="宋体" w:cs="宋体"/>
                <w:sz w:val="24"/>
                <w:szCs w:val="24"/>
              </w:rPr>
            </w:pPr>
          </w:p>
        </w:tc>
        <w:tc>
          <w:tcPr>
            <w:tcW w:w="556" w:type="pct"/>
            <w:tcBorders>
              <w:top w:val="single" w:color="auto" w:sz="4" w:space="0"/>
              <w:left w:val="single" w:color="auto" w:sz="4" w:space="0"/>
              <w:bottom w:val="single" w:color="auto" w:sz="4" w:space="0"/>
              <w:right w:val="single" w:color="auto" w:sz="4" w:space="0"/>
            </w:tcBorders>
            <w:vAlign w:val="center"/>
          </w:tcPr>
          <w:p w14:paraId="5D8C217D">
            <w:pPr>
              <w:adjustRightInd w:val="0"/>
              <w:snapToGrid w:val="0"/>
              <w:spacing w:line="240" w:lineRule="auto"/>
              <w:jc w:val="center"/>
              <w:rPr>
                <w:rFonts w:ascii="宋体" w:hAnsi="宋体" w:eastAsia="宋体" w:cs="宋体"/>
                <w:sz w:val="24"/>
                <w:szCs w:val="24"/>
              </w:rPr>
            </w:pPr>
          </w:p>
        </w:tc>
        <w:tc>
          <w:tcPr>
            <w:tcW w:w="462" w:type="pct"/>
            <w:tcBorders>
              <w:top w:val="single" w:color="auto" w:sz="4" w:space="0"/>
              <w:left w:val="single" w:color="auto" w:sz="4" w:space="0"/>
              <w:bottom w:val="single" w:color="auto" w:sz="4" w:space="0"/>
              <w:right w:val="single" w:color="auto" w:sz="4" w:space="0"/>
            </w:tcBorders>
            <w:vAlign w:val="center"/>
          </w:tcPr>
          <w:p w14:paraId="76ADA7AE">
            <w:pPr>
              <w:adjustRightInd w:val="0"/>
              <w:snapToGrid w:val="0"/>
              <w:spacing w:line="240" w:lineRule="auto"/>
              <w:jc w:val="center"/>
              <w:rPr>
                <w:rFonts w:ascii="宋体" w:hAnsi="宋体" w:eastAsia="宋体" w:cs="宋体"/>
                <w:sz w:val="24"/>
                <w:szCs w:val="24"/>
              </w:rPr>
            </w:pPr>
          </w:p>
        </w:tc>
      </w:tr>
      <w:tr w14:paraId="0C2F2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5" w:hRule="atLeast"/>
          <w:jc w:val="center"/>
        </w:trPr>
        <w:tc>
          <w:tcPr>
            <w:tcW w:w="741" w:type="pct"/>
            <w:tcBorders>
              <w:top w:val="single" w:color="auto" w:sz="4" w:space="0"/>
              <w:left w:val="single" w:color="auto" w:sz="4" w:space="0"/>
              <w:bottom w:val="single" w:color="auto" w:sz="4" w:space="0"/>
              <w:right w:val="single" w:color="auto" w:sz="4" w:space="0"/>
            </w:tcBorders>
            <w:shd w:val="clear" w:color="A4A4A4" w:fill="auto"/>
            <w:vAlign w:val="center"/>
          </w:tcPr>
          <w:p w14:paraId="38E9CF74">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技术参数</w:t>
            </w:r>
          </w:p>
          <w:p w14:paraId="01558F54">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（可另附附件）</w:t>
            </w:r>
          </w:p>
        </w:tc>
        <w:tc>
          <w:tcPr>
            <w:tcW w:w="4258" w:type="pct"/>
            <w:gridSpan w:val="8"/>
            <w:tcBorders>
              <w:top w:val="single" w:color="auto" w:sz="4" w:space="0"/>
              <w:left w:val="single" w:color="auto" w:sz="4" w:space="0"/>
              <w:bottom w:val="single" w:color="auto" w:sz="4" w:space="0"/>
              <w:right w:val="single" w:color="auto" w:sz="4" w:space="0"/>
            </w:tcBorders>
            <w:shd w:val="clear" w:color="A4A4A4" w:fill="auto"/>
          </w:tcPr>
          <w:p w14:paraId="7BEDF287">
            <w:pPr>
              <w:adjustRightInd w:val="0"/>
              <w:snapToGrid w:val="0"/>
              <w:spacing w:line="240" w:lineRule="auto"/>
              <w:jc w:val="left"/>
              <w:rPr>
                <w:rFonts w:ascii="宋体" w:hAnsi="宋体" w:eastAsia="宋体" w:cs="宋体"/>
                <w:sz w:val="24"/>
                <w:szCs w:val="24"/>
              </w:rPr>
            </w:pPr>
          </w:p>
        </w:tc>
      </w:tr>
      <w:tr w14:paraId="38751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741" w:type="pct"/>
            <w:tcBorders>
              <w:top w:val="single" w:color="auto" w:sz="4" w:space="0"/>
              <w:left w:val="single" w:color="auto" w:sz="4" w:space="0"/>
              <w:right w:val="single" w:color="auto" w:sz="4" w:space="0"/>
            </w:tcBorders>
            <w:shd w:val="clear" w:color="A4A4A4" w:fill="auto"/>
            <w:vAlign w:val="center"/>
          </w:tcPr>
          <w:p w14:paraId="14053CF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服务期</w:t>
            </w:r>
          </w:p>
        </w:tc>
        <w:tc>
          <w:tcPr>
            <w:tcW w:w="4258" w:type="pct"/>
            <w:gridSpan w:val="8"/>
            <w:tcBorders>
              <w:top w:val="single" w:color="auto" w:sz="4" w:space="0"/>
              <w:left w:val="single" w:color="auto" w:sz="4" w:space="0"/>
              <w:right w:val="single" w:color="auto" w:sz="4" w:space="0"/>
            </w:tcBorders>
            <w:shd w:val="clear" w:color="A4A4A4" w:fill="auto"/>
          </w:tcPr>
          <w:p w14:paraId="205CEB89">
            <w:pPr>
              <w:adjustRightInd w:val="0"/>
              <w:snapToGrid w:val="0"/>
              <w:spacing w:line="240" w:lineRule="auto"/>
              <w:jc w:val="left"/>
              <w:rPr>
                <w:rFonts w:ascii="宋体" w:hAnsi="宋体" w:eastAsia="宋体" w:cs="宋体"/>
                <w:sz w:val="24"/>
                <w:szCs w:val="24"/>
              </w:rPr>
            </w:pPr>
          </w:p>
        </w:tc>
      </w:tr>
    </w:tbl>
    <w:p w14:paraId="15956A71">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甲乙双方对上述设备的品牌、生产商、规格型号、数量、单价、总价的选择即确认，向丙方购买设备。</w:t>
      </w:r>
    </w:p>
    <w:p w14:paraId="67C007F4">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二、合同总价</w:t>
      </w:r>
    </w:p>
    <w:p w14:paraId="4C9FBA67">
      <w:pPr>
        <w:spacing w:line="360" w:lineRule="auto"/>
        <w:ind w:firstLine="480" w:firstLineChars="200"/>
        <w:rPr>
          <w:rFonts w:ascii="Times New Roman" w:hAnsi="Times New Roman" w:eastAsia="宋体" w:cs="Times New Roman"/>
          <w:b/>
          <w:sz w:val="24"/>
          <w:szCs w:val="24"/>
        </w:rPr>
      </w:pPr>
      <w:r>
        <w:rPr>
          <w:rFonts w:hint="eastAsia" w:ascii="宋体" w:hAnsi="宋体" w:eastAsia="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4871034E">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三、付款方式</w:t>
      </w:r>
    </w:p>
    <w:p w14:paraId="1FCD963F">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1.本合同以人民币转账形式付款。人民币   元，大写人民币   。</w:t>
      </w:r>
    </w:p>
    <w:p w14:paraId="06276D39">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Times New Roman" w:hAnsi="Times New Roman" w:eastAsia="宋体" w:cs="Times New Roman"/>
          <w:sz w:val="24"/>
          <w:szCs w:val="24"/>
        </w:rPr>
        <w:t>合同签订生效并</w:t>
      </w:r>
      <w:r>
        <w:rPr>
          <w:rFonts w:hint="eastAsia" w:ascii="宋体" w:hAnsi="宋体" w:eastAsia="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682F8D37">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3.丙方指定的收款账户信息如下，如有变更，丙方应当在变更后3日内通知甲方和乙方，否则由此造成的损失，甲方乙方不承担：</w:t>
      </w:r>
    </w:p>
    <w:p w14:paraId="068E8B8F">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户名 </w:t>
      </w:r>
    </w:p>
    <w:p w14:paraId="5409A05C">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开户行： </w:t>
      </w:r>
    </w:p>
    <w:p w14:paraId="0E0D7CFD">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账号： </w:t>
      </w:r>
    </w:p>
    <w:p w14:paraId="61A27890">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4.甲丙两方在确认验收合格后*个工作日内，丙方应按国家有关规定开具合规的发票，否则，乙方有权拒绝付款，并不因此而承担违约责任。</w:t>
      </w:r>
    </w:p>
    <w:p w14:paraId="4C6C5D2B">
      <w:pPr>
        <w:widowControl w:val="0"/>
        <w:spacing w:line="360" w:lineRule="auto"/>
        <w:ind w:firstLine="0" w:firstLineChars="0"/>
        <w:jc w:val="both"/>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四、交付地点、方式</w:t>
      </w:r>
    </w:p>
    <w:p w14:paraId="3EB76D7C">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1.交货地点：</w:t>
      </w:r>
      <w:r>
        <w:rPr>
          <w:rFonts w:hint="eastAsia" w:ascii="Times New Roman" w:hAnsi="Times New Roman" w:eastAsia="宋体" w:cs="Times New Roman"/>
          <w:kern w:val="2"/>
          <w:sz w:val="24"/>
          <w:szCs w:val="24"/>
          <w:lang w:val="en-US" w:eastAsia="zh-CN" w:bidi="ar-SA"/>
        </w:rPr>
        <w:t>甲方指定地点</w:t>
      </w:r>
    </w:p>
    <w:p w14:paraId="01792A23">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w:t>
      </w:r>
      <w:r>
        <w:rPr>
          <w:rFonts w:ascii="Times New Roman" w:hAnsi="Times New Roman" w:eastAsia="宋体" w:cs="Times New Roman"/>
          <w:kern w:val="2"/>
          <w:sz w:val="24"/>
          <w:szCs w:val="24"/>
          <w:lang w:val="en-US" w:eastAsia="zh-CN" w:bidi="ar-SA"/>
        </w:rPr>
        <w:t>交货方式</w:t>
      </w:r>
      <w:r>
        <w:rPr>
          <w:rFonts w:hint="eastAsia" w:ascii="宋体" w:hAnsi="宋体" w:eastAsia="宋体" w:cs="Times New Roman"/>
          <w:kern w:val="2"/>
          <w:sz w:val="24"/>
          <w:szCs w:val="24"/>
          <w:lang w:val="en-US" w:eastAsia="zh-CN" w:bidi="ar-SA"/>
        </w:rPr>
        <w:t>：丙方上门安装</w:t>
      </w:r>
    </w:p>
    <w:p w14:paraId="52810FFE">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丙方按照甲方要求，保证在甲方通知送货后</w:t>
      </w:r>
      <w:r>
        <w:rPr>
          <w:rFonts w:hint="eastAsia" w:ascii="Times New Roman" w:hAnsi="Times New Roman" w:eastAsia="宋体" w:cs="Times New Roman"/>
          <w:sz w:val="24"/>
          <w:szCs w:val="24"/>
        </w:rPr>
        <w:t>*</w:t>
      </w:r>
      <w:r>
        <w:rPr>
          <w:rFonts w:ascii="Times New Roman" w:hAnsi="Times New Roman" w:eastAsia="宋体" w:cs="Times New Roman"/>
          <w:sz w:val="24"/>
          <w:szCs w:val="24"/>
        </w:rPr>
        <w:t>*日内将货物送至甲方指定地点并安装调试完成，包装费、运输费用、保险费用及验收合格前的风险均由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w:t>
      </w:r>
    </w:p>
    <w:p w14:paraId="0B53CB50">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五、安装调试及培训</w:t>
      </w:r>
    </w:p>
    <w:p w14:paraId="5E122BA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2F9D052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2、在货物抵达甲方指定地点</w:t>
      </w:r>
      <w:r>
        <w:rPr>
          <w:rFonts w:ascii="Times New Roman" w:hAnsi="Times New Roman" w:eastAsia="宋体" w:cs="Times New Roman"/>
          <w:sz w:val="24"/>
          <w:szCs w:val="24"/>
        </w:rPr>
        <w:t>*</w:t>
      </w:r>
      <w:r>
        <w:rPr>
          <w:rFonts w:hint="eastAsia" w:ascii="Times New Roman" w:hAnsi="Times New Roman" w:eastAsia="宋体" w:cs="Times New Roman"/>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A7AFE6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6F1F40F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174F5B8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37C508E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30D8865C">
      <w:pPr>
        <w:spacing w:line="360" w:lineRule="auto"/>
        <w:rPr>
          <w:rFonts w:ascii="Times New Roman" w:hAnsi="Times New Roman" w:eastAsia="宋体" w:cs="Times New Roman"/>
          <w:b/>
          <w:sz w:val="24"/>
          <w:szCs w:val="24"/>
        </w:rPr>
      </w:pPr>
      <w:r>
        <w:rPr>
          <w:rFonts w:hint="eastAsia" w:ascii="宋体" w:hAnsi="宋体" w:eastAsia="宋体" w:cs="Times New Roman"/>
          <w:sz w:val="24"/>
          <w:szCs w:val="24"/>
        </w:rPr>
        <w:t>7、期间涉及的交通费、膳食费、住宿费及其他一切费用均由丙方负责。</w:t>
      </w:r>
    </w:p>
    <w:p w14:paraId="7646A36E">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六、软件验收</w:t>
      </w:r>
    </w:p>
    <w:p w14:paraId="7B600B4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1、验收时间：</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方完成安装及调试后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个工作日内，由甲方指定人员完成验收。</w:t>
      </w:r>
    </w:p>
    <w:p w14:paraId="50C3985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2、验收</w:t>
      </w:r>
      <w:r>
        <w:rPr>
          <w:rFonts w:hint="eastAsia" w:ascii="Times New Roman" w:hAnsi="Times New Roman" w:eastAsia="宋体" w:cs="Times New Roman"/>
          <w:sz w:val="24"/>
          <w:szCs w:val="24"/>
        </w:rPr>
        <w:t>方式</w:t>
      </w:r>
      <w:r>
        <w:rPr>
          <w:rFonts w:ascii="Times New Roman" w:hAnsi="Times New Roman" w:eastAsia="宋体" w:cs="Times New Roman"/>
          <w:sz w:val="24"/>
          <w:szCs w:val="24"/>
        </w:rPr>
        <w:t>：</w:t>
      </w:r>
      <w:r>
        <w:rPr>
          <w:rFonts w:hint="eastAsia" w:ascii="Times New Roman" w:hAnsi="Times New Roman" w:eastAsia="宋体" w:cs="Times New Roman"/>
          <w:sz w:val="24"/>
          <w:szCs w:val="24"/>
        </w:rPr>
        <w:t>按国家（行业）最高标准，以及本项目采购文件的质量要求和技术指标与出厂标准的最高标准。甲方指定人员对软件质量进行验收。</w:t>
      </w:r>
    </w:p>
    <w:p w14:paraId="1A37F66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3、甲方在验收中如发现软件的型号、规格、包装和质量等不符合本合同约定的，自软件验收完成后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个工作日内向</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方提出书面异议。</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方在接到甲方书面异议后，应在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个工作日内负责处理并通知甲方处理情况，否则，即视为</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方已接受甲方提出的异议和处理意见。</w:t>
      </w:r>
    </w:p>
    <w:p w14:paraId="396E651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60048BB7">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5、如软件经丙方</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次维护仍不能达到合同约定的质量标准，甲方有权退货，并视作丙方不能交付软件而须支付违约赔偿金给甲方，甲方还可依法追究丙方的违约责任。</w:t>
      </w:r>
    </w:p>
    <w:p w14:paraId="1251B3F1">
      <w:pPr>
        <w:numPr>
          <w:ilvl w:val="0"/>
          <w:numId w:val="1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硬件验收</w:t>
      </w:r>
    </w:p>
    <w:p w14:paraId="7A29308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21BE837A">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2、验收前，丙方应完成对甲方的操作人员、技术人员进行免费培训，提供成套培训资料，保证受训人员能熟练操作，具备开展日常技术工作的能力，并能够对该货物能进行日常维护。</w:t>
      </w:r>
    </w:p>
    <w:p w14:paraId="131FD5CA">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7A62EDCE">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247238C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3CDE1E0F">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44CD631B">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八、软件退换</w:t>
      </w:r>
    </w:p>
    <w:p w14:paraId="2229727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1、甲方根据本合同第</w:t>
      </w:r>
      <w:r>
        <w:rPr>
          <w:rFonts w:hint="eastAsia" w:ascii="Times New Roman" w:hAnsi="Times New Roman" w:eastAsia="宋体" w:cs="Times New Roman"/>
          <w:sz w:val="24"/>
          <w:szCs w:val="24"/>
        </w:rPr>
        <w:t>六</w:t>
      </w:r>
      <w:r>
        <w:rPr>
          <w:rFonts w:ascii="Times New Roman" w:hAnsi="Times New Roman" w:eastAsia="宋体" w:cs="Times New Roman"/>
          <w:sz w:val="24"/>
          <w:szCs w:val="24"/>
        </w:rPr>
        <w:t>条提出书面异议的，如果</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方在上述约定时间内未能按照甲方要求进行处理的，则甲方有权要求退货或换货，</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方在收到甲方的书面退换货通知后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个工作日内完成退货或换货。</w:t>
      </w:r>
    </w:p>
    <w:p w14:paraId="5B0868F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2、软件交付甲方使用后，若甲方在生产作业过程中发现软件确实存在以下问题的，甲方有权退还软件并且解除本合同，同时</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方须退还</w:t>
      </w:r>
      <w:r>
        <w:rPr>
          <w:rFonts w:hint="eastAsia" w:ascii="Times New Roman" w:hAnsi="Times New Roman" w:eastAsia="宋体" w:cs="Times New Roman"/>
          <w:sz w:val="24"/>
          <w:szCs w:val="24"/>
        </w:rPr>
        <w:t>乙方</w:t>
      </w:r>
      <w:r>
        <w:rPr>
          <w:rFonts w:ascii="Times New Roman" w:hAnsi="Times New Roman" w:eastAsia="宋体" w:cs="Times New Roman"/>
          <w:sz w:val="24"/>
          <w:szCs w:val="24"/>
        </w:rPr>
        <w:t>的所付款项。存在的情况为：</w:t>
      </w:r>
    </w:p>
    <w:p w14:paraId="0FABCC4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（1）软件不能正常安装的；</w:t>
      </w:r>
    </w:p>
    <w:p w14:paraId="66A6C9D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（2）软件的使用会影响甲方操作系统的稳定或其他软件的正常使用的；</w:t>
      </w:r>
    </w:p>
    <w:p w14:paraId="6B0D00D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（3）软件的实际使用功能不能达到</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方软件承诺的功能，而</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方不能在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个工作日内解决的。</w:t>
      </w:r>
    </w:p>
    <w:p w14:paraId="06208660">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甲方根据本合同条款提出退货或解除合同的，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方应在收到甲方通知后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个工作</w:t>
      </w:r>
      <w:r>
        <w:rPr>
          <w:rFonts w:ascii="Times New Roman" w:hAnsi="Times New Roman" w:eastAsia="宋体" w:cs="Times New Roman"/>
          <w:sz w:val="24"/>
          <w:szCs w:val="24"/>
        </w:rPr>
        <w:t>日内退还</w:t>
      </w:r>
      <w:r>
        <w:rPr>
          <w:rFonts w:hint="eastAsia" w:ascii="Times New Roman" w:hAnsi="Times New Roman" w:eastAsia="宋体" w:cs="Times New Roman"/>
          <w:sz w:val="24"/>
          <w:szCs w:val="24"/>
        </w:rPr>
        <w:t>乙</w:t>
      </w:r>
      <w:r>
        <w:rPr>
          <w:rFonts w:ascii="Times New Roman" w:hAnsi="Times New Roman" w:eastAsia="宋体" w:cs="Times New Roman"/>
          <w:sz w:val="24"/>
          <w:szCs w:val="24"/>
        </w:rPr>
        <w:t>方全部已付款项。</w:t>
      </w:r>
    </w:p>
    <w:p w14:paraId="46E94AAD">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九、维护升级、售后服务</w:t>
      </w:r>
    </w:p>
    <w:p w14:paraId="6A347F59">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质保期（自验收合格之日）：***年；产品零配件（包括主计算机系统及工作站）保证供应时间≥</w:t>
      </w:r>
      <w:r>
        <w:rPr>
          <w:rFonts w:ascii="宋体" w:hAnsi="宋体" w:eastAsia="宋体" w:cs="Times New Roman"/>
          <w:kern w:val="2"/>
          <w:sz w:val="24"/>
          <w:szCs w:val="24"/>
          <w:lang w:val="en-US" w:eastAsia="zh-CN" w:bidi="ar-SA"/>
        </w:rPr>
        <w:t>*年；验收合格后的保修期内，丙方承诺开机率或使用率＞</w:t>
      </w:r>
      <w:r>
        <w:rPr>
          <w:rFonts w:hint="eastAsia" w:ascii="宋体" w:hAnsi="宋体" w:eastAsia="宋体" w:cs="Times New Roman"/>
          <w:kern w:val="2"/>
          <w:sz w:val="24"/>
          <w:szCs w:val="24"/>
          <w:lang w:val="en-US" w:eastAsia="zh-CN" w:bidi="ar-SA"/>
        </w:rPr>
        <w:t>*</w:t>
      </w:r>
      <w:r>
        <w:rPr>
          <w:rFonts w:ascii="宋体" w:hAnsi="宋体" w:eastAsia="宋体" w:cs="Times New Roman"/>
          <w:kern w:val="2"/>
          <w:sz w:val="24"/>
          <w:szCs w:val="24"/>
          <w:lang w:val="en-US" w:eastAsia="zh-CN" w:bidi="ar-SA"/>
        </w:rPr>
        <w:t>*%（按</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65日</w:t>
      </w:r>
      <w:r>
        <w:rPr>
          <w:rFonts w:hint="eastAsia" w:ascii="宋体" w:hAnsi="宋体" w:eastAsia="宋体" w:cs="Times New Roman"/>
          <w:kern w:val="2"/>
          <w:sz w:val="24"/>
          <w:szCs w:val="24"/>
          <w:lang w:val="en-US" w:eastAsia="zh-CN" w:bidi="ar-SA"/>
        </w:rPr>
        <w:t>/年计算</w:t>
      </w:r>
      <w:r>
        <w:rPr>
          <w:rFonts w:ascii="宋体" w:hAnsi="宋体" w:eastAsia="宋体" w:cs="Times New Roman"/>
          <w:kern w:val="2"/>
          <w:sz w:val="24"/>
          <w:szCs w:val="24"/>
          <w:lang w:val="en-US" w:eastAsia="zh-CN" w:bidi="ar-SA"/>
        </w:rPr>
        <w:t>）</w:t>
      </w:r>
    </w:p>
    <w:p w14:paraId="1539033C">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服务内容：（1）电话支持 （2）</w:t>
      </w:r>
      <w:r>
        <w:rPr>
          <w:rFonts w:hint="eastAsia" w:ascii="宋体" w:hAnsi="宋体" w:eastAsia="宋体" w:cs="Times New Roman"/>
          <w:color w:val="000000"/>
          <w:kern w:val="2"/>
          <w:sz w:val="24"/>
          <w:szCs w:val="24"/>
          <w:lang w:val="en-US" w:eastAsia="zh-CN" w:bidi="ar-SA"/>
        </w:rPr>
        <w:t>远程技术支持 （3）现场服务</w:t>
      </w:r>
    </w:p>
    <w:p w14:paraId="030515DE">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605300D4">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维护升级标准：只要甲方需要丙方有义务更新软件至最新版。</w:t>
      </w:r>
    </w:p>
    <w:p w14:paraId="0FDEFDBD">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质保期满后，丙方终生提供优惠的维修服务；零配件费用按当时市场价的</w:t>
      </w:r>
      <w:r>
        <w:rPr>
          <w:rFonts w:hint="eastAsia" w:ascii="Times New Roman" w:hAnsi="Times New Roman" w:eastAsia="宋体" w:cs="Times New Roman"/>
          <w:kern w:val="2"/>
          <w:sz w:val="24"/>
          <w:szCs w:val="24"/>
          <w:lang w:val="en-US" w:eastAsia="zh-CN" w:bidi="ar-SA"/>
        </w:rPr>
        <w:t>*折的优惠价格收取；</w:t>
      </w:r>
    </w:p>
    <w:p w14:paraId="1688BE70">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0B169117">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因丙方原因不能够达到上述设备保修及售后服务的约定，按甲方实际停机天数自动延长其保修期,甲方有权延后质保金和维保费用的支付时间，并追究丙方因此引发的相应的法律责任。</w:t>
      </w:r>
    </w:p>
    <w:p w14:paraId="2C51F11A">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十、责任和义务</w:t>
      </w:r>
    </w:p>
    <w:p w14:paraId="1FC63911">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甲方责任：</w:t>
      </w:r>
      <w:r>
        <w:rPr>
          <w:rFonts w:ascii="宋体" w:hAnsi="宋体" w:eastAsia="宋体" w:cs="Times New Roman"/>
          <w:color w:val="000000"/>
          <w:kern w:val="2"/>
          <w:sz w:val="24"/>
          <w:szCs w:val="24"/>
          <w:lang w:val="en-US" w:eastAsia="zh-CN" w:bidi="ar-SA"/>
        </w:rPr>
        <w:t>甲方需准备好安装</w:t>
      </w:r>
      <w:r>
        <w:rPr>
          <w:rFonts w:hint="eastAsia" w:ascii="宋体" w:hAnsi="宋体" w:eastAsia="宋体" w:cs="Times New Roman"/>
          <w:color w:val="000000"/>
          <w:kern w:val="2"/>
          <w:sz w:val="24"/>
          <w:szCs w:val="24"/>
          <w:lang w:val="en-US" w:eastAsia="zh-CN" w:bidi="ar-SA"/>
        </w:rPr>
        <w:t>硬件和软件</w:t>
      </w:r>
      <w:r>
        <w:rPr>
          <w:rFonts w:ascii="宋体" w:hAnsi="宋体" w:eastAsia="宋体" w:cs="Times New Roman"/>
          <w:color w:val="000000"/>
          <w:kern w:val="2"/>
          <w:sz w:val="24"/>
          <w:szCs w:val="24"/>
          <w:lang w:val="en-US" w:eastAsia="zh-CN" w:bidi="ar-SA"/>
        </w:rPr>
        <w:t>的环境，</w:t>
      </w:r>
      <w:r>
        <w:rPr>
          <w:rFonts w:hint="eastAsia" w:ascii="Times New Roman" w:hAnsi="Times New Roman" w:eastAsia="宋体" w:cs="Times New Roman"/>
          <w:kern w:val="2"/>
          <w:sz w:val="24"/>
          <w:szCs w:val="24"/>
          <w:lang w:val="en-US" w:eastAsia="zh-CN" w:bidi="ar-SA"/>
        </w:rPr>
        <w:t>丙</w:t>
      </w:r>
      <w:r>
        <w:rPr>
          <w:rFonts w:ascii="宋体" w:hAnsi="宋体" w:eastAsia="宋体" w:cs="Times New Roman"/>
          <w:color w:val="000000"/>
          <w:kern w:val="2"/>
          <w:sz w:val="24"/>
          <w:szCs w:val="24"/>
          <w:lang w:val="en-US" w:eastAsia="zh-CN" w:bidi="ar-SA"/>
        </w:rPr>
        <w:t>方需对甲方准备工作进行协助、指导。</w:t>
      </w:r>
    </w:p>
    <w:p w14:paraId="41424272">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乙方责任：根据合同约定、甲方付款确认书</w:t>
      </w:r>
      <w:r>
        <w:rPr>
          <w:rFonts w:hint="eastAsia" w:ascii="Times New Roman" w:hAnsi="Times New Roman" w:eastAsia="宋体" w:cs="Times New Roman"/>
          <w:kern w:val="2"/>
          <w:sz w:val="24"/>
          <w:szCs w:val="24"/>
          <w:lang w:val="en-US" w:eastAsia="zh-CN" w:bidi="ar-SA"/>
        </w:rPr>
        <w:t>以及丙方提供的符合财务结算的相关票据，向丙方进行支付。</w:t>
      </w:r>
    </w:p>
    <w:p w14:paraId="1B0AF338">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丙</w:t>
      </w:r>
      <w:r>
        <w:rPr>
          <w:rFonts w:hint="eastAsia" w:ascii="宋体" w:hAnsi="宋体" w:eastAsia="宋体" w:cs="Times New Roman"/>
          <w:color w:val="000000"/>
          <w:kern w:val="2"/>
          <w:sz w:val="24"/>
          <w:szCs w:val="24"/>
          <w:lang w:val="en-US" w:eastAsia="zh-CN" w:bidi="ar-SA"/>
        </w:rPr>
        <w:t>方责任：</w:t>
      </w:r>
    </w:p>
    <w:p w14:paraId="684C5AAE">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方保证其提供给甲方的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产品享受厂方升级政策范围内的升级</w:t>
      </w:r>
      <w:r>
        <w:rPr>
          <w:rFonts w:hint="eastAsia" w:ascii="Times New Roman" w:hAnsi="Times New Roman" w:eastAsia="宋体" w:cs="Times New Roman"/>
          <w:sz w:val="24"/>
          <w:szCs w:val="24"/>
        </w:rPr>
        <w:t>和一切改良</w:t>
      </w:r>
      <w:r>
        <w:rPr>
          <w:rFonts w:ascii="Times New Roman" w:hAnsi="Times New Roman" w:eastAsia="宋体" w:cs="Times New Roman"/>
          <w:sz w:val="24"/>
          <w:szCs w:val="24"/>
        </w:rPr>
        <w:t>。</w:t>
      </w:r>
      <w:r>
        <w:rPr>
          <w:rFonts w:hint="eastAsia" w:ascii="宋体" w:hAnsi="宋体" w:eastAsia="宋体" w:cs="Times New Roman"/>
          <w:color w:val="000000"/>
          <w:sz w:val="24"/>
          <w:szCs w:val="24"/>
        </w:rPr>
        <w:t xml:space="preserve"> </w:t>
      </w:r>
    </w:p>
    <w:p w14:paraId="2771F44D">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方必须保证本合同所述</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是</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方目前的最新版本</w:t>
      </w:r>
      <w:r>
        <w:rPr>
          <w:rFonts w:hint="eastAsia" w:ascii="Times New Roman" w:hAnsi="Times New Roman" w:eastAsia="宋体" w:cs="Times New Roman"/>
          <w:sz w:val="24"/>
          <w:szCs w:val="24"/>
        </w:rPr>
        <w:t>。</w:t>
      </w:r>
    </w:p>
    <w:p w14:paraId="7500F3D6">
      <w:pPr>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（3）</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方负责以</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功能的升级、维护和文档更新。</w:t>
      </w:r>
    </w:p>
    <w:p w14:paraId="5915CF5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如甲方以后有需要对</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进行改动的，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w:t>
      </w:r>
      <w:r>
        <w:rPr>
          <w:rFonts w:hint="eastAsia" w:ascii="Times New Roman" w:hAnsi="Times New Roman" w:eastAsia="宋体" w:cs="Times New Roman"/>
          <w:sz w:val="24"/>
          <w:szCs w:val="24"/>
        </w:rPr>
        <w:t>免费进行改良。</w:t>
      </w:r>
    </w:p>
    <w:p w14:paraId="2576D7DB">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（5）丙</w:t>
      </w:r>
      <w:r>
        <w:rPr>
          <w:rFonts w:ascii="Times New Roman" w:hAnsi="Times New Roman" w:eastAsia="宋体" w:cs="Times New Roman"/>
          <w:sz w:val="24"/>
          <w:szCs w:val="24"/>
        </w:rPr>
        <w:t>方保证其</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系统不带有定期的密码输入</w:t>
      </w:r>
      <w:r>
        <w:rPr>
          <w:rFonts w:hint="eastAsia" w:ascii="Times New Roman" w:hAnsi="Times New Roman" w:eastAsia="宋体" w:cs="Times New Roman"/>
          <w:sz w:val="24"/>
          <w:szCs w:val="24"/>
        </w:rPr>
        <w:t>。</w:t>
      </w:r>
    </w:p>
    <w:p w14:paraId="081AFEB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（6）丙</w:t>
      </w:r>
      <w:r>
        <w:rPr>
          <w:rFonts w:ascii="Times New Roman" w:hAnsi="Times New Roman" w:eastAsia="宋体" w:cs="Times New Roman"/>
          <w:sz w:val="24"/>
          <w:szCs w:val="24"/>
        </w:rPr>
        <w:t>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不可隐含任何恶意功能，包括但不限于病毒、蠕虫和特洛伊木马等程序，也不可以于未经甲方及其相关联</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"https://v.66law.cn/shuofa/gsf/gsfgd/" \t "_blank" \o "公司"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公司</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授权下透过软件收集和扩散任何甲方及其相关联公司之数据各信息</w:t>
      </w:r>
      <w:r>
        <w:rPr>
          <w:rFonts w:hint="eastAsia" w:ascii="Times New Roman" w:hAnsi="Times New Roman" w:eastAsia="宋体" w:cs="Times New Roman"/>
          <w:sz w:val="24"/>
          <w:szCs w:val="24"/>
        </w:rPr>
        <w:t>。</w:t>
      </w:r>
    </w:p>
    <w:p w14:paraId="44CFD52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（7）丙方提供的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w:t>
      </w:r>
    </w:p>
    <w:p w14:paraId="01EF30C5">
      <w:pP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（8）丙方工作人员若因操作失误导致系统故障、数据遗失的，丙方应负责调试系统至正常使用状态并恢复数据，由此造成甲方损失的，丙方应承担赔偿责任。</w:t>
      </w:r>
    </w:p>
    <w:p w14:paraId="402E9330">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十一、</w:t>
      </w:r>
      <w:r>
        <w:rPr>
          <w:rFonts w:ascii="Times New Roman" w:hAnsi="Times New Roman" w:eastAsia="宋体" w:cs="Times New Roman"/>
          <w:b/>
          <w:sz w:val="24"/>
          <w:szCs w:val="24"/>
        </w:rPr>
        <w:t>保证条款</w:t>
      </w:r>
    </w:p>
    <w:p w14:paraId="4968EE6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方保证交付甲方的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来源合法</w:t>
      </w:r>
      <w:r>
        <w:rPr>
          <w:rFonts w:hint="eastAsia" w:ascii="Times New Roman" w:hAnsi="Times New Roman" w:eastAsia="宋体" w:cs="Times New Roman"/>
          <w:sz w:val="24"/>
          <w:szCs w:val="24"/>
        </w:rPr>
        <w:t>。</w:t>
      </w:r>
    </w:p>
    <w:p w14:paraId="325EC9C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方保证提供给甲方的软件不侵犯任何第三方的合法权益，包括但不限于</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"https://www.66law.cn/special/shangbiaochaxun/" \t "_blank" \o "商标权"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商标权</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、专利权或</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"https://www.66law.cn/special/symm/" \t "_blank" \o "商业秘密"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商业秘密</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等。如出现第三方对甲方使用或销售本合同软件提出所有权异议、索赔等情况的，甲方有权拒绝并立即通知</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方自行处理由此导致的问题，并且</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方应在自行承担相关费用的情况下按照甲方之要求采取必要的补救措施确保甲方的损失降至最低。</w:t>
      </w:r>
    </w:p>
    <w:p w14:paraId="066EB48D">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3、如</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方出现不履行义务、迟延履行义务或其他瑕疵履行的，因此而产生的费用和导致甲方损失的责任均由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方承担。</w:t>
      </w:r>
    </w:p>
    <w:p w14:paraId="547B80CF">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十二、违约条款</w:t>
      </w:r>
    </w:p>
    <w:p w14:paraId="5FC4598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1、丙方交付的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而违约，按本条本款下述第“2”项规定由丙方偿付违约赔偿金给甲方。</w:t>
      </w:r>
    </w:p>
    <w:p w14:paraId="37D14EF1">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或逾期交付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而违约的，除应及时交足</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1ADEA58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3、丙方软件经甲方送交具有法定资格条件的质量技术监督机构检测后，如检测结果认定</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4CEDE3DA">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4、丙方保证本合同</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的权利无瑕疵，包括</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所有权及知识产权等权利无瑕疵。如任何第三方经法院（或仲裁机构）裁决有权对上述软件主张权利或国家机关依法对</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进行没收查处的，丙方除应向乙方返还已收款项外，还应另按合同总价的百分之拾向甲方支付违约金并赔偿因此给甲方造成的一切损失。</w:t>
      </w:r>
    </w:p>
    <w:p w14:paraId="2C3CD05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5、甲乙丙三方因违约偿付的违约金不足以弥补非违约方损失的，还应按非违约方损失尚未弥补的部分，支付赔偿金给非违约方。</w:t>
      </w:r>
    </w:p>
    <w:p w14:paraId="6B8110A8">
      <w:pPr>
        <w:spacing w:line="360" w:lineRule="auto"/>
        <w:rPr>
          <w:rFonts w:ascii="宋体" w:hAnsi="宋体" w:eastAsia="宋体" w:cs="Tahoma"/>
          <w:sz w:val="24"/>
          <w:szCs w:val="24"/>
        </w:rPr>
      </w:pPr>
      <w:r>
        <w:rPr>
          <w:rFonts w:hint="eastAsia" w:ascii="Times New Roman" w:hAnsi="Times New Roman" w:eastAsia="宋体" w:cs="Times New Roman"/>
          <w:sz w:val="24"/>
          <w:szCs w:val="24"/>
        </w:rPr>
        <w:t>6、丙方提供的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服务需要严格遵守相关网络信息安全规定。未经甲方允许，丙方不能擅自将系统中甲方的相关信息以任何形式透露给第三方，若有相关行为，甲方将依法追究其法律责任。</w:t>
      </w:r>
    </w:p>
    <w:p w14:paraId="201438D5">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十三、不可抗力</w:t>
      </w:r>
    </w:p>
    <w:p w14:paraId="1AC7F0C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1、不可抗力包括影响合同义务的执行的严重火灾、水灾、台风、地震、罢工等。</w:t>
      </w:r>
    </w:p>
    <w:p w14:paraId="23915BE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2、不可抗力事故受到影响的一方应在</w:t>
      </w:r>
      <w:r>
        <w:rPr>
          <w:rFonts w:hint="eastAsia" w:ascii="Times New Roman" w:hAnsi="Times New Roman" w:eastAsia="宋体" w:cs="Times New Roman"/>
          <w:sz w:val="24"/>
          <w:szCs w:val="24"/>
        </w:rPr>
        <w:t xml:space="preserve"> 7 </w:t>
      </w:r>
      <w:r>
        <w:rPr>
          <w:rFonts w:ascii="Times New Roman" w:hAnsi="Times New Roman" w:eastAsia="宋体" w:cs="Times New Roman"/>
          <w:sz w:val="24"/>
          <w:szCs w:val="24"/>
        </w:rPr>
        <w:t>个工作日内通知对方，并出具相关证明。当不可抗力事故消除后，受到影响的一方应尽快书面通知</w:t>
      </w:r>
      <w:r>
        <w:rPr>
          <w:rFonts w:hint="eastAsia" w:ascii="Times New Roman" w:hAnsi="Times New Roman" w:eastAsia="宋体" w:cs="Times New Roman"/>
          <w:sz w:val="24"/>
          <w:szCs w:val="24"/>
        </w:rPr>
        <w:t>其他</w:t>
      </w:r>
      <w:r>
        <w:rPr>
          <w:rFonts w:ascii="Times New Roman" w:hAnsi="Times New Roman" w:eastAsia="宋体" w:cs="Times New Roman"/>
          <w:sz w:val="24"/>
          <w:szCs w:val="24"/>
        </w:rPr>
        <w:t>方。</w:t>
      </w:r>
    </w:p>
    <w:p w14:paraId="29E27EAD">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3、由于不可抗力事故而影响合同履行的，但不影响合同目的实现的，可延迟履行合同期限，延迟时间相当于事故所影响的时间。若不可抗力原因影响本合同执行时间超过</w:t>
      </w:r>
      <w:r>
        <w:rPr>
          <w:rFonts w:hint="eastAsia" w:ascii="Times New Roman" w:hAnsi="Times New Roman" w:eastAsia="宋体" w:cs="Times New Roman"/>
          <w:sz w:val="24"/>
          <w:szCs w:val="24"/>
        </w:rPr>
        <w:t>3个月，三方就合同签订履行事宜另行协商。</w:t>
      </w:r>
    </w:p>
    <w:p w14:paraId="22A4E396">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十四、</w:t>
      </w:r>
      <w:r>
        <w:rPr>
          <w:rFonts w:hint="eastAsia" w:ascii="Times New Roman" w:hAnsi="Times New Roman" w:eastAsia="宋体" w:cs="Times New Roman"/>
          <w:b/>
          <w:bCs/>
          <w:sz w:val="24"/>
          <w:szCs w:val="24"/>
        </w:rPr>
        <w:t>知识产权及数据隐私保护</w:t>
      </w:r>
    </w:p>
    <w:p w14:paraId="6903C8C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方必须对本合同履行过程中知悉的甲方的商业</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秘密</w:t>
      </w:r>
      <w:r>
        <w:rPr>
          <w:rFonts w:hint="eastAsia" w:ascii="Times New Roman" w:hAnsi="Times New Roman" w:eastAsia="宋体" w:cs="Times New Roman"/>
          <w:sz w:val="24"/>
          <w:szCs w:val="24"/>
        </w:rPr>
        <w:t>、经营秘密、患者隐私数据等甲方未公开的信息</w:t>
      </w:r>
      <w:r>
        <w:rPr>
          <w:rFonts w:ascii="Times New Roman" w:hAnsi="Times New Roman" w:eastAsia="宋体" w:cs="Times New Roman"/>
          <w:sz w:val="24"/>
          <w:szCs w:val="24"/>
        </w:rPr>
        <w:t>负保密义务，不得向任何第三方透露</w:t>
      </w:r>
      <w:r>
        <w:rPr>
          <w:rFonts w:hint="eastAsia" w:ascii="Times New Roman" w:hAnsi="Times New Roman" w:eastAsia="宋体" w:cs="Times New Roman"/>
          <w:sz w:val="24"/>
          <w:szCs w:val="24"/>
        </w:rPr>
        <w:t>，不得用作本协议以外的其他用途</w:t>
      </w:r>
      <w:r>
        <w:rPr>
          <w:rFonts w:ascii="Times New Roman" w:hAnsi="Times New Roman" w:eastAsia="宋体" w:cs="Times New Roman"/>
          <w:sz w:val="24"/>
          <w:szCs w:val="24"/>
        </w:rPr>
        <w:t>。否则，</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方应赔偿甲方因此造成的经济损失，包括但不限于实际损失、可得利益损失及为此支付的律师代理费用</w:t>
      </w:r>
      <w:r>
        <w:rPr>
          <w:rFonts w:hint="eastAsia" w:ascii="Times New Roman" w:hAnsi="Times New Roman" w:eastAsia="宋体" w:cs="Times New Roman"/>
          <w:sz w:val="24"/>
          <w:szCs w:val="24"/>
        </w:rPr>
        <w:t>、诉讼费、公告费、公证费、保全费等。保密期为永久。损失无法计算的，甲丙双方同意按照合同金额的1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倍计算违约金，甲丙双方均不认为该违约金过高。</w:t>
      </w:r>
    </w:p>
    <w:p w14:paraId="54D1BA0B">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、任何一方在未征得对方书面同意，不得将本合同的权利或义务转让给第三方。</w:t>
      </w:r>
      <w:r>
        <w:rPr>
          <w:rFonts w:hint="eastAsia" w:ascii="Times New Roman" w:hAnsi="Times New Roman" w:eastAsia="宋体" w:cs="Times New Roman"/>
          <w:sz w:val="24"/>
          <w:szCs w:val="24"/>
        </w:rPr>
        <w:t>否则，违约方按照合同金额</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%支付违约金，违约金不足以弥补非违约方损失的，违约方予以补足。</w:t>
      </w:r>
    </w:p>
    <w:p w14:paraId="6DF8447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3、甲、丙双方共同研发的该系统软件产品，知识产权归甲、丙双方共同拥有，软件所有数据归甲方所有。</w:t>
      </w:r>
    </w:p>
    <w:p w14:paraId="6248652E">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十五、廉洁约定</w:t>
      </w:r>
    </w:p>
    <w:p w14:paraId="13F96133">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5683592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十六、合同生效</w:t>
      </w:r>
    </w:p>
    <w:p w14:paraId="722A381F">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本合同在甲乙丙三方法定代表人、负责人或授权代表签字并加盖单位公章或合同专用章后生效。</w:t>
      </w:r>
    </w:p>
    <w:p w14:paraId="11B21BC8">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本合同一式</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份，甲方执四份，乙方执</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份，丙方【 】份。</w:t>
      </w:r>
    </w:p>
    <w:p w14:paraId="3AB8E019">
      <w:pPr>
        <w:spacing w:line="360" w:lineRule="auto"/>
        <w:rPr>
          <w:rFonts w:ascii="仿宋" w:hAnsi="仿宋" w:eastAsia="仿宋" w:cs="Times New Roman"/>
          <w:sz w:val="24"/>
          <w:szCs w:val="24"/>
        </w:rPr>
      </w:pPr>
      <w:r>
        <w:rPr>
          <w:rFonts w:hint="eastAsia" w:ascii="Times New Roman" w:hAnsi="Times New Roman" w:eastAsia="宋体" w:cs="Times New Roman"/>
          <w:b/>
          <w:sz w:val="24"/>
          <w:szCs w:val="24"/>
        </w:rPr>
        <w:t>十七、争议解决方式</w:t>
      </w:r>
    </w:p>
    <w:p w14:paraId="57715EE6">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6D029C8F">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合同履行期间,若双方发生争议，可协商或由有关部门调解解决，协商或调解不成的，任何一方均有权向甲方住所地管辖权的人民法院起诉。</w:t>
      </w:r>
    </w:p>
    <w:p w14:paraId="086FAAF8">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十八、双方需要说明的其他事项</w:t>
      </w:r>
    </w:p>
    <w:p w14:paraId="4893C48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协议内容应符合各方行业的监管要求，若遇国家监管政策调整导致任何一方不能继续履约，合同当事人有权解除或终止协议，且不承担违约或损失赔偿责任等相关条款。</w:t>
      </w:r>
    </w:p>
    <w:p w14:paraId="0C5F6B6E">
      <w:pPr>
        <w:spacing w:line="360" w:lineRule="auto"/>
        <w:rPr>
          <w:rFonts w:ascii="Times New Roman" w:hAnsi="Times New Roman" w:eastAsia="宋体" w:cs="Times New Roman"/>
          <w:bCs/>
          <w:sz w:val="24"/>
          <w:szCs w:val="24"/>
          <w:u w:val="single"/>
        </w:rPr>
      </w:pPr>
    </w:p>
    <w:p w14:paraId="633F547E">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（以下无正文）</w:t>
      </w:r>
    </w:p>
    <w:p w14:paraId="18B51B8F">
      <w:pPr>
        <w:spacing w:line="360" w:lineRule="auto"/>
        <w:outlineLvl w:val="0"/>
        <w:rPr>
          <w:rFonts w:ascii="Times New Roman" w:hAnsi="Times New Roman" w:eastAsia="宋体" w:cs="Times New Roman"/>
          <w:b/>
          <w:bCs/>
          <w:sz w:val="24"/>
          <w:szCs w:val="24"/>
        </w:rPr>
      </w:pPr>
    </w:p>
    <w:p w14:paraId="647A434B">
      <w:pPr>
        <w:spacing w:line="360" w:lineRule="auto"/>
        <w:outlineLvl w:val="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51D9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26B007F4">
            <w:pPr>
              <w:spacing w:line="360" w:lineRule="auto"/>
              <w:rPr>
                <w:rFonts w:ascii="宋体" w:hAnsi="宋体" w:eastAsia="宋体" w:cs="Times New Roman"/>
                <w:sz w:val="24"/>
                <w:szCs w:val="24"/>
              </w:rPr>
            </w:pPr>
            <w:r>
              <w:rPr>
                <w:rFonts w:hint="eastAsia" w:ascii="宋体" w:hAnsi="宋体" w:eastAsia="宋体" w:cs="Times New Roman"/>
                <w:sz w:val="24"/>
                <w:szCs w:val="24"/>
              </w:rPr>
              <w:t>甲方：四川省人民医院</w:t>
            </w:r>
          </w:p>
          <w:p w14:paraId="743354C6">
            <w:pPr>
              <w:spacing w:line="360" w:lineRule="auto"/>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6DB37986">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乙方：</w:t>
            </w:r>
            <w:r>
              <w:rPr>
                <w:rFonts w:hint="eastAsia" w:ascii="宋体" w:hAnsi="宋体" w:eastAsia="宋体" w:cs="宋体"/>
                <w:color w:val="000000"/>
                <w:kern w:val="0"/>
                <w:sz w:val="24"/>
                <w:szCs w:val="24"/>
              </w:rPr>
              <w:t>中国农业银行股份有限公司成都光华支行</w:t>
            </w:r>
          </w:p>
          <w:p w14:paraId="57B76C71">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负责人（授权代表）：</w:t>
            </w:r>
          </w:p>
        </w:tc>
      </w:tr>
      <w:tr w14:paraId="47248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845AC9">
            <w:pPr>
              <w:spacing w:line="360" w:lineRule="auto"/>
              <w:rPr>
                <w:rFonts w:ascii="宋体" w:hAnsi="宋体" w:eastAsia="宋体" w:cs="Times New Roman"/>
                <w:sz w:val="24"/>
                <w:szCs w:val="24"/>
              </w:rPr>
            </w:pPr>
          </w:p>
        </w:tc>
        <w:tc>
          <w:tcPr>
            <w:tcW w:w="4927" w:type="dxa"/>
            <w:vAlign w:val="center"/>
          </w:tcPr>
          <w:p w14:paraId="1709324D">
            <w:pPr>
              <w:spacing w:line="360" w:lineRule="auto"/>
              <w:outlineLvl w:val="0"/>
              <w:rPr>
                <w:rFonts w:ascii="宋体" w:hAnsi="宋体" w:eastAsia="宋体" w:cs="Times New Roman"/>
                <w:sz w:val="24"/>
                <w:szCs w:val="24"/>
              </w:rPr>
            </w:pPr>
          </w:p>
        </w:tc>
      </w:tr>
      <w:tr w14:paraId="735D0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A95FC72">
            <w:pPr>
              <w:spacing w:line="360" w:lineRule="auto"/>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4A8747DE">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r>
      <w:tr w14:paraId="023C2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E42BE2F">
            <w:pPr>
              <w:spacing w:line="360" w:lineRule="auto"/>
              <w:rPr>
                <w:rFonts w:ascii="宋体" w:hAnsi="宋体" w:eastAsia="宋体" w:cs="Times New Roman"/>
                <w:sz w:val="24"/>
                <w:szCs w:val="24"/>
              </w:rPr>
            </w:pPr>
          </w:p>
        </w:tc>
        <w:tc>
          <w:tcPr>
            <w:tcW w:w="4927" w:type="dxa"/>
            <w:vAlign w:val="center"/>
          </w:tcPr>
          <w:p w14:paraId="1CC45A8F">
            <w:pPr>
              <w:spacing w:line="360" w:lineRule="auto"/>
              <w:outlineLvl w:val="0"/>
              <w:rPr>
                <w:rFonts w:ascii="宋体" w:hAnsi="宋体" w:eastAsia="宋体" w:cs="Times New Roman"/>
                <w:sz w:val="24"/>
                <w:szCs w:val="24"/>
              </w:rPr>
            </w:pPr>
          </w:p>
        </w:tc>
      </w:tr>
      <w:tr w14:paraId="4F479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9207255">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 xml:space="preserve">丙方： </w:t>
            </w:r>
          </w:p>
          <w:p w14:paraId="786584D4">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5999C5FA">
            <w:pPr>
              <w:spacing w:line="360" w:lineRule="auto"/>
              <w:outlineLvl w:val="0"/>
              <w:rPr>
                <w:rFonts w:ascii="宋体" w:hAnsi="宋体" w:eastAsia="宋体" w:cs="Times New Roman"/>
                <w:sz w:val="24"/>
                <w:szCs w:val="24"/>
              </w:rPr>
            </w:pPr>
          </w:p>
        </w:tc>
      </w:tr>
      <w:tr w14:paraId="053EE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1D91EF">
            <w:pPr>
              <w:spacing w:line="360" w:lineRule="auto"/>
              <w:outlineLvl w:val="0"/>
              <w:rPr>
                <w:rFonts w:ascii="宋体" w:hAnsi="宋体" w:eastAsia="宋体" w:cs="Times New Roman"/>
                <w:sz w:val="24"/>
                <w:szCs w:val="24"/>
              </w:rPr>
            </w:pPr>
          </w:p>
        </w:tc>
        <w:tc>
          <w:tcPr>
            <w:tcW w:w="4927" w:type="dxa"/>
            <w:vAlign w:val="center"/>
          </w:tcPr>
          <w:p w14:paraId="04A7BDBD">
            <w:pPr>
              <w:spacing w:line="360" w:lineRule="auto"/>
              <w:outlineLvl w:val="0"/>
              <w:rPr>
                <w:rFonts w:ascii="宋体" w:hAnsi="宋体" w:eastAsia="宋体" w:cs="Times New Roman"/>
                <w:sz w:val="24"/>
                <w:szCs w:val="24"/>
              </w:rPr>
            </w:pPr>
          </w:p>
        </w:tc>
      </w:tr>
      <w:tr w14:paraId="71B8D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725739C">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010F5204">
            <w:pPr>
              <w:spacing w:line="360" w:lineRule="auto"/>
              <w:outlineLvl w:val="0"/>
              <w:rPr>
                <w:rFonts w:ascii="宋体" w:hAnsi="宋体" w:eastAsia="宋体" w:cs="Times New Roman"/>
                <w:sz w:val="24"/>
                <w:szCs w:val="24"/>
              </w:rPr>
            </w:pPr>
          </w:p>
        </w:tc>
      </w:tr>
    </w:tbl>
    <w:p w14:paraId="2B903092">
      <w:pPr>
        <w:rPr>
          <w:rFonts w:ascii="Times New Roman" w:hAnsi="Times New Roman" w:eastAsia="宋体" w:cs="Times New Roman"/>
          <w:szCs w:val="20"/>
        </w:rPr>
      </w:pPr>
      <w:r>
        <w:rPr>
          <w:rFonts w:ascii="华文中宋" w:hAnsi="华文中宋" w:eastAsia="华文中宋" w:cs="Times New Roman"/>
          <w:sz w:val="24"/>
          <w:szCs w:val="24"/>
        </w:rPr>
        <w:br w:type="page"/>
      </w:r>
    </w:p>
    <w:p w14:paraId="61DD5454">
      <w:pPr>
        <w:spacing w:line="460" w:lineRule="exact"/>
        <w:outlineLvl w:val="0"/>
        <w:rPr>
          <w:rFonts w:ascii="华文中宋" w:hAnsi="华文中宋" w:eastAsia="华文中宋" w:cs="Times New Roman"/>
          <w:sz w:val="24"/>
          <w:szCs w:val="24"/>
        </w:rPr>
      </w:pPr>
      <w:r>
        <w:rPr>
          <w:rFonts w:hint="eastAsia" w:ascii="华文中宋" w:hAnsi="华文中宋" w:eastAsia="华文中宋" w:cs="Times New Roman"/>
          <w:sz w:val="24"/>
          <w:szCs w:val="24"/>
        </w:rPr>
        <w:t>附件：</w:t>
      </w:r>
    </w:p>
    <w:p w14:paraId="40853550">
      <w:pPr>
        <w:spacing w:line="460" w:lineRule="exact"/>
        <w:outlineLvl w:val="0"/>
        <w:rPr>
          <w:rFonts w:ascii="华文中宋" w:hAnsi="华文中宋" w:eastAsia="华文中宋" w:cs="Times New Roman"/>
          <w:sz w:val="24"/>
          <w:szCs w:val="24"/>
        </w:rPr>
      </w:pPr>
    </w:p>
    <w:p w14:paraId="0EFB9D71">
      <w:pPr>
        <w:spacing w:line="460" w:lineRule="exact"/>
        <w:outlineLvl w:val="0"/>
        <w:rPr>
          <w:rFonts w:ascii="华文中宋" w:hAnsi="华文中宋" w:eastAsia="华文中宋" w:cs="Times New Roman"/>
          <w:sz w:val="24"/>
          <w:szCs w:val="24"/>
        </w:rPr>
      </w:pPr>
    </w:p>
    <w:p w14:paraId="71601D2E">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A811446-8ADA-439A-9B26-64B0F9B86A4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8E8581B-A9C4-4FED-877C-771D6667C4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CC44FE0-F45A-444F-849D-A1A5AD72340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embedRegular r:id="rId4" w:fontKey="{F302C90F-7E8B-4B55-A53A-E716324B0C46}"/>
  </w:font>
  <w:font w:name="Segoe UI Symbol">
    <w:panose1 w:val="020B0502040204020203"/>
    <w:charset w:val="00"/>
    <w:family w:val="swiss"/>
    <w:pitch w:val="default"/>
    <w:sig w:usb0="800001E3" w:usb1="1200FFEF" w:usb2="00040000" w:usb3="04000000" w:csb0="00000001" w:csb1="40000000"/>
    <w:embedRegular r:id="rId5" w:fontKey="{90391859-2BA6-4E1D-926D-66FF41C030D8}"/>
  </w:font>
  <w:font w:name="方正小标宋_GBK">
    <w:altName w:val="微软雅黑"/>
    <w:panose1 w:val="03000509000000000000"/>
    <w:charset w:val="86"/>
    <w:family w:val="script"/>
    <w:pitch w:val="default"/>
    <w:sig w:usb0="00000000" w:usb1="00000000" w:usb2="00000000" w:usb3="00000000" w:csb0="00040000" w:csb1="00000000"/>
    <w:embedRegular r:id="rId6" w:fontKey="{50084FB8-3583-4054-A1B4-DF4C9299A648}"/>
  </w:font>
  <w:font w:name="Tahoma">
    <w:panose1 w:val="020B0604030504040204"/>
    <w:charset w:val="00"/>
    <w:family w:val="swiss"/>
    <w:pitch w:val="default"/>
    <w:sig w:usb0="E1002EFF" w:usb1="C000605B" w:usb2="00000029" w:usb3="00000000" w:csb0="200101FF" w:csb1="20280000"/>
    <w:embedRegular r:id="rId7" w:fontKey="{AD193F27-73CC-4CD0-AC6D-52DF285AA6DB}"/>
  </w:font>
  <w:font w:name="华文中宋">
    <w:panose1 w:val="02010600040101010101"/>
    <w:charset w:val="86"/>
    <w:family w:val="auto"/>
    <w:pitch w:val="default"/>
    <w:sig w:usb0="00000287" w:usb1="080F0000" w:usb2="00000000" w:usb3="00000000" w:csb0="0004009F" w:csb1="DFD70000"/>
    <w:embedRegular r:id="rId8" w:fontKey="{7FD4DF0D-DBC1-440C-9AA6-3B1BD115056F}"/>
  </w:font>
  <w:font w:name="Arial">
    <w:panose1 w:val="020B0604020202020204"/>
    <w:charset w:val="00"/>
    <w:family w:val="auto"/>
    <w:pitch w:val="default"/>
    <w:sig w:usb0="E0002EFF" w:usb1="C000785B" w:usb2="00000009" w:usb3="00000000" w:csb0="400001FF" w:csb1="FFFF000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EFA4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BBEFA4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DB79F">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7345A"/>
    <w:rsid w:val="00AD5068"/>
    <w:rsid w:val="00B16CD7"/>
    <w:rsid w:val="00B2440D"/>
    <w:rsid w:val="00B63B3D"/>
    <w:rsid w:val="00BC1C51"/>
    <w:rsid w:val="00BE12C0"/>
    <w:rsid w:val="00BF25B0"/>
    <w:rsid w:val="00C16D65"/>
    <w:rsid w:val="00C7491C"/>
    <w:rsid w:val="00C80DB0"/>
    <w:rsid w:val="00C866E7"/>
    <w:rsid w:val="00CC6ACA"/>
    <w:rsid w:val="00CD4FF6"/>
    <w:rsid w:val="00D40B0D"/>
    <w:rsid w:val="00D53AD1"/>
    <w:rsid w:val="00D540D3"/>
    <w:rsid w:val="00D61E8F"/>
    <w:rsid w:val="00D644BF"/>
    <w:rsid w:val="00D74E06"/>
    <w:rsid w:val="00DE0124"/>
    <w:rsid w:val="00DE5670"/>
    <w:rsid w:val="00DF3B6A"/>
    <w:rsid w:val="00E0770D"/>
    <w:rsid w:val="00E2603E"/>
    <w:rsid w:val="00E535EF"/>
    <w:rsid w:val="00E71156"/>
    <w:rsid w:val="00E769CD"/>
    <w:rsid w:val="00EA700B"/>
    <w:rsid w:val="00EF1292"/>
    <w:rsid w:val="00F3202A"/>
    <w:rsid w:val="00F523A1"/>
    <w:rsid w:val="00F676AD"/>
    <w:rsid w:val="00F90C3B"/>
    <w:rsid w:val="00FF60E3"/>
    <w:rsid w:val="010454CD"/>
    <w:rsid w:val="0168325F"/>
    <w:rsid w:val="019A4749"/>
    <w:rsid w:val="01A1683A"/>
    <w:rsid w:val="01A26771"/>
    <w:rsid w:val="01AC5842"/>
    <w:rsid w:val="01D37272"/>
    <w:rsid w:val="01D50A7C"/>
    <w:rsid w:val="01EA636A"/>
    <w:rsid w:val="01F66ABD"/>
    <w:rsid w:val="01FF7230"/>
    <w:rsid w:val="0213141D"/>
    <w:rsid w:val="023C235A"/>
    <w:rsid w:val="02405F8A"/>
    <w:rsid w:val="024C0DD3"/>
    <w:rsid w:val="038A1CB4"/>
    <w:rsid w:val="03D1158F"/>
    <w:rsid w:val="03F434D0"/>
    <w:rsid w:val="041F679F"/>
    <w:rsid w:val="04BC1856"/>
    <w:rsid w:val="054D10EA"/>
    <w:rsid w:val="058C78B0"/>
    <w:rsid w:val="05E13064"/>
    <w:rsid w:val="05E51322"/>
    <w:rsid w:val="05FD48BE"/>
    <w:rsid w:val="06262376"/>
    <w:rsid w:val="06897EFF"/>
    <w:rsid w:val="069D2858"/>
    <w:rsid w:val="06A92350"/>
    <w:rsid w:val="06B52DD0"/>
    <w:rsid w:val="072B786C"/>
    <w:rsid w:val="072F0F64"/>
    <w:rsid w:val="0765792F"/>
    <w:rsid w:val="078A573C"/>
    <w:rsid w:val="07F25F78"/>
    <w:rsid w:val="082425D6"/>
    <w:rsid w:val="083251D0"/>
    <w:rsid w:val="08326375"/>
    <w:rsid w:val="0837398B"/>
    <w:rsid w:val="083A1BBD"/>
    <w:rsid w:val="08745B19"/>
    <w:rsid w:val="08DC4C5E"/>
    <w:rsid w:val="08EE39BE"/>
    <w:rsid w:val="08FF3F01"/>
    <w:rsid w:val="093A3733"/>
    <w:rsid w:val="09563EF1"/>
    <w:rsid w:val="09AD3F6A"/>
    <w:rsid w:val="09F96B53"/>
    <w:rsid w:val="0A220AAD"/>
    <w:rsid w:val="0A5151D8"/>
    <w:rsid w:val="0A726EFC"/>
    <w:rsid w:val="0ABF3E79"/>
    <w:rsid w:val="0B4508AE"/>
    <w:rsid w:val="0BCD3E13"/>
    <w:rsid w:val="0C0544CC"/>
    <w:rsid w:val="0C120997"/>
    <w:rsid w:val="0C774C9E"/>
    <w:rsid w:val="0C965124"/>
    <w:rsid w:val="0CF161C9"/>
    <w:rsid w:val="0D094B53"/>
    <w:rsid w:val="0D26294C"/>
    <w:rsid w:val="0D466B4A"/>
    <w:rsid w:val="0D5C636E"/>
    <w:rsid w:val="0D7D4536"/>
    <w:rsid w:val="0DB23947"/>
    <w:rsid w:val="0DE6032D"/>
    <w:rsid w:val="0DF742E8"/>
    <w:rsid w:val="0E0B7FF0"/>
    <w:rsid w:val="0E1C3D4F"/>
    <w:rsid w:val="0E5B6625"/>
    <w:rsid w:val="0E855450"/>
    <w:rsid w:val="0E9618F3"/>
    <w:rsid w:val="0EA1505A"/>
    <w:rsid w:val="0EAC189D"/>
    <w:rsid w:val="0EE7435D"/>
    <w:rsid w:val="0F014D68"/>
    <w:rsid w:val="0F5D2ECD"/>
    <w:rsid w:val="0FC14BAE"/>
    <w:rsid w:val="101A497B"/>
    <w:rsid w:val="10432B4B"/>
    <w:rsid w:val="10A15B58"/>
    <w:rsid w:val="110E1F50"/>
    <w:rsid w:val="117A5014"/>
    <w:rsid w:val="11E12DDA"/>
    <w:rsid w:val="11EC6A74"/>
    <w:rsid w:val="12626A8B"/>
    <w:rsid w:val="127F05A0"/>
    <w:rsid w:val="1299771C"/>
    <w:rsid w:val="12BC165D"/>
    <w:rsid w:val="130A5001"/>
    <w:rsid w:val="136D78F8"/>
    <w:rsid w:val="13806B2E"/>
    <w:rsid w:val="13AC16D1"/>
    <w:rsid w:val="13CD4D8B"/>
    <w:rsid w:val="14221993"/>
    <w:rsid w:val="144B0EEA"/>
    <w:rsid w:val="148B578A"/>
    <w:rsid w:val="14984FD0"/>
    <w:rsid w:val="14A32AD4"/>
    <w:rsid w:val="14C45F2E"/>
    <w:rsid w:val="15567E5A"/>
    <w:rsid w:val="15CC4977"/>
    <w:rsid w:val="16077093"/>
    <w:rsid w:val="162A4F7D"/>
    <w:rsid w:val="16A82A66"/>
    <w:rsid w:val="16C80323"/>
    <w:rsid w:val="16DE614F"/>
    <w:rsid w:val="17233056"/>
    <w:rsid w:val="17826121"/>
    <w:rsid w:val="18316649"/>
    <w:rsid w:val="1847673B"/>
    <w:rsid w:val="18E216F1"/>
    <w:rsid w:val="1954595C"/>
    <w:rsid w:val="1994787E"/>
    <w:rsid w:val="19BF71CA"/>
    <w:rsid w:val="1A332151"/>
    <w:rsid w:val="1A82318C"/>
    <w:rsid w:val="1AA11864"/>
    <w:rsid w:val="1B0B27A2"/>
    <w:rsid w:val="1B33302E"/>
    <w:rsid w:val="1B634D6B"/>
    <w:rsid w:val="1B642891"/>
    <w:rsid w:val="1BC9751D"/>
    <w:rsid w:val="1C2A5889"/>
    <w:rsid w:val="1C625023"/>
    <w:rsid w:val="1C746B04"/>
    <w:rsid w:val="1D0205B4"/>
    <w:rsid w:val="1D1B65B7"/>
    <w:rsid w:val="1D2821E4"/>
    <w:rsid w:val="1D8C2C2E"/>
    <w:rsid w:val="1DB4365C"/>
    <w:rsid w:val="1DC35F95"/>
    <w:rsid w:val="1DD000AF"/>
    <w:rsid w:val="1E09745A"/>
    <w:rsid w:val="1E0D2131"/>
    <w:rsid w:val="1E114F52"/>
    <w:rsid w:val="1E176351"/>
    <w:rsid w:val="1E7D1617"/>
    <w:rsid w:val="1ECD615C"/>
    <w:rsid w:val="1FE21EC2"/>
    <w:rsid w:val="1FF95C9E"/>
    <w:rsid w:val="20005F1A"/>
    <w:rsid w:val="209239FD"/>
    <w:rsid w:val="20B77599"/>
    <w:rsid w:val="20CF13CE"/>
    <w:rsid w:val="211E7A91"/>
    <w:rsid w:val="2127683B"/>
    <w:rsid w:val="215D225D"/>
    <w:rsid w:val="21B53E47"/>
    <w:rsid w:val="21D62A8B"/>
    <w:rsid w:val="226D4C26"/>
    <w:rsid w:val="22892BEE"/>
    <w:rsid w:val="22935D1D"/>
    <w:rsid w:val="22FB3794"/>
    <w:rsid w:val="2340480E"/>
    <w:rsid w:val="237D2742"/>
    <w:rsid w:val="2393373D"/>
    <w:rsid w:val="23B24AE2"/>
    <w:rsid w:val="23D4489F"/>
    <w:rsid w:val="23D83E1C"/>
    <w:rsid w:val="24466FD8"/>
    <w:rsid w:val="24727DCD"/>
    <w:rsid w:val="25186BC6"/>
    <w:rsid w:val="252B6033"/>
    <w:rsid w:val="25537BFE"/>
    <w:rsid w:val="25F95EEC"/>
    <w:rsid w:val="262001B9"/>
    <w:rsid w:val="264F486A"/>
    <w:rsid w:val="271635BC"/>
    <w:rsid w:val="27B87AF9"/>
    <w:rsid w:val="27DA0163"/>
    <w:rsid w:val="27DD1193"/>
    <w:rsid w:val="27E80EA9"/>
    <w:rsid w:val="280414A1"/>
    <w:rsid w:val="28570368"/>
    <w:rsid w:val="28A27020"/>
    <w:rsid w:val="28E14F1E"/>
    <w:rsid w:val="297E6BDB"/>
    <w:rsid w:val="29C5318E"/>
    <w:rsid w:val="2A142F93"/>
    <w:rsid w:val="2A585CB7"/>
    <w:rsid w:val="2A81391B"/>
    <w:rsid w:val="2B502F98"/>
    <w:rsid w:val="2B9C3C6C"/>
    <w:rsid w:val="2BE05F64"/>
    <w:rsid w:val="2C9A0A9E"/>
    <w:rsid w:val="2D202ABC"/>
    <w:rsid w:val="2D2F2FAF"/>
    <w:rsid w:val="2DA70D65"/>
    <w:rsid w:val="2DBC4548"/>
    <w:rsid w:val="2E3D31FA"/>
    <w:rsid w:val="2E693FEF"/>
    <w:rsid w:val="2E6966E5"/>
    <w:rsid w:val="2E9C2616"/>
    <w:rsid w:val="2F575E37"/>
    <w:rsid w:val="2F776BDF"/>
    <w:rsid w:val="2F9073A7"/>
    <w:rsid w:val="2FEF6776"/>
    <w:rsid w:val="30136908"/>
    <w:rsid w:val="30E31FB7"/>
    <w:rsid w:val="31322DBE"/>
    <w:rsid w:val="315F515A"/>
    <w:rsid w:val="318F0210"/>
    <w:rsid w:val="31D71BB7"/>
    <w:rsid w:val="32165D3B"/>
    <w:rsid w:val="325356E2"/>
    <w:rsid w:val="32BB17EF"/>
    <w:rsid w:val="332B5D17"/>
    <w:rsid w:val="333F7A14"/>
    <w:rsid w:val="341B3FDD"/>
    <w:rsid w:val="3427766B"/>
    <w:rsid w:val="343706EB"/>
    <w:rsid w:val="34713BFD"/>
    <w:rsid w:val="34830DA6"/>
    <w:rsid w:val="351A08D0"/>
    <w:rsid w:val="35805CB0"/>
    <w:rsid w:val="359B5B55"/>
    <w:rsid w:val="35A26038"/>
    <w:rsid w:val="35A41DB0"/>
    <w:rsid w:val="35BC70FA"/>
    <w:rsid w:val="35FC399A"/>
    <w:rsid w:val="36334CE5"/>
    <w:rsid w:val="36526098"/>
    <w:rsid w:val="3701395E"/>
    <w:rsid w:val="37920A5A"/>
    <w:rsid w:val="3798104C"/>
    <w:rsid w:val="379C5435"/>
    <w:rsid w:val="37BE35FD"/>
    <w:rsid w:val="37F44BF3"/>
    <w:rsid w:val="37F5348C"/>
    <w:rsid w:val="380A6843"/>
    <w:rsid w:val="382B5F8F"/>
    <w:rsid w:val="38DC7BBA"/>
    <w:rsid w:val="391E6AEA"/>
    <w:rsid w:val="393671C3"/>
    <w:rsid w:val="39BA4298"/>
    <w:rsid w:val="39FD550A"/>
    <w:rsid w:val="3A3F1B1E"/>
    <w:rsid w:val="3A551407"/>
    <w:rsid w:val="3AFB1436"/>
    <w:rsid w:val="3B033C36"/>
    <w:rsid w:val="3B9C7486"/>
    <w:rsid w:val="3C24440F"/>
    <w:rsid w:val="3C333E8E"/>
    <w:rsid w:val="3C5E4431"/>
    <w:rsid w:val="3C8A61A4"/>
    <w:rsid w:val="3C8D17F0"/>
    <w:rsid w:val="3CB90F2D"/>
    <w:rsid w:val="3CE05DC4"/>
    <w:rsid w:val="3CEE6201"/>
    <w:rsid w:val="3CFA3193"/>
    <w:rsid w:val="3D385C00"/>
    <w:rsid w:val="3DBF7BA4"/>
    <w:rsid w:val="3E1B52F1"/>
    <w:rsid w:val="3E57579A"/>
    <w:rsid w:val="3E5D4E8E"/>
    <w:rsid w:val="3EF618CF"/>
    <w:rsid w:val="3F2F4DE1"/>
    <w:rsid w:val="3FAF1A7E"/>
    <w:rsid w:val="3FE25336"/>
    <w:rsid w:val="40073668"/>
    <w:rsid w:val="40786313"/>
    <w:rsid w:val="40866C82"/>
    <w:rsid w:val="40C31C84"/>
    <w:rsid w:val="41076015"/>
    <w:rsid w:val="418C776F"/>
    <w:rsid w:val="42075FF8"/>
    <w:rsid w:val="422C3859"/>
    <w:rsid w:val="426223B3"/>
    <w:rsid w:val="42842020"/>
    <w:rsid w:val="42876CE2"/>
    <w:rsid w:val="432B46F7"/>
    <w:rsid w:val="43664B49"/>
    <w:rsid w:val="43C75114"/>
    <w:rsid w:val="44150A49"/>
    <w:rsid w:val="444340B2"/>
    <w:rsid w:val="4497145E"/>
    <w:rsid w:val="44E81B7F"/>
    <w:rsid w:val="4513485D"/>
    <w:rsid w:val="4529367E"/>
    <w:rsid w:val="45C9178A"/>
    <w:rsid w:val="45FB3C6E"/>
    <w:rsid w:val="468567BB"/>
    <w:rsid w:val="46C85D15"/>
    <w:rsid w:val="4734568A"/>
    <w:rsid w:val="476060E7"/>
    <w:rsid w:val="4782487D"/>
    <w:rsid w:val="47B71E17"/>
    <w:rsid w:val="48A4239B"/>
    <w:rsid w:val="48C42A3E"/>
    <w:rsid w:val="49A10689"/>
    <w:rsid w:val="49D56585"/>
    <w:rsid w:val="49FC25C6"/>
    <w:rsid w:val="4A052D2B"/>
    <w:rsid w:val="4A3D2AA8"/>
    <w:rsid w:val="4A475610"/>
    <w:rsid w:val="4ABD5996"/>
    <w:rsid w:val="4B31068E"/>
    <w:rsid w:val="4B410375"/>
    <w:rsid w:val="4BA55220"/>
    <w:rsid w:val="4BAD0151"/>
    <w:rsid w:val="4BCA036B"/>
    <w:rsid w:val="4BDC3BFA"/>
    <w:rsid w:val="4BF453E8"/>
    <w:rsid w:val="4C184E09"/>
    <w:rsid w:val="4C2757BD"/>
    <w:rsid w:val="4C7E73A7"/>
    <w:rsid w:val="4C8F75A2"/>
    <w:rsid w:val="4DAD4403"/>
    <w:rsid w:val="4DBA7991"/>
    <w:rsid w:val="4DC40DEA"/>
    <w:rsid w:val="4DC54FFA"/>
    <w:rsid w:val="4E0336C0"/>
    <w:rsid w:val="4E6D1482"/>
    <w:rsid w:val="4E6F0D56"/>
    <w:rsid w:val="4E8C008E"/>
    <w:rsid w:val="4E9B1B4B"/>
    <w:rsid w:val="4EA312FE"/>
    <w:rsid w:val="4EDC5ADC"/>
    <w:rsid w:val="4EE002CE"/>
    <w:rsid w:val="4F560168"/>
    <w:rsid w:val="4F9542AC"/>
    <w:rsid w:val="4FEF758C"/>
    <w:rsid w:val="5003644E"/>
    <w:rsid w:val="50125E3D"/>
    <w:rsid w:val="501A6E72"/>
    <w:rsid w:val="501C4F0D"/>
    <w:rsid w:val="50201D6B"/>
    <w:rsid w:val="503A2AB3"/>
    <w:rsid w:val="50771A9C"/>
    <w:rsid w:val="50C221A5"/>
    <w:rsid w:val="51404C2B"/>
    <w:rsid w:val="516B614C"/>
    <w:rsid w:val="51C47F6D"/>
    <w:rsid w:val="52AB1BAD"/>
    <w:rsid w:val="52B256B5"/>
    <w:rsid w:val="52E63638"/>
    <w:rsid w:val="52FB52AE"/>
    <w:rsid w:val="53E73A84"/>
    <w:rsid w:val="54063F0A"/>
    <w:rsid w:val="54372AB5"/>
    <w:rsid w:val="5455382C"/>
    <w:rsid w:val="547F7727"/>
    <w:rsid w:val="54AE2FFA"/>
    <w:rsid w:val="54DC69F7"/>
    <w:rsid w:val="55114AA0"/>
    <w:rsid w:val="55342CF9"/>
    <w:rsid w:val="553473E6"/>
    <w:rsid w:val="553D2C69"/>
    <w:rsid w:val="554674F7"/>
    <w:rsid w:val="5548259C"/>
    <w:rsid w:val="55853555"/>
    <w:rsid w:val="560662B2"/>
    <w:rsid w:val="560E5574"/>
    <w:rsid w:val="563F54B2"/>
    <w:rsid w:val="567E4A57"/>
    <w:rsid w:val="585844FD"/>
    <w:rsid w:val="589C07F4"/>
    <w:rsid w:val="59204DC8"/>
    <w:rsid w:val="59357973"/>
    <w:rsid w:val="59710078"/>
    <w:rsid w:val="59864D75"/>
    <w:rsid w:val="59965D30"/>
    <w:rsid w:val="599C77B2"/>
    <w:rsid w:val="5A3727CC"/>
    <w:rsid w:val="5A6307F6"/>
    <w:rsid w:val="5AA47FD9"/>
    <w:rsid w:val="5AC95C92"/>
    <w:rsid w:val="5B277F80"/>
    <w:rsid w:val="5BA529F7"/>
    <w:rsid w:val="5C205D85"/>
    <w:rsid w:val="5C3B2BBF"/>
    <w:rsid w:val="5C6043D4"/>
    <w:rsid w:val="5D0A3490"/>
    <w:rsid w:val="5D7E0D39"/>
    <w:rsid w:val="5DDF2DD1"/>
    <w:rsid w:val="5DE057CC"/>
    <w:rsid w:val="5DE11142"/>
    <w:rsid w:val="5E2E5CB0"/>
    <w:rsid w:val="5E490A40"/>
    <w:rsid w:val="5E9D3F29"/>
    <w:rsid w:val="5ED13367"/>
    <w:rsid w:val="5EDF45D6"/>
    <w:rsid w:val="5F2E6A0B"/>
    <w:rsid w:val="5F353859"/>
    <w:rsid w:val="5F64242D"/>
    <w:rsid w:val="5FB63195"/>
    <w:rsid w:val="60384CD1"/>
    <w:rsid w:val="60557590"/>
    <w:rsid w:val="60561AD3"/>
    <w:rsid w:val="60655808"/>
    <w:rsid w:val="606C7EF8"/>
    <w:rsid w:val="608E1541"/>
    <w:rsid w:val="60F86CEE"/>
    <w:rsid w:val="617D1584"/>
    <w:rsid w:val="6220263B"/>
    <w:rsid w:val="623E38D8"/>
    <w:rsid w:val="628C1A7E"/>
    <w:rsid w:val="62FB4E56"/>
    <w:rsid w:val="63A9427A"/>
    <w:rsid w:val="63D462B1"/>
    <w:rsid w:val="63D63F11"/>
    <w:rsid w:val="63E678B4"/>
    <w:rsid w:val="63FF44D2"/>
    <w:rsid w:val="641A3596"/>
    <w:rsid w:val="64C00105"/>
    <w:rsid w:val="64C36D7E"/>
    <w:rsid w:val="64D62AB7"/>
    <w:rsid w:val="64D96647"/>
    <w:rsid w:val="64F90F01"/>
    <w:rsid w:val="652C12F7"/>
    <w:rsid w:val="655B51E5"/>
    <w:rsid w:val="65674A25"/>
    <w:rsid w:val="657A6EF0"/>
    <w:rsid w:val="65E40ADA"/>
    <w:rsid w:val="66330B86"/>
    <w:rsid w:val="66952ECC"/>
    <w:rsid w:val="66B07D06"/>
    <w:rsid w:val="66E22203"/>
    <w:rsid w:val="677B6565"/>
    <w:rsid w:val="67A468F0"/>
    <w:rsid w:val="67AB0BF9"/>
    <w:rsid w:val="67D85766"/>
    <w:rsid w:val="68460921"/>
    <w:rsid w:val="686E1C26"/>
    <w:rsid w:val="688B0C11"/>
    <w:rsid w:val="68B812C9"/>
    <w:rsid w:val="68D2714F"/>
    <w:rsid w:val="694A4441"/>
    <w:rsid w:val="697B0A9F"/>
    <w:rsid w:val="698536CB"/>
    <w:rsid w:val="69D50CF4"/>
    <w:rsid w:val="69D73D89"/>
    <w:rsid w:val="69FD6914"/>
    <w:rsid w:val="69FF522C"/>
    <w:rsid w:val="6A480867"/>
    <w:rsid w:val="6A535578"/>
    <w:rsid w:val="6AE34B4E"/>
    <w:rsid w:val="6BBB1173"/>
    <w:rsid w:val="6BDE45F3"/>
    <w:rsid w:val="6BE648F5"/>
    <w:rsid w:val="6BE764C4"/>
    <w:rsid w:val="6BE97CA4"/>
    <w:rsid w:val="6C05153C"/>
    <w:rsid w:val="6C487AFD"/>
    <w:rsid w:val="6C8664BC"/>
    <w:rsid w:val="6CB24363"/>
    <w:rsid w:val="6CC32412"/>
    <w:rsid w:val="6CEC129F"/>
    <w:rsid w:val="6CEE510C"/>
    <w:rsid w:val="6D003795"/>
    <w:rsid w:val="6D3E7C18"/>
    <w:rsid w:val="6DAD4F9F"/>
    <w:rsid w:val="6DBB3A8B"/>
    <w:rsid w:val="6E721F63"/>
    <w:rsid w:val="6EA93466"/>
    <w:rsid w:val="6EBE56B6"/>
    <w:rsid w:val="6ECB392F"/>
    <w:rsid w:val="6EFF37D8"/>
    <w:rsid w:val="6F146151"/>
    <w:rsid w:val="6F276F27"/>
    <w:rsid w:val="6F4A172C"/>
    <w:rsid w:val="6F7D4948"/>
    <w:rsid w:val="6F960C48"/>
    <w:rsid w:val="6FAD74D8"/>
    <w:rsid w:val="6FB82B93"/>
    <w:rsid w:val="6FCF0795"/>
    <w:rsid w:val="6FE70C3C"/>
    <w:rsid w:val="700560CB"/>
    <w:rsid w:val="70476DFE"/>
    <w:rsid w:val="70643A4D"/>
    <w:rsid w:val="70733469"/>
    <w:rsid w:val="70B1066E"/>
    <w:rsid w:val="70C90342"/>
    <w:rsid w:val="70F10A19"/>
    <w:rsid w:val="71381023"/>
    <w:rsid w:val="72203F91"/>
    <w:rsid w:val="730E33D2"/>
    <w:rsid w:val="730E4732"/>
    <w:rsid w:val="732B6917"/>
    <w:rsid w:val="735465E8"/>
    <w:rsid w:val="736B748E"/>
    <w:rsid w:val="73714961"/>
    <w:rsid w:val="74060F7A"/>
    <w:rsid w:val="74404DBF"/>
    <w:rsid w:val="745E5840"/>
    <w:rsid w:val="74D27DA9"/>
    <w:rsid w:val="74D925D0"/>
    <w:rsid w:val="754825D6"/>
    <w:rsid w:val="754D1D92"/>
    <w:rsid w:val="75676A2A"/>
    <w:rsid w:val="758350A9"/>
    <w:rsid w:val="75AB44BA"/>
    <w:rsid w:val="75DE488F"/>
    <w:rsid w:val="762027B2"/>
    <w:rsid w:val="768A40CF"/>
    <w:rsid w:val="76EE55AC"/>
    <w:rsid w:val="773521BD"/>
    <w:rsid w:val="77BE6726"/>
    <w:rsid w:val="77EE068E"/>
    <w:rsid w:val="78412EB3"/>
    <w:rsid w:val="788B412F"/>
    <w:rsid w:val="78AA2807"/>
    <w:rsid w:val="79687E1D"/>
    <w:rsid w:val="7A2A548A"/>
    <w:rsid w:val="7A447698"/>
    <w:rsid w:val="7B560FD7"/>
    <w:rsid w:val="7B5F74F8"/>
    <w:rsid w:val="7B627357"/>
    <w:rsid w:val="7B690630"/>
    <w:rsid w:val="7BC01667"/>
    <w:rsid w:val="7BD0027A"/>
    <w:rsid w:val="7C5123F4"/>
    <w:rsid w:val="7C7E6FA2"/>
    <w:rsid w:val="7D040AB6"/>
    <w:rsid w:val="7D4119E6"/>
    <w:rsid w:val="7DAF162B"/>
    <w:rsid w:val="7DB303AF"/>
    <w:rsid w:val="7DBF3126"/>
    <w:rsid w:val="7DC42B41"/>
    <w:rsid w:val="7DEB7B49"/>
    <w:rsid w:val="7E5971A9"/>
    <w:rsid w:val="7F413799"/>
    <w:rsid w:val="7F4D1F29"/>
    <w:rsid w:val="7F524A36"/>
    <w:rsid w:val="7F630D7E"/>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8"/>
    <w:qFormat/>
    <w:uiPriority w:val="0"/>
    <w:rPr>
      <w:b/>
      <w:bCs/>
    </w:rPr>
  </w:style>
  <w:style w:type="paragraph" w:styleId="16">
    <w:name w:val="Body Text First Indent"/>
    <w:basedOn w:val="2"/>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7"/>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4"/>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styleId="43">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44">
    <w:name w:val="__正文"/>
    <w:qFormat/>
    <w:uiPriority w:val="0"/>
    <w:pPr>
      <w:adjustRightInd w:val="0"/>
      <w:snapToGrid w:val="0"/>
      <w:spacing w:line="360" w:lineRule="auto"/>
      <w:ind w:firstLine="200" w:firstLineChars="200"/>
    </w:pPr>
    <w:rPr>
      <w:rFonts w:eastAsia="微软雅黑" w:asciiTheme="minorHAnsi" w:hAnsiTheme="minorHAnsi"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NUL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1307</Words>
  <Characters>1391</Characters>
  <Lines>72</Lines>
  <Paragraphs>20</Paragraphs>
  <TotalTime>0</TotalTime>
  <ScaleCrop>false</ScaleCrop>
  <LinksUpToDate>false</LinksUpToDate>
  <CharactersWithSpaces>1455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2026-09-18T01:23:14Z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