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1D079">
      <w:pPr>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四川省人民医院2026年转运监护仪采购项目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62832406"/>
      <w:bookmarkStart w:id="1" w:name="_Toc3240"/>
      <w:bookmarkStart w:id="2" w:name="_Toc21919"/>
      <w:bookmarkStart w:id="3" w:name="_Toc1907"/>
      <w:bookmarkStart w:id="4" w:name="_Toc471310326"/>
      <w:bookmarkStart w:id="5" w:name="_Toc20358"/>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四川省人民医院2026年转运监护仪采购项目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CGZX-YXZ20261176</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rPr>
              <w:t>27000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4A7E0B5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若得分相同则报价&lt;最低&gt;</w:t>
            </w:r>
            <w:r>
              <w:rPr>
                <w:rFonts w:hint="eastAsia" w:ascii="Times New Roman" w:hAnsi="Times New Roman" w:eastAsia="仿宋" w:cs="Times New Roman"/>
                <w:sz w:val="22"/>
                <w:highlight w:val="none"/>
              </w:rPr>
              <w:t>的为成交供应商。若得分相同且报价亦相同</w:t>
            </w:r>
            <w:r>
              <w:rPr>
                <w:rFonts w:hint="eastAsia" w:ascii="Times New Roman" w:hAnsi="Times New Roman" w:eastAsia="仿宋" w:cs="Times New Roman"/>
                <w:sz w:val="22"/>
              </w:rPr>
              <w:t>，则采取随机抽取的方式确定成交供应商。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宫</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14460"/>
      <w:bookmarkStart w:id="7" w:name="_Toc24154"/>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3933F85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528CBD84">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3218"/>
        <w:gridCol w:w="5604"/>
        <w:gridCol w:w="18"/>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013" w:hRule="atLeast"/>
          <w:tblHeader/>
          <w:jc w:val="center"/>
        </w:trPr>
        <w:tc>
          <w:tcPr>
            <w:tcW w:w="514"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4"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3325" w:hRule="atLeast"/>
          <w:jc w:val="center"/>
        </w:trPr>
        <w:tc>
          <w:tcPr>
            <w:tcW w:w="514"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4"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5069" w:hRule="atLeast"/>
          <w:jc w:val="center"/>
        </w:trPr>
        <w:tc>
          <w:tcPr>
            <w:tcW w:w="514"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4"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596" w:hRule="atLeast"/>
          <w:jc w:val="center"/>
        </w:trPr>
        <w:tc>
          <w:tcPr>
            <w:tcW w:w="514"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4"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882" w:hRule="atLeast"/>
          <w:jc w:val="center"/>
        </w:trPr>
        <w:tc>
          <w:tcPr>
            <w:tcW w:w="514"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4"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882" w:hRule="atLeast"/>
          <w:jc w:val="center"/>
        </w:trPr>
        <w:tc>
          <w:tcPr>
            <w:tcW w:w="514"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4"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750" w:hRule="atLeast"/>
          <w:jc w:val="center"/>
        </w:trPr>
        <w:tc>
          <w:tcPr>
            <w:tcW w:w="514"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4"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750" w:hRule="atLeast"/>
          <w:jc w:val="center"/>
        </w:trPr>
        <w:tc>
          <w:tcPr>
            <w:tcW w:w="514"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4"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390" w:hRule="atLeast"/>
          <w:jc w:val="center"/>
        </w:trPr>
        <w:tc>
          <w:tcPr>
            <w:tcW w:w="514"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4" w:type="pct"/>
            <w:vMerge w:val="continue"/>
            <w:vAlign w:val="center"/>
          </w:tcPr>
          <w:p w14:paraId="430DC133">
            <w:pPr>
              <w:rPr>
                <w:rFonts w:ascii="Times New Roman" w:hAnsi="Times New Roman" w:eastAsia="仿宋" w:cs="Times New Roman"/>
                <w:sz w:val="22"/>
              </w:rPr>
            </w:pPr>
          </w:p>
        </w:tc>
      </w:tr>
      <w:tr w14:paraId="07E9E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422" w:hRule="atLeast"/>
          <w:jc w:val="center"/>
        </w:trPr>
        <w:tc>
          <w:tcPr>
            <w:tcW w:w="514" w:type="pct"/>
            <w:shd w:val="clear" w:color="auto" w:fill="auto"/>
            <w:vAlign w:val="center"/>
          </w:tcPr>
          <w:p w14:paraId="56C51611">
            <w:pPr>
              <w:jc w:val="center"/>
              <w:rPr>
                <w:rFonts w:hint="eastAsia" w:ascii="Times New Roman" w:hAnsi="Times New Roman" w:eastAsia="仿宋" w:cs="Times New Roman"/>
                <w:kern w:val="2"/>
                <w:sz w:val="22"/>
                <w:szCs w:val="22"/>
                <w:lang w:val="en-US" w:eastAsia="zh-CN" w:bidi="ar-SA"/>
              </w:rPr>
            </w:pPr>
            <w:r>
              <w:rPr>
                <w:rFonts w:ascii="Times New Roman" w:hAnsi="Times New Roman" w:eastAsia="仿宋" w:cs="Times New Roman"/>
                <w:sz w:val="22"/>
              </w:rPr>
              <w:t>9</w:t>
            </w:r>
          </w:p>
        </w:tc>
        <w:tc>
          <w:tcPr>
            <w:tcW w:w="1633" w:type="pct"/>
            <w:shd w:val="clear" w:color="auto" w:fill="auto"/>
            <w:vAlign w:val="center"/>
          </w:tcPr>
          <w:p w14:paraId="67CA6DB6">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经营许可</w:t>
            </w:r>
          </w:p>
        </w:tc>
        <w:tc>
          <w:tcPr>
            <w:tcW w:w="2844" w:type="pct"/>
            <w:shd w:val="clear" w:color="auto" w:fill="auto"/>
            <w:vAlign w:val="center"/>
          </w:tcPr>
          <w:p w14:paraId="60FA9F3F">
            <w:pPr>
              <w:rPr>
                <w:rFonts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14:paraId="129DC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947" w:hRule="atLeast"/>
          <w:jc w:val="center"/>
        </w:trPr>
        <w:tc>
          <w:tcPr>
            <w:tcW w:w="514" w:type="pct"/>
            <w:shd w:val="clear" w:color="auto" w:fill="auto"/>
            <w:vAlign w:val="center"/>
          </w:tcPr>
          <w:p w14:paraId="48171A48">
            <w:pPr>
              <w:jc w:val="center"/>
              <w:rPr>
                <w:rFonts w:hint="eastAsia"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10</w:t>
            </w:r>
          </w:p>
        </w:tc>
        <w:tc>
          <w:tcPr>
            <w:tcW w:w="1633" w:type="pct"/>
            <w:shd w:val="clear" w:color="auto" w:fill="auto"/>
            <w:vAlign w:val="center"/>
          </w:tcPr>
          <w:p w14:paraId="30AEEA00">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产品授权</w:t>
            </w:r>
          </w:p>
        </w:tc>
        <w:tc>
          <w:tcPr>
            <w:tcW w:w="2844" w:type="pct"/>
            <w:shd w:val="clear" w:color="auto" w:fill="auto"/>
            <w:vAlign w:val="center"/>
          </w:tcPr>
          <w:p w14:paraId="56BA03A4">
            <w:pPr>
              <w:rPr>
                <w:rFonts w:ascii="Times New Roman" w:hAnsi="Times New Roman" w:eastAsia="仿宋" w:cs="Times New Roman"/>
                <w:kern w:val="2"/>
                <w:sz w:val="22"/>
                <w:szCs w:val="22"/>
                <w:lang w:val="en-US" w:eastAsia="zh-CN" w:bidi="ar-SA"/>
              </w:rPr>
            </w:pPr>
            <w:r>
              <w:rPr>
                <w:rFonts w:hint="eastAsia" w:ascii="仿宋" w:hAnsi="仿宋" w:eastAsia="仿宋"/>
                <w:bCs/>
                <w:color w:val="000000" w:themeColor="text1"/>
                <w:sz w:val="22"/>
                <w14:textFill>
                  <w14:solidFill>
                    <w14:schemeClr w14:val="tx1"/>
                  </w14:solidFill>
                </w14:textFill>
              </w:rPr>
              <w:t>响应供应商获得的经销授权书复印件（逐级，加盖响应供应商公章）（如涉及）</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18" w:name="_GoBack"/>
      <w:bookmarkEnd w:id="118"/>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Times New Roman" w:hAnsi="Times New Roman" w:eastAsia="仿宋" w:cs="Times New Roman"/>
          <w:sz w:val="24"/>
          <w:szCs w:val="24"/>
          <w:lang w:eastAsia="zh-CN"/>
        </w:rPr>
        <w:t>转运监护仪</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7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
        <w:gridCol w:w="1361"/>
        <w:gridCol w:w="994"/>
        <w:gridCol w:w="875"/>
        <w:gridCol w:w="1325"/>
        <w:gridCol w:w="1308"/>
        <w:gridCol w:w="971"/>
        <w:gridCol w:w="1681"/>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72"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723"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28"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5"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704"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95"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516"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893"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472"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723"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转运监护仪</w:t>
            </w:r>
          </w:p>
        </w:tc>
        <w:tc>
          <w:tcPr>
            <w:tcW w:w="528"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3</w:t>
            </w:r>
          </w:p>
        </w:tc>
        <w:tc>
          <w:tcPr>
            <w:tcW w:w="465"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704"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0.9</w:t>
            </w:r>
          </w:p>
        </w:tc>
        <w:tc>
          <w:tcPr>
            <w:tcW w:w="695"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2.7</w:t>
            </w:r>
          </w:p>
        </w:tc>
        <w:tc>
          <w:tcPr>
            <w:tcW w:w="516"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893"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是</w:t>
            </w:r>
          </w:p>
        </w:tc>
      </w:tr>
    </w:tbl>
    <w:p w14:paraId="60CF3DE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sz w:val="24"/>
          <w:szCs w:val="24"/>
        </w:rPr>
        <w:t>1.  适用于成人、小儿、新生儿。</w:t>
      </w:r>
    </w:p>
    <w:p w14:paraId="6BAA34A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  设计使用年限≥10年。（提供产品铭牌证明）</w:t>
      </w:r>
    </w:p>
    <w:p w14:paraId="7DB72C9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  ▲具备≥5英寸彩色触摸显示屏，分辨率≥1280×720像素，整机重量≤0.95kg；防水防尘等级≥IP44，可承受≥1.2m跌落冲击；支持在高原地区使用，最大工作环境压力≥105KPa。（提供产品说明书证明）</w:t>
      </w:r>
    </w:p>
    <w:p w14:paraId="7371797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  采用无风扇设计，内置锂电池，电池支持≥6小时全功能持续监测；具备车载充电DC接口，支持车载充电。</w:t>
      </w:r>
    </w:p>
    <w:p w14:paraId="345921A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  可作为参数模块插入同品牌重症监护仪或麻醉监护仪的任一槽位使用，支持热插拔。（需提供该功能图片或产品说明书证明）</w:t>
      </w:r>
    </w:p>
    <w:p w14:paraId="5813BD7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6.  至少具备以下参数监测功能：3/5导心电（ECG）、呼吸（RESP）、无创血压（NIBP）、血氧饱和度（SPO2）、脉搏（PR）、双通道体温（TEMP）、灌注指数（PI）。</w:t>
      </w:r>
    </w:p>
    <w:p w14:paraId="09C0F16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7.  心率测量范围：成人满足15BPM—300BPM，小儿和新生儿满足15BPM—350BPM；心率可选波速≥4档，滤波模式≥4种。</w:t>
      </w:r>
    </w:p>
    <w:p w14:paraId="2698109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8.  无创血压监测具备≥5种测量模式，至少包含：手动测量、自动测量、连续测量、序列测量、整点测量，可存储≥1000条测量结果。</w:t>
      </w:r>
    </w:p>
    <w:p w14:paraId="5AA87DC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9.  无创血压测量范围：满足-50mmHg—360mmHg，具备实时PPV测量功能。</w:t>
      </w:r>
    </w:p>
    <w:p w14:paraId="47AB488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10. ▲支持升级（选配）血流动力学监测模块监测功能，实现胸腔内血容量(ITBV)、血管外肺水(EVLW)、肺毛细血管通透性指数(PVPI)监测。（提供产品说明书证明）</w:t>
      </w:r>
    </w:p>
    <w:p w14:paraId="147C0C9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11. 具备≥1000条报警事件回顾功能，报警触发时可同时存储≥30秒的≥3道波形以及全部测量参数，可与报警事件一同查看。</w:t>
      </w:r>
    </w:p>
    <w:p w14:paraId="258D9DE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12. 具备≥5天的趋势图表回顾功能，具备≥2天的全息波形回顾功能（具备≥3道波形以及全部测量参数）。</w:t>
      </w:r>
    </w:p>
    <w:p w14:paraId="1C16378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13. ★每台配置1个专用提手。</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3.交货地点：四川省人民医院（院本部）。</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4.2.整机质保期：验收合格后不低于5年，蓄电池验收合格后不低于5年</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心电到导联线和延长线、血氧饱和度探头和延长线、无创血压袖带和导气管、体温探头和连接线</w:t>
      </w:r>
      <w:r>
        <w:rPr>
          <w:rFonts w:hint="eastAsia" w:ascii="仿宋" w:hAnsi="仿宋" w:eastAsia="仿宋" w:cs="仿宋"/>
          <w:color w:val="000000" w:themeColor="text1"/>
          <w:sz w:val="24"/>
          <w:szCs w:val="24"/>
          <w:lang w:val="en-US" w:eastAsia="zh-CN"/>
          <w14:textFill>
            <w14:solidFill>
              <w14:schemeClr w14:val="tx1"/>
            </w14:solidFill>
          </w14:textFill>
        </w:rPr>
        <w:t>验收</w:t>
      </w:r>
      <w:r>
        <w:rPr>
          <w:rFonts w:hint="eastAsia" w:ascii="仿宋" w:hAnsi="仿宋" w:eastAsia="仿宋" w:cs="仿宋"/>
          <w:color w:val="000000" w:themeColor="text1"/>
          <w:sz w:val="24"/>
          <w:szCs w:val="24"/>
          <w14:textFill>
            <w14:solidFill>
              <w14:schemeClr w14:val="tx1"/>
            </w14:solidFill>
          </w14:textFill>
        </w:rPr>
        <w:t>合格后不低于1年</w:t>
      </w:r>
      <w:r>
        <w:rPr>
          <w:rFonts w:hint="eastAsia" w:ascii="仿宋" w:hAnsi="仿宋" w:eastAsia="仿宋" w:cs="仿宋"/>
          <w:color w:val="000000" w:themeColor="text1"/>
          <w:sz w:val="24"/>
          <w:szCs w:val="24"/>
          <w:lang w:val="en-US"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文件中单独提供配置清单（不同产品分别提供，格式详见</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格式），采购人将以此为依据进行验收。技术参数中采购人的实质性配置要求★包含的内容须在分项报价明细表中报价（技术参数第13条），除此之外，若涉及设备正常运行所需的其他配置内容，供应商在配置清单中列明涉及的产品名称、型号（若有）、数量即可，供应商可根据响应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6.供应商提供的产品的生产日期与到货日期时间间隔不超过3个月，供应商提供承诺函，格式自拟。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4"/>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22588"/>
      <w:bookmarkStart w:id="17" w:name="_Toc13768"/>
      <w:bookmarkStart w:id="18" w:name="_Toc28789"/>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797341A9">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28</w:t>
            </w:r>
            <w:r>
              <w:rPr>
                <w:rFonts w:hint="eastAsia" w:ascii="仿宋" w:hAnsi="仿宋" w:eastAsia="仿宋" w:cs="仿宋"/>
                <w:bCs/>
                <w:color w:val="auto"/>
                <w:sz w:val="24"/>
                <w:highlight w:val="none"/>
              </w:rPr>
              <w:t>分。</w:t>
            </w:r>
          </w:p>
          <w:p w14:paraId="096B8B2B">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3FBF72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30</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14:paraId="2CC3EECD">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1"/>
              <w:wordWrap w:val="0"/>
              <w:rPr>
                <w:rFonts w:hint="eastAsia" w:ascii="仿宋" w:hAnsi="仿宋" w:eastAsia="仿宋" w:cs="仿宋"/>
                <w:sz w:val="24"/>
                <w:szCs w:val="24"/>
                <w:lang w:eastAsia="zh-CN"/>
              </w:rPr>
            </w:pP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1"/>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22827"/>
      <w:bookmarkStart w:id="21" w:name="_Toc28171"/>
      <w:bookmarkStart w:id="22" w:name="_Toc3094"/>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29819"/>
      <w:bookmarkStart w:id="24" w:name="_Toc5913"/>
      <w:bookmarkStart w:id="25" w:name="_Toc4960"/>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30609"/>
      <w:bookmarkStart w:id="27" w:name="_Toc9428"/>
      <w:bookmarkStart w:id="28" w:name="_Toc19851"/>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32352"/>
      <w:bookmarkStart w:id="30" w:name="_Toc9041"/>
      <w:bookmarkStart w:id="31" w:name="_Toc1544"/>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1690"/>
      <w:bookmarkStart w:id="35" w:name="_Toc32749"/>
      <w:bookmarkStart w:id="36" w:name="_Toc17163"/>
      <w:bookmarkStart w:id="37" w:name="_Toc24859"/>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17905"/>
      <w:bookmarkStart w:id="39" w:name="_Toc24123"/>
      <w:bookmarkStart w:id="40" w:name="_Toc3558"/>
      <w:bookmarkStart w:id="41" w:name="_Toc6803"/>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5996"/>
      <w:bookmarkStart w:id="43" w:name="_Toc27135"/>
      <w:bookmarkStart w:id="44" w:name="_Toc2989"/>
      <w:bookmarkStart w:id="45" w:name="_Toc2752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2031"/>
      <w:bookmarkStart w:id="47" w:name="_Toc19987"/>
      <w:bookmarkStart w:id="48" w:name="_Toc7233"/>
      <w:bookmarkStart w:id="49" w:name="_Toc5056"/>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14829"/>
      <w:bookmarkStart w:id="51" w:name="_Toc16029"/>
      <w:bookmarkStart w:id="52" w:name="_Toc21519"/>
      <w:bookmarkStart w:id="53" w:name="_Toc3023"/>
      <w:bookmarkStart w:id="54" w:name="_Toc6482"/>
      <w:bookmarkStart w:id="55" w:name="_Toc11352"/>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17857"/>
      <w:bookmarkStart w:id="57" w:name="_Toc31838"/>
      <w:bookmarkStart w:id="58" w:name="_Toc4305"/>
      <w:bookmarkStart w:id="59" w:name="_Toc22676"/>
      <w:bookmarkStart w:id="60" w:name="_Toc30971"/>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27186"/>
      <w:bookmarkStart w:id="62" w:name="_Toc15613"/>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904"/>
      <w:bookmarkStart w:id="65" w:name="_Toc25357"/>
      <w:bookmarkStart w:id="66" w:name="_Toc13706"/>
    </w:p>
    <w:p w14:paraId="76B8A196">
      <w:pPr>
        <w:pStyle w:val="3"/>
        <w:ind w:firstLine="0"/>
        <w:rPr>
          <w:szCs w:val="32"/>
        </w:rPr>
      </w:pPr>
      <w:bookmarkStart w:id="67" w:name="_Toc23146"/>
      <w:bookmarkStart w:id="68" w:name="_Toc15508"/>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12015"/>
      <w:bookmarkStart w:id="70" w:name="_Toc27661"/>
      <w:bookmarkStart w:id="71" w:name="_Toc25638"/>
      <w:bookmarkStart w:id="72" w:name="_Toc20589"/>
      <w:bookmarkStart w:id="73" w:name="_Toc15526"/>
      <w:bookmarkStart w:id="74" w:name="_Toc11351"/>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23967"/>
      <w:bookmarkStart w:id="76" w:name="_Toc1074"/>
      <w:bookmarkStart w:id="77" w:name="_Toc16435"/>
      <w:bookmarkStart w:id="78" w:name="_Toc26969"/>
      <w:bookmarkStart w:id="79" w:name="_Toc12967"/>
      <w:bookmarkStart w:id="80" w:name="_Toc2041"/>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24806"/>
      <w:bookmarkStart w:id="82" w:name="_Toc21082"/>
      <w:bookmarkStart w:id="83" w:name="_Toc31686"/>
      <w:bookmarkStart w:id="84" w:name="_Toc28634"/>
      <w:bookmarkStart w:id="85" w:name="_Toc26839"/>
      <w:bookmarkStart w:id="86" w:name="_Toc1369"/>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2605"/>
      <w:bookmarkStart w:id="88" w:name="_Toc24494"/>
      <w:bookmarkStart w:id="89" w:name="_Toc3871"/>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29032"/>
      <w:bookmarkStart w:id="92" w:name="_Toc14685"/>
      <w:bookmarkStart w:id="93" w:name="_Toc30002"/>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D2A2525">
      <w:pPr>
        <w:pStyle w:val="3"/>
        <w:ind w:firstLine="0"/>
      </w:pPr>
      <w:r>
        <w:rPr>
          <w:rFonts w:hint="eastAsia"/>
          <w:lang w:val="en-US" w:eastAsia="zh-CN"/>
        </w:rPr>
        <w:t>设备配置清单</w:t>
      </w:r>
    </w:p>
    <w:p w14:paraId="68507069">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55E9EE29">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48335E2">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52D41697">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71B8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2CEC08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143D166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DE3482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2F6FC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219B30B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3006C9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75C4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6A99A7">
            <w:pPr>
              <w:contextualSpacing/>
              <w:jc w:val="center"/>
              <w:rPr>
                <w:rFonts w:ascii="Times New Roman" w:hAnsi="Times New Roman" w:eastAsia="宋体" w:cs="Times New Roman"/>
                <w:color w:val="auto"/>
                <w:sz w:val="18"/>
                <w:szCs w:val="18"/>
                <w:highlight w:val="none"/>
              </w:rPr>
            </w:pPr>
          </w:p>
        </w:tc>
        <w:tc>
          <w:tcPr>
            <w:tcW w:w="3412" w:type="dxa"/>
            <w:vAlign w:val="center"/>
          </w:tcPr>
          <w:p w14:paraId="57BB77CA">
            <w:pPr>
              <w:contextualSpacing/>
              <w:jc w:val="left"/>
              <w:rPr>
                <w:rFonts w:ascii="Times New Roman" w:hAnsi="Times New Roman" w:eastAsia="宋体" w:cs="Times New Roman"/>
                <w:color w:val="auto"/>
                <w:sz w:val="18"/>
                <w:szCs w:val="18"/>
                <w:highlight w:val="none"/>
              </w:rPr>
            </w:pPr>
          </w:p>
        </w:tc>
        <w:tc>
          <w:tcPr>
            <w:tcW w:w="2988" w:type="dxa"/>
            <w:vAlign w:val="center"/>
          </w:tcPr>
          <w:p w14:paraId="0C366302">
            <w:pPr>
              <w:contextualSpacing/>
              <w:jc w:val="center"/>
              <w:rPr>
                <w:rFonts w:ascii="Times New Roman" w:hAnsi="Times New Roman" w:eastAsia="宋体" w:cs="Times New Roman"/>
                <w:color w:val="auto"/>
                <w:sz w:val="18"/>
                <w:szCs w:val="18"/>
                <w:highlight w:val="none"/>
              </w:rPr>
            </w:pPr>
          </w:p>
        </w:tc>
        <w:tc>
          <w:tcPr>
            <w:tcW w:w="426" w:type="dxa"/>
            <w:vAlign w:val="center"/>
          </w:tcPr>
          <w:p w14:paraId="0C2D40D8">
            <w:pPr>
              <w:contextualSpacing/>
              <w:jc w:val="center"/>
              <w:rPr>
                <w:rFonts w:ascii="Times New Roman" w:hAnsi="Times New Roman" w:eastAsia="宋体" w:cs="Times New Roman"/>
                <w:b/>
                <w:color w:val="auto"/>
                <w:sz w:val="18"/>
                <w:szCs w:val="18"/>
                <w:highlight w:val="none"/>
              </w:rPr>
            </w:pPr>
          </w:p>
        </w:tc>
        <w:tc>
          <w:tcPr>
            <w:tcW w:w="429" w:type="dxa"/>
            <w:vAlign w:val="center"/>
          </w:tcPr>
          <w:p w14:paraId="3BAB554B">
            <w:pPr>
              <w:contextualSpacing/>
              <w:jc w:val="center"/>
              <w:rPr>
                <w:rFonts w:ascii="Times New Roman" w:hAnsi="Times New Roman" w:eastAsia="宋体" w:cs="Times New Roman"/>
                <w:color w:val="auto"/>
                <w:sz w:val="18"/>
                <w:szCs w:val="18"/>
                <w:highlight w:val="none"/>
              </w:rPr>
            </w:pPr>
          </w:p>
        </w:tc>
        <w:tc>
          <w:tcPr>
            <w:tcW w:w="1978" w:type="dxa"/>
            <w:vAlign w:val="center"/>
          </w:tcPr>
          <w:p w14:paraId="2686AF5B">
            <w:pPr>
              <w:contextualSpacing/>
              <w:jc w:val="left"/>
              <w:rPr>
                <w:rFonts w:ascii="Times New Roman" w:hAnsi="Times New Roman" w:eastAsia="宋体" w:cs="Times New Roman"/>
                <w:color w:val="auto"/>
                <w:sz w:val="18"/>
                <w:szCs w:val="18"/>
                <w:highlight w:val="none"/>
              </w:rPr>
            </w:pPr>
          </w:p>
        </w:tc>
      </w:tr>
    </w:tbl>
    <w:p w14:paraId="3FFE177D">
      <w:pPr>
        <w:rPr>
          <w:rFonts w:ascii="Times New Roman" w:hAnsi="Times New Roman" w:eastAsia="宋体" w:cs="Times New Roman"/>
          <w:color w:val="auto"/>
          <w:highlight w:val="none"/>
        </w:rPr>
      </w:pPr>
    </w:p>
    <w:p w14:paraId="5740F6FE">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3DD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5809034">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32365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C0A5D6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55850CC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0E4B157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71F7303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3F343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2E91DD4E">
            <w:pPr>
              <w:contextualSpacing/>
              <w:jc w:val="center"/>
              <w:rPr>
                <w:rFonts w:ascii="Times New Roman" w:hAnsi="Times New Roman" w:eastAsia="宋体" w:cs="Times New Roman"/>
                <w:color w:val="auto"/>
                <w:sz w:val="18"/>
                <w:szCs w:val="18"/>
                <w:highlight w:val="none"/>
              </w:rPr>
            </w:pPr>
          </w:p>
        </w:tc>
        <w:tc>
          <w:tcPr>
            <w:tcW w:w="3412" w:type="dxa"/>
            <w:vAlign w:val="center"/>
          </w:tcPr>
          <w:p w14:paraId="12EA47C8">
            <w:pPr>
              <w:contextualSpacing/>
              <w:jc w:val="left"/>
              <w:rPr>
                <w:rFonts w:ascii="Times New Roman" w:hAnsi="Times New Roman" w:eastAsia="宋体" w:cs="Times New Roman"/>
                <w:color w:val="auto"/>
                <w:sz w:val="18"/>
                <w:szCs w:val="18"/>
                <w:highlight w:val="none"/>
              </w:rPr>
            </w:pPr>
          </w:p>
        </w:tc>
        <w:tc>
          <w:tcPr>
            <w:tcW w:w="2988" w:type="dxa"/>
            <w:vAlign w:val="center"/>
          </w:tcPr>
          <w:p w14:paraId="016416CF">
            <w:pPr>
              <w:contextualSpacing/>
              <w:jc w:val="center"/>
              <w:rPr>
                <w:rFonts w:ascii="Times New Roman" w:hAnsi="Times New Roman" w:eastAsia="宋体" w:cs="Times New Roman"/>
                <w:color w:val="auto"/>
                <w:sz w:val="18"/>
                <w:szCs w:val="18"/>
                <w:highlight w:val="none"/>
              </w:rPr>
            </w:pPr>
          </w:p>
        </w:tc>
        <w:tc>
          <w:tcPr>
            <w:tcW w:w="426" w:type="dxa"/>
            <w:vAlign w:val="center"/>
          </w:tcPr>
          <w:p w14:paraId="62D5AE90">
            <w:pPr>
              <w:contextualSpacing/>
              <w:jc w:val="center"/>
              <w:rPr>
                <w:rFonts w:ascii="Times New Roman" w:hAnsi="Times New Roman" w:eastAsia="宋体" w:cs="Times New Roman"/>
                <w:b/>
                <w:color w:val="auto"/>
                <w:sz w:val="18"/>
                <w:szCs w:val="18"/>
                <w:highlight w:val="none"/>
              </w:rPr>
            </w:pPr>
          </w:p>
        </w:tc>
        <w:tc>
          <w:tcPr>
            <w:tcW w:w="429" w:type="dxa"/>
            <w:vAlign w:val="center"/>
          </w:tcPr>
          <w:p w14:paraId="789AB7F0">
            <w:pPr>
              <w:contextualSpacing/>
              <w:jc w:val="center"/>
              <w:rPr>
                <w:rFonts w:ascii="Times New Roman" w:hAnsi="Times New Roman" w:eastAsia="宋体" w:cs="Times New Roman"/>
                <w:color w:val="auto"/>
                <w:sz w:val="18"/>
                <w:szCs w:val="18"/>
                <w:highlight w:val="none"/>
              </w:rPr>
            </w:pPr>
          </w:p>
        </w:tc>
        <w:tc>
          <w:tcPr>
            <w:tcW w:w="1978" w:type="dxa"/>
            <w:vAlign w:val="center"/>
          </w:tcPr>
          <w:p w14:paraId="3415445F">
            <w:pPr>
              <w:contextualSpacing/>
              <w:jc w:val="left"/>
              <w:rPr>
                <w:rFonts w:ascii="Times New Roman" w:hAnsi="Times New Roman" w:eastAsia="宋体" w:cs="Times New Roman"/>
                <w:color w:val="auto"/>
                <w:sz w:val="18"/>
                <w:szCs w:val="18"/>
                <w:highlight w:val="none"/>
              </w:rPr>
            </w:pPr>
          </w:p>
        </w:tc>
      </w:tr>
    </w:tbl>
    <w:p w14:paraId="695F49DB">
      <w:pPr>
        <w:pStyle w:val="7"/>
        <w:rPr>
          <w:rFonts w:ascii="Times New Roman" w:hAnsi="Times New Roman" w:eastAsia="宋体" w:cs="Times New Roman"/>
          <w:color w:val="auto"/>
          <w:highlight w:val="none"/>
        </w:rPr>
      </w:pPr>
    </w:p>
    <w:p w14:paraId="6230E2E0">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0D0F0690">
      <w:pPr>
        <w:jc w:val="center"/>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20691"/>
      <w:bookmarkStart w:id="114"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2"/>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9"/>
        <w:numPr>
          <w:ilvl w:val="0"/>
          <w:numId w:val="21"/>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9"/>
        <w:numPr>
          <w:ilvl w:val="0"/>
          <w:numId w:val="21"/>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9"/>
        <w:numPr>
          <w:ilvl w:val="0"/>
          <w:numId w:val="2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9"/>
        <w:numPr>
          <w:ilvl w:val="0"/>
          <w:numId w:val="2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9"/>
        <w:numPr>
          <w:ilvl w:val="0"/>
          <w:numId w:val="27"/>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9"/>
        <w:numPr>
          <w:ilvl w:val="0"/>
          <w:numId w:val="27"/>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9"/>
        <w:numPr>
          <w:ilvl w:val="0"/>
          <w:numId w:val="17"/>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9"/>
        <w:numPr>
          <w:ilvl w:val="0"/>
          <w:numId w:val="30"/>
        </w:numPr>
        <w:snapToGrid w:val="0"/>
        <w:ind w:left="525" w:hanging="525" w:hangingChars="250"/>
        <w:rPr>
          <w:rFonts w:ascii="Times New Roman" w:hAnsi="Times New Roman" w:eastAsia="宋体" w:cs="Times New Roman"/>
          <w:color w:val="auto"/>
          <w:highlight w:val="none"/>
        </w:rPr>
      </w:pPr>
      <w:bookmarkStart w:id="116" w:name="OLE_LINK17"/>
      <w:bookmarkStart w:id="117" w:name="OLE_LINK18"/>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9"/>
        <w:numPr>
          <w:ilvl w:val="0"/>
          <w:numId w:val="30"/>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9"/>
        <w:numPr>
          <w:ilvl w:val="0"/>
          <w:numId w:val="3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9"/>
        <w:numPr>
          <w:ilvl w:val="0"/>
          <w:numId w:val="33"/>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9"/>
        <w:numPr>
          <w:ilvl w:val="0"/>
          <w:numId w:val="3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9"/>
        <w:numPr>
          <w:ilvl w:val="0"/>
          <w:numId w:val="3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9"/>
        <w:numPr>
          <w:ilvl w:val="0"/>
          <w:numId w:val="3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9"/>
        <w:numPr>
          <w:ilvl w:val="0"/>
          <w:numId w:val="34"/>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14:paraId="6A1F0CE6">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2F3AEA34">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7D00BEF8">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C2C2149">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6EDC5343">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539AF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0527BBA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6E4C9CF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D40EFA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653C87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1DFB121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4D6E77BB">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0763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8BDF3E">
            <w:pPr>
              <w:contextualSpacing/>
              <w:jc w:val="center"/>
              <w:rPr>
                <w:rFonts w:ascii="Times New Roman" w:hAnsi="Times New Roman" w:eastAsia="宋体" w:cs="Times New Roman"/>
                <w:color w:val="auto"/>
                <w:sz w:val="18"/>
                <w:szCs w:val="18"/>
                <w:highlight w:val="none"/>
              </w:rPr>
            </w:pPr>
          </w:p>
        </w:tc>
        <w:tc>
          <w:tcPr>
            <w:tcW w:w="3412" w:type="dxa"/>
            <w:vAlign w:val="center"/>
          </w:tcPr>
          <w:p w14:paraId="41C1BCDC">
            <w:pPr>
              <w:contextualSpacing/>
              <w:jc w:val="left"/>
              <w:rPr>
                <w:rFonts w:ascii="Times New Roman" w:hAnsi="Times New Roman" w:eastAsia="宋体" w:cs="Times New Roman"/>
                <w:color w:val="auto"/>
                <w:sz w:val="18"/>
                <w:szCs w:val="18"/>
                <w:highlight w:val="none"/>
              </w:rPr>
            </w:pPr>
          </w:p>
        </w:tc>
        <w:tc>
          <w:tcPr>
            <w:tcW w:w="2988" w:type="dxa"/>
            <w:vAlign w:val="center"/>
          </w:tcPr>
          <w:p w14:paraId="75F03C78">
            <w:pPr>
              <w:contextualSpacing/>
              <w:jc w:val="center"/>
              <w:rPr>
                <w:rFonts w:ascii="Times New Roman" w:hAnsi="Times New Roman" w:eastAsia="宋体" w:cs="Times New Roman"/>
                <w:color w:val="auto"/>
                <w:sz w:val="18"/>
                <w:szCs w:val="18"/>
                <w:highlight w:val="none"/>
              </w:rPr>
            </w:pPr>
          </w:p>
        </w:tc>
        <w:tc>
          <w:tcPr>
            <w:tcW w:w="426" w:type="dxa"/>
            <w:vAlign w:val="center"/>
          </w:tcPr>
          <w:p w14:paraId="347E800E">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328574A">
            <w:pPr>
              <w:contextualSpacing/>
              <w:jc w:val="center"/>
              <w:rPr>
                <w:rFonts w:ascii="Times New Roman" w:hAnsi="Times New Roman" w:eastAsia="宋体" w:cs="Times New Roman"/>
                <w:color w:val="auto"/>
                <w:sz w:val="18"/>
                <w:szCs w:val="18"/>
                <w:highlight w:val="none"/>
              </w:rPr>
            </w:pPr>
          </w:p>
        </w:tc>
        <w:tc>
          <w:tcPr>
            <w:tcW w:w="1978" w:type="dxa"/>
            <w:vAlign w:val="center"/>
          </w:tcPr>
          <w:p w14:paraId="47C38A2E">
            <w:pPr>
              <w:contextualSpacing/>
              <w:jc w:val="left"/>
              <w:rPr>
                <w:rFonts w:ascii="Times New Roman" w:hAnsi="Times New Roman" w:eastAsia="宋体" w:cs="Times New Roman"/>
                <w:color w:val="auto"/>
                <w:sz w:val="18"/>
                <w:szCs w:val="18"/>
                <w:highlight w:val="none"/>
              </w:rPr>
            </w:pPr>
          </w:p>
        </w:tc>
      </w:tr>
    </w:tbl>
    <w:p w14:paraId="657E284A">
      <w:pPr>
        <w:rPr>
          <w:rFonts w:ascii="Times New Roman" w:hAnsi="Times New Roman" w:eastAsia="宋体" w:cs="Times New Roman"/>
          <w:color w:val="auto"/>
          <w:highlight w:val="none"/>
        </w:rPr>
      </w:pPr>
    </w:p>
    <w:p w14:paraId="550D5A96">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143D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3F362FD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3C55E15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F6397A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F9BB1FA">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6250E8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29823D8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A50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6097B03B">
            <w:pPr>
              <w:contextualSpacing/>
              <w:jc w:val="center"/>
              <w:rPr>
                <w:rFonts w:ascii="Times New Roman" w:hAnsi="Times New Roman" w:eastAsia="宋体" w:cs="Times New Roman"/>
                <w:color w:val="auto"/>
                <w:sz w:val="18"/>
                <w:szCs w:val="18"/>
                <w:highlight w:val="none"/>
              </w:rPr>
            </w:pPr>
          </w:p>
        </w:tc>
        <w:tc>
          <w:tcPr>
            <w:tcW w:w="3412" w:type="dxa"/>
            <w:vAlign w:val="center"/>
          </w:tcPr>
          <w:p w14:paraId="7F25496E">
            <w:pPr>
              <w:contextualSpacing/>
              <w:jc w:val="left"/>
              <w:rPr>
                <w:rFonts w:ascii="Times New Roman" w:hAnsi="Times New Roman" w:eastAsia="宋体" w:cs="Times New Roman"/>
                <w:color w:val="auto"/>
                <w:sz w:val="18"/>
                <w:szCs w:val="18"/>
                <w:highlight w:val="none"/>
              </w:rPr>
            </w:pPr>
          </w:p>
        </w:tc>
        <w:tc>
          <w:tcPr>
            <w:tcW w:w="2988" w:type="dxa"/>
            <w:vAlign w:val="center"/>
          </w:tcPr>
          <w:p w14:paraId="115D7E24">
            <w:pPr>
              <w:contextualSpacing/>
              <w:jc w:val="center"/>
              <w:rPr>
                <w:rFonts w:ascii="Times New Roman" w:hAnsi="Times New Roman" w:eastAsia="宋体" w:cs="Times New Roman"/>
                <w:color w:val="auto"/>
                <w:sz w:val="18"/>
                <w:szCs w:val="18"/>
                <w:highlight w:val="none"/>
              </w:rPr>
            </w:pPr>
          </w:p>
        </w:tc>
        <w:tc>
          <w:tcPr>
            <w:tcW w:w="426" w:type="dxa"/>
            <w:vAlign w:val="center"/>
          </w:tcPr>
          <w:p w14:paraId="6E55B334">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0E6C124">
            <w:pPr>
              <w:contextualSpacing/>
              <w:jc w:val="center"/>
              <w:rPr>
                <w:rFonts w:ascii="Times New Roman" w:hAnsi="Times New Roman" w:eastAsia="宋体" w:cs="Times New Roman"/>
                <w:color w:val="auto"/>
                <w:sz w:val="18"/>
                <w:szCs w:val="18"/>
                <w:highlight w:val="none"/>
              </w:rPr>
            </w:pPr>
          </w:p>
        </w:tc>
        <w:tc>
          <w:tcPr>
            <w:tcW w:w="1978" w:type="dxa"/>
            <w:vAlign w:val="center"/>
          </w:tcPr>
          <w:p w14:paraId="0850517F">
            <w:pPr>
              <w:contextualSpacing/>
              <w:jc w:val="left"/>
              <w:rPr>
                <w:rFonts w:ascii="Times New Roman" w:hAnsi="Times New Roman" w:eastAsia="宋体" w:cs="Times New Roman"/>
                <w:color w:val="auto"/>
                <w:sz w:val="18"/>
                <w:szCs w:val="18"/>
                <w:highlight w:val="none"/>
              </w:rPr>
            </w:pPr>
          </w:p>
        </w:tc>
      </w:tr>
    </w:tbl>
    <w:p w14:paraId="6FC69AD5">
      <w:pPr>
        <w:pStyle w:val="7"/>
        <w:rPr>
          <w:rFonts w:ascii="Times New Roman" w:hAnsi="Times New Roman" w:eastAsia="宋体" w:cs="Times New Roman"/>
          <w:color w:val="auto"/>
          <w:highlight w:val="none"/>
        </w:rPr>
      </w:pPr>
    </w:p>
    <w:p w14:paraId="5CBD0444">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3F8E351E">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2D5F5C76">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14:paraId="5294F003">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14:paraId="67028E1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73E1EF8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730DD8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5DB5DC87">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3914D7F8">
      <w:pPr>
        <w:ind w:firstLine="560" w:firstLineChars="200"/>
        <w:rPr>
          <w:rFonts w:ascii="Times New Roman" w:hAnsi="Times New Roman" w:eastAsia="仿宋" w:cs="Times New Roman"/>
          <w:color w:val="auto"/>
          <w:sz w:val="28"/>
          <w:szCs w:val="28"/>
          <w:highlight w:val="none"/>
        </w:rPr>
      </w:pPr>
    </w:p>
    <w:p w14:paraId="420A2D5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1F3CD509">
      <w:pPr>
        <w:ind w:firstLine="560" w:firstLineChars="200"/>
        <w:rPr>
          <w:rFonts w:ascii="Times New Roman" w:hAnsi="Times New Roman" w:eastAsia="仿宋" w:cs="Times New Roman"/>
          <w:color w:val="auto"/>
          <w:sz w:val="28"/>
          <w:szCs w:val="28"/>
          <w:highlight w:val="none"/>
        </w:rPr>
      </w:pPr>
    </w:p>
    <w:p w14:paraId="1558D40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1B929EA0">
      <w:pPr>
        <w:ind w:firstLine="4200" w:firstLineChars="1500"/>
        <w:rPr>
          <w:rFonts w:ascii="Times New Roman" w:hAnsi="Times New Roman" w:eastAsia="仿宋" w:cs="Times New Roman"/>
          <w:color w:val="auto"/>
          <w:sz w:val="28"/>
          <w:szCs w:val="28"/>
          <w:highlight w:val="none"/>
        </w:rPr>
      </w:pPr>
    </w:p>
    <w:p w14:paraId="6A48896C">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14:paraId="489B57D9">
      <w:pPr>
        <w:rPr>
          <w:rFonts w:ascii="Times New Roman" w:hAnsi="Times New Roman" w:cs="Times New Roman"/>
          <w:b/>
          <w:bCs/>
          <w:color w:val="auto"/>
          <w:sz w:val="44"/>
          <w:szCs w:val="52"/>
          <w:highlight w:val="none"/>
        </w:rPr>
      </w:pPr>
    </w:p>
    <w:p w14:paraId="520DB1CB">
      <w:pPr>
        <w:rPr>
          <w:rFonts w:ascii="Times New Roman" w:hAnsi="Times New Roman" w:cs="Times New Roman"/>
          <w:b/>
          <w:bCs/>
          <w:color w:val="auto"/>
          <w:sz w:val="44"/>
          <w:szCs w:val="52"/>
          <w:highlight w:val="none"/>
        </w:rPr>
      </w:pPr>
    </w:p>
    <w:sectPr>
      <w:footerReference r:id="rId14"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0D6D7E7-4E79-4CBD-A847-E80FAEE7253B}"/>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DFBDCCDC-E2E5-4641-89D2-F5B10B875C1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F1AAB6D2-D186-41A1-AECB-434791D74AC7}"/>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7305D158-A0AC-4C6E-AD3F-5AB5430CB62A}"/>
  </w:font>
  <w:font w:name="Segoe UI Symbol">
    <w:panose1 w:val="020B0502040204020203"/>
    <w:charset w:val="00"/>
    <w:family w:val="swiss"/>
    <w:pitch w:val="default"/>
    <w:sig w:usb0="800001E3" w:usb1="1200FFEF" w:usb2="00040000" w:usb3="04000000" w:csb0="00000001" w:csb1="40000000"/>
    <w:embedRegular r:id="rId5" w:fontKey="{36AED3BC-E727-46B8-9680-B06212BFE146}"/>
  </w:font>
  <w:font w:name="Wingdings 2">
    <w:altName w:val="Wingdings"/>
    <w:panose1 w:val="05020102010507070707"/>
    <w:charset w:val="4D"/>
    <w:family w:val="decorative"/>
    <w:pitch w:val="default"/>
    <w:sig w:usb0="00000000" w:usb1="00000000" w:usb2="00000000" w:usb3="00000000" w:csb0="80000000" w:csb1="00000000"/>
    <w:embedRegular r:id="rId6" w:fontKey="{1CDD63D0-6171-4F1C-8FCB-62364401A1CB}"/>
  </w:font>
  <w:font w:name="Songti SC">
    <w:altName w:val="宋体"/>
    <w:panose1 w:val="02010600040101010101"/>
    <w:charset w:val="86"/>
    <w:family w:val="auto"/>
    <w:pitch w:val="default"/>
    <w:sig w:usb0="00000000" w:usb1="00000000" w:usb2="00000010" w:usb3="00000000" w:csb0="0004009F" w:csb1="00000000"/>
    <w:embedRegular r:id="rId7" w:fontKey="{D82EDB6C-80C0-4357-A310-CD967A1BC35B}"/>
  </w:font>
  <w:font w:name="微软雅黑">
    <w:panose1 w:val="020B0503020204020204"/>
    <w:charset w:val="86"/>
    <w:family w:val="auto"/>
    <w:pitch w:val="default"/>
    <w:sig w:usb0="80000287" w:usb1="2ACF3C50" w:usb2="00000016" w:usb3="00000000" w:csb0="0004001F" w:csb1="00000000"/>
    <w:embedRegular r:id="rId8" w:fontKey="{3A61BD1E-EB59-4C9F-A2E4-171354DCF484}"/>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40582">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4E836B">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64E836B">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701B5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4701B58">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9F9C65">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29F9C65">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8D9BD">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EF8D9BD">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397E7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14:paraId="14397E71">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D8AA30">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14:paraId="38D8AA30">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1944CB3A">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2A41C">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019D0D">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9019D0D">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64D9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A64D94">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E44F0">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93E44F0">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3CA47">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14:paraId="5E23CA47">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96677">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14:paraId="5A196677">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4AD76">
    <w:pPr>
      <w:pStyle w:val="11"/>
    </w:pPr>
    <w:r>
      <w:rPr>
        <w:sz w:val="18"/>
      </w:rPr>
      <mc:AlternateContent>
        <mc:Choice Requires="wps">
          <w:drawing>
            <wp:anchor distT="0" distB="0" distL="114300" distR="114300" simplePos="0" relativeHeight="251669504" behindDoc="0" locked="0" layoutInCell="1" allowOverlap="1">
              <wp:simplePos x="0" y="0"/>
              <wp:positionH relativeFrom="margin">
                <wp:posOffset>2542540</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B0232">
                          <w:pPr>
                            <w:pStyle w:val="11"/>
                          </w:pPr>
                          <w:r>
                            <w:t xml:space="preserve">第 </w:t>
                          </w:r>
                          <w:r>
                            <w:rPr>
                              <w:rFonts w:hint="eastAsia"/>
                              <w:lang w:val="en-US" w:eastAsia="zh-CN"/>
                            </w:rPr>
                            <w:t>39</w:t>
                          </w:r>
                          <w:r>
                            <w:t xml:space="preserve"> 页 共 </w:t>
                          </w:r>
                          <w:r>
                            <w:rPr>
                              <w:rFonts w:hint="eastAsia"/>
                              <w:lang w:val="en-US" w:eastAsia="zh-CN"/>
                            </w:rPr>
                            <w:t>40</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0.2pt;margin-top:-0.75pt;height:144pt;width:144pt;mso-position-horizontal-relative:margin;mso-wrap-style:none;z-index:251669504;mso-width-relative:page;mso-height-relative:page;" filled="f" stroked="f" coordsize="21600,21600" o:gfxdata="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nWe4T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14:paraId="2B0B0232">
                    <w:pPr>
                      <w:pStyle w:val="11"/>
                    </w:pPr>
                    <w:r>
                      <w:t xml:space="preserve">第 </w:t>
                    </w:r>
                    <w:r>
                      <w:rPr>
                        <w:rFonts w:hint="eastAsia"/>
                        <w:lang w:val="en-US" w:eastAsia="zh-CN"/>
                      </w:rPr>
                      <w:t>39</w:t>
                    </w:r>
                    <w:r>
                      <w:t xml:space="preserve"> 页 共 </w:t>
                    </w:r>
                    <w:r>
                      <w:rPr>
                        <w:rFonts w:hint="eastAsia"/>
                        <w:lang w:val="en-US" w:eastAsia="zh-CN"/>
                      </w:rPr>
                      <w:t>40</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5B24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7C5B248">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30D799">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030D799">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C8A3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59C8A3F">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AAAF6">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ABAAAF6">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A52F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14:paraId="409A52F1">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BEDDA">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14:paraId="4ECBEDDA">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1608">
    <w:pPr>
      <w:pStyle w:val="11"/>
    </w:pPr>
    <w:r>
      <w:rPr>
        <w:sz w:val="18"/>
      </w:rPr>
      <mc:AlternateContent>
        <mc:Choice Requires="wps">
          <w:drawing>
            <wp:anchor distT="0" distB="0" distL="114300" distR="114300" simplePos="0" relativeHeight="251668480" behindDoc="0" locked="0" layoutInCell="1" allowOverlap="1">
              <wp:simplePos x="0" y="0"/>
              <wp:positionH relativeFrom="margin">
                <wp:posOffset>2566670</wp:posOffset>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A59C80">
                          <w:pPr>
                            <w:pStyle w:val="11"/>
                          </w:pPr>
                          <w:r>
                            <w:t xml:space="preserve">第 </w:t>
                          </w:r>
                          <w:r>
                            <w:rPr>
                              <w:rFonts w:hint="eastAsia"/>
                              <w:lang w:val="en-US" w:eastAsia="zh-CN"/>
                            </w:rPr>
                            <w:t>40</w:t>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1pt;margin-top:0pt;height:144pt;width:144pt;mso-position-horizontal-relative:margin;mso-wrap-style:none;z-index:251668480;mso-width-relative:page;mso-height-relative:page;" filled="f" stroked="f" coordsize="21600,21600" o:gfxdata="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SZEGO1QAAAAgBAAAPAAAAAAAAAAEAIAAAACIAAABkcnMvZG93bnJldi54bWxQ&#10;SwECFAAUAAAACACHTuJA2STtBTMCAABjBAAADgAAAAAAAAABACAAAAAkAQAAZHJzL2Uyb0RvYy54&#10;bWxQSwUGAAAAAAYABgBZAQAAyQUAAAAA&#10;">
              <v:fill on="f" focussize="0,0"/>
              <v:stroke on="f" weight="0.5pt"/>
              <v:imagedata o:title=""/>
              <o:lock v:ext="edit" aspectratio="f"/>
              <v:textbox inset="0mm,0mm,0mm,0mm" style="mso-fit-shape-to-text:t;">
                <w:txbxContent>
                  <w:p w14:paraId="64A59C80">
                    <w:pPr>
                      <w:pStyle w:val="11"/>
                    </w:pPr>
                    <w:r>
                      <w:t xml:space="preserve">第 </w:t>
                    </w:r>
                    <w:r>
                      <w:rPr>
                        <w:rFonts w:hint="eastAsia"/>
                        <w:lang w:val="en-US" w:eastAsia="zh-CN"/>
                      </w:rPr>
                      <w:t>40</w:t>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C91B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91C91B7">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0074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F100741">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5A10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055A104">
                    <w:pPr>
                      <w:pStyle w:val="11"/>
                    </w:pPr>
                  </w:p>
                </w:txbxContent>
              </v:textbox>
            </v:shap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B1CD5">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50B1CD5">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61BD2">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950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BqVKztYAAAAGAQAADwAAAAAAAAABACAAAAAiAAAAZHJzL2Rvd25y&#10;ZXYueG1sUEsBAhQAFAAAAAgAh07iQAwCwJI5AgAAbQQAAA4AAAAAAAAAAQAgAAAAJQEAAGRycy9l&#10;Mm9Eb2MueG1sUEsFBgAAAAAGAAYAWQEAANAFAAAAAA==&#10;">
              <v:fill on="f" focussize="0,0"/>
              <v:stroke on="f" weight="0.5pt"/>
              <v:imagedata o:title=""/>
              <o:lock v:ext="edit" aspectratio="f"/>
              <v:textbox inset="16pt,0mm,16pt,0mm" style="mso-fit-shape-to-text:t;">
                <w:txbxContent>
                  <w:p w14:paraId="4BE61BD2">
                    <w:pPr>
                      <w:pStyle w:val="11"/>
                      <w:jc w:val="both"/>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236F6E">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7456;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LEuSb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LEuSbUzAgAAWQQAAA4AAAAAAAAAAQAgAAAAJQEAAGRycy9lMm9Eb2Mu&#10;eG1sUEsFBgAAAAAGAAYAWQEAAMoFAAAAAA==&#10;">
              <v:fill on="f" focussize="0,0"/>
              <v:stroke on="f" weight="0.5pt"/>
              <v:imagedata o:title=""/>
              <o:lock v:ext="edit" aspectratio="f"/>
              <v:textbox inset="0mm,0mm,0mm,0mm" style="mso-fit-shape-to-text:t;">
                <w:txbxContent>
                  <w:p w14:paraId="17236F6E">
                    <w:pPr>
                      <w:pStyle w:val="11"/>
                      <w:rPr>
                        <w:rFonts w:hint="default" w:ascii="Times New Roman" w:hAnsi="Times New Roman" w:cs="Times New Roman" w:eastAsiaTheme="minorEastAsia"/>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5E4A8">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75018C6D">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2ED6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4ADE614">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24"/>
  </w:num>
  <w:num w:numId="16">
    <w:abstractNumId w:val="12"/>
  </w:num>
  <w:num w:numId="17">
    <w:abstractNumId w:val="19"/>
  </w:num>
  <w:num w:numId="18">
    <w:abstractNumId w:val="8"/>
  </w:num>
  <w:num w:numId="19">
    <w:abstractNumId w:val="33"/>
  </w:num>
  <w:num w:numId="20">
    <w:abstractNumId w:val="31"/>
  </w:num>
  <w:num w:numId="21">
    <w:abstractNumId w:val="25"/>
  </w:num>
  <w:num w:numId="22">
    <w:abstractNumId w:val="10"/>
  </w:num>
  <w:num w:numId="23">
    <w:abstractNumId w:val="16"/>
  </w:num>
  <w:num w:numId="24">
    <w:abstractNumId w:val="9"/>
  </w:num>
  <w:num w:numId="25">
    <w:abstractNumId w:val="17"/>
  </w:num>
  <w:num w:numId="26">
    <w:abstractNumId w:val="29"/>
  </w:num>
  <w:num w:numId="27">
    <w:abstractNumId w:val="28"/>
  </w:num>
  <w:num w:numId="28">
    <w:abstractNumId w:val="23"/>
  </w:num>
  <w:num w:numId="29">
    <w:abstractNumId w:val="20"/>
  </w:num>
  <w:num w:numId="30">
    <w:abstractNumId w:val="11"/>
  </w:num>
  <w:num w:numId="31">
    <w:abstractNumId w:val="7"/>
  </w:num>
  <w:num w:numId="32">
    <w:abstractNumId w:val="13"/>
  </w:num>
  <w:num w:numId="33">
    <w:abstractNumId w:val="26"/>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1F21E59"/>
    <w:rsid w:val="058C78B0"/>
    <w:rsid w:val="05C043BA"/>
    <w:rsid w:val="05E13064"/>
    <w:rsid w:val="078A573C"/>
    <w:rsid w:val="093A3733"/>
    <w:rsid w:val="0A421E0A"/>
    <w:rsid w:val="0B4508AE"/>
    <w:rsid w:val="0C9579FB"/>
    <w:rsid w:val="0CF161C9"/>
    <w:rsid w:val="0E0B7FF0"/>
    <w:rsid w:val="0E2477C6"/>
    <w:rsid w:val="117A5014"/>
    <w:rsid w:val="127F05A0"/>
    <w:rsid w:val="136D78F8"/>
    <w:rsid w:val="15CC4977"/>
    <w:rsid w:val="162A4F7D"/>
    <w:rsid w:val="16A82A66"/>
    <w:rsid w:val="16DC051F"/>
    <w:rsid w:val="1994787E"/>
    <w:rsid w:val="1C1E5BBE"/>
    <w:rsid w:val="1DD000AF"/>
    <w:rsid w:val="1E09745A"/>
    <w:rsid w:val="1E176351"/>
    <w:rsid w:val="1F1E1A47"/>
    <w:rsid w:val="22935D1D"/>
    <w:rsid w:val="23D4489F"/>
    <w:rsid w:val="25FA5054"/>
    <w:rsid w:val="262001B9"/>
    <w:rsid w:val="27B87AF9"/>
    <w:rsid w:val="27E80EA9"/>
    <w:rsid w:val="280414A1"/>
    <w:rsid w:val="282322F9"/>
    <w:rsid w:val="28570368"/>
    <w:rsid w:val="28E72E42"/>
    <w:rsid w:val="29C5318E"/>
    <w:rsid w:val="2B502F98"/>
    <w:rsid w:val="2C9A0A9E"/>
    <w:rsid w:val="2DA70D65"/>
    <w:rsid w:val="2DF13843"/>
    <w:rsid w:val="2F66770D"/>
    <w:rsid w:val="32E9414D"/>
    <w:rsid w:val="336042AF"/>
    <w:rsid w:val="3427766B"/>
    <w:rsid w:val="343706EB"/>
    <w:rsid w:val="351A08D0"/>
    <w:rsid w:val="36334CE5"/>
    <w:rsid w:val="397B37E6"/>
    <w:rsid w:val="39BB4DA4"/>
    <w:rsid w:val="3A551407"/>
    <w:rsid w:val="3B033C36"/>
    <w:rsid w:val="3B243AFF"/>
    <w:rsid w:val="3DE841DC"/>
    <w:rsid w:val="3E5D4E8E"/>
    <w:rsid w:val="3FE25336"/>
    <w:rsid w:val="41076015"/>
    <w:rsid w:val="42075FF8"/>
    <w:rsid w:val="42842020"/>
    <w:rsid w:val="468567BB"/>
    <w:rsid w:val="4782487D"/>
    <w:rsid w:val="488427F3"/>
    <w:rsid w:val="49EA6E56"/>
    <w:rsid w:val="4B31068E"/>
    <w:rsid w:val="4BA55220"/>
    <w:rsid w:val="4BAD0151"/>
    <w:rsid w:val="4C184E09"/>
    <w:rsid w:val="4C8F75A2"/>
    <w:rsid w:val="4DAD4403"/>
    <w:rsid w:val="4E6D0981"/>
    <w:rsid w:val="4E8C008E"/>
    <w:rsid w:val="4F2C577C"/>
    <w:rsid w:val="4FEF758C"/>
    <w:rsid w:val="50771A9C"/>
    <w:rsid w:val="51C17D9A"/>
    <w:rsid w:val="51C47F6D"/>
    <w:rsid w:val="534F67FB"/>
    <w:rsid w:val="53505443"/>
    <w:rsid w:val="5455382C"/>
    <w:rsid w:val="55130CBE"/>
    <w:rsid w:val="5D0A3490"/>
    <w:rsid w:val="5D7E0D39"/>
    <w:rsid w:val="5E9D3F29"/>
    <w:rsid w:val="5F745DF0"/>
    <w:rsid w:val="5FEF4558"/>
    <w:rsid w:val="60384CD1"/>
    <w:rsid w:val="60655808"/>
    <w:rsid w:val="60C419F0"/>
    <w:rsid w:val="60F86CEE"/>
    <w:rsid w:val="618B488F"/>
    <w:rsid w:val="63A9427A"/>
    <w:rsid w:val="63D462B1"/>
    <w:rsid w:val="641A3596"/>
    <w:rsid w:val="64D96647"/>
    <w:rsid w:val="655B51E5"/>
    <w:rsid w:val="65E40ADA"/>
    <w:rsid w:val="66330B86"/>
    <w:rsid w:val="66E22203"/>
    <w:rsid w:val="68A1631F"/>
    <w:rsid w:val="68B812C9"/>
    <w:rsid w:val="69D50CF4"/>
    <w:rsid w:val="6C487AFD"/>
    <w:rsid w:val="6CB24363"/>
    <w:rsid w:val="6EA93466"/>
    <w:rsid w:val="6FCF0795"/>
    <w:rsid w:val="7011584E"/>
    <w:rsid w:val="71381023"/>
    <w:rsid w:val="73714961"/>
    <w:rsid w:val="7421016F"/>
    <w:rsid w:val="754D1D92"/>
    <w:rsid w:val="755E72EB"/>
    <w:rsid w:val="758350A9"/>
    <w:rsid w:val="79687E1D"/>
    <w:rsid w:val="7B560FD7"/>
    <w:rsid w:val="7B5F74F8"/>
    <w:rsid w:val="7B690630"/>
    <w:rsid w:val="7C5123F4"/>
    <w:rsid w:val="7D040AB6"/>
    <w:rsid w:val="7D3C3E6A"/>
    <w:rsid w:val="7D4119E6"/>
    <w:rsid w:val="7DAF162B"/>
    <w:rsid w:val="7DC42B41"/>
    <w:rsid w:val="7E947BCB"/>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42</Pages>
  <Words>1227</Words>
  <Characters>1318</Characters>
  <Lines>72</Lines>
  <Paragraphs>20</Paragraphs>
  <TotalTime>3</TotalTime>
  <ScaleCrop>false</ScaleCrop>
  <LinksUpToDate>false</LinksUpToDate>
  <CharactersWithSpaces>1390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2026-07-23T01:14:32Z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