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hint="eastAsia" w:ascii="Times New Roman" w:hAnsi="Times New Roman" w:eastAsia="黑体" w:cs="Times New Roman"/>
          <w:b/>
          <w:spacing w:val="24"/>
          <w:sz w:val="56"/>
          <w:szCs w:val="56"/>
          <w:lang w:val="en-US" w:eastAsia="zh-CN"/>
        </w:rPr>
        <w:t>四川省人民医院草堂院区园林草坪绿化养护管理服务采购项目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w:t>
      </w:r>
      <w:bookmarkStart w:id="104" w:name="_GoBack"/>
      <w:bookmarkEnd w:id="104"/>
      <w:r>
        <w:rPr>
          <w:rFonts w:ascii="Times New Roman" w:hAnsi="Times New Roman" w:eastAsia="仿宋" w:cs="Times New Roman"/>
          <w:sz w:val="28"/>
          <w:szCs w:val="28"/>
        </w:rPr>
        <w:t>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62832406"/>
      <w:bookmarkStart w:id="1" w:name="_Toc21919"/>
      <w:bookmarkStart w:id="2" w:name="_Toc20358"/>
      <w:bookmarkStart w:id="3" w:name="_Toc1907"/>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四川省人民医院草堂院区园林草坪绿化养护管理服务采购项目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CGZX-HQB20260850</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E4BF282">
            <w:pPr>
              <w:spacing w:line="360" w:lineRule="auto"/>
              <w:ind w:left="210" w:leftChars="100"/>
              <w:rPr>
                <w:rFonts w:hint="eastAsia" w:ascii="Times New Roman" w:hAnsi="Times New Roman" w:eastAsia="仿宋" w:cs="Times New Roman"/>
                <w:sz w:val="22"/>
                <w:highlight w:val="none"/>
                <w:lang w:val="en-US" w:eastAsia="zh-CN"/>
              </w:rPr>
            </w:pPr>
            <w:r>
              <w:rPr>
                <w:rFonts w:hint="eastAsia" w:ascii="Times New Roman" w:hAnsi="Times New Roman" w:eastAsia="仿宋" w:cs="Times New Roman"/>
                <w:sz w:val="22"/>
                <w:highlight w:val="none"/>
                <w:lang w:val="en-US" w:eastAsia="zh-CN"/>
              </w:rPr>
              <w:t>人民币30万元。</w:t>
            </w:r>
          </w:p>
          <w:p w14:paraId="131F84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68FD47D7">
            <w:pPr>
              <w:pStyle w:val="26"/>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合同总价的5%</w:t>
            </w:r>
          </w:p>
          <w:p w14:paraId="22C596BE">
            <w:pPr>
              <w:pStyle w:val="26"/>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699ED880">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4BAD625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6DEB6E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9A2CBE1">
            <w:pPr>
              <w:pStyle w:val="26"/>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1459990B">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0ACBE114">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01121BAA">
            <w:pPr>
              <w:pStyle w:val="26"/>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p>
          <w:p w14:paraId="664075F5">
            <w:pPr>
              <w:pStyle w:val="26"/>
              <w:numPr>
                <w:ilvl w:val="0"/>
                <w:numId w:val="6"/>
              </w:numPr>
              <w:tabs>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ABE35F1">
            <w:pPr>
              <w:pStyle w:val="26"/>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47A5B61C">
            <w:pPr>
              <w:pStyle w:val="26"/>
              <w:numPr>
                <w:ilvl w:val="0"/>
                <w:numId w:val="8"/>
              </w:numPr>
              <w:tabs>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p w14:paraId="69EC6130">
            <w:pPr>
              <w:pStyle w:val="26"/>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其它情形：无。</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6"/>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6"/>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6"/>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1B963C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hint="eastAsia" w:ascii="Cambria Math" w:hAnsi="Cambria Math" w:eastAsia="仿宋" w:cs="Cambria Math"/>
                <w:sz w:val="22"/>
              </w:rPr>
              <w:t>谈判小组启动审查程序后，应当要求供应商在评审现场提交成本构成说明材料，包括但不限于人工成本、设备租赁或使用折旧维护等、药品、肥料、垃圾处理、消毒剂、管理费用、运输、保险、税费等成本构成明细，以及相关凭证或者说明。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w:t>
            </w:r>
            <w:r>
              <w:rPr>
                <w:rFonts w:ascii="Times New Roman" w:hAnsi="Times New Roman" w:eastAsia="仿宋" w:cs="Times New Roman"/>
                <w:sz w:val="22"/>
                <w:szCs w:val="22"/>
                <w:u w:val="none"/>
                <w:lang w:val="zh-CN"/>
              </w:rPr>
              <w:t>739</w:t>
            </w:r>
            <w:r>
              <w:rPr>
                <w:rFonts w:hint="eastAsia" w:ascii="Times New Roman" w:hAnsi="Times New Roman" w:eastAsia="仿宋" w:cs="Times New Roman"/>
                <w:sz w:val="22"/>
                <w:szCs w:val="22"/>
                <w:u w:val="none"/>
                <w:lang w:val="en-US"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5"/>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eastAsia="zh-CN"/>
              </w:rPr>
            </w:pPr>
            <w:r>
              <w:rPr>
                <w:rFonts w:hint="eastAsia" w:ascii="Times New Roman" w:hAnsi="Times New Roman" w:eastAsia="仿宋" w:cs="Times New Roman"/>
                <w:sz w:val="22"/>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3"/>
        <w:jc w:val="both"/>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7620F8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一、项目简介</w:t>
      </w:r>
    </w:p>
    <w:p w14:paraId="44E7B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因采购人实际工作需要，本项目拟采购一家供应商为四川省人民医院草堂院区提供园林草坪绿化养护管理服务。</w:t>
      </w:r>
    </w:p>
    <w:p w14:paraId="5A5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240" w:lineRule="auto"/>
        <w:ind w:firstLine="482" w:firstLineChars="200"/>
        <w:textAlignment w:val="auto"/>
        <w:rPr>
          <w:rFonts w:hint="default" w:ascii="仿宋" w:hAnsi="仿宋" w:eastAsia="仿宋" w:cs="仿宋"/>
          <w:b/>
          <w:bCs w:val="0"/>
          <w:color w:val="auto"/>
          <w:kern w:val="2"/>
          <w:sz w:val="24"/>
          <w:szCs w:val="24"/>
          <w:lang w:val="en-US" w:eastAsia="zh-CN" w:bidi="ar-SA"/>
        </w:rPr>
      </w:pPr>
      <w:r>
        <w:rPr>
          <w:rFonts w:ascii="Segoe UI Symbol" w:hAnsi="Segoe UI Symbol" w:eastAsia="仿宋" w:cs="Segoe UI Symbol"/>
          <w:b/>
          <w:bCs/>
          <w:sz w:val="24"/>
          <w:szCs w:val="22"/>
          <w:highlight w:val="none"/>
        </w:rPr>
        <w:t>★</w:t>
      </w:r>
      <w:r>
        <w:rPr>
          <w:rFonts w:hint="eastAsia" w:ascii="仿宋" w:hAnsi="仿宋" w:eastAsia="仿宋" w:cs="仿宋"/>
          <w:b/>
          <w:bCs w:val="0"/>
          <w:color w:val="auto"/>
          <w:kern w:val="2"/>
          <w:sz w:val="24"/>
          <w:szCs w:val="24"/>
          <w:lang w:val="en-US" w:eastAsia="zh-CN" w:bidi="ar-SA"/>
        </w:rPr>
        <w:t>二、服务内容及服务要求</w:t>
      </w:r>
    </w:p>
    <w:p w14:paraId="302EA2F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（一）服务内容</w:t>
      </w:r>
    </w:p>
    <w:p w14:paraId="2D7DEA0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负责四川省人民医院草堂院区院区内所有草坪、园林景观工程（含室内植物）保养维护，所有乔灌木、地被、草坪的修剪、抹芽、中耕、浇水、施肥、除草、防治病虫害、补栽、移栽等的养护并保持园区环境美观整洁。养护面积约13500m²，养护植株300余株。</w:t>
      </w:r>
    </w:p>
    <w:p w14:paraId="611553B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）服务</w:t>
      </w:r>
      <w:r>
        <w:rPr>
          <w:rFonts w:hint="eastAsia" w:ascii="仿宋" w:hAnsi="仿宋" w:eastAsia="仿宋" w:cs="仿宋"/>
          <w:b/>
          <w:bCs/>
          <w:color w:val="auto"/>
          <w:sz w:val="24"/>
          <w:szCs w:val="24"/>
          <w:highlight w:val="none"/>
          <w:lang w:val="en-US" w:eastAsia="zh-CN"/>
        </w:rPr>
        <w:t>要求</w:t>
      </w:r>
    </w:p>
    <w:p w14:paraId="2F7B348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按照《园林绿化养护标准》CJJ/T 287-2018一级养护管理并达到园林绿化养护管理分级质量中一级标准。同时按照属地《成都市园林绿化条例》、《成都市城市绿化养护技术规程》（DB5101/T 217-2025）等相关规定及行业最高标准执行。</w:t>
      </w:r>
    </w:p>
    <w:p w14:paraId="65F186C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1.草坪养护质量要求</w:t>
      </w:r>
    </w:p>
    <w:p w14:paraId="089A862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严格对标《园林绿化养护标准》（CJJ/T 287-2018）中的一级养护标准。旨在通过科学化、精细化、常态化的管理，坪面平整无起伏，色泽浓绿均一，无明显杂草与病虫害，实现黄土不裸露的高品质景观效果。草坪生长茂盛，草坪边缘线清晰；叶片色泽均匀一致,色彩正常；草坪致密、均一，叶片生长整齐一致,每个草种在草坪中出现频率≥90%，且最大偏差＜12%；混合草坪草种类间具有亲和性，生长习性共生互补，叶片质地、株高、色泽协调一致；修剪后无残留草屑，剪口无焦枯、撕裂现象；冷季型草坪坪床平坦，平整度＜5cm/3m；暖季型草坪坪床平坦，平整度&lt;3cm/3m，草坪绿期不低于270天,绿期内草坪色泽纯正,无枯黄叶。</w:t>
      </w:r>
    </w:p>
    <w:p w14:paraId="0CBE2C8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2、浇水</w:t>
      </w:r>
    </w:p>
    <w:p w14:paraId="18C6DA0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土壤、水分、养分是植物生长必不可少的三个基本要素。在土壤已经选定的条件下，必须保证植物生长所需的水分和养分，以达到绿化设计要求和景观效果。</w:t>
      </w:r>
    </w:p>
    <w:p w14:paraId="46EBB69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浇水原则：根据不同植物生物特性(树木、花、草)、品种、规格大小、季节、土壤干湿程度确定，做到及时、适量、浇足浇遍、不遗漏地块和植株。</w:t>
      </w:r>
    </w:p>
    <w:p w14:paraId="4C5AA23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浇水量：根据不同植物品种、气候、季节和土壤干湿度确定，深度达根部、土壤不干涸为宜；气候特别干旱时，除浇足水外，还应增加叶面喷水保湿，减少蒸腾。</w:t>
      </w:r>
    </w:p>
    <w:p w14:paraId="4AD455F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浇水时间：集中于春、夏、秋末，夏季高温季节应在早晨或傍晚进行，冬季宜午后进行。</w:t>
      </w:r>
    </w:p>
    <w:p w14:paraId="52A7103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用水：采取就近抽水浇灌，经行政主管部门同意后方可使用自来水，必须随时满足浇水所用工具和机具运行良好；推荐采用漫灌式浇水；土壤特别板结或泥沙过重水分难于渗透时应先松土，草坪打孔再浇；肉质根及球根植物浇水以土壤不干涸为度。</w:t>
      </w:r>
    </w:p>
    <w:p w14:paraId="7174B0B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rPr>
        <w:t>雨季应注意防涝排洪，清除积水。</w:t>
      </w:r>
    </w:p>
    <w:p w14:paraId="53420AD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rPr>
        <w:t>结合浇水，尤其是秋冬季节，须不定期对植物进行冲洗降尘，确保绿化植物清爽整洁。</w:t>
      </w:r>
    </w:p>
    <w:p w14:paraId="2DA38C6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rPr>
        <w:t>基本作业要求：植物浇水次数:春季植物生长旺盛每天浇水2次，夏季气温炎热，早晚浇水1次，叶面喷水2次。具体实施视天气情况与植物生长情况调整次数。作业要求:①乔木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服务期内不少于10次</w:t>
      </w:r>
      <w:r>
        <w:rPr>
          <w:rFonts w:hint="eastAsia" w:ascii="仿宋" w:hAnsi="仿宋" w:eastAsia="仿宋" w:cs="仿宋"/>
          <w:b w:val="0"/>
          <w:bCs w:val="0"/>
          <w:color w:val="auto"/>
          <w:sz w:val="24"/>
          <w:szCs w:val="24"/>
          <w:highlight w:val="none"/>
        </w:rPr>
        <w:t>;②灌木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不少于20次;③色块灌木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不少于22次;④绿篱</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不少于20次，⑤草坪见干则浇、一次浇透。</w:t>
      </w:r>
    </w:p>
    <w:p w14:paraId="7D1D9FD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3、施肥</w:t>
      </w:r>
    </w:p>
    <w:p w14:paraId="0785A93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施肥主要有基肥和追肥，植物休眠期内施基肥，以充分腐熟的有机肥最好；追肥可用复合有机肥或化肥，花灌木在开花后，要施一次以磷钾为主的追赶肥。</w:t>
      </w:r>
    </w:p>
    <w:p w14:paraId="3042A64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施肥量，根据不同植物、生长状况、季节确定。应量少次多，以不造成肥害为度，同时满足植物对养分的需要。</w:t>
      </w:r>
    </w:p>
    <w:p w14:paraId="0F090E8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施肥次数，根据不同植物、生长状况、季节确定。</w:t>
      </w:r>
    </w:p>
    <w:p w14:paraId="0A28AF6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新栽植物或根系损伤植物，未愈合前不应施肥，草坪修剪三天后才能施肥。</w:t>
      </w:r>
    </w:p>
    <w:p w14:paraId="558D4EA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rPr>
        <w:t>施肥应均匀，基肥应充分腐熟埋入土中，化肥忌干施，应充分溶解后再施用，用量适当。</w:t>
      </w:r>
    </w:p>
    <w:p w14:paraId="08B3C24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rPr>
        <w:t>施肥应结合松土、浇水进行。</w:t>
      </w:r>
    </w:p>
    <w:p w14:paraId="67A7DAA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rPr>
        <w:t>基本作业要求：①乔木施基肥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1次；②整形式灌木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不少于6次；③自然式灌木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不少于1次；④草坪结合打孔施基肥</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1次；⑤追肥冷季型草坪</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不少于6次、暖季型草坪</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4次。</w:t>
      </w:r>
    </w:p>
    <w:p w14:paraId="2D0EBAB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4、病虫害防治</w:t>
      </w:r>
    </w:p>
    <w:p w14:paraId="32BCA8F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掌握植物病虫发生、发展规律，以防为主，以治为辅，将病虫控制和消灭在危害前，要求勤观察发现，及时防治。病虫害危害不超过2次。</w:t>
      </w:r>
    </w:p>
    <w:p w14:paraId="608C9EB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正确掌握各种农药的药理作用，充分阅读农药使用说明书，对症下药，配制准确，使用方法正确。混合充分喷洒均匀，不造成药害。</w:t>
      </w:r>
    </w:p>
    <w:p w14:paraId="4314226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防治及时、不拖不等。</w:t>
      </w:r>
    </w:p>
    <w:p w14:paraId="7B7DCDB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农药遵循危险化学品管理保存，严格按操作规程使用。</w:t>
      </w:r>
    </w:p>
    <w:p w14:paraId="4C95D39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使用生态和环保型农药。</w:t>
      </w:r>
    </w:p>
    <w:p w14:paraId="4C00B7B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rPr>
        <w:t>基本作业要求：①对病虫害大面积防治服务期内不少于8次；②冷季型草坪服务期内不少于8次；③已经发生的病虫害要及时治理、防止蔓延成灾。</w:t>
      </w:r>
    </w:p>
    <w:p w14:paraId="7572FF5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5、修剪</w:t>
      </w:r>
    </w:p>
    <w:p w14:paraId="085CD29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修剪应根据植物的种类、习性、设计意图、管护季节、景观效果进行，修剪后要求达到均衡树势、调节生长、花繁叶茂的目的。</w:t>
      </w:r>
    </w:p>
    <w:p w14:paraId="520ABDC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修剪包括剥芽、去蘖、摘心摘芽、疏枝、短截、疏花疏果、整形、更冠等技术。根据绿化设计要求以及不同植物种类正确选择修剪的技术方法，宜多疏少截。</w:t>
      </w:r>
    </w:p>
    <w:p w14:paraId="0081635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修剪时间：落叶乔木在休眠期进行，常绿乔木在生长间隙期进行， 灌木根据设计的景观造型要求及时进行。</w:t>
      </w:r>
    </w:p>
    <w:p w14:paraId="0F4EA0E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修剪原则：</w:t>
      </w:r>
      <w:r>
        <w:rPr>
          <w:rFonts w:hint="eastAsia" w:ascii="仿宋" w:hAnsi="仿宋" w:eastAsia="仿宋" w:cs="仿宋"/>
          <w:b w:val="0"/>
          <w:bCs w:val="0"/>
          <w:color w:val="auto"/>
          <w:sz w:val="24"/>
          <w:szCs w:val="24"/>
          <w:highlight w:val="none"/>
          <w:lang w:eastAsia="zh-CN"/>
        </w:rPr>
        <w:t>草坪修剪高度控制在4-6cm之间</w:t>
      </w:r>
      <w:r>
        <w:rPr>
          <w:rFonts w:hint="eastAsia" w:ascii="仿宋" w:hAnsi="仿宋" w:eastAsia="仿宋" w:cs="仿宋"/>
          <w:b w:val="0"/>
          <w:bCs w:val="0"/>
          <w:color w:val="auto"/>
          <w:sz w:val="24"/>
          <w:szCs w:val="24"/>
          <w:highlight w:val="none"/>
        </w:rPr>
        <w:t>；灌木定型修剪，分枝点以上树冠圆满，枝条分布均匀，生长健壮，花枝保留3—5个，随时消除侧枝蘖芽；球形灌木应保证球形树丰满，形状良好；色块灌木，高度适宜，平面平整，边角整齐；绿篱式灌木，观赏的三方应整齐。</w:t>
      </w:r>
    </w:p>
    <w:p w14:paraId="6B7AEC4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行道树在同一路段的分枝点高低、树高、冠幅大小应基本一致。</w:t>
      </w:r>
    </w:p>
    <w:p w14:paraId="2A507B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（5）</w:t>
      </w:r>
      <w:r>
        <w:rPr>
          <w:rFonts w:hint="eastAsia" w:ascii="仿宋" w:hAnsi="仿宋" w:eastAsia="仿宋" w:cs="仿宋"/>
          <w:b w:val="0"/>
          <w:bCs w:val="0"/>
          <w:color w:val="auto"/>
          <w:sz w:val="24"/>
          <w:szCs w:val="24"/>
          <w:highlight w:val="none"/>
        </w:rPr>
        <w:t>对影响安全、采光的树干进行处理。树枝对交通、架空线等公共设施基本无影响，上方有架空电力线时应按电力部门的相关规定及时剪除影响安全的枝条。对遮挡交通信号设施、路灯照明设施等公共设施的植物进行清障修剪。</w:t>
      </w:r>
    </w:p>
    <w:p w14:paraId="0671F7B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（6）</w:t>
      </w:r>
      <w:r>
        <w:rPr>
          <w:rFonts w:hint="eastAsia" w:ascii="仿宋" w:hAnsi="仿宋" w:eastAsia="仿宋" w:cs="仿宋"/>
          <w:b w:val="0"/>
          <w:bCs w:val="0"/>
          <w:color w:val="auto"/>
          <w:sz w:val="24"/>
          <w:szCs w:val="24"/>
          <w:highlight w:val="none"/>
        </w:rPr>
        <w:t>操作人员对植株进行重度修剪或不能确定修剪尺度时须通知</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并在其指导下进行。</w:t>
      </w:r>
    </w:p>
    <w:p w14:paraId="433393B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（7）</w:t>
      </w:r>
      <w:r>
        <w:rPr>
          <w:rFonts w:hint="eastAsia" w:ascii="仿宋" w:hAnsi="仿宋" w:eastAsia="仿宋" w:cs="仿宋"/>
          <w:b w:val="0"/>
          <w:bCs w:val="0"/>
          <w:color w:val="auto"/>
          <w:sz w:val="24"/>
          <w:szCs w:val="24"/>
          <w:highlight w:val="none"/>
        </w:rPr>
        <w:t>修剪须按技术操作规程和要求，同时须注意安全。</w:t>
      </w:r>
    </w:p>
    <w:p w14:paraId="7FA2086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基本作业要求:①乔木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不少于1次；②整形式灌木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不少于12次；③自然式灌木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不少于3次；④冷季型草坪</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不少于12次，暖季型草坪</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不少于3次，马蹄金</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不少于1次；⑤不定期对遮挡交通设施设备的树枝进行功能性修枝，排除安全隐患,确保常年不影响车辆、行人通行和公共设施正常使用。</w:t>
      </w:r>
    </w:p>
    <w:p w14:paraId="3504A94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6、松土、除草</w:t>
      </w:r>
    </w:p>
    <w:p w14:paraId="1BE01B4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松土，生长季节进行，用钉钯或窄锄将土挖松，草坪应用打孔机或相应的农机具进行松土，生长季节进行松土。</w:t>
      </w:r>
    </w:p>
    <w:p w14:paraId="57BFF9B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除草，掌握“除早、除小、除了”原则。绿地内应随时保持无杂草，保证草坪的纯净度，除草应尽量将边根除掉；必须在正确掌握和了解化学除草剂药理后，才可使用化学除草，但应先试验后再使用，避免造成药害。</w:t>
      </w:r>
    </w:p>
    <w:p w14:paraId="36E723A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基本作业要求:生长季节植物根据土壤情况进行松土，</w:t>
      </w:r>
      <w:r>
        <w:rPr>
          <w:rFonts w:hint="eastAsia" w:ascii="仿宋" w:hAnsi="仿宋" w:eastAsia="仿宋" w:cs="仿宋"/>
          <w:b w:val="0"/>
          <w:bCs w:val="0"/>
          <w:color w:val="auto"/>
          <w:sz w:val="24"/>
          <w:szCs w:val="24"/>
          <w:highlight w:val="none"/>
          <w:lang w:val="en-US" w:eastAsia="zh-CN"/>
        </w:rPr>
        <w:t>服务期内</w:t>
      </w:r>
      <w:r>
        <w:rPr>
          <w:rFonts w:hint="eastAsia" w:ascii="仿宋" w:hAnsi="仿宋" w:eastAsia="仿宋" w:cs="仿宋"/>
          <w:b w:val="0"/>
          <w:bCs w:val="0"/>
          <w:color w:val="auto"/>
          <w:sz w:val="24"/>
          <w:szCs w:val="24"/>
          <w:highlight w:val="none"/>
        </w:rPr>
        <w:t>不少于2次：①草坪打孔、疏草：春季对生长不健壮的草坪打孔，施足肥后疏草；②除草：长期持续进行，绿地内应做到基本无杂草；</w:t>
      </w:r>
    </w:p>
    <w:p w14:paraId="6ADA132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7、补栽</w:t>
      </w:r>
    </w:p>
    <w:p w14:paraId="64AED65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因养护原因造成死亡的植物，应及时组织补植补栽。</w:t>
      </w:r>
    </w:p>
    <w:p w14:paraId="7803407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补栽应按设计方案使用同品种、同规格的苗木，补栽的苗木与已成形的苗木乔木胸径相差不能超过0.5cm, 灌木高度相差不能超过5cm, 色块灌木高度相差不得超过10cm。</w:t>
      </w:r>
    </w:p>
    <w:p w14:paraId="6CF6B77B">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补栽须及时，不得拖延，原则上自行确定补栽时间，且不得超过一周时间。</w:t>
      </w:r>
    </w:p>
    <w:p w14:paraId="59B347E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补栽的植物须精心管理，保证成活，尽快达到同种植物标准。</w:t>
      </w:r>
    </w:p>
    <w:p w14:paraId="3AA3D71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因</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提出的景观调整、维修改造、自然灾害等非养护原因造成的补植补栽，由</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提供绿植，单次面积在5平方米范围内的</w:t>
      </w:r>
      <w:r>
        <w:rPr>
          <w:rFonts w:hint="eastAsia" w:ascii="仿宋" w:hAnsi="仿宋" w:eastAsia="仿宋" w:cs="仿宋"/>
          <w:b w:val="0"/>
          <w:bCs w:val="0"/>
          <w:color w:val="auto"/>
          <w:sz w:val="24"/>
          <w:szCs w:val="24"/>
          <w:highlight w:val="none"/>
          <w:lang w:val="en-US" w:eastAsia="zh-CN"/>
        </w:rPr>
        <w:t>补栽</w:t>
      </w:r>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rPr>
        <w:t>负责，超过5平米，由</w:t>
      </w:r>
      <w:r>
        <w:rPr>
          <w:rFonts w:hint="eastAsia" w:ascii="仿宋" w:hAnsi="仿宋" w:eastAsia="仿宋" w:cs="仿宋"/>
          <w:b w:val="0"/>
          <w:bCs w:val="0"/>
          <w:color w:val="auto"/>
          <w:sz w:val="24"/>
          <w:szCs w:val="24"/>
          <w:highlight w:val="none"/>
          <w:lang w:val="en-US" w:eastAsia="zh-CN"/>
        </w:rPr>
        <w:t>采购人</w:t>
      </w:r>
      <w:r>
        <w:rPr>
          <w:rFonts w:hint="eastAsia" w:ascii="仿宋" w:hAnsi="仿宋" w:eastAsia="仿宋" w:cs="仿宋"/>
          <w:b w:val="0"/>
          <w:bCs w:val="0"/>
          <w:color w:val="auto"/>
          <w:sz w:val="24"/>
          <w:szCs w:val="24"/>
          <w:highlight w:val="none"/>
        </w:rPr>
        <w:t>负责。</w:t>
      </w:r>
    </w:p>
    <w:p w14:paraId="3081E34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乔木、灌木按同品种、同规格补栽。草坪按同品种补栽，补栽后高度与原草坪一致，修剪平整。植物补栽后须精心管理，保证成活，尽快达到同种植物标准</w:t>
      </w:r>
      <w:r>
        <w:rPr>
          <w:rFonts w:hint="eastAsia" w:ascii="仿宋" w:hAnsi="仿宋" w:eastAsia="仿宋" w:cs="仿宋"/>
          <w:b w:val="0"/>
          <w:bCs w:val="0"/>
          <w:color w:val="auto"/>
          <w:sz w:val="24"/>
          <w:szCs w:val="24"/>
          <w:highlight w:val="none"/>
          <w:lang w:eastAsia="zh-CN"/>
        </w:rPr>
        <w:t>。</w:t>
      </w:r>
    </w:p>
    <w:p w14:paraId="2A6B69B9">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8、支柱、扶正</w:t>
      </w:r>
    </w:p>
    <w:p w14:paraId="1719F0B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绿地因土层、风力、人力因素造成损坏较大，难免造成树木倾斜和倒伏，扶正和支柱非常重要。</w:t>
      </w:r>
    </w:p>
    <w:p w14:paraId="37AC52E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支柱所用材料及方式自定，原则上以树木不倾斜为准。</w:t>
      </w:r>
    </w:p>
    <w:p w14:paraId="7245A93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扶正支柱须及时，及时发现、及时支柱。采用铁丝作捆扎材料，定期检查捆扎材料对树干有无伤害，如有伤害应及时拆除捆扎材料，另想他法。</w:t>
      </w:r>
    </w:p>
    <w:p w14:paraId="270D4018">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树木须进行扶正，落叶树在休眠期进行，常绿树在萌芽前进行。</w:t>
      </w:r>
    </w:p>
    <w:p w14:paraId="28A68666">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9、绿地清洁卫生</w:t>
      </w:r>
    </w:p>
    <w:p w14:paraId="5C74476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随时保持绿地清洁、美观。</w:t>
      </w:r>
    </w:p>
    <w:p w14:paraId="290D8F9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及时清除死树、枯枝。</w:t>
      </w:r>
    </w:p>
    <w:p w14:paraId="368C11F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及时清运剪下的草坪废草。</w:t>
      </w:r>
    </w:p>
    <w:p w14:paraId="5AA1A9E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园区内不得随意涂画，不得牵拉晾晒，及时清理园区内烟蒂、纸屑、果皮、塑料袋等垃圾物及砖头、瓦块等废弃物。</w:t>
      </w:r>
    </w:p>
    <w:p w14:paraId="4F6BE7B1">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rPr>
        <w:t>清理出来的废弃物应日产日清，其中园林绿化垃圾运至指定场所处理。</w:t>
      </w:r>
    </w:p>
    <w:p w14:paraId="6E81BE1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10、鲜花绿植摆放</w:t>
      </w:r>
    </w:p>
    <w:p w14:paraId="38FEDEA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供应商根据</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需要将鲜花绿植（采购人提供）运至需摆放地点根据采购人提供的摆放方案要求的品种、规格对应摆放，以达到预期的美化效果。摆放周期：</w:t>
      </w:r>
      <w:r>
        <w:rPr>
          <w:rFonts w:hint="eastAsia" w:ascii="仿宋" w:hAnsi="仿宋" w:eastAsia="仿宋" w:cs="仿宋"/>
          <w:b w:val="0"/>
          <w:bCs w:val="0"/>
          <w:color w:val="auto"/>
          <w:sz w:val="24"/>
          <w:szCs w:val="24"/>
          <w:highlight w:val="none"/>
          <w:lang w:val="en-US" w:eastAsia="zh-CN"/>
        </w:rPr>
        <w:t>服务期</w:t>
      </w:r>
      <w:r>
        <w:rPr>
          <w:rFonts w:hint="eastAsia" w:ascii="仿宋" w:hAnsi="仿宋" w:eastAsia="仿宋" w:cs="仿宋"/>
          <w:b w:val="0"/>
          <w:bCs w:val="0"/>
          <w:color w:val="auto"/>
          <w:sz w:val="24"/>
          <w:szCs w:val="24"/>
          <w:highlight w:val="none"/>
        </w:rPr>
        <w:t>摆放不少于</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次（元旦节、建党节、建军节、中秋节、国庆节）。作业时间要求：每次鲜花摆放要求在5天之内完成，同时清理完成上次摆放的鲜花。苗形及品质要求：成品杯苗、花形均匀、高度一致；进场花卉要求苗形饱满,生长健壮无病虫害。</w:t>
      </w:r>
    </w:p>
    <w:p w14:paraId="699E4A1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11、室内植物养护</w:t>
      </w:r>
    </w:p>
    <w:p w14:paraId="4835FC5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包含室内盆栽植物的日常养护，基本作业要求：根据季节和盆栽植物生长情况进行日常浇水、施肥、枯叶枯茎去除等日常维护，保持植物生长旺盛，叶面无明显灰尘、有光泽度，花盆洁净无污垢，底盘无积水；按照</w:t>
      </w:r>
      <w:r>
        <w:rPr>
          <w:rFonts w:hint="eastAsia" w:ascii="仿宋" w:hAnsi="仿宋" w:eastAsia="仿宋" w:cs="仿宋"/>
          <w:b w:val="0"/>
          <w:bCs w:val="0"/>
          <w:color w:val="auto"/>
          <w:sz w:val="24"/>
          <w:szCs w:val="24"/>
          <w:highlight w:val="none"/>
          <w:lang w:eastAsia="zh-CN"/>
        </w:rPr>
        <w:t>采购人</w:t>
      </w:r>
      <w:r>
        <w:rPr>
          <w:rFonts w:hint="eastAsia" w:ascii="仿宋" w:hAnsi="仿宋" w:eastAsia="仿宋" w:cs="仿宋"/>
          <w:b w:val="0"/>
          <w:bCs w:val="0"/>
          <w:color w:val="auto"/>
          <w:sz w:val="24"/>
          <w:szCs w:val="24"/>
          <w:highlight w:val="none"/>
        </w:rPr>
        <w:t>要求对盆栽植物进行移位、更换；因养护原因导致的盆栽植物死亡由供应商按原植物品种和尺寸补植。</w:t>
      </w:r>
    </w:p>
    <w:p w14:paraId="1AFDD18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12、巡查</w:t>
      </w:r>
    </w:p>
    <w:p w14:paraId="648258D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应确保24小时值班，及时巡查，及时发现并制止占绿地、设广告、倒建渣、伤树木、挂杂物等行为，同时上报监管部门负责人。</w:t>
      </w:r>
    </w:p>
    <w:p w14:paraId="5497F46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对园区内植物在浇水、施肥、种补植、修剪、冲洗等各绿化养护环节的状态进行巡查，发现问题或隐患及时整改。</w:t>
      </w:r>
    </w:p>
    <w:p w14:paraId="0EC0EA22">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rPr>
        <w:t>对院区内发生极端恶劣天气或其他应急事件导致园区绿地、植株发生需要应急处置的须及时处理，并汇报主管领导及项目监管负责人。</w:t>
      </w:r>
    </w:p>
    <w:p w14:paraId="3071085E">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13、人员要求</w:t>
      </w:r>
    </w:p>
    <w:p w14:paraId="1F0EE43D">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（1）项目负责人1名，为采购人提供专业的绿植栽种规划及相关的栽种设计。</w:t>
      </w:r>
    </w:p>
    <w:p w14:paraId="7BAD8810">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（2）技术人员1名：要求驻场，不可兼职。每周现场到岗不少于5次，每次在岗时间不低于8小时。</w:t>
      </w:r>
    </w:p>
    <w:p w14:paraId="041F3C4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（3）日常固定养护作业人员</w:t>
      </w:r>
      <w:r>
        <w:rPr>
          <w:rFonts w:hint="eastAsia" w:ascii="仿宋" w:hAnsi="仿宋" w:eastAsia="仿宋" w:cs="仿宋"/>
          <w:b w:val="0"/>
          <w:bCs w:val="0"/>
          <w:color w:val="auto"/>
          <w:sz w:val="24"/>
          <w:szCs w:val="24"/>
          <w:highlight w:val="none"/>
          <w:lang w:val="en-US" w:eastAsia="zh-CN"/>
        </w:rPr>
        <w:t>不少于</w:t>
      </w:r>
      <w:r>
        <w:rPr>
          <w:rFonts w:hint="eastAsia" w:ascii="仿宋" w:hAnsi="仿宋" w:eastAsia="仿宋" w:cs="仿宋"/>
          <w:b w:val="0"/>
          <w:bCs w:val="0"/>
          <w:color w:val="auto"/>
          <w:sz w:val="24"/>
          <w:szCs w:val="24"/>
          <w:highlight w:val="none"/>
        </w:rPr>
        <w:t>5名：要求驻场，不可兼职</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说明：需提供住房和城乡建设行业技能人员职业培训合格证(工种名称:绿化工(园林绿化工))证书扫描件、以及有效的身份证扫描件、提供网页查图）。每日在岗人数不少于5人，每人每日在岗时间不低于8小时。岗位分工：</w:t>
      </w:r>
    </w:p>
    <w:p w14:paraId="128DB2D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2人：负责园区保洁、日常清扫、落叶清理，</w:t>
      </w:r>
    </w:p>
    <w:p w14:paraId="1A082AE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2人：负责草坪及苗木除草、修剪、草坪补植修补，</w:t>
      </w:r>
    </w:p>
    <w:p w14:paraId="69EF0C9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1人：负责绿植浇水、施肥、农药喷施、病虫害消杀。</w:t>
      </w:r>
    </w:p>
    <w:p w14:paraId="60C2DB5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（4）供应商与服务人员产生的劳动关系及劳资纠纷均由供应商负责，与采购人无关且不承担连带责任。服务人员着装统一规范，态度端正，服从工作安排，无条件执行临时工作任务。</w:t>
      </w:r>
    </w:p>
    <w:p w14:paraId="7A78D93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w:t>
      </w:r>
      <w:r>
        <w:rPr>
          <w:rFonts w:hint="eastAsia" w:ascii="仿宋" w:hAnsi="仿宋" w:eastAsia="仿宋" w:cs="仿宋"/>
          <w:b/>
          <w:bCs/>
          <w:color w:val="auto"/>
          <w:sz w:val="24"/>
          <w:szCs w:val="24"/>
          <w:highlight w:val="none"/>
          <w:lang w:val="en-US" w:eastAsia="zh-CN"/>
        </w:rPr>
        <w:t>设备</w:t>
      </w:r>
      <w:r>
        <w:rPr>
          <w:rFonts w:hint="eastAsia" w:ascii="仿宋" w:hAnsi="仿宋" w:eastAsia="仿宋" w:cs="仿宋"/>
          <w:b/>
          <w:bCs/>
          <w:color w:val="auto"/>
          <w:sz w:val="24"/>
          <w:szCs w:val="24"/>
          <w:highlight w:val="none"/>
        </w:rPr>
        <w:t>配置要求</w:t>
      </w:r>
    </w:p>
    <w:p w14:paraId="6B059322">
      <w:pPr>
        <w:pStyle w:val="2"/>
        <w:keepNext w:val="0"/>
        <w:keepLines w:val="0"/>
        <w:pageBreakBefore w:val="0"/>
        <w:widowControl w:val="0"/>
        <w:kinsoku/>
        <w:wordWrap/>
        <w:overflowPunct/>
        <w:topLinePunct w:val="0"/>
        <w:autoSpaceDE/>
        <w:autoSpaceDN/>
        <w:bidi w:val="0"/>
        <w:adjustRightInd/>
        <w:snapToGrid/>
        <w:spacing w:after="0" w:line="340" w:lineRule="exact"/>
        <w:ind w:firstLine="480" w:firstLineChars="200"/>
        <w:jc w:val="left"/>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剪草车1台，草坪机2台，草坪打孔机1台，绿篱机2台，割灌机2台，吹风机1台，喷雾器2台，打药车1台</w:t>
      </w:r>
      <w:r>
        <w:rPr>
          <w:rFonts w:hint="eastAsia" w:ascii="仿宋" w:hAnsi="仿宋" w:eastAsia="仿宋" w:cs="仿宋"/>
          <w:b w:val="0"/>
          <w:bCs w:val="0"/>
          <w:color w:val="auto"/>
          <w:sz w:val="24"/>
          <w:szCs w:val="24"/>
          <w:highlight w:val="none"/>
          <w:lang w:eastAsia="zh-CN"/>
        </w:rPr>
        <w:t>。</w:t>
      </w:r>
    </w:p>
    <w:p w14:paraId="745329DF">
      <w:pPr>
        <w:pStyle w:val="2"/>
        <w:keepNext w:val="0"/>
        <w:keepLines w:val="0"/>
        <w:pageBreakBefore w:val="0"/>
        <w:widowControl w:val="0"/>
        <w:kinsoku/>
        <w:wordWrap/>
        <w:overflowPunct/>
        <w:topLinePunct w:val="0"/>
        <w:autoSpaceDE/>
        <w:autoSpaceDN/>
        <w:bidi w:val="0"/>
        <w:adjustRightInd/>
        <w:snapToGrid/>
        <w:spacing w:after="0" w:line="340" w:lineRule="exact"/>
        <w:ind w:firstLine="480" w:firstLineChars="200"/>
        <w:jc w:val="both"/>
        <w:textAlignment w:val="auto"/>
        <w:rPr>
          <w:rFonts w:hint="eastAsia" w:ascii="仿宋" w:hAnsi="仿宋" w:eastAsia="仿宋" w:cs="仿宋"/>
          <w:i w:val="0"/>
          <w:iCs w:val="0"/>
          <w:caps w:val="0"/>
          <w:color w:val="auto"/>
          <w:spacing w:val="0"/>
          <w:sz w:val="24"/>
          <w:szCs w:val="24"/>
          <w:highlight w:val="none"/>
          <w:shd w:val="clear" w:fill="FFFFFF"/>
          <w:lang w:eastAsia="zh-CN"/>
        </w:rPr>
      </w:pPr>
      <w:r>
        <w:rPr>
          <w:rFonts w:hint="eastAsia" w:ascii="仿宋" w:hAnsi="仿宋" w:eastAsia="仿宋" w:cs="仿宋"/>
          <w:i w:val="0"/>
          <w:iCs w:val="0"/>
          <w:caps w:val="0"/>
          <w:color w:val="auto"/>
          <w:spacing w:val="0"/>
          <w:sz w:val="24"/>
          <w:szCs w:val="24"/>
          <w:highlight w:val="none"/>
          <w:shd w:val="clear" w:fill="FFFFFF"/>
          <w:lang w:val="en-US" w:eastAsia="zh-CN"/>
        </w:rPr>
        <w:t>注：若为</w:t>
      </w:r>
      <w:r>
        <w:rPr>
          <w:rFonts w:hint="eastAsia" w:ascii="仿宋" w:hAnsi="仿宋" w:eastAsia="仿宋" w:cs="仿宋"/>
          <w:i w:val="0"/>
          <w:iCs w:val="0"/>
          <w:caps w:val="0"/>
          <w:color w:val="auto"/>
          <w:spacing w:val="0"/>
          <w:sz w:val="24"/>
          <w:szCs w:val="24"/>
          <w:highlight w:val="none"/>
          <w:shd w:val="clear" w:fill="FFFFFF"/>
        </w:rPr>
        <w:t>自有设备</w:t>
      </w:r>
      <w:r>
        <w:rPr>
          <w:rFonts w:hint="eastAsia" w:ascii="仿宋" w:hAnsi="仿宋" w:eastAsia="仿宋" w:cs="仿宋"/>
          <w:i w:val="0"/>
          <w:iCs w:val="0"/>
          <w:caps w:val="0"/>
          <w:color w:val="auto"/>
          <w:spacing w:val="0"/>
          <w:sz w:val="24"/>
          <w:szCs w:val="24"/>
          <w:highlight w:val="none"/>
          <w:shd w:val="clear" w:fill="FFFFFF"/>
          <w:lang w:val="en-US" w:eastAsia="zh-CN"/>
        </w:rPr>
        <w:t>的</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提供购置发票</w:t>
      </w:r>
      <w:r>
        <w:rPr>
          <w:rFonts w:hint="eastAsia" w:ascii="仿宋" w:hAnsi="仿宋" w:eastAsia="仿宋" w:cs="仿宋"/>
          <w:i w:val="0"/>
          <w:iCs w:val="0"/>
          <w:caps w:val="0"/>
          <w:color w:val="auto"/>
          <w:spacing w:val="0"/>
          <w:sz w:val="24"/>
          <w:szCs w:val="24"/>
          <w:highlight w:val="none"/>
          <w:shd w:val="clear" w:fill="FFFFFF"/>
          <w:lang w:eastAsia="zh-CN"/>
        </w:rPr>
        <w:t>复印件</w:t>
      </w:r>
      <w:r>
        <w:rPr>
          <w:rFonts w:hint="eastAsia" w:ascii="仿宋" w:hAnsi="仿宋" w:eastAsia="仿宋" w:cs="仿宋"/>
          <w:i w:val="0"/>
          <w:iCs w:val="0"/>
          <w:caps w:val="0"/>
          <w:color w:val="auto"/>
          <w:spacing w:val="0"/>
          <w:sz w:val="24"/>
          <w:szCs w:val="24"/>
          <w:highlight w:val="none"/>
          <w:shd w:val="clear" w:fill="FFFFFF"/>
          <w:lang w:val="en-US" w:eastAsia="zh-CN"/>
        </w:rPr>
        <w:t>并加盖供应商公章</w:t>
      </w:r>
      <w:r>
        <w:rPr>
          <w:rFonts w:hint="eastAsia" w:ascii="仿宋" w:hAnsi="仿宋" w:eastAsia="仿宋" w:cs="仿宋"/>
          <w:i w:val="0"/>
          <w:iCs w:val="0"/>
          <w:caps w:val="0"/>
          <w:color w:val="auto"/>
          <w:spacing w:val="0"/>
          <w:sz w:val="24"/>
          <w:szCs w:val="24"/>
          <w:highlight w:val="none"/>
          <w:shd w:val="clear" w:fill="FFFFFF"/>
          <w:lang w:eastAsia="zh-CN"/>
        </w:rPr>
        <w:t>。</w:t>
      </w:r>
    </w:p>
    <w:p w14:paraId="51AABF75">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val="en-US" w:eastAsia="zh-CN"/>
        </w:rPr>
        <w:t>若为</w:t>
      </w:r>
      <w:r>
        <w:rPr>
          <w:rFonts w:hint="eastAsia" w:ascii="仿宋" w:hAnsi="仿宋" w:eastAsia="仿宋" w:cs="仿宋"/>
          <w:i w:val="0"/>
          <w:iCs w:val="0"/>
          <w:caps w:val="0"/>
          <w:color w:val="auto"/>
          <w:spacing w:val="0"/>
          <w:sz w:val="24"/>
          <w:szCs w:val="24"/>
          <w:highlight w:val="none"/>
          <w:shd w:val="clear" w:fill="FFFFFF"/>
        </w:rPr>
        <w:t>租赁设备</w:t>
      </w:r>
      <w:r>
        <w:rPr>
          <w:rFonts w:hint="eastAsia" w:ascii="仿宋" w:hAnsi="仿宋" w:eastAsia="仿宋" w:cs="仿宋"/>
          <w:i w:val="0"/>
          <w:iCs w:val="0"/>
          <w:caps w:val="0"/>
          <w:color w:val="auto"/>
          <w:spacing w:val="0"/>
          <w:sz w:val="24"/>
          <w:szCs w:val="24"/>
          <w:highlight w:val="none"/>
          <w:shd w:val="clear" w:fill="FFFFFF"/>
          <w:lang w:val="en-US" w:eastAsia="zh-CN"/>
        </w:rPr>
        <w:t>的</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i w:val="0"/>
          <w:iCs w:val="0"/>
          <w:caps w:val="0"/>
          <w:color w:val="auto"/>
          <w:spacing w:val="0"/>
          <w:sz w:val="24"/>
          <w:szCs w:val="24"/>
          <w:highlight w:val="none"/>
          <w:shd w:val="clear" w:fill="FFFFFF"/>
        </w:rPr>
        <w:t>提供租赁合同</w:t>
      </w:r>
      <w:r>
        <w:rPr>
          <w:rFonts w:hint="eastAsia" w:ascii="仿宋" w:hAnsi="仿宋" w:eastAsia="仿宋" w:cs="仿宋"/>
          <w:i w:val="0"/>
          <w:iCs w:val="0"/>
          <w:caps w:val="0"/>
          <w:color w:val="auto"/>
          <w:spacing w:val="0"/>
          <w:sz w:val="24"/>
          <w:szCs w:val="24"/>
          <w:highlight w:val="none"/>
          <w:shd w:val="clear" w:fill="FFFFFF"/>
          <w:lang w:eastAsia="zh-CN"/>
        </w:rPr>
        <w:t>复印件</w:t>
      </w:r>
      <w:r>
        <w:rPr>
          <w:rFonts w:hint="eastAsia" w:ascii="仿宋" w:hAnsi="仿宋" w:eastAsia="仿宋" w:cs="仿宋"/>
          <w:i w:val="0"/>
          <w:iCs w:val="0"/>
          <w:caps w:val="0"/>
          <w:color w:val="auto"/>
          <w:spacing w:val="0"/>
          <w:sz w:val="24"/>
          <w:szCs w:val="24"/>
          <w:highlight w:val="none"/>
          <w:shd w:val="clear" w:fill="FFFFFF"/>
          <w:lang w:val="en-US" w:eastAsia="zh-CN"/>
        </w:rPr>
        <w:t>并加盖供应商公章，</w:t>
      </w:r>
      <w:r>
        <w:rPr>
          <w:rFonts w:hint="eastAsia" w:ascii="仿宋" w:hAnsi="仿宋" w:eastAsia="仿宋" w:cs="仿宋"/>
          <w:i w:val="0"/>
          <w:iCs w:val="0"/>
          <w:caps w:val="0"/>
          <w:color w:val="auto"/>
          <w:spacing w:val="0"/>
          <w:sz w:val="24"/>
          <w:szCs w:val="24"/>
          <w:highlight w:val="none"/>
          <w:shd w:val="clear" w:fill="FFFFFF"/>
        </w:rPr>
        <w:t>租赁合同的有效期须覆盖本项目服务期。若现有租赁合同有效期不能覆盖</w:t>
      </w:r>
      <w:r>
        <w:rPr>
          <w:rFonts w:hint="eastAsia" w:ascii="仿宋" w:hAnsi="仿宋" w:eastAsia="仿宋" w:cs="仿宋"/>
          <w:i w:val="0"/>
          <w:iCs w:val="0"/>
          <w:caps w:val="0"/>
          <w:color w:val="auto"/>
          <w:spacing w:val="0"/>
          <w:sz w:val="24"/>
          <w:szCs w:val="24"/>
          <w:highlight w:val="none"/>
          <w:shd w:val="clear" w:fill="FFFFFF"/>
          <w:lang w:val="en-US" w:eastAsia="zh-CN"/>
        </w:rPr>
        <w:t>的</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val="en-US" w:eastAsia="zh-CN"/>
        </w:rPr>
        <w:t>须</w:t>
      </w:r>
      <w:r>
        <w:rPr>
          <w:rFonts w:hint="eastAsia" w:ascii="仿宋" w:hAnsi="仿宋" w:eastAsia="仿宋" w:cs="仿宋"/>
          <w:b w:val="0"/>
          <w:bCs w:val="0"/>
          <w:color w:val="auto"/>
          <w:sz w:val="24"/>
          <w:szCs w:val="24"/>
          <w:highlight w:val="none"/>
        </w:rPr>
        <w:t>提供</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rPr>
        <w:t>后续签租赁合同至本项目服务期</w:t>
      </w:r>
      <w:r>
        <w:rPr>
          <w:rFonts w:hint="eastAsia" w:ascii="仿宋" w:hAnsi="仿宋" w:eastAsia="仿宋" w:cs="仿宋"/>
          <w:b w:val="0"/>
          <w:bCs w:val="0"/>
          <w:color w:val="auto"/>
          <w:sz w:val="24"/>
          <w:szCs w:val="24"/>
          <w:highlight w:val="none"/>
          <w:lang w:val="en-US" w:eastAsia="zh-CN"/>
        </w:rPr>
        <w:t>结束</w:t>
      </w:r>
      <w:r>
        <w:rPr>
          <w:rFonts w:hint="eastAsia" w:ascii="仿宋" w:hAnsi="仿宋" w:eastAsia="仿宋" w:cs="仿宋"/>
          <w:b w:val="0"/>
          <w:bCs w:val="0"/>
          <w:color w:val="auto"/>
          <w:sz w:val="24"/>
          <w:szCs w:val="24"/>
          <w:highlight w:val="none"/>
        </w:rPr>
        <w:t>的承诺函（格式自拟）</w:t>
      </w:r>
      <w:r>
        <w:rPr>
          <w:rFonts w:hint="eastAsia" w:ascii="仿宋" w:hAnsi="仿宋" w:eastAsia="仿宋" w:cs="仿宋"/>
          <w:b w:val="0"/>
          <w:bCs w:val="0"/>
          <w:color w:val="auto"/>
          <w:sz w:val="24"/>
          <w:szCs w:val="24"/>
          <w:highlight w:val="none"/>
          <w:lang w:eastAsia="zh-CN"/>
        </w:rPr>
        <w:t>。</w:t>
      </w:r>
    </w:p>
    <w:p w14:paraId="4F62ABE7">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、维护保养档案管理</w:t>
      </w:r>
    </w:p>
    <w:p w14:paraId="6BC262AA">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rPr>
        <w:t>做好日常维护保养工作记录</w:t>
      </w:r>
      <w:r>
        <w:rPr>
          <w:rFonts w:hint="eastAsia" w:ascii="仿宋" w:hAnsi="仿宋" w:eastAsia="仿宋" w:cs="仿宋"/>
          <w:b w:val="0"/>
          <w:bCs w:val="0"/>
          <w:color w:val="auto"/>
          <w:sz w:val="24"/>
          <w:szCs w:val="24"/>
          <w:highlight w:val="none"/>
          <w:lang w:val="en-US" w:eastAsia="zh-CN"/>
        </w:rPr>
        <w:t>台账</w:t>
      </w:r>
      <w:r>
        <w:rPr>
          <w:rFonts w:hint="eastAsia" w:ascii="仿宋" w:hAnsi="仿宋" w:eastAsia="仿宋" w:cs="仿宋"/>
          <w:b w:val="0"/>
          <w:bCs w:val="0"/>
          <w:color w:val="auto"/>
          <w:sz w:val="24"/>
          <w:szCs w:val="24"/>
          <w:highlight w:val="none"/>
        </w:rPr>
        <w:t>(如施肥、死亡、打药等工作记录)。</w:t>
      </w:r>
    </w:p>
    <w:p w14:paraId="0D0ED1B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rPr>
        <w:t>按年、月做好养护计划及总结，归档备查。</w:t>
      </w:r>
    </w:p>
    <w:p w14:paraId="5F9A5A5F">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16.安全责任</w:t>
      </w:r>
    </w:p>
    <w:p w14:paraId="345B7AD3">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因供应商管理不当、缺失引发安全事故造成人身伤害、死亡或万元以上财产损失的，全额扣除当月服务费，履约保证金不予退还。</w:t>
      </w:r>
    </w:p>
    <w:p w14:paraId="4E2B2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val="en-US" w:eastAsia="zh-CN"/>
        </w:rPr>
        <w:t>三</w:t>
      </w:r>
      <w:r>
        <w:rPr>
          <w:rFonts w:hint="eastAsia" w:ascii="Times New Roman" w:hAnsi="Times New Roman" w:eastAsia="仿宋" w:cs="Times New Roman"/>
          <w:b/>
          <w:bCs/>
          <w:sz w:val="24"/>
          <w:szCs w:val="24"/>
        </w:rPr>
        <w:t>、违约责任：</w:t>
      </w:r>
    </w:p>
    <w:p w14:paraId="281EE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1.</w:t>
      </w:r>
      <w:r>
        <w:rPr>
          <w:rFonts w:hint="eastAsia" w:ascii="Times New Roman" w:hAnsi="Times New Roman" w:eastAsia="仿宋" w:cs="Times New Roman"/>
          <w:sz w:val="24"/>
          <w:szCs w:val="24"/>
        </w:rPr>
        <w:t>如因</w:t>
      </w:r>
      <w:r>
        <w:rPr>
          <w:rFonts w:hint="eastAsia" w:ascii="Times New Roman" w:hAnsi="Times New Roman" w:eastAsia="仿宋" w:cs="Times New Roman"/>
          <w:sz w:val="24"/>
          <w:szCs w:val="24"/>
          <w:lang w:eastAsia="zh-CN"/>
        </w:rPr>
        <w:t>供应商</w:t>
      </w:r>
      <w:r>
        <w:rPr>
          <w:rFonts w:hint="eastAsia" w:ascii="Times New Roman" w:hAnsi="Times New Roman" w:eastAsia="仿宋" w:cs="Times New Roman"/>
          <w:sz w:val="24"/>
          <w:szCs w:val="24"/>
        </w:rPr>
        <w:t>工作人员在履行职务过程中的的疏忽、失职、过错等故意或者过失原因给采购人造成损失或侵害，包括但不限于采购人本身的财产损失、</w:t>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由此而导致的采购人对任何第三方的法律责任等，</w:t>
      </w:r>
      <w:r>
        <w:rPr>
          <w:rFonts w:hint="eastAsia" w:ascii="Times New Roman" w:hAnsi="Times New Roman" w:eastAsia="仿宋" w:cs="Times New Roman"/>
          <w:sz w:val="24"/>
          <w:szCs w:val="24"/>
          <w:lang w:eastAsia="zh-CN"/>
        </w:rPr>
        <w:t>供应商</w:t>
      </w:r>
      <w:r>
        <w:rPr>
          <w:rFonts w:hint="eastAsia" w:ascii="Times New Roman" w:hAnsi="Times New Roman" w:eastAsia="仿宋" w:cs="Times New Roman"/>
          <w:sz w:val="24"/>
          <w:szCs w:val="24"/>
        </w:rPr>
        <w:t>对此均应承担全部的赔偿责任。</w:t>
      </w:r>
    </w:p>
    <w:p w14:paraId="15566530">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2.</w:t>
      </w:r>
      <w:r>
        <w:rPr>
          <w:rFonts w:hint="eastAsia" w:ascii="Times New Roman" w:hAnsi="Times New Roman" w:eastAsia="仿宋" w:cs="Times New Roman"/>
          <w:sz w:val="24"/>
          <w:szCs w:val="24"/>
          <w:highlight w:val="none"/>
        </w:rPr>
        <w:t>若</w:t>
      </w:r>
      <w:r>
        <w:rPr>
          <w:rFonts w:hint="eastAsia" w:ascii="Times New Roman" w:hAnsi="Times New Roman" w:eastAsia="仿宋" w:cs="Times New Roman"/>
          <w:sz w:val="24"/>
          <w:szCs w:val="24"/>
          <w:highlight w:val="none"/>
          <w:lang w:eastAsia="zh-CN"/>
        </w:rPr>
        <w:t>供应商</w:t>
      </w:r>
      <w:r>
        <w:rPr>
          <w:rFonts w:hint="eastAsia" w:ascii="Times New Roman" w:hAnsi="Times New Roman" w:eastAsia="仿宋" w:cs="Times New Roman"/>
          <w:sz w:val="24"/>
          <w:szCs w:val="24"/>
          <w:highlight w:val="none"/>
        </w:rPr>
        <w:t>擅自将承包的养护项目进行分包或转包给他人的，采购人有权</w:t>
      </w:r>
      <w:r>
        <w:rPr>
          <w:rFonts w:hint="eastAsia" w:ascii="Times New Roman" w:hAnsi="Times New Roman" w:eastAsia="仿宋" w:cs="Times New Roman"/>
          <w:sz w:val="24"/>
          <w:szCs w:val="24"/>
          <w:highlight w:val="none"/>
          <w:lang w:val="en-US" w:eastAsia="zh-CN"/>
        </w:rPr>
        <w:t>单</w:t>
      </w:r>
      <w:r>
        <w:rPr>
          <w:rFonts w:hint="eastAsia" w:ascii="Times New Roman" w:hAnsi="Times New Roman" w:eastAsia="仿宋" w:cs="Times New Roman"/>
          <w:sz w:val="24"/>
          <w:szCs w:val="24"/>
          <w:highlight w:val="none"/>
        </w:rPr>
        <w:t>方面解除</w:t>
      </w:r>
      <w:r>
        <w:rPr>
          <w:rFonts w:hint="eastAsia" w:ascii="Times New Roman" w:hAnsi="Times New Roman" w:eastAsia="仿宋" w:cs="Times New Roman"/>
          <w:sz w:val="24"/>
          <w:szCs w:val="24"/>
          <w:highlight w:val="none"/>
          <w:lang w:val="en-US" w:eastAsia="zh-CN"/>
        </w:rPr>
        <w:t>本项目</w:t>
      </w:r>
      <w:r>
        <w:rPr>
          <w:rFonts w:hint="eastAsia" w:ascii="Times New Roman" w:hAnsi="Times New Roman" w:eastAsia="仿宋" w:cs="Times New Roman"/>
          <w:sz w:val="24"/>
          <w:szCs w:val="24"/>
          <w:highlight w:val="none"/>
        </w:rPr>
        <w:t>合同。采购人选择解除</w:t>
      </w:r>
      <w:r>
        <w:rPr>
          <w:rFonts w:hint="eastAsia" w:ascii="Times New Roman" w:hAnsi="Times New Roman" w:eastAsia="仿宋" w:cs="Times New Roman"/>
          <w:sz w:val="24"/>
          <w:szCs w:val="24"/>
          <w:highlight w:val="none"/>
          <w:lang w:val="en-US" w:eastAsia="zh-CN"/>
        </w:rPr>
        <w:t>本项目</w:t>
      </w:r>
      <w:r>
        <w:rPr>
          <w:rFonts w:hint="eastAsia" w:ascii="Times New Roman" w:hAnsi="Times New Roman" w:eastAsia="仿宋" w:cs="Times New Roman"/>
          <w:sz w:val="24"/>
          <w:szCs w:val="24"/>
          <w:highlight w:val="none"/>
        </w:rPr>
        <w:t>合同的，则已付价款</w:t>
      </w:r>
      <w:r>
        <w:rPr>
          <w:rFonts w:hint="eastAsia" w:ascii="Times New Roman" w:hAnsi="Times New Roman" w:eastAsia="仿宋" w:cs="Times New Roman"/>
          <w:sz w:val="24"/>
          <w:szCs w:val="24"/>
          <w:highlight w:val="none"/>
          <w:lang w:eastAsia="zh-CN"/>
        </w:rPr>
        <w:t>供应商</w:t>
      </w:r>
      <w:r>
        <w:rPr>
          <w:rFonts w:hint="eastAsia" w:ascii="Times New Roman" w:hAnsi="Times New Roman" w:eastAsia="仿宋" w:cs="Times New Roman"/>
          <w:sz w:val="24"/>
          <w:szCs w:val="24"/>
          <w:highlight w:val="none"/>
        </w:rPr>
        <w:t>应予以返还，未付价款不再支付。同时</w:t>
      </w:r>
      <w:r>
        <w:rPr>
          <w:rFonts w:hint="eastAsia" w:ascii="Times New Roman" w:hAnsi="Times New Roman" w:eastAsia="仿宋" w:cs="Times New Roman"/>
          <w:sz w:val="24"/>
          <w:szCs w:val="24"/>
          <w:highlight w:val="none"/>
          <w:lang w:eastAsia="zh-CN"/>
        </w:rPr>
        <w:t>供应商</w:t>
      </w:r>
      <w:r>
        <w:rPr>
          <w:rFonts w:hint="eastAsia" w:ascii="Times New Roman" w:hAnsi="Times New Roman" w:eastAsia="仿宋" w:cs="Times New Roman"/>
          <w:sz w:val="24"/>
          <w:szCs w:val="24"/>
          <w:highlight w:val="none"/>
        </w:rPr>
        <w:t>应就上述违约行为给</w:t>
      </w:r>
      <w:r>
        <w:rPr>
          <w:rFonts w:hint="eastAsia" w:ascii="Times New Roman" w:hAnsi="Times New Roman" w:eastAsia="仿宋" w:cs="Times New Roman"/>
          <w:sz w:val="24"/>
          <w:szCs w:val="24"/>
          <w:highlight w:val="none"/>
          <w:lang w:val="en-US" w:eastAsia="zh-CN"/>
        </w:rPr>
        <w:t>采购人</w:t>
      </w:r>
      <w:r>
        <w:rPr>
          <w:rFonts w:hint="eastAsia" w:ascii="Times New Roman" w:hAnsi="Times New Roman" w:eastAsia="仿宋" w:cs="Times New Roman"/>
          <w:sz w:val="24"/>
          <w:szCs w:val="24"/>
          <w:highlight w:val="none"/>
        </w:rPr>
        <w:t>造成损失的，承担全部赔偿责任。</w:t>
      </w:r>
    </w:p>
    <w:p w14:paraId="092D6D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w:t>
      </w:r>
      <w:r>
        <w:rPr>
          <w:rFonts w:hint="eastAsia" w:ascii="Times New Roman" w:hAnsi="Times New Roman" w:eastAsia="仿宋" w:cs="Times New Roman"/>
          <w:sz w:val="24"/>
          <w:szCs w:val="24"/>
          <w:lang w:eastAsia="zh-CN"/>
        </w:rPr>
        <w:t>供应商</w:t>
      </w:r>
      <w:r>
        <w:rPr>
          <w:rFonts w:hint="eastAsia" w:ascii="Times New Roman" w:hAnsi="Times New Roman" w:eastAsia="仿宋" w:cs="Times New Roman"/>
          <w:sz w:val="24"/>
          <w:szCs w:val="24"/>
        </w:rPr>
        <w:t>不履行或不完全履行本</w:t>
      </w:r>
      <w:r>
        <w:rPr>
          <w:rFonts w:hint="eastAsia" w:ascii="Times New Roman" w:hAnsi="Times New Roman" w:eastAsia="仿宋" w:cs="Times New Roman"/>
          <w:sz w:val="24"/>
          <w:szCs w:val="24"/>
          <w:lang w:val="en-US" w:eastAsia="zh-CN"/>
        </w:rPr>
        <w:t>项目</w:t>
      </w:r>
      <w:r>
        <w:rPr>
          <w:rFonts w:hint="eastAsia" w:ascii="Times New Roman" w:hAnsi="Times New Roman" w:eastAsia="仿宋" w:cs="Times New Roman"/>
          <w:sz w:val="24"/>
          <w:szCs w:val="24"/>
        </w:rPr>
        <w:t>合同以及</w:t>
      </w:r>
      <w:r>
        <w:rPr>
          <w:rFonts w:hint="eastAsia" w:ascii="Times New Roman" w:hAnsi="Times New Roman" w:eastAsia="仿宋" w:cs="Times New Roman"/>
          <w:sz w:val="24"/>
          <w:szCs w:val="24"/>
          <w:lang w:val="en-US" w:eastAsia="zh-CN"/>
        </w:rPr>
        <w:t>采购</w:t>
      </w:r>
      <w:r>
        <w:rPr>
          <w:rFonts w:hint="eastAsia" w:ascii="Times New Roman" w:hAnsi="Times New Roman" w:eastAsia="仿宋" w:cs="Times New Roman"/>
          <w:sz w:val="24"/>
          <w:szCs w:val="24"/>
        </w:rPr>
        <w:t>文件、响应文件载明的义务，采购人有权解除</w:t>
      </w:r>
      <w:r>
        <w:rPr>
          <w:rFonts w:hint="eastAsia" w:ascii="Times New Roman" w:hAnsi="Times New Roman" w:eastAsia="仿宋" w:cs="Times New Roman"/>
          <w:sz w:val="24"/>
          <w:szCs w:val="24"/>
          <w:highlight w:val="none"/>
          <w:lang w:val="en-US" w:eastAsia="zh-CN"/>
        </w:rPr>
        <w:t>本项目</w:t>
      </w:r>
      <w:r>
        <w:rPr>
          <w:rFonts w:hint="eastAsia" w:ascii="Times New Roman" w:hAnsi="Times New Roman" w:eastAsia="仿宋" w:cs="Times New Roman"/>
          <w:sz w:val="24"/>
          <w:szCs w:val="24"/>
        </w:rPr>
        <w:t>合同，并要求</w:t>
      </w:r>
      <w:r>
        <w:rPr>
          <w:rFonts w:hint="eastAsia" w:ascii="Times New Roman" w:hAnsi="Times New Roman" w:eastAsia="仿宋" w:cs="Times New Roman"/>
          <w:sz w:val="24"/>
          <w:szCs w:val="24"/>
          <w:lang w:eastAsia="zh-CN"/>
        </w:rPr>
        <w:t>供应商</w:t>
      </w:r>
      <w:r>
        <w:rPr>
          <w:rFonts w:hint="eastAsia" w:ascii="Times New Roman" w:hAnsi="Times New Roman" w:eastAsia="仿宋" w:cs="Times New Roman"/>
          <w:sz w:val="24"/>
          <w:szCs w:val="24"/>
        </w:rPr>
        <w:t>承担</w:t>
      </w:r>
      <w:r>
        <w:rPr>
          <w:rFonts w:hint="eastAsia" w:ascii="Times New Roman" w:hAnsi="Times New Roman" w:eastAsia="仿宋" w:cs="Times New Roman"/>
          <w:sz w:val="24"/>
          <w:szCs w:val="24"/>
          <w:highlight w:val="none"/>
          <w:lang w:val="en-US" w:eastAsia="zh-CN"/>
        </w:rPr>
        <w:t>本项目</w:t>
      </w:r>
      <w:r>
        <w:rPr>
          <w:rFonts w:hint="eastAsia" w:ascii="Times New Roman" w:hAnsi="Times New Roman" w:eastAsia="仿宋" w:cs="Times New Roman"/>
          <w:sz w:val="24"/>
          <w:szCs w:val="24"/>
        </w:rPr>
        <w:t>合同金额10%的违约责任，若违约金不足以弥补采购人损失的，</w:t>
      </w:r>
      <w:r>
        <w:rPr>
          <w:rFonts w:hint="eastAsia" w:ascii="Times New Roman" w:hAnsi="Times New Roman" w:eastAsia="仿宋" w:cs="Times New Roman"/>
          <w:sz w:val="24"/>
          <w:szCs w:val="24"/>
          <w:lang w:eastAsia="zh-CN"/>
        </w:rPr>
        <w:t>供应商</w:t>
      </w:r>
      <w:r>
        <w:rPr>
          <w:rFonts w:hint="eastAsia" w:ascii="Times New Roman" w:hAnsi="Times New Roman" w:eastAsia="仿宋" w:cs="Times New Roman"/>
          <w:sz w:val="24"/>
          <w:szCs w:val="24"/>
        </w:rPr>
        <w:t>还应就差额部分向</w:t>
      </w:r>
      <w:r>
        <w:rPr>
          <w:rFonts w:hint="eastAsia" w:ascii="Times New Roman" w:hAnsi="Times New Roman" w:eastAsia="仿宋" w:cs="Times New Roman"/>
          <w:sz w:val="24"/>
          <w:szCs w:val="24"/>
          <w:lang w:val="en-US" w:eastAsia="zh-CN"/>
        </w:rPr>
        <w:t>采购人</w:t>
      </w:r>
      <w:r>
        <w:rPr>
          <w:rFonts w:hint="eastAsia" w:ascii="Times New Roman" w:hAnsi="Times New Roman" w:eastAsia="仿宋" w:cs="Times New Roman"/>
          <w:sz w:val="24"/>
          <w:szCs w:val="24"/>
        </w:rPr>
        <w:t>予以补齐。</w:t>
      </w:r>
    </w:p>
    <w:p w14:paraId="5DC8C3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ascii="Times New Roman" w:hAnsi="Times New Roman" w:eastAsia="仿宋" w:cs="Times New Roman"/>
          <w:b/>
          <w:bCs/>
          <w:sz w:val="24"/>
          <w:szCs w:val="24"/>
        </w:rPr>
      </w:pPr>
      <w:r>
        <w:rPr>
          <w:rFonts w:ascii="Segoe UI Symbol" w:hAnsi="Segoe UI Symbol" w:eastAsia="仿宋" w:cs="Segoe UI Symbol"/>
          <w:b/>
          <w:bCs/>
          <w:sz w:val="24"/>
          <w:szCs w:val="22"/>
        </w:rPr>
        <w:t>★</w:t>
      </w:r>
      <w:r>
        <w:rPr>
          <w:rFonts w:hint="eastAsia" w:ascii="Segoe UI Symbol" w:hAnsi="Segoe UI Symbol" w:eastAsia="仿宋" w:cs="Segoe UI Symbol"/>
          <w:b/>
          <w:bCs/>
          <w:sz w:val="24"/>
          <w:szCs w:val="22"/>
          <w:lang w:val="en-US" w:eastAsia="zh-CN"/>
        </w:rPr>
        <w:t>四</w:t>
      </w:r>
      <w:r>
        <w:rPr>
          <w:rFonts w:ascii="Times New Roman" w:hAnsi="Times New Roman" w:eastAsia="仿宋" w:cs="Times New Roman"/>
          <w:b/>
          <w:bCs/>
          <w:sz w:val="24"/>
          <w:szCs w:val="24"/>
        </w:rPr>
        <w:t>、商务要求：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一）服务期限：</w:t>
      </w:r>
      <w:r>
        <w:rPr>
          <w:rFonts w:hint="eastAsia" w:ascii="Times New Roman" w:hAnsi="Times New Roman" w:eastAsia="仿宋" w:cs="Times New Roman"/>
          <w:b w:val="0"/>
          <w:bCs w:val="0"/>
          <w:sz w:val="24"/>
          <w:szCs w:val="24"/>
          <w:lang w:val="en-US" w:eastAsia="zh-CN"/>
        </w:rPr>
        <w:t>2026年7月1日—2027年3月31日，如本项目合同签订时间晚于2026年7月1日，则以前者作为服务期起始时间。</w:t>
      </w:r>
    </w:p>
    <w:p w14:paraId="74D3F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b/>
          <w:bCs/>
          <w:sz w:val="24"/>
          <w:szCs w:val="24"/>
          <w:lang w:val="en-US" w:eastAsia="zh-CN"/>
        </w:rPr>
        <w:t>（二）服务地点</w:t>
      </w:r>
      <w:r>
        <w:rPr>
          <w:rFonts w:hint="eastAsia" w:ascii="Times New Roman" w:hAnsi="Times New Roman" w:eastAsia="仿宋" w:cs="Times New Roman"/>
          <w:sz w:val="24"/>
          <w:szCs w:val="24"/>
          <w:lang w:val="en-US" w:eastAsia="zh-CN"/>
        </w:rPr>
        <w:t>：四川省人民医院草堂院区。</w:t>
      </w:r>
    </w:p>
    <w:p w14:paraId="5435780C">
      <w:pPr>
        <w:keepNext w:val="0"/>
        <w:keepLines w:val="0"/>
        <w:pageBreakBefore w:val="0"/>
        <w:widowControl w:val="0"/>
        <w:kinsoku/>
        <w:wordWrap/>
        <w:overflowPunct/>
        <w:topLinePunct w:val="0"/>
        <w:autoSpaceDE/>
        <w:autoSpaceDN/>
        <w:bidi w:val="0"/>
        <w:adjustRightInd/>
        <w:snapToGrid/>
        <w:spacing w:before="32" w:beforeLines="10" w:after="48" w:afterLines="15" w:line="400" w:lineRule="exact"/>
        <w:ind w:firstLine="482" w:firstLineChars="200"/>
        <w:textAlignment w:val="auto"/>
        <w:rPr>
          <w:rFonts w:hint="eastAsia" w:ascii="仿宋" w:hAnsi="仿宋" w:eastAsia="仿宋" w:cs="仿宋"/>
          <w:b/>
          <w:bCs/>
          <w:sz w:val="24"/>
          <w:szCs w:val="24"/>
          <w:highlight w:val="none"/>
        </w:rPr>
      </w:pPr>
      <w:r>
        <w:rPr>
          <w:rFonts w:hint="eastAsia" w:ascii="Times New Roman" w:hAnsi="Times New Roman" w:eastAsia="仿宋" w:cs="Times New Roman"/>
          <w:b/>
          <w:bCs/>
          <w:sz w:val="24"/>
          <w:szCs w:val="24"/>
          <w:highlight w:val="none"/>
          <w:lang w:val="en-US" w:eastAsia="zh-CN"/>
        </w:rPr>
        <w:t>（三）</w:t>
      </w:r>
      <w:r>
        <w:rPr>
          <w:rFonts w:hint="eastAsia" w:ascii="仿宋" w:hAnsi="仿宋" w:eastAsia="仿宋" w:cs="仿宋"/>
          <w:b/>
          <w:bCs/>
          <w:sz w:val="24"/>
          <w:szCs w:val="24"/>
          <w:highlight w:val="none"/>
        </w:rPr>
        <w:t>服务费用</w:t>
      </w:r>
    </w:p>
    <w:p w14:paraId="6B93AD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rPr>
        <w:t>本次报价包含所有涉及本项目园林绿化管理所产生费用，包含但不限于管理成本、办公成本、人力成本、设施设备成本、养护材料成本、日常养护成本、施工成本、因养护不当原因造成的补栽补种成本及垃圾清运费用等，养护作业所需的水、电能耗费用由采购人承担，服务期内采购人不再另行额外支付费用。</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sz w:val="24"/>
          <w:szCs w:val="24"/>
          <w:highlight w:val="none"/>
          <w:lang w:val="en-US" w:eastAsia="zh-CN"/>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四</w:t>
      </w:r>
      <w:r>
        <w:rPr>
          <w:rFonts w:hint="eastAsia" w:ascii="仿宋" w:hAnsi="仿宋" w:eastAsia="仿宋" w:cs="仿宋"/>
          <w:b/>
          <w:bCs/>
          <w:sz w:val="24"/>
          <w:szCs w:val="24"/>
          <w:highlight w:val="none"/>
        </w:rPr>
        <w:t>）</w:t>
      </w:r>
      <w:r>
        <w:rPr>
          <w:rFonts w:hint="eastAsia" w:ascii="Times New Roman" w:hAnsi="Times New Roman" w:eastAsia="仿宋" w:cs="Times New Roman"/>
          <w:b/>
          <w:bCs/>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32" w:beforeLines="10" w:after="48" w:afterLines="15" w:line="400" w:lineRule="exact"/>
        <w:ind w:firstLine="480" w:firstLineChars="200"/>
        <w:jc w:val="left"/>
        <w:textAlignment w:val="auto"/>
        <w:rPr>
          <w:rFonts w:hint="default" w:ascii="Times New Roman" w:hAnsi="Times New Roman" w:eastAsia="仿宋" w:cs="Times New Roman"/>
          <w:sz w:val="24"/>
          <w:szCs w:val="24"/>
          <w:lang w:val="en-US" w:eastAsia="zh-CN"/>
        </w:rPr>
      </w:pPr>
      <w:r>
        <w:rPr>
          <w:rFonts w:hint="eastAsia" w:ascii="仿宋" w:hAnsi="仿宋" w:eastAsia="仿宋" w:cs="仿宋"/>
          <w:b w:val="0"/>
          <w:bCs/>
          <w:color w:val="auto"/>
          <w:sz w:val="24"/>
          <w:szCs w:val="24"/>
          <w:lang w:val="en-US" w:eastAsia="zh-CN"/>
        </w:rPr>
        <w:t>分9期支付，每期应支付金额为：“合同总金额/9”</w:t>
      </w:r>
      <w:r>
        <w:rPr>
          <w:rFonts w:hint="eastAsia" w:ascii="仿宋" w:hAnsi="仿宋" w:eastAsia="仿宋" w:cs="仿宋"/>
          <w:b w:val="0"/>
          <w:bCs/>
          <w:color w:val="000000" w:themeColor="text1"/>
          <w:sz w:val="24"/>
          <w:szCs w:val="24"/>
          <w:lang w:val="en-US" w:eastAsia="zh-CN"/>
          <w14:textFill>
            <w14:solidFill>
              <w14:schemeClr w14:val="tx1"/>
            </w14:solidFill>
          </w14:textFill>
        </w:rPr>
        <w:t>（按四舍五入保留两位小数）</w:t>
      </w:r>
      <w:r>
        <w:rPr>
          <w:rFonts w:hint="eastAsia" w:ascii="仿宋" w:hAnsi="仿宋" w:eastAsia="仿宋" w:cs="仿宋"/>
          <w:b w:val="0"/>
          <w:bCs/>
          <w:color w:val="auto"/>
          <w:sz w:val="24"/>
          <w:szCs w:val="24"/>
          <w:lang w:val="en-US" w:eastAsia="zh-CN"/>
        </w:rPr>
        <w:t>。服务期开始后，每满一个月，供应商须于5个工作日内，按照上述每期支付金额向采购人提供合法有效票据及其他请款资料，采购人在收到上述票据及资料后55日内，向供应商全额支付每期费用（如存在因考核等原因导致的扣款，应在支付前予以扣除）。如履约过程中，出现服务期提前终止的情形，且最后一期支付时，实际提供服务不足一月，则该期应支付金额按：“实际服务时间（日）*（每期应支付金额/该月天数）”进行折算。</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32" w:beforeLines="10" w:after="48" w:afterLines="15" w:afterAutospacing="0" w:line="40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Times New Roman" w:hAnsi="Times New Roman" w:eastAsia="仿宋" w:cs="Times New Roman"/>
          <w:b/>
          <w:bCs/>
          <w:sz w:val="24"/>
          <w:szCs w:val="24"/>
          <w:lang w:val="en-US" w:eastAsia="zh-CN"/>
        </w:rPr>
        <w:t>（五）</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每月验收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default"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考核</w:t>
            </w:r>
            <w:r>
              <w:rPr>
                <w:rFonts w:hint="eastAsia" w:ascii="仿宋" w:hAnsi="仿宋" w:eastAsia="仿宋" w:cs="仿宋"/>
                <w:sz w:val="24"/>
                <w:highlight w:val="none"/>
              </w:rPr>
              <w:t>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按照基于本项目采购需求编制的采购文件要求及供应商响应文件情况，由供应商向采购人提供的全部服务。</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供应商完成每月的服务内容后5日内通知采购人验收，采购人接供应商通知后10日内组织验收。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default"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contextualSpacing/>
              <w:jc w:val="left"/>
              <w:textAlignment w:val="center"/>
              <w:rPr>
                <w:rFonts w:hint="eastAsia" w:ascii="仿宋" w:hAnsi="仿宋" w:eastAsia="仿宋" w:cs="仿宋"/>
                <w:kern w:val="2"/>
                <w:sz w:val="24"/>
                <w:szCs w:val="20"/>
                <w:highlight w:val="none"/>
                <w:lang w:val="en-US" w:eastAsia="zh-CN" w:bidi="ar-SA"/>
              </w:rPr>
            </w:pPr>
            <w:r>
              <w:rPr>
                <w:rFonts w:hint="eastAsia" w:ascii="仿宋" w:hAnsi="仿宋" w:eastAsia="仿宋" w:cs="仿宋"/>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kern w:val="2"/>
                <w:sz w:val="24"/>
                <w:szCs w:val="22"/>
                <w:highlight w:val="none"/>
                <w:lang w:val="en-US" w:eastAsia="zh-CN" w:bidi="ar-SA"/>
              </w:rPr>
            </w:pPr>
            <w:r>
              <w:rPr>
                <w:rFonts w:hint="eastAsia" w:ascii="仿宋" w:hAnsi="仿宋" w:eastAsia="仿宋" w:cs="仿宋"/>
                <w:b/>
                <w:bCs/>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rPr>
            </w:pPr>
            <w:r>
              <w:rPr>
                <w:rFonts w:hint="eastAsia" w:ascii="仿宋" w:hAnsi="仿宋" w:eastAsia="仿宋" w:cs="仿宋"/>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eastAsia" w:ascii="仿宋" w:hAnsi="仿宋" w:eastAsia="仿宋" w:cs="仿宋"/>
                <w:kern w:val="2"/>
                <w:sz w:val="24"/>
                <w:szCs w:val="20"/>
                <w:highlight w:val="none"/>
                <w:lang w:val="en-US" w:eastAsia="zh-CN" w:bidi="ar-SA"/>
              </w:rPr>
            </w:pPr>
            <w:r>
              <w:rPr>
                <w:rFonts w:hint="eastAsia" w:ascii="仿宋" w:hAnsi="仿宋" w:eastAsia="仿宋" w:cs="仿宋"/>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before="32" w:beforeLines="10" w:after="48" w:afterLines="15" w:afterAutospacing="0" w:line="400" w:lineRule="exact"/>
              <w:ind w:firstLine="0" w:firstLineChars="0"/>
              <w:jc w:val="center"/>
              <w:textAlignment w:val="cente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32" w:beforeLines="10" w:after="48" w:afterLines="15" w:afterAutospacing="0" w:line="400" w:lineRule="exact"/>
              <w:ind w:firstLine="0" w:firstLineChars="0"/>
              <w:contextualSpacing/>
              <w:jc w:val="left"/>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无</w:t>
            </w:r>
          </w:p>
        </w:tc>
      </w:tr>
    </w:tbl>
    <w:p w14:paraId="07299A50">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default" w:ascii="Times New Roman" w:hAnsi="Times New Roman" w:eastAsia="仿宋" w:cs="Times New Roman"/>
          <w:b/>
          <w:bCs/>
          <w:kern w:val="2"/>
          <w:sz w:val="24"/>
          <w:szCs w:val="24"/>
          <w:lang w:val="en-US" w:eastAsia="zh-CN" w:bidi="ar-SA"/>
        </w:rPr>
      </w:pPr>
      <w:r>
        <w:rPr>
          <w:rFonts w:hint="eastAsia" w:ascii="Times New Roman" w:hAnsi="Times New Roman" w:eastAsia="仿宋" w:cs="Times New Roman"/>
          <w:b/>
          <w:bCs/>
          <w:kern w:val="2"/>
          <w:sz w:val="24"/>
          <w:szCs w:val="24"/>
          <w:lang w:val="en-US" w:eastAsia="zh-CN" w:bidi="ar-SA"/>
        </w:rPr>
        <w:t>（六）考核内容</w:t>
      </w:r>
    </w:p>
    <w:p w14:paraId="79589D71">
      <w:pPr>
        <w:pStyle w:val="16"/>
        <w:keepNext w:val="0"/>
        <w:keepLines w:val="0"/>
        <w:pageBreakBefore w:val="0"/>
        <w:widowControl w:val="0"/>
        <w:numPr>
          <w:ilvl w:val="0"/>
          <w:numId w:val="13"/>
        </w:numPr>
        <w:kinsoku/>
        <w:wordWrap/>
        <w:overflowPunct/>
        <w:topLinePunct w:val="0"/>
        <w:autoSpaceDE/>
        <w:autoSpaceDN/>
        <w:bidi w:val="0"/>
        <w:adjustRightInd/>
        <w:snapToGrid w:val="0"/>
        <w:spacing w:after="0" w:line="34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采购人有权对供应商工作现场进行监管督查，发现问题提出口头或书面整改建议，供应商须及时整改到位，必要时书面回复整改结果。</w:t>
      </w:r>
    </w:p>
    <w:p w14:paraId="783FA3D8">
      <w:pPr>
        <w:pStyle w:val="16"/>
        <w:keepNext w:val="0"/>
        <w:keepLines w:val="0"/>
        <w:pageBreakBefore w:val="0"/>
        <w:widowControl w:val="0"/>
        <w:numPr>
          <w:ilvl w:val="0"/>
          <w:numId w:val="13"/>
        </w:numPr>
        <w:kinsoku/>
        <w:wordWrap/>
        <w:overflowPunct/>
        <w:topLinePunct w:val="0"/>
        <w:autoSpaceDE/>
        <w:autoSpaceDN/>
        <w:bidi w:val="0"/>
        <w:adjustRightInd/>
        <w:snapToGrid w:val="0"/>
        <w:spacing w:after="0" w:line="34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采购人有权对供应商的养护计划进行审核，通过后方能实施；有权对养护服务质量及总结进行验收评价，通过后方才支付服务费用；未经审核及验收实施的服务导致的任何后果由供应商承担，与采购人无关。</w:t>
      </w:r>
    </w:p>
    <w:p w14:paraId="4DBB661D">
      <w:pPr>
        <w:pStyle w:val="16"/>
        <w:keepNext w:val="0"/>
        <w:keepLines w:val="0"/>
        <w:pageBreakBefore w:val="0"/>
        <w:widowControl w:val="0"/>
        <w:numPr>
          <w:ilvl w:val="0"/>
          <w:numId w:val="13"/>
        </w:numPr>
        <w:kinsoku/>
        <w:wordWrap/>
        <w:overflowPunct/>
        <w:topLinePunct w:val="0"/>
        <w:autoSpaceDE/>
        <w:autoSpaceDN/>
        <w:bidi w:val="0"/>
        <w:adjustRightInd/>
        <w:snapToGrid w:val="0"/>
        <w:spacing w:after="0" w:line="340" w:lineRule="exact"/>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考核表</w:t>
      </w:r>
    </w:p>
    <w:tbl>
      <w:tblPr>
        <w:tblStyle w:val="18"/>
        <w:tblW w:w="975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28"/>
        <w:gridCol w:w="816"/>
        <w:gridCol w:w="6414"/>
      </w:tblGrid>
      <w:tr w14:paraId="3C448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12B27">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考核板块</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4BC4">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分值</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69BBD">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考核内容与评分细则(满分即为各项标准完全达标)</w:t>
            </w:r>
          </w:p>
        </w:tc>
      </w:tr>
      <w:tr w14:paraId="3CA93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C3B8E">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1.草坪与地被养护</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457E14">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30分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6A6E9">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质量要求：坪面平整无起伏，色泽浓绿均一，无明显杂草与病虫害，黄土不裸露。</w:t>
            </w:r>
          </w:p>
        </w:tc>
      </w:tr>
      <w:tr w14:paraId="05F2D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B21E8">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137200">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833AB">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1.草坪质量(10分)：生长茂盛，边缘线清晰；叶片色泽均匀，无枯黄叶。冷季型草坪平整度&lt;5cm/3m，暖季型&lt;3cm/3m。</w:t>
            </w:r>
          </w:p>
        </w:tc>
      </w:tr>
      <w:tr w14:paraId="070B0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0E04F6">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E6981">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58A0">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2.修剪作业(10分)：修剪高度控制在4-6cm；修剪后无残留草屑，剪口无焦枯、撕裂；无漏剪。</w:t>
            </w:r>
          </w:p>
        </w:tc>
      </w:tr>
      <w:tr w14:paraId="2EB2E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EBEC8">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CA315">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AFEA9">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3.杂草与病虫(10分)：杂草率（以每平方米杂草面积占比）&lt;10%或每平方米草坪内杂草不超过5株；出现一处扣1分。无明显病虫害迹象。</w:t>
            </w:r>
          </w:p>
        </w:tc>
      </w:tr>
      <w:tr w14:paraId="7ADC9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7F982">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2.乔灌木及造型养护</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EBCC67">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25分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BCEA0">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质量要求：树势均衡，枝叶繁茂，无枯死枝，造型美观。</w:t>
            </w:r>
          </w:p>
        </w:tc>
      </w:tr>
      <w:tr w14:paraId="2AC6A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D3ECB4">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258E2">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4FF6">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1.修剪整形(10分)：乔木/灌木修剪符合季节要求；行道树分枝点高低一致；绿篱、色块平面平整、边角整齐；无明显徒长枝。</w:t>
            </w:r>
          </w:p>
        </w:tc>
      </w:tr>
      <w:tr w14:paraId="4EA6B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67E6E">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6877E7">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8E212">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2.病虫害防治(8分)：无蛀干性害虫活虫/活卵；叶片无明显虫孔、缺刻；病虫害危害程度轻微。</w:t>
            </w:r>
          </w:p>
        </w:tc>
      </w:tr>
      <w:tr w14:paraId="7CFED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4EAF29">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F18EA">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E3414">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3.补栽与扶正(7分)：死亡植株一周内必须补栽（同品种、同规格）；倒伏树木及时扶正支柱；补栽成活率高。</w:t>
            </w:r>
          </w:p>
        </w:tc>
      </w:tr>
      <w:tr w14:paraId="581F9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D3122E">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3.水肥管理及土壤</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220D25">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15分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10411">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质量要求：水分适宜，施肥合理，土壤疏松。</w:t>
            </w:r>
          </w:p>
        </w:tc>
      </w:tr>
      <w:tr w14:paraId="57B79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AC5C1F">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BE3337">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FE12">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1.浇水排水(6分)：根据天气及时浇水，无旱象（春季每天2次，夏季早晚1次等）；雨季无积水，排水通畅。</w:t>
            </w:r>
          </w:p>
        </w:tc>
      </w:tr>
      <w:tr w14:paraId="259E7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CB1488">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BA64D">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4F72B">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2.施肥管理(5分)：乔木施基肥1次；灌木/草坪追肥次数达标；施肥均匀，无肥害。</w:t>
            </w:r>
          </w:p>
        </w:tc>
      </w:tr>
      <w:tr w14:paraId="40ABB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B33E4">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06CF8">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AFC7">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3.松土除草(4分)：生长季节适时松土；草坪定期打孔疏草；无大型恶性杂草。</w:t>
            </w:r>
          </w:p>
        </w:tc>
      </w:tr>
      <w:tr w14:paraId="69467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633AD2">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4.环境卫生与现场管理</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69D5FD">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20分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02DB">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质量要求：绿地整洁，无垃圾，无死角。</w:t>
            </w:r>
          </w:p>
        </w:tc>
      </w:tr>
      <w:tr w14:paraId="48A41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05DF0">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57EDD6">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B6A1">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1.垃圾清运(10分)：剪下的草屑、枯枝败叶日产日清；绿地内无烟蒂、纸屑、塑料袋等白色垃圾；无砖石瓦块。</w:t>
            </w:r>
          </w:p>
        </w:tc>
      </w:tr>
      <w:tr w14:paraId="26445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12467">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47509">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B757">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2.现场秩序(6分)：主要道路两侧无泥土堆积；作业后现场整洁；无随意晾晒、涂画现象。</w:t>
            </w:r>
          </w:p>
        </w:tc>
      </w:tr>
      <w:tr w14:paraId="558DC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82680">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763D3">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FD08">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3.室内绿植(4分)：室内盆栽叶面无积尘，花盆洁净；无枯叶残花；底盘无积水。</w:t>
            </w:r>
          </w:p>
        </w:tc>
      </w:tr>
      <w:tr w14:paraId="573BA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F49B0A">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5.作业规范与安全</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146B32">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E46CD">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质量要求：人员在岗，设备安全，资料齐全。</w:t>
            </w:r>
          </w:p>
        </w:tc>
      </w:tr>
      <w:tr w14:paraId="0AFC5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AA1DC7">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C3DFE">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C1818">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1.人员配置(4分)：项目负责人、技术人员、作业人员（含特种作业证人员）按要求驻场在岗；着装统一。</w:t>
            </w:r>
          </w:p>
        </w:tc>
      </w:tr>
      <w:tr w14:paraId="31097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69F5D5">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C76A8">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A9E3">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2.设备安全(3分)：洒水车、剪草机、高枝油锯等设备运行良好；高处作业符合安全规范。</w:t>
            </w:r>
          </w:p>
        </w:tc>
      </w:tr>
      <w:tr w14:paraId="7305D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52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3D418">
            <w:pPr>
              <w:keepNext w:val="0"/>
              <w:keepLines w:val="0"/>
              <w:pageBreakBefore w:val="0"/>
              <w:kinsoku/>
              <w:wordWrap/>
              <w:overflowPunct/>
              <w:topLinePunct w:val="0"/>
              <w:autoSpaceDE/>
              <w:autoSpaceDN/>
              <w:bidi w:val="0"/>
              <w:adjustRightInd/>
              <w:spacing w:line="340" w:lineRule="exact"/>
              <w:jc w:val="left"/>
              <w:rPr>
                <w:rFonts w:hint="eastAsia" w:ascii="仿宋" w:hAnsi="仿宋" w:eastAsia="仿宋" w:cs="仿宋"/>
                <w:i w:val="0"/>
                <w:iCs w:val="0"/>
                <w:color w:val="000000"/>
                <w:sz w:val="24"/>
                <w:szCs w:val="24"/>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72F68">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D18D">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3.资料记录(3分)：有详细的施肥、打药、修剪、补栽记录；有月度养护计划与总结。</w:t>
            </w:r>
          </w:p>
        </w:tc>
      </w:tr>
      <w:tr w14:paraId="078E3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2" w:hRule="atLeast"/>
        </w:trPr>
        <w:tc>
          <w:tcPr>
            <w:tcW w:w="2528" w:type="dxa"/>
            <w:vMerge w:val="restart"/>
            <w:tcBorders>
              <w:top w:val="single" w:color="000000" w:sz="4" w:space="0"/>
              <w:left w:val="single" w:color="000000" w:sz="4" w:space="0"/>
              <w:right w:val="single" w:color="000000" w:sz="4" w:space="0"/>
            </w:tcBorders>
            <w:shd w:val="clear" w:color="auto" w:fill="auto"/>
            <w:vAlign w:val="center"/>
          </w:tcPr>
          <w:p w14:paraId="34ADDB09">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总分直接扣减</w:t>
            </w:r>
          </w:p>
        </w:tc>
        <w:tc>
          <w:tcPr>
            <w:tcW w:w="816" w:type="dxa"/>
            <w:vMerge w:val="restart"/>
            <w:tcBorders>
              <w:top w:val="single" w:color="000000" w:sz="4" w:space="0"/>
              <w:left w:val="single" w:color="000000" w:sz="4" w:space="0"/>
              <w:right w:val="single" w:color="000000" w:sz="4" w:space="0"/>
            </w:tcBorders>
            <w:shd w:val="clear" w:color="auto" w:fill="auto"/>
            <w:vAlign w:val="center"/>
          </w:tcPr>
          <w:p w14:paraId="62CED141">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重大扣分项(直接扣除)</w:t>
            </w:r>
          </w:p>
        </w:tc>
        <w:tc>
          <w:tcPr>
            <w:tcW w:w="6414" w:type="dxa"/>
            <w:tcBorders>
              <w:top w:val="single" w:color="000000" w:sz="4" w:space="0"/>
              <w:left w:val="single" w:color="000000" w:sz="4" w:space="0"/>
              <w:right w:val="single" w:color="000000" w:sz="4" w:space="0"/>
            </w:tcBorders>
            <w:shd w:val="clear" w:color="auto" w:fill="auto"/>
            <w:vAlign w:val="center"/>
          </w:tcPr>
          <w:p w14:paraId="4E9AF7B8">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违反采购人规章制度（禁烟、院感、工作服），核实一次扣5分</w:t>
            </w:r>
          </w:p>
        </w:tc>
      </w:tr>
      <w:tr w14:paraId="2C2EA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vMerge w:val="continue"/>
            <w:tcBorders>
              <w:left w:val="single" w:color="000000" w:sz="4" w:space="0"/>
              <w:right w:val="single" w:color="000000" w:sz="4" w:space="0"/>
            </w:tcBorders>
            <w:shd w:val="clear" w:color="auto" w:fill="auto"/>
            <w:vAlign w:val="center"/>
          </w:tcPr>
          <w:p w14:paraId="57C0B45A">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816" w:type="dxa"/>
            <w:vMerge w:val="continue"/>
            <w:tcBorders>
              <w:left w:val="single" w:color="000000" w:sz="4" w:space="0"/>
              <w:right w:val="single" w:color="000000" w:sz="4" w:space="0"/>
            </w:tcBorders>
            <w:shd w:val="clear" w:color="auto" w:fill="auto"/>
            <w:vAlign w:val="center"/>
          </w:tcPr>
          <w:p w14:paraId="7961BD17">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7249C">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重大安全隐患扣分：在日常检查中，发现供应商存在重大安全隐患（如：高处作业未采取安全防护措施、违规动火作业等），且拒不整改或整改不到位的：-20分</w:t>
            </w:r>
          </w:p>
        </w:tc>
      </w:tr>
      <w:tr w14:paraId="11B7F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1" w:hRule="atLeast"/>
        </w:trPr>
        <w:tc>
          <w:tcPr>
            <w:tcW w:w="2528" w:type="dxa"/>
            <w:vMerge w:val="continue"/>
            <w:tcBorders>
              <w:left w:val="single" w:color="000000" w:sz="4" w:space="0"/>
              <w:right w:val="single" w:color="000000" w:sz="4" w:space="0"/>
            </w:tcBorders>
            <w:shd w:val="clear" w:color="auto" w:fill="auto"/>
            <w:vAlign w:val="center"/>
          </w:tcPr>
          <w:p w14:paraId="0A54697D">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816" w:type="dxa"/>
            <w:vMerge w:val="continue"/>
            <w:tcBorders>
              <w:left w:val="single" w:color="000000" w:sz="4" w:space="0"/>
              <w:right w:val="single" w:color="000000" w:sz="4" w:space="0"/>
            </w:tcBorders>
            <w:shd w:val="clear" w:color="auto" w:fill="auto"/>
            <w:vAlign w:val="center"/>
          </w:tcPr>
          <w:p w14:paraId="48B24747">
            <w:pPr>
              <w:keepNext w:val="0"/>
              <w:keepLines w:val="0"/>
              <w:pageBreakBefore w:val="0"/>
              <w:kinsoku/>
              <w:wordWrap/>
              <w:overflowPunct/>
              <w:topLinePunct w:val="0"/>
              <w:autoSpaceDE/>
              <w:autoSpaceDN/>
              <w:bidi w:val="0"/>
              <w:adjustRightInd/>
              <w:spacing w:line="340" w:lineRule="exact"/>
              <w:jc w:val="center"/>
              <w:rPr>
                <w:rFonts w:hint="eastAsia" w:ascii="仿宋" w:hAnsi="仿宋" w:eastAsia="仿宋" w:cs="仿宋"/>
                <w:i w:val="0"/>
                <w:iCs w:val="0"/>
                <w:color w:val="000000"/>
                <w:sz w:val="24"/>
                <w:szCs w:val="24"/>
                <w:u w:val="none"/>
              </w:rPr>
            </w:pP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39315">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行政通报批评或媒体曝光负面新闻：-10分/次</w:t>
            </w:r>
          </w:p>
        </w:tc>
      </w:tr>
      <w:tr w14:paraId="58602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25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297A">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总分</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A0C7">
            <w:pPr>
              <w:keepNext w:val="0"/>
              <w:keepLines w:val="0"/>
              <w:pageBreakBefore w:val="0"/>
              <w:widowControl/>
              <w:suppressLineNumbers w:val="0"/>
              <w:kinsoku/>
              <w:wordWrap/>
              <w:overflowPunct/>
              <w:topLinePunct w:val="0"/>
              <w:autoSpaceDE/>
              <w:autoSpaceDN/>
              <w:bidi w:val="0"/>
              <w:adjustRightInd/>
              <w:spacing w:line="340" w:lineRule="exact"/>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100分</w:t>
            </w:r>
          </w:p>
        </w:tc>
        <w:tc>
          <w:tcPr>
            <w:tcW w:w="6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B87F3">
            <w:pPr>
              <w:keepNext w:val="0"/>
              <w:keepLines w:val="0"/>
              <w:pageBreakBefore w:val="0"/>
              <w:widowControl/>
              <w:suppressLineNumbers w:val="0"/>
              <w:kinsoku/>
              <w:wordWrap/>
              <w:overflowPunct/>
              <w:topLinePunct w:val="0"/>
              <w:autoSpaceDE/>
              <w:autoSpaceDN/>
              <w:bidi w:val="0"/>
              <w:adjustRightInd/>
              <w:spacing w:line="340" w:lineRule="exact"/>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考核结果：□合格(≥90分)   □不合格(&lt;90分)</w:t>
            </w:r>
          </w:p>
        </w:tc>
      </w:tr>
    </w:tbl>
    <w:p w14:paraId="259FC699">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4.费用结算说明</w:t>
      </w:r>
    </w:p>
    <w:p w14:paraId="702867CD">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（1）考核得分≥90分：足额支付当月服务费用。</w:t>
      </w:r>
    </w:p>
    <w:p w14:paraId="0B853C4D">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（2）考核得分80-89分：每低于90分1分扣当月服务费用2%。</w:t>
      </w:r>
    </w:p>
    <w:p w14:paraId="3CECF8D1">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（3）考核得分＜80分：直接扣除50%当月服务费用。</w:t>
      </w:r>
    </w:p>
    <w:p w14:paraId="2928E95B">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5.考核时间：每月进行一次考核。</w:t>
      </w:r>
    </w:p>
    <w:p w14:paraId="2F0B381C">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6.考核结果运用</w:t>
      </w:r>
    </w:p>
    <w:p w14:paraId="09A41EC4">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（1）服务期内，供应商如有8个月的考核结果为合格，即视为验收合格。</w:t>
      </w:r>
    </w:p>
    <w:p w14:paraId="788CCEE8">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340" w:lineRule="exact"/>
        <w:ind w:firstLine="480" w:firstLineChars="200"/>
        <w:textAlignment w:val="auto"/>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（2）若连续两个月考核分数在＜80分的，全额扣除当月服务费，履约保证金不予退还，且采购人有权单方面解除服务合同。</w:t>
      </w:r>
    </w:p>
    <w:p w14:paraId="245F031C">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400" w:lineRule="exact"/>
        <w:ind w:firstLine="482" w:firstLineChars="200"/>
        <w:jc w:val="left"/>
        <w:textAlignment w:val="auto"/>
        <w:rPr>
          <w:rFonts w:hint="eastAsia" w:ascii="Times New Roman" w:hAnsi="Times New Roman" w:eastAsia="仿宋" w:cs="Times New Roman"/>
          <w:b/>
          <w:bCs/>
          <w:kern w:val="2"/>
          <w:sz w:val="24"/>
          <w:szCs w:val="24"/>
          <w:highlight w:val="none"/>
          <w:lang w:val="en-US" w:eastAsia="zh-CN" w:bidi="ar-SA"/>
        </w:rPr>
      </w:pPr>
      <w:r>
        <w:rPr>
          <w:rFonts w:hint="eastAsia" w:ascii="Times New Roman" w:hAnsi="Times New Roman" w:eastAsia="仿宋" w:cs="Times New Roman"/>
          <w:b/>
          <w:bCs/>
          <w:kern w:val="2"/>
          <w:sz w:val="24"/>
          <w:szCs w:val="24"/>
          <w:highlight w:val="none"/>
          <w:lang w:val="en-US" w:eastAsia="zh-CN" w:bidi="ar-SA"/>
        </w:rPr>
        <w:t>五、其他要求</w:t>
      </w:r>
    </w:p>
    <w:p w14:paraId="631566C6">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1.供应商提供自2023年1月1日（含）至响应文件提交截止之日的类似项目业绩（类似项目是指公共建筑类（医院、学校、公园、市政等）园林绿化养护管理服务项目）须提供合同复印件并加盖供应商公章。</w:t>
      </w:r>
    </w:p>
    <w:p w14:paraId="45FA0126">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2.人员要求</w:t>
      </w:r>
    </w:p>
    <w:p w14:paraId="6EB8081A">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（1）拟投入本项目的项目负责人,具有类似服务项目（指园林绿化养护管理服务项目）5年及以上现场管理经验。</w:t>
      </w:r>
    </w:p>
    <w:p w14:paraId="0CA5626E">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（2)拟投入本项目的技术人员</w:t>
      </w:r>
    </w:p>
    <w:p w14:paraId="15C9E5AD">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highlight w:val="none"/>
          <w:lang w:val="en-US" w:eastAsia="zh-CN"/>
        </w:rPr>
        <w:t>具有园林绿化类中级及以上职称</w:t>
      </w:r>
      <w:r>
        <w:rPr>
          <w:rFonts w:hint="eastAsia" w:ascii="仿宋" w:hAnsi="仿宋" w:eastAsia="仿宋" w:cs="仿宋"/>
          <w:sz w:val="24"/>
          <w:szCs w:val="24"/>
          <w:lang w:val="en-US" w:eastAsia="zh-CN"/>
        </w:rPr>
        <w:t>。</w:t>
      </w:r>
    </w:p>
    <w:p w14:paraId="303048B0">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2)具有类似服务项目（指园林绿化养护管理服务项目）3年及以上服务经验。</w:t>
      </w:r>
    </w:p>
    <w:p w14:paraId="3045B313">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(3)拟投入本项目的养护作业人员,</w:t>
      </w:r>
      <w:r>
        <w:rPr>
          <w:rFonts w:hint="default" w:ascii="仿宋" w:hAnsi="仿宋" w:eastAsia="仿宋" w:cs="仿宋"/>
          <w:sz w:val="24"/>
          <w:szCs w:val="24"/>
          <w:lang w:val="en-US" w:eastAsia="zh-CN"/>
        </w:rPr>
        <w:t>具有特种作业操作证（作业类别：高处安装、维护、拆除作业）</w:t>
      </w:r>
      <w:r>
        <w:rPr>
          <w:rFonts w:hint="eastAsia" w:ascii="仿宋" w:hAnsi="仿宋" w:eastAsia="仿宋" w:cs="仿宋"/>
          <w:sz w:val="24"/>
          <w:szCs w:val="24"/>
          <w:lang w:val="en-US" w:eastAsia="zh-CN"/>
        </w:rPr>
        <w:t>。</w:t>
      </w:r>
    </w:p>
    <w:p w14:paraId="1873EAAD">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3.服务车辆</w:t>
      </w:r>
    </w:p>
    <w:p w14:paraId="456361A3">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供应商为本项目拟投入的服务车辆</w:t>
      </w:r>
    </w:p>
    <w:p w14:paraId="1ABBD2B2">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提供载重质量≥8吨的洒水车</w:t>
      </w:r>
      <w:r>
        <w:rPr>
          <w:rFonts w:hint="eastAsia" w:ascii="仿宋" w:hAnsi="仿宋" w:eastAsia="仿宋" w:cs="仿宋"/>
          <w:sz w:val="24"/>
          <w:szCs w:val="24"/>
          <w:lang w:val="en-US" w:eastAsia="zh-CN"/>
        </w:rPr>
        <w:t>。</w:t>
      </w:r>
    </w:p>
    <w:p w14:paraId="4110AB47">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提供载重质量≥1吨的货车。</w:t>
      </w:r>
    </w:p>
    <w:p w14:paraId="177C35BD">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提供非载货专项作业车（用于高大树木修剪作业）。</w:t>
      </w:r>
    </w:p>
    <w:p w14:paraId="5433F268">
      <w:pPr>
        <w:pStyle w:val="16"/>
        <w:keepNext w:val="0"/>
        <w:keepLines w:val="0"/>
        <w:pageBreakBefore w:val="0"/>
        <w:widowControl w:val="0"/>
        <w:kinsoku/>
        <w:wordWrap/>
        <w:overflowPunct/>
        <w:topLinePunct w:val="0"/>
        <w:autoSpaceDE/>
        <w:autoSpaceDN/>
        <w:bidi w:val="0"/>
        <w:adjustRightInd/>
        <w:snapToGrid w:val="0"/>
        <w:spacing w:before="32" w:beforeLines="10" w:after="48" w:afterLines="15" w:line="34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4.服务方案</w:t>
      </w:r>
    </w:p>
    <w:p w14:paraId="6DBCAF55">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供应商针对本项目提供服务方案，包括：①整体管理、规划方案；②区域内养护的工作计划；③日常养护工作流程；④养护管理制度；⑤应急响应预案。</w:t>
      </w:r>
    </w:p>
    <w:p w14:paraId="36E3EB14">
      <w:pPr>
        <w:pStyle w:val="16"/>
        <w:keepNext w:val="0"/>
        <w:keepLines w:val="0"/>
        <w:pageBreakBefore w:val="0"/>
        <w:kinsoku/>
        <w:wordWrap/>
        <w:overflowPunct/>
        <w:topLinePunct w:val="0"/>
        <w:autoSpaceDE/>
        <w:autoSpaceDN/>
        <w:bidi w:val="0"/>
        <w:spacing w:before="32" w:beforeLines="10" w:after="48" w:afterLines="15" w:line="400" w:lineRule="exact"/>
        <w:ind w:firstLine="480" w:firstLineChars="200"/>
        <w:jc w:val="left"/>
        <w:rPr>
          <w:rFonts w:hint="default" w:ascii="仿宋" w:hAnsi="仿宋" w:eastAsia="仿宋" w:cs="仿宋"/>
          <w:sz w:val="24"/>
          <w:szCs w:val="24"/>
          <w:lang w:val="en-US" w:eastAsia="zh-CN"/>
        </w:rPr>
      </w:pPr>
    </w:p>
    <w:p w14:paraId="2CA346DE">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3"/>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0FE2E259">
      <w:pPr>
        <w:rPr>
          <w:lang w:val="zh-CN"/>
        </w:rPr>
      </w:pPr>
    </w:p>
    <w:tbl>
      <w:tblPr>
        <w:tblStyle w:val="1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282"/>
        <w:gridCol w:w="722"/>
        <w:gridCol w:w="4065"/>
        <w:gridCol w:w="2113"/>
      </w:tblGrid>
      <w:tr w14:paraId="486A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7122784D">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282" w:type="dxa"/>
            <w:vAlign w:val="center"/>
          </w:tcPr>
          <w:p w14:paraId="33356572">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评分因素</w:t>
            </w:r>
          </w:p>
          <w:p w14:paraId="1E1C887E">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及权重</w:t>
            </w:r>
          </w:p>
        </w:tc>
        <w:tc>
          <w:tcPr>
            <w:tcW w:w="722" w:type="dxa"/>
            <w:vAlign w:val="center"/>
          </w:tcPr>
          <w:p w14:paraId="12E0712D">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4065" w:type="dxa"/>
            <w:vAlign w:val="center"/>
          </w:tcPr>
          <w:p w14:paraId="658EC1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评分标准</w:t>
            </w:r>
          </w:p>
        </w:tc>
        <w:tc>
          <w:tcPr>
            <w:tcW w:w="2113" w:type="dxa"/>
            <w:vAlign w:val="center"/>
          </w:tcPr>
          <w:p w14:paraId="26B27106">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说    明</w:t>
            </w:r>
          </w:p>
        </w:tc>
      </w:tr>
      <w:tr w14:paraId="2022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0153770F">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w:t>
            </w:r>
          </w:p>
        </w:tc>
        <w:tc>
          <w:tcPr>
            <w:tcW w:w="1282" w:type="dxa"/>
            <w:vAlign w:val="center"/>
          </w:tcPr>
          <w:p w14:paraId="1F7B8D13">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仿宋" w:hAnsi="仿宋" w:eastAsia="仿宋" w:cs="仿宋"/>
                <w:sz w:val="24"/>
                <w:szCs w:val="24"/>
                <w:highlight w:val="none"/>
              </w:rPr>
            </w:pPr>
            <w:r>
              <w:rPr>
                <w:rFonts w:hint="eastAsia" w:ascii="仿宋" w:hAnsi="仿宋" w:eastAsia="仿宋" w:cs="仿宋"/>
                <w:bCs/>
                <w:sz w:val="24"/>
                <w:szCs w:val="24"/>
                <w:lang w:val="en-US" w:eastAsia="zh-CN"/>
              </w:rPr>
              <w:t>报价</w:t>
            </w:r>
          </w:p>
        </w:tc>
        <w:tc>
          <w:tcPr>
            <w:tcW w:w="722" w:type="dxa"/>
            <w:vAlign w:val="center"/>
          </w:tcPr>
          <w:p w14:paraId="64AEB01B">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065" w:type="dxa"/>
            <w:vAlign w:val="center"/>
          </w:tcPr>
          <w:p w14:paraId="40C8CA6F">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13" w:type="dxa"/>
            <w:vAlign w:val="center"/>
          </w:tcPr>
          <w:p w14:paraId="2395949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0"/>
                <w:sz w:val="24"/>
                <w:szCs w:val="24"/>
                <w:highlight w:val="none"/>
              </w:rPr>
            </w:pPr>
          </w:p>
        </w:tc>
      </w:tr>
      <w:tr w14:paraId="55FA3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2" w:hRule="atLeast"/>
          <w:jc w:val="center"/>
        </w:trPr>
        <w:tc>
          <w:tcPr>
            <w:tcW w:w="774" w:type="dxa"/>
            <w:vAlign w:val="center"/>
          </w:tcPr>
          <w:p w14:paraId="61AA1373">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2</w:t>
            </w:r>
          </w:p>
        </w:tc>
        <w:tc>
          <w:tcPr>
            <w:tcW w:w="1282" w:type="dxa"/>
            <w:vAlign w:val="center"/>
          </w:tcPr>
          <w:p w14:paraId="107689F0">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722" w:type="dxa"/>
            <w:vAlign w:val="center"/>
          </w:tcPr>
          <w:p w14:paraId="61A9AD55">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30分</w:t>
            </w:r>
          </w:p>
        </w:tc>
        <w:tc>
          <w:tcPr>
            <w:tcW w:w="4065" w:type="dxa"/>
            <w:vAlign w:val="center"/>
          </w:tcPr>
          <w:p w14:paraId="7E818A0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供应商自2023年1月1日（含）至响应文件提交截止之日，每具有1个类似项目业绩（类似项目是指公共建筑类（医院、学校、公园、市政等）园林绿化养护管理服务项目）得5分，本项最高得30分。</w:t>
            </w:r>
          </w:p>
        </w:tc>
        <w:tc>
          <w:tcPr>
            <w:tcW w:w="2113" w:type="dxa"/>
            <w:vAlign w:val="center"/>
          </w:tcPr>
          <w:p w14:paraId="0001F7B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567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1894BFE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c>
          <w:tcPr>
            <w:tcW w:w="1282" w:type="dxa"/>
            <w:shd w:val="clear" w:color="auto" w:fill="auto"/>
            <w:vAlign w:val="center"/>
          </w:tcPr>
          <w:p w14:paraId="370BB9B3">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人员要求</w:t>
            </w:r>
          </w:p>
        </w:tc>
        <w:tc>
          <w:tcPr>
            <w:tcW w:w="722" w:type="dxa"/>
            <w:shd w:val="clear" w:color="auto" w:fill="auto"/>
            <w:vAlign w:val="center"/>
          </w:tcPr>
          <w:p w14:paraId="70B064DA">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19分</w:t>
            </w:r>
          </w:p>
        </w:tc>
        <w:tc>
          <w:tcPr>
            <w:tcW w:w="4065" w:type="dxa"/>
            <w:shd w:val="clear" w:color="auto" w:fill="auto"/>
            <w:vAlign w:val="center"/>
          </w:tcPr>
          <w:p w14:paraId="57101A1D">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default" w:ascii="仿宋" w:hAnsi="仿宋" w:eastAsia="仿宋" w:cs="仿宋"/>
                <w:sz w:val="24"/>
                <w:szCs w:val="24"/>
                <w:lang w:val="en-US" w:eastAsia="zh-CN"/>
              </w:rPr>
              <w:t>拟投入本项目的项目负责人：</w:t>
            </w:r>
          </w:p>
          <w:p w14:paraId="46A6F2E9">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具有类似服务项目（指园林绿化养护管理服务项目）5年及以上现场管理经验的，得</w:t>
            </w: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分（提供合同复印件作为证明材料）。本项最高得</w:t>
            </w: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分。</w:t>
            </w:r>
          </w:p>
          <w:p w14:paraId="4C7A1B55">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default" w:ascii="仿宋" w:hAnsi="仿宋" w:eastAsia="仿宋" w:cs="仿宋"/>
                <w:sz w:val="24"/>
                <w:szCs w:val="24"/>
                <w:lang w:val="en-US" w:eastAsia="zh-CN"/>
              </w:rPr>
              <w:t>拟投入本项目的技术人员：</w:t>
            </w:r>
          </w:p>
          <w:p w14:paraId="4BE08D0F">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w:t>
            </w:r>
            <w:r>
              <w:rPr>
                <w:rFonts w:hint="eastAsia" w:ascii="仿宋" w:hAnsi="仿宋" w:eastAsia="仿宋" w:cs="仿宋"/>
                <w:sz w:val="24"/>
                <w:szCs w:val="24"/>
                <w:highlight w:val="none"/>
                <w:lang w:val="en-US" w:eastAsia="zh-CN"/>
              </w:rPr>
              <w:t>具有园林绿化类中级及以上职称</w:t>
            </w:r>
            <w:r>
              <w:rPr>
                <w:rFonts w:hint="default" w:ascii="仿宋" w:hAnsi="仿宋" w:eastAsia="仿宋" w:cs="仿宋"/>
                <w:sz w:val="24"/>
                <w:szCs w:val="24"/>
                <w:lang w:val="en-US" w:eastAsia="zh-CN"/>
              </w:rPr>
              <w:t>的，得</w:t>
            </w:r>
            <w:r>
              <w:rPr>
                <w:rFonts w:hint="eastAsia" w:ascii="仿宋" w:hAnsi="仿宋" w:eastAsia="仿宋" w:cs="仿宋"/>
                <w:sz w:val="24"/>
                <w:szCs w:val="24"/>
                <w:lang w:val="en-US" w:eastAsia="zh-CN"/>
              </w:rPr>
              <w:t>4</w:t>
            </w:r>
            <w:r>
              <w:rPr>
                <w:rFonts w:hint="default" w:ascii="仿宋" w:hAnsi="仿宋" w:eastAsia="仿宋" w:cs="仿宋"/>
                <w:sz w:val="24"/>
                <w:szCs w:val="24"/>
                <w:lang w:val="en-US" w:eastAsia="zh-CN"/>
              </w:rPr>
              <w:t>分（提供有效的职称证书复印件）。本项最高得</w:t>
            </w:r>
            <w:r>
              <w:rPr>
                <w:rFonts w:hint="eastAsia" w:ascii="仿宋" w:hAnsi="仿宋" w:eastAsia="仿宋" w:cs="仿宋"/>
                <w:sz w:val="24"/>
                <w:szCs w:val="24"/>
                <w:lang w:val="en-US" w:eastAsia="zh-CN"/>
              </w:rPr>
              <w:t>4</w:t>
            </w:r>
            <w:r>
              <w:rPr>
                <w:rFonts w:hint="default" w:ascii="仿宋" w:hAnsi="仿宋" w:eastAsia="仿宋" w:cs="仿宋"/>
                <w:sz w:val="24"/>
                <w:szCs w:val="24"/>
                <w:lang w:val="en-US" w:eastAsia="zh-CN"/>
              </w:rPr>
              <w:t>分。</w:t>
            </w:r>
          </w:p>
          <w:p w14:paraId="2A0F788F">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（2）具有类似服务项目（指园林绿化养护管理服务项目）3年及以上服务经验的，得</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分（提供合同复印件作为证明材料）。本项最高得</w:t>
            </w: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分。</w:t>
            </w:r>
          </w:p>
          <w:p w14:paraId="75D3428E">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default" w:ascii="仿宋" w:hAnsi="仿宋" w:eastAsia="仿宋" w:cs="仿宋"/>
                <w:sz w:val="24"/>
                <w:szCs w:val="24"/>
                <w:lang w:val="en-US" w:eastAsia="zh-CN"/>
              </w:rPr>
              <w:t>拟投入本项目的养护作业人员：</w:t>
            </w:r>
          </w:p>
          <w:p w14:paraId="7F88D5EF">
            <w:pPr>
              <w:pStyle w:val="2"/>
              <w:keepNext w:val="0"/>
              <w:keepLines w:val="0"/>
              <w:pageBreakBefore w:val="0"/>
              <w:widowControl w:val="0"/>
              <w:numPr>
                <w:ilvl w:val="0"/>
                <w:numId w:val="14"/>
              </w:numPr>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有1人具有特种作业操作证（作业类别：高处安装、维护、拆除作业）的，得3分（提供有效的证书复印件）。本项最高得3分。</w:t>
            </w:r>
          </w:p>
          <w:p w14:paraId="69A3FA16">
            <w:pPr>
              <w:pStyle w:val="2"/>
              <w:keepNext w:val="0"/>
              <w:keepLines w:val="0"/>
              <w:pageBreakBefore w:val="0"/>
              <w:widowControl w:val="0"/>
              <w:numPr>
                <w:ilvl w:val="0"/>
                <w:numId w:val="14"/>
              </w:numPr>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在满足本项目采购需求的基础上（</w:t>
            </w:r>
            <w:r>
              <w:rPr>
                <w:rFonts w:hint="eastAsia" w:ascii="仿宋" w:hAnsi="仿宋" w:eastAsia="仿宋" w:cs="仿宋"/>
                <w:b w:val="0"/>
                <w:bCs w:val="0"/>
                <w:color w:val="auto"/>
                <w:sz w:val="24"/>
                <w:szCs w:val="24"/>
                <w:highlight w:val="none"/>
              </w:rPr>
              <w:t>养护作业人员5名</w:t>
            </w:r>
            <w:r>
              <w:rPr>
                <w:rFonts w:hint="eastAsia" w:ascii="仿宋" w:hAnsi="仿宋" w:eastAsia="仿宋" w:cs="仿宋"/>
                <w:sz w:val="24"/>
                <w:szCs w:val="24"/>
                <w:lang w:val="en-US" w:eastAsia="zh-CN"/>
              </w:rPr>
              <w:t>），每增加1名</w:t>
            </w:r>
            <w:r>
              <w:rPr>
                <w:rFonts w:hint="default" w:ascii="仿宋" w:hAnsi="仿宋" w:eastAsia="仿宋" w:cs="仿宋"/>
                <w:sz w:val="24"/>
                <w:szCs w:val="24"/>
                <w:lang w:val="en-US" w:eastAsia="zh-CN"/>
              </w:rPr>
              <w:t>养护作业人员</w:t>
            </w:r>
            <w:r>
              <w:rPr>
                <w:rFonts w:hint="eastAsia" w:ascii="仿宋" w:hAnsi="仿宋" w:eastAsia="仿宋" w:cs="仿宋"/>
                <w:sz w:val="24"/>
                <w:szCs w:val="24"/>
                <w:lang w:val="en-US" w:eastAsia="zh-CN"/>
              </w:rPr>
              <w:t>的，得4分。本项最高得4分</w:t>
            </w:r>
          </w:p>
        </w:tc>
        <w:tc>
          <w:tcPr>
            <w:tcW w:w="2113" w:type="dxa"/>
            <w:shd w:val="clear" w:color="auto" w:fill="auto"/>
            <w:vAlign w:val="center"/>
          </w:tcPr>
          <w:p w14:paraId="2628DFD1">
            <w:pPr>
              <w:pStyle w:val="2"/>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提供人员清单（格式自拟），以上人员不得重复，提供证明材料并加盖供应商公章。</w:t>
            </w:r>
          </w:p>
          <w:p w14:paraId="6467DA3E">
            <w:pPr>
              <w:pStyle w:val="2"/>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Times New Roman" w:hAnsi="Times New Roman" w:eastAsia="仿宋" w:cs="Times New Roman"/>
                <w:sz w:val="24"/>
                <w:szCs w:val="24"/>
                <w:lang w:val="en-US" w:eastAsia="zh-CN"/>
              </w:rPr>
              <w:t>拟派本项目服务团队人员必须是供应商的正式员工（提供在职证明并加盖供应商公章）。</w:t>
            </w:r>
          </w:p>
        </w:tc>
      </w:tr>
      <w:tr w14:paraId="7D51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72C308AC">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p>
        </w:tc>
        <w:tc>
          <w:tcPr>
            <w:tcW w:w="1282" w:type="dxa"/>
            <w:shd w:val="clear" w:color="auto" w:fill="auto"/>
            <w:vAlign w:val="center"/>
          </w:tcPr>
          <w:p w14:paraId="75741CF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服务车辆</w:t>
            </w:r>
          </w:p>
        </w:tc>
        <w:tc>
          <w:tcPr>
            <w:tcW w:w="722" w:type="dxa"/>
            <w:shd w:val="clear" w:color="auto" w:fill="auto"/>
            <w:vAlign w:val="center"/>
          </w:tcPr>
          <w:p w14:paraId="21A50BBB">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6分</w:t>
            </w:r>
          </w:p>
        </w:tc>
        <w:tc>
          <w:tcPr>
            <w:tcW w:w="4065" w:type="dxa"/>
            <w:shd w:val="clear" w:color="auto" w:fill="auto"/>
            <w:vAlign w:val="center"/>
          </w:tcPr>
          <w:p w14:paraId="70D7E1F0">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供应商为本项目拟投入的服务车辆：</w:t>
            </w:r>
          </w:p>
          <w:p w14:paraId="76030A18">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每提供1辆载重质量≥8吨的洒水车的，得2分。本项最高得2分。</w:t>
            </w:r>
          </w:p>
          <w:p w14:paraId="2BA59138">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每提供1辆载重质量≥1吨的货车的，得1分。本项最高得</w:t>
            </w:r>
            <w:r>
              <w:rPr>
                <w:rFonts w:hint="eastAsia" w:ascii="仿宋" w:hAnsi="仿宋" w:eastAsia="仿宋" w:cs="仿宋"/>
                <w:b w:val="0"/>
                <w:bCs w:val="0"/>
                <w:sz w:val="24"/>
                <w:szCs w:val="24"/>
                <w:lang w:val="en-US" w:eastAsia="zh-CN"/>
              </w:rPr>
              <w:t>2</w:t>
            </w:r>
            <w:r>
              <w:rPr>
                <w:rFonts w:hint="default" w:ascii="仿宋" w:hAnsi="仿宋" w:eastAsia="仿宋" w:cs="仿宋"/>
                <w:b w:val="0"/>
                <w:bCs w:val="0"/>
                <w:sz w:val="24"/>
                <w:szCs w:val="24"/>
                <w:lang w:val="en-US" w:eastAsia="zh-CN"/>
              </w:rPr>
              <w:t>分。</w:t>
            </w:r>
          </w:p>
          <w:p w14:paraId="41AC6270">
            <w:pPr>
              <w:pStyle w:val="2"/>
              <w:keepNext w:val="0"/>
              <w:keepLines w:val="0"/>
              <w:pageBreakBefore w:val="0"/>
              <w:widowControl w:val="0"/>
              <w:kinsoku/>
              <w:overflowPunct/>
              <w:topLinePunct w:val="0"/>
              <w:autoSpaceDE/>
              <w:autoSpaceDN/>
              <w:bidi w:val="0"/>
              <w:adjustRightInd/>
              <w:snapToGrid/>
              <w:spacing w:after="0" w:line="240" w:lineRule="auto"/>
              <w:ind w:firstLine="480" w:firstLineChars="20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每提供1辆非载货专项作业车（用于高大树木修剪作业）的，得1分。本项最高得</w:t>
            </w:r>
            <w:r>
              <w:rPr>
                <w:rFonts w:hint="eastAsia" w:ascii="仿宋" w:hAnsi="仿宋" w:eastAsia="仿宋" w:cs="仿宋"/>
                <w:b w:val="0"/>
                <w:bCs w:val="0"/>
                <w:sz w:val="24"/>
                <w:szCs w:val="24"/>
                <w:lang w:val="en-US" w:eastAsia="zh-CN"/>
              </w:rPr>
              <w:t>2</w:t>
            </w:r>
            <w:r>
              <w:rPr>
                <w:rFonts w:hint="default" w:ascii="仿宋" w:hAnsi="仿宋" w:eastAsia="仿宋" w:cs="仿宋"/>
                <w:b w:val="0"/>
                <w:bCs w:val="0"/>
                <w:sz w:val="24"/>
                <w:szCs w:val="24"/>
                <w:lang w:val="en-US" w:eastAsia="zh-CN"/>
              </w:rPr>
              <w:t>分。</w:t>
            </w:r>
          </w:p>
        </w:tc>
        <w:tc>
          <w:tcPr>
            <w:tcW w:w="2113" w:type="dxa"/>
            <w:shd w:val="clear" w:color="auto" w:fill="auto"/>
            <w:vAlign w:val="center"/>
          </w:tcPr>
          <w:p w14:paraId="1C0CC284">
            <w:pPr>
              <w:pStyle w:val="2"/>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both"/>
              <w:textAlignment w:val="auto"/>
              <w:rPr>
                <w:rFonts w:hint="eastAsia" w:ascii="仿宋" w:hAnsi="仿宋" w:eastAsia="仿宋" w:cs="仿宋"/>
                <w:i w:val="0"/>
                <w:iCs w:val="0"/>
                <w:caps w:val="0"/>
                <w:color w:val="0F1115"/>
                <w:spacing w:val="0"/>
                <w:sz w:val="24"/>
                <w:szCs w:val="24"/>
                <w:shd w:val="clear" w:fill="FFFFFF"/>
                <w:lang w:eastAsia="zh-CN"/>
              </w:rPr>
            </w:pPr>
            <w:r>
              <w:rPr>
                <w:rFonts w:hint="eastAsia" w:ascii="仿宋" w:hAnsi="仿宋" w:eastAsia="仿宋" w:cs="仿宋"/>
                <w:i w:val="0"/>
                <w:iCs w:val="0"/>
                <w:caps w:val="0"/>
                <w:color w:val="0F1115"/>
                <w:spacing w:val="0"/>
                <w:sz w:val="24"/>
                <w:szCs w:val="24"/>
                <w:shd w:val="clear" w:fill="FFFFFF"/>
                <w:lang w:val="en-US" w:eastAsia="zh-CN"/>
              </w:rPr>
              <w:t>若为</w:t>
            </w:r>
            <w:r>
              <w:rPr>
                <w:rFonts w:hint="eastAsia" w:ascii="仿宋" w:hAnsi="仿宋" w:eastAsia="仿宋" w:cs="仿宋"/>
                <w:i w:val="0"/>
                <w:iCs w:val="0"/>
                <w:caps w:val="0"/>
                <w:color w:val="0F1115"/>
                <w:spacing w:val="0"/>
                <w:sz w:val="24"/>
                <w:szCs w:val="24"/>
                <w:shd w:val="clear" w:fill="FFFFFF"/>
              </w:rPr>
              <w:t>自有设备</w:t>
            </w:r>
            <w:r>
              <w:rPr>
                <w:rFonts w:hint="eastAsia" w:ascii="仿宋" w:hAnsi="仿宋" w:eastAsia="仿宋" w:cs="仿宋"/>
                <w:i w:val="0"/>
                <w:iCs w:val="0"/>
                <w:caps w:val="0"/>
                <w:color w:val="0F1115"/>
                <w:spacing w:val="0"/>
                <w:sz w:val="24"/>
                <w:szCs w:val="24"/>
                <w:shd w:val="clear" w:fill="FFFFFF"/>
                <w:lang w:val="en-US" w:eastAsia="zh-CN"/>
              </w:rPr>
              <w:t>的</w:t>
            </w:r>
            <w:r>
              <w:rPr>
                <w:rFonts w:hint="eastAsia" w:ascii="仿宋" w:hAnsi="仿宋" w:eastAsia="仿宋" w:cs="仿宋"/>
                <w:i w:val="0"/>
                <w:iCs w:val="0"/>
                <w:caps w:val="0"/>
                <w:color w:val="0F1115"/>
                <w:spacing w:val="0"/>
                <w:sz w:val="24"/>
                <w:szCs w:val="24"/>
                <w:shd w:val="clear" w:fill="FFFFFF"/>
                <w:lang w:eastAsia="zh-CN"/>
              </w:rPr>
              <w:t>，</w:t>
            </w:r>
            <w:r>
              <w:rPr>
                <w:rFonts w:hint="eastAsia" w:ascii="仿宋" w:hAnsi="仿宋" w:eastAsia="仿宋" w:cs="仿宋"/>
                <w:i w:val="0"/>
                <w:iCs w:val="0"/>
                <w:caps w:val="0"/>
                <w:color w:val="0F1115"/>
                <w:spacing w:val="0"/>
                <w:sz w:val="24"/>
                <w:szCs w:val="24"/>
                <w:shd w:val="clear" w:fill="FFFFFF"/>
              </w:rPr>
              <w:t>提供购置发票</w:t>
            </w:r>
            <w:r>
              <w:rPr>
                <w:rFonts w:hint="eastAsia" w:ascii="仿宋" w:hAnsi="仿宋" w:eastAsia="仿宋" w:cs="仿宋"/>
                <w:i w:val="0"/>
                <w:iCs w:val="0"/>
                <w:caps w:val="0"/>
                <w:color w:val="0F1115"/>
                <w:spacing w:val="0"/>
                <w:sz w:val="24"/>
                <w:szCs w:val="24"/>
                <w:shd w:val="clear" w:fill="FFFFFF"/>
                <w:lang w:eastAsia="zh-CN"/>
              </w:rPr>
              <w:t>复印件</w:t>
            </w:r>
            <w:r>
              <w:rPr>
                <w:rFonts w:hint="eastAsia" w:ascii="仿宋" w:hAnsi="仿宋" w:eastAsia="仿宋" w:cs="仿宋"/>
                <w:i w:val="0"/>
                <w:iCs w:val="0"/>
                <w:caps w:val="0"/>
                <w:color w:val="0F1115"/>
                <w:spacing w:val="0"/>
                <w:sz w:val="24"/>
                <w:szCs w:val="24"/>
                <w:shd w:val="clear" w:fill="FFFFFF"/>
                <w:lang w:val="en-US" w:eastAsia="zh-CN"/>
              </w:rPr>
              <w:t>并加盖供应商公章</w:t>
            </w:r>
            <w:r>
              <w:rPr>
                <w:rFonts w:hint="eastAsia" w:ascii="仿宋" w:hAnsi="仿宋" w:eastAsia="仿宋" w:cs="仿宋"/>
                <w:i w:val="0"/>
                <w:iCs w:val="0"/>
                <w:caps w:val="0"/>
                <w:color w:val="0F1115"/>
                <w:spacing w:val="0"/>
                <w:sz w:val="24"/>
                <w:szCs w:val="24"/>
                <w:shd w:val="clear" w:fill="FFFFFF"/>
                <w:lang w:eastAsia="zh-CN"/>
              </w:rPr>
              <w:t>。</w:t>
            </w:r>
          </w:p>
          <w:p w14:paraId="0BCF7486">
            <w:pPr>
              <w:pStyle w:val="2"/>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both"/>
              <w:textAlignment w:val="auto"/>
              <w:rPr>
                <w:rFonts w:hint="eastAsia" w:ascii="仿宋" w:hAnsi="仿宋" w:eastAsia="仿宋" w:cs="仿宋"/>
                <w:b w:val="0"/>
                <w:bCs w:val="0"/>
                <w:sz w:val="24"/>
                <w:szCs w:val="24"/>
                <w:lang w:eastAsia="zh-CN"/>
              </w:rPr>
            </w:pPr>
            <w:r>
              <w:rPr>
                <w:rFonts w:hint="eastAsia" w:ascii="仿宋" w:hAnsi="仿宋" w:eastAsia="仿宋" w:cs="仿宋"/>
                <w:i w:val="0"/>
                <w:iCs w:val="0"/>
                <w:caps w:val="0"/>
                <w:color w:val="0F1115"/>
                <w:spacing w:val="0"/>
                <w:sz w:val="24"/>
                <w:szCs w:val="24"/>
                <w:shd w:val="clear" w:fill="FFFFFF"/>
                <w:lang w:val="en-US" w:eastAsia="zh-CN"/>
              </w:rPr>
              <w:t>若为</w:t>
            </w:r>
            <w:r>
              <w:rPr>
                <w:rFonts w:hint="eastAsia" w:ascii="仿宋" w:hAnsi="仿宋" w:eastAsia="仿宋" w:cs="仿宋"/>
                <w:i w:val="0"/>
                <w:iCs w:val="0"/>
                <w:caps w:val="0"/>
                <w:color w:val="0F1115"/>
                <w:spacing w:val="0"/>
                <w:sz w:val="24"/>
                <w:szCs w:val="24"/>
                <w:shd w:val="clear" w:fill="FFFFFF"/>
              </w:rPr>
              <w:t>租赁设备</w:t>
            </w:r>
            <w:r>
              <w:rPr>
                <w:rFonts w:hint="eastAsia" w:ascii="仿宋" w:hAnsi="仿宋" w:eastAsia="仿宋" w:cs="仿宋"/>
                <w:i w:val="0"/>
                <w:iCs w:val="0"/>
                <w:caps w:val="0"/>
                <w:color w:val="0F1115"/>
                <w:spacing w:val="0"/>
                <w:sz w:val="24"/>
                <w:szCs w:val="24"/>
                <w:shd w:val="clear" w:fill="FFFFFF"/>
                <w:lang w:val="en-US" w:eastAsia="zh-CN"/>
              </w:rPr>
              <w:t>的</w:t>
            </w:r>
            <w:r>
              <w:rPr>
                <w:rFonts w:hint="eastAsia" w:ascii="仿宋" w:hAnsi="仿宋" w:eastAsia="仿宋" w:cs="仿宋"/>
                <w:i w:val="0"/>
                <w:iCs w:val="0"/>
                <w:caps w:val="0"/>
                <w:color w:val="0F1115"/>
                <w:spacing w:val="0"/>
                <w:sz w:val="24"/>
                <w:szCs w:val="24"/>
                <w:shd w:val="clear" w:fill="FFFFFF"/>
                <w:lang w:eastAsia="zh-CN"/>
              </w:rPr>
              <w:t>，</w:t>
            </w:r>
            <w:r>
              <w:rPr>
                <w:rFonts w:hint="eastAsia" w:ascii="仿宋" w:hAnsi="仿宋" w:eastAsia="仿宋" w:cs="仿宋"/>
                <w:i w:val="0"/>
                <w:iCs w:val="0"/>
                <w:caps w:val="0"/>
                <w:color w:val="0F1115"/>
                <w:spacing w:val="0"/>
                <w:sz w:val="24"/>
                <w:szCs w:val="24"/>
                <w:shd w:val="clear" w:fill="FFFFFF"/>
              </w:rPr>
              <w:t>提供租赁合同</w:t>
            </w:r>
            <w:r>
              <w:rPr>
                <w:rFonts w:hint="eastAsia" w:ascii="仿宋" w:hAnsi="仿宋" w:eastAsia="仿宋" w:cs="仿宋"/>
                <w:i w:val="0"/>
                <w:iCs w:val="0"/>
                <w:caps w:val="0"/>
                <w:color w:val="0F1115"/>
                <w:spacing w:val="0"/>
                <w:sz w:val="24"/>
                <w:szCs w:val="24"/>
                <w:shd w:val="clear" w:fill="FFFFFF"/>
                <w:lang w:eastAsia="zh-CN"/>
              </w:rPr>
              <w:t>复印件</w:t>
            </w:r>
            <w:r>
              <w:rPr>
                <w:rFonts w:hint="eastAsia" w:ascii="仿宋" w:hAnsi="仿宋" w:eastAsia="仿宋" w:cs="仿宋"/>
                <w:i w:val="0"/>
                <w:iCs w:val="0"/>
                <w:caps w:val="0"/>
                <w:color w:val="0F1115"/>
                <w:spacing w:val="0"/>
                <w:sz w:val="24"/>
                <w:szCs w:val="24"/>
                <w:shd w:val="clear" w:fill="FFFFFF"/>
                <w:lang w:val="en-US" w:eastAsia="zh-CN"/>
              </w:rPr>
              <w:t>并加盖供应商公章，</w:t>
            </w:r>
            <w:r>
              <w:rPr>
                <w:rFonts w:hint="eastAsia" w:ascii="仿宋" w:hAnsi="仿宋" w:eastAsia="仿宋" w:cs="仿宋"/>
                <w:i w:val="0"/>
                <w:iCs w:val="0"/>
                <w:caps w:val="0"/>
                <w:color w:val="0F1115"/>
                <w:spacing w:val="0"/>
                <w:sz w:val="24"/>
                <w:szCs w:val="24"/>
                <w:shd w:val="clear" w:fill="FFFFFF"/>
              </w:rPr>
              <w:t>租赁合同的有效期须覆盖本项目服务期。若现有租赁合同有效期不能覆盖</w:t>
            </w:r>
            <w:r>
              <w:rPr>
                <w:rFonts w:hint="eastAsia" w:ascii="仿宋" w:hAnsi="仿宋" w:eastAsia="仿宋" w:cs="仿宋"/>
                <w:i w:val="0"/>
                <w:iCs w:val="0"/>
                <w:caps w:val="0"/>
                <w:color w:val="0F1115"/>
                <w:spacing w:val="0"/>
                <w:sz w:val="24"/>
                <w:szCs w:val="24"/>
                <w:shd w:val="clear" w:fill="FFFFFF"/>
                <w:lang w:val="en-US" w:eastAsia="zh-CN"/>
              </w:rPr>
              <w:t>的</w:t>
            </w:r>
            <w:r>
              <w:rPr>
                <w:rFonts w:hint="eastAsia" w:ascii="仿宋" w:hAnsi="仿宋" w:eastAsia="仿宋" w:cs="仿宋"/>
                <w:i w:val="0"/>
                <w:iCs w:val="0"/>
                <w:caps w:val="0"/>
                <w:color w:val="0F1115"/>
                <w:spacing w:val="0"/>
                <w:sz w:val="24"/>
                <w:szCs w:val="24"/>
                <w:shd w:val="clear" w:fill="FFFFFF"/>
              </w:rPr>
              <w:t>，</w:t>
            </w:r>
            <w:r>
              <w:rPr>
                <w:rFonts w:hint="eastAsia" w:ascii="仿宋" w:hAnsi="仿宋" w:eastAsia="仿宋" w:cs="仿宋"/>
                <w:i w:val="0"/>
                <w:iCs w:val="0"/>
                <w:caps w:val="0"/>
                <w:color w:val="0F1115"/>
                <w:spacing w:val="0"/>
                <w:sz w:val="24"/>
                <w:szCs w:val="24"/>
                <w:shd w:val="clear" w:fill="FFFFFF"/>
                <w:lang w:val="en-US" w:eastAsia="zh-CN"/>
              </w:rPr>
              <w:t>须</w:t>
            </w:r>
            <w:r>
              <w:rPr>
                <w:rFonts w:hint="eastAsia" w:ascii="仿宋" w:hAnsi="仿宋" w:eastAsia="仿宋" w:cs="仿宋"/>
                <w:b w:val="0"/>
                <w:bCs w:val="0"/>
                <w:sz w:val="24"/>
                <w:szCs w:val="24"/>
              </w:rPr>
              <w:t>提供</w:t>
            </w:r>
            <w:r>
              <w:rPr>
                <w:rFonts w:hint="eastAsia" w:ascii="仿宋" w:hAnsi="仿宋" w:eastAsia="仿宋" w:cs="仿宋"/>
                <w:b w:val="0"/>
                <w:bCs w:val="0"/>
                <w:sz w:val="24"/>
                <w:szCs w:val="24"/>
                <w:lang w:val="en-US" w:eastAsia="zh-CN"/>
              </w:rPr>
              <w:t>成交</w:t>
            </w:r>
            <w:r>
              <w:rPr>
                <w:rFonts w:hint="eastAsia" w:ascii="仿宋" w:hAnsi="仿宋" w:eastAsia="仿宋" w:cs="仿宋"/>
                <w:b w:val="0"/>
                <w:bCs w:val="0"/>
                <w:sz w:val="24"/>
                <w:szCs w:val="24"/>
              </w:rPr>
              <w:t>后续签租赁合同至本项目服务期</w:t>
            </w:r>
            <w:r>
              <w:rPr>
                <w:rFonts w:hint="eastAsia" w:ascii="仿宋" w:hAnsi="仿宋" w:eastAsia="仿宋" w:cs="仿宋"/>
                <w:b w:val="0"/>
                <w:bCs w:val="0"/>
                <w:sz w:val="24"/>
                <w:szCs w:val="24"/>
                <w:lang w:val="en-US" w:eastAsia="zh-CN"/>
              </w:rPr>
              <w:t>结束</w:t>
            </w:r>
            <w:r>
              <w:rPr>
                <w:rFonts w:hint="eastAsia" w:ascii="仿宋" w:hAnsi="仿宋" w:eastAsia="仿宋" w:cs="仿宋"/>
                <w:b w:val="0"/>
                <w:bCs w:val="0"/>
                <w:sz w:val="24"/>
                <w:szCs w:val="24"/>
              </w:rPr>
              <w:t>的承诺函（格式自拟）</w:t>
            </w:r>
            <w:r>
              <w:rPr>
                <w:rFonts w:hint="eastAsia" w:ascii="仿宋" w:hAnsi="仿宋" w:eastAsia="仿宋" w:cs="仿宋"/>
                <w:b w:val="0"/>
                <w:bCs w:val="0"/>
                <w:sz w:val="24"/>
                <w:szCs w:val="24"/>
                <w:lang w:eastAsia="zh-CN"/>
              </w:rPr>
              <w:t>。</w:t>
            </w:r>
          </w:p>
          <w:p w14:paraId="74825DE0">
            <w:pPr>
              <w:pStyle w:val="2"/>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both"/>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提供车辆行驶证</w:t>
            </w:r>
            <w:r>
              <w:rPr>
                <w:rFonts w:hint="eastAsia" w:ascii="仿宋" w:hAnsi="仿宋" w:eastAsia="仿宋" w:cs="仿宋"/>
                <w:b w:val="0"/>
                <w:bCs w:val="0"/>
                <w:sz w:val="24"/>
                <w:szCs w:val="24"/>
                <w:lang w:val="en-US" w:eastAsia="zh-CN"/>
              </w:rPr>
              <w:t>复印件并加盖供应商公章。</w:t>
            </w:r>
          </w:p>
        </w:tc>
      </w:tr>
      <w:tr w14:paraId="1960C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5" w:hRule="atLeast"/>
          <w:jc w:val="center"/>
        </w:trPr>
        <w:tc>
          <w:tcPr>
            <w:tcW w:w="774" w:type="dxa"/>
            <w:vAlign w:val="center"/>
          </w:tcPr>
          <w:p w14:paraId="08632FF2">
            <w:pPr>
              <w:keepNext w:val="0"/>
              <w:keepLines w:val="0"/>
              <w:pageBreakBefore w:val="0"/>
              <w:kinsoku/>
              <w:wordWrap/>
              <w:overflowPunct/>
              <w:topLinePunct w:val="0"/>
              <w:autoSpaceDE/>
              <w:autoSpaceDN/>
              <w:bidi w:val="0"/>
              <w:adjustRightInd/>
              <w:snapToGrid/>
              <w:spacing w:line="240" w:lineRule="auto"/>
              <w:ind w:firstLine="28"/>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1282" w:type="dxa"/>
            <w:shd w:val="clear" w:color="auto" w:fill="auto"/>
            <w:vAlign w:val="center"/>
          </w:tcPr>
          <w:p w14:paraId="6791DE74">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服务方案</w:t>
            </w:r>
          </w:p>
        </w:tc>
        <w:tc>
          <w:tcPr>
            <w:tcW w:w="722" w:type="dxa"/>
            <w:shd w:val="clear" w:color="auto" w:fill="auto"/>
            <w:vAlign w:val="center"/>
          </w:tcPr>
          <w:p w14:paraId="52215796">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15</w:t>
            </w:r>
          </w:p>
        </w:tc>
        <w:tc>
          <w:tcPr>
            <w:tcW w:w="4065" w:type="dxa"/>
            <w:shd w:val="clear" w:color="auto" w:fill="auto"/>
            <w:vAlign w:val="center"/>
          </w:tcPr>
          <w:p w14:paraId="0C46820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供应商针对本项目提供服务方案，包括：</w:t>
            </w:r>
            <w:r>
              <w:rPr>
                <w:rFonts w:hint="eastAsia" w:ascii="仿宋" w:hAnsi="仿宋" w:eastAsia="仿宋" w:cs="仿宋"/>
                <w:kern w:val="2"/>
                <w:sz w:val="24"/>
                <w:szCs w:val="24"/>
                <w:highlight w:val="none"/>
                <w:lang w:val="en-US" w:eastAsia="zh-CN" w:bidi="ar"/>
              </w:rPr>
              <w:t>①整体管理、规划方案；②区域内养护的工作计划；③日常养护工作流程；④养护管理制度；⑤应急响应预案</w:t>
            </w:r>
            <w:r>
              <w:rPr>
                <w:rFonts w:hint="eastAsia" w:ascii="仿宋" w:hAnsi="仿宋" w:eastAsia="仿宋" w:cs="仿宋"/>
                <w:sz w:val="24"/>
                <w:szCs w:val="24"/>
                <w:highlight w:val="none"/>
                <w:lang w:val="en-US" w:eastAsia="zh-CN"/>
              </w:rPr>
              <w:t>。涵盖以上内容且不存在缺陷得15分，在此基础上，每缺少一项内容扣3分，每有一处内容存在缺陷扣1.5分，扣完为止。</w:t>
            </w:r>
          </w:p>
          <w:p w14:paraId="5D45939D">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both"/>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13" w:type="dxa"/>
            <w:shd w:val="clear" w:color="auto" w:fill="auto"/>
            <w:vAlign w:val="center"/>
          </w:tcPr>
          <w:p w14:paraId="3C9C544A">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仿宋" w:hAnsi="仿宋" w:eastAsia="仿宋" w:cs="仿宋"/>
                <w:kern w:val="2"/>
                <w:sz w:val="24"/>
                <w:szCs w:val="24"/>
                <w:highlight w:val="none"/>
                <w:lang w:val="en-US" w:eastAsia="zh-CN" w:bidi="ar-SA"/>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3"/>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6803"/>
      <w:bookmarkStart w:id="38" w:name="_Toc2412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19987"/>
      <w:bookmarkStart w:id="46" w:name="_Toc5056"/>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4829"/>
      <w:bookmarkStart w:id="49" w:name="_Toc21519"/>
      <w:bookmarkStart w:id="50" w:name="_Toc16029"/>
      <w:bookmarkStart w:id="51" w:name="_Toc11352"/>
      <w:bookmarkStart w:id="52" w:name="_Toc3023"/>
      <w:bookmarkStart w:id="53" w:name="_Toc6482"/>
    </w:p>
    <w:p w14:paraId="43B80407">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4305"/>
      <w:bookmarkStart w:id="56" w:name="_Toc17857"/>
      <w:bookmarkStart w:id="57" w:name="_Toc31838"/>
      <w:bookmarkStart w:id="58" w:name="_Toc30971"/>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0"/>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4"/>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29"/>
        <w:ind w:left="420" w:leftChars="200"/>
        <w:jc w:val="both"/>
        <w:rPr>
          <w:rFonts w:ascii="Times New Roman" w:hAnsi="Times New Roman" w:eastAsia="仿宋" w:cs="Times New Roman"/>
          <w:color w:val="auto"/>
        </w:rPr>
      </w:pPr>
    </w:p>
    <w:p w14:paraId="50A012A9">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11351"/>
      <w:bookmarkStart w:id="68" w:name="_Toc15526"/>
      <w:bookmarkStart w:id="69" w:name="_Toc25638"/>
      <w:bookmarkStart w:id="70" w:name="_Toc20589"/>
      <w:bookmarkStart w:id="71" w:name="_Toc12015"/>
      <w:bookmarkStart w:id="72" w:name="_Toc27661"/>
      <w:r>
        <w:rPr>
          <w:rStyle w:val="38"/>
          <w:b/>
        </w:rPr>
        <w:t>法定代表人身份证明书</w:t>
      </w:r>
      <w:bookmarkEnd w:id="67"/>
      <w:bookmarkEnd w:id="68"/>
      <w:bookmarkEnd w:id="69"/>
      <w:bookmarkEnd w:id="70"/>
      <w:bookmarkEnd w:id="71"/>
      <w:bookmarkEnd w:id="72"/>
    </w:p>
    <w:p w14:paraId="0AB454D2">
      <w:pPr>
        <w:pStyle w:val="29"/>
        <w:jc w:val="center"/>
        <w:rPr>
          <w:rFonts w:ascii="Times New Roman" w:hAnsi="Times New Roman" w:eastAsia="仿宋" w:cs="Times New Roman"/>
          <w:color w:val="auto"/>
        </w:rPr>
      </w:pPr>
    </w:p>
    <w:p w14:paraId="43269FBB">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29"/>
        <w:jc w:val="center"/>
        <w:rPr>
          <w:rFonts w:ascii="Times New Roman" w:hAnsi="Times New Roman" w:eastAsia="仿宋" w:cs="Times New Roman"/>
          <w:color w:val="auto"/>
        </w:rPr>
      </w:pPr>
    </w:p>
    <w:p w14:paraId="6757BD29">
      <w:pPr>
        <w:pStyle w:val="29"/>
        <w:jc w:val="center"/>
        <w:rPr>
          <w:rFonts w:ascii="Times New Roman" w:hAnsi="Times New Roman" w:eastAsia="仿宋" w:cs="Times New Roman"/>
          <w:color w:val="auto"/>
        </w:rPr>
      </w:pPr>
    </w:p>
    <w:p w14:paraId="2C00BF0A">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29"/>
        <w:jc w:val="both"/>
        <w:rPr>
          <w:rFonts w:ascii="Times New Roman" w:hAnsi="Times New Roman" w:eastAsia="仿宋" w:cs="Times New Roman"/>
          <w:color w:val="auto"/>
        </w:rPr>
      </w:pPr>
    </w:p>
    <w:p w14:paraId="46E4D155">
      <w:pPr>
        <w:pStyle w:val="29"/>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29"/>
        <w:jc w:val="center"/>
        <w:rPr>
          <w:rFonts w:ascii="Times New Roman" w:hAnsi="Times New Roman" w:eastAsia="仿宋" w:cs="Times New Roman"/>
          <w:color w:val="auto"/>
        </w:rPr>
      </w:pPr>
    </w:p>
    <w:p w14:paraId="53CC06E9">
      <w:pPr>
        <w:pStyle w:val="29"/>
        <w:jc w:val="center"/>
        <w:rPr>
          <w:rFonts w:ascii="Times New Roman" w:hAnsi="Times New Roman" w:eastAsia="仿宋" w:cs="Times New Roman"/>
          <w:color w:val="auto"/>
        </w:rPr>
      </w:pPr>
    </w:p>
    <w:p w14:paraId="55320CDB">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29"/>
        <w:jc w:val="both"/>
        <w:rPr>
          <w:rFonts w:ascii="Times New Roman" w:hAnsi="Times New Roman" w:eastAsia="仿宋" w:cs="Times New Roman"/>
          <w:color w:val="auto"/>
          <w:sz w:val="32"/>
          <w:szCs w:val="32"/>
        </w:rPr>
      </w:pPr>
    </w:p>
    <w:p w14:paraId="31D6EAC3">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1CF8FCEE">
      <w:pPr>
        <w:pStyle w:val="29"/>
        <w:jc w:val="center"/>
        <w:rPr>
          <w:rFonts w:ascii="Times New Roman" w:hAnsi="Times New Roman" w:eastAsia="仿宋" w:cs="Times New Roman"/>
          <w:b/>
          <w:bCs/>
          <w:color w:val="auto"/>
        </w:rPr>
      </w:pPr>
    </w:p>
    <w:p w14:paraId="170BF1E2">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29"/>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12967"/>
      <w:bookmarkStart w:id="74" w:name="_Toc1074"/>
      <w:bookmarkStart w:id="75" w:name="_Toc26969"/>
      <w:bookmarkStart w:id="76" w:name="_Toc2041"/>
      <w:bookmarkStart w:id="77" w:name="_Toc16435"/>
      <w:bookmarkStart w:id="78" w:name="_Toc23967"/>
      <w:r>
        <w:rPr>
          <w:rStyle w:val="38"/>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29"/>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31686"/>
      <w:bookmarkStart w:id="80" w:name="_Toc28634"/>
      <w:bookmarkStart w:id="81" w:name="_Toc24806"/>
      <w:bookmarkStart w:id="82" w:name="_Toc1369"/>
      <w:bookmarkStart w:id="83" w:name="_Toc26839"/>
      <w:bookmarkStart w:id="84" w:name="_Toc21082"/>
      <w:r>
        <w:rPr>
          <w:rStyle w:val="38"/>
          <w:b/>
        </w:rPr>
        <w:t>评分需要提供的证明材料</w:t>
      </w:r>
      <w:bookmarkEnd w:id="79"/>
      <w:bookmarkEnd w:id="80"/>
      <w:bookmarkEnd w:id="81"/>
      <w:bookmarkEnd w:id="82"/>
      <w:bookmarkEnd w:id="83"/>
      <w:bookmarkEnd w:id="84"/>
    </w:p>
    <w:p w14:paraId="71151EFE">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29"/>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4"/>
        <w:gridCol w:w="3365"/>
        <w:gridCol w:w="3365"/>
        <w:gridCol w:w="1864"/>
      </w:tblGrid>
      <w:tr w14:paraId="54077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7" w:type="pct"/>
            <w:vAlign w:val="center"/>
          </w:tcPr>
          <w:p w14:paraId="5EA29404">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序号</w:t>
            </w:r>
          </w:p>
        </w:tc>
        <w:tc>
          <w:tcPr>
            <w:tcW w:w="1708" w:type="pct"/>
            <w:vAlign w:val="center"/>
          </w:tcPr>
          <w:p w14:paraId="706A7A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报价项目</w:t>
            </w:r>
          </w:p>
        </w:tc>
        <w:tc>
          <w:tcPr>
            <w:tcW w:w="1708" w:type="pct"/>
            <w:vAlign w:val="center"/>
          </w:tcPr>
          <w:p w14:paraId="7F65D97A">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报价（元）</w:t>
            </w:r>
          </w:p>
        </w:tc>
        <w:tc>
          <w:tcPr>
            <w:tcW w:w="946" w:type="pct"/>
            <w:vAlign w:val="center"/>
          </w:tcPr>
          <w:p w14:paraId="2A0ABD3D">
            <w:pPr>
              <w:spacing w:line="240" w:lineRule="auto"/>
              <w:jc w:val="center"/>
              <w:rPr>
                <w:rFonts w:hint="default"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备注</w:t>
            </w:r>
          </w:p>
        </w:tc>
      </w:tr>
      <w:tr w14:paraId="558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7" w:type="pct"/>
            <w:vAlign w:val="center"/>
          </w:tcPr>
          <w:p w14:paraId="40B3417B">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1</w:t>
            </w:r>
          </w:p>
        </w:tc>
        <w:tc>
          <w:tcPr>
            <w:tcW w:w="1708" w:type="pct"/>
            <w:vAlign w:val="center"/>
          </w:tcPr>
          <w:p w14:paraId="00FE56D5">
            <w:pPr>
              <w:spacing w:line="240" w:lineRule="auto"/>
              <w:jc w:val="center"/>
              <w:rPr>
                <w:rFonts w:hint="eastAsia" w:ascii="Times New Roman" w:hAnsi="Times New Roman" w:eastAsia="仿宋" w:cs="Times New Roman"/>
                <w:kern w:val="0"/>
                <w:szCs w:val="21"/>
                <w:lang w:val="en-US" w:eastAsia="zh-CN"/>
              </w:rPr>
            </w:pPr>
            <w:r>
              <w:rPr>
                <w:rFonts w:hint="eastAsia" w:ascii="Times New Roman" w:hAnsi="Times New Roman" w:eastAsia="仿宋" w:cs="Times New Roman"/>
                <w:kern w:val="0"/>
                <w:szCs w:val="21"/>
                <w:lang w:val="en-US" w:eastAsia="zh-CN"/>
              </w:rPr>
              <w:t>草堂院区</w:t>
            </w:r>
            <w:r>
              <w:rPr>
                <w:rFonts w:hint="eastAsia" w:ascii="Times New Roman" w:hAnsi="Times New Roman" w:eastAsia="仿宋" w:cs="Times New Roman"/>
                <w:kern w:val="0"/>
                <w:szCs w:val="21"/>
                <w:lang w:val="zh-TW" w:eastAsia="zh-TW"/>
              </w:rPr>
              <w:t>园林草坪绿化养护管理服务</w:t>
            </w:r>
          </w:p>
        </w:tc>
        <w:tc>
          <w:tcPr>
            <w:tcW w:w="1708" w:type="pct"/>
            <w:vAlign w:val="center"/>
          </w:tcPr>
          <w:p w14:paraId="66178E21">
            <w:pPr>
              <w:spacing w:line="240" w:lineRule="auto"/>
              <w:jc w:val="center"/>
              <w:rPr>
                <w:rFonts w:hint="eastAsia" w:ascii="Times New Roman" w:hAnsi="Times New Roman" w:eastAsia="仿宋" w:cs="Times New Roman"/>
                <w:kern w:val="0"/>
                <w:szCs w:val="21"/>
                <w:lang w:val="zh-TW" w:eastAsia="zh-TW"/>
              </w:rPr>
            </w:pPr>
          </w:p>
        </w:tc>
        <w:tc>
          <w:tcPr>
            <w:tcW w:w="946" w:type="pct"/>
            <w:vAlign w:val="center"/>
          </w:tcPr>
          <w:p w14:paraId="60828C05">
            <w:pPr>
              <w:spacing w:line="240" w:lineRule="auto"/>
              <w:jc w:val="center"/>
              <w:rPr>
                <w:rFonts w:hint="eastAsia" w:ascii="Times New Roman" w:hAnsi="Times New Roman" w:eastAsia="仿宋" w:cs="Times New Roman"/>
                <w:kern w:val="0"/>
                <w:szCs w:val="21"/>
                <w:lang w:val="zh-TW" w:eastAsia="zh-TW"/>
              </w:rPr>
            </w:pPr>
          </w:p>
        </w:tc>
      </w:tr>
      <w:tr w14:paraId="49FC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7" w:type="pct"/>
            <w:shd w:val="clear" w:color="auto" w:fill="auto"/>
            <w:vAlign w:val="center"/>
          </w:tcPr>
          <w:p w14:paraId="02CDE0A9">
            <w:pPr>
              <w:spacing w:line="240" w:lineRule="auto"/>
              <w:jc w:val="center"/>
              <w:rPr>
                <w:rFonts w:hint="eastAsia" w:ascii="Times New Roman" w:hAnsi="Times New Roman" w:eastAsia="仿宋" w:cs="Times New Roman"/>
                <w:kern w:val="0"/>
                <w:szCs w:val="21"/>
                <w:lang w:val="en-US" w:eastAsia="zh-CN"/>
              </w:rPr>
            </w:pPr>
            <w:r>
              <w:rPr>
                <w:rFonts w:ascii="Times New Roman" w:hAnsi="Times New Roman" w:eastAsia="仿宋" w:cs="Times New Roman"/>
                <w:kern w:val="0"/>
                <w:szCs w:val="21"/>
                <w:lang w:val="zh-TW" w:eastAsia="zh-TW"/>
              </w:rPr>
              <w:t>报价合计</w:t>
            </w:r>
          </w:p>
        </w:tc>
        <w:tc>
          <w:tcPr>
            <w:tcW w:w="4362" w:type="pct"/>
            <w:gridSpan w:val="3"/>
            <w:shd w:val="clear" w:color="auto" w:fill="auto"/>
            <w:vAlign w:val="center"/>
          </w:tcPr>
          <w:p w14:paraId="4B241147">
            <w:pPr>
              <w:spacing w:line="240" w:lineRule="auto"/>
              <w:jc w:val="both"/>
              <w:rPr>
                <w:rFonts w:hint="eastAsia"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eastAsia="zh-TW"/>
              </w:rPr>
              <w:t xml:space="preserve">    </w:t>
            </w:r>
            <w:r>
              <w:rPr>
                <w:rFonts w:ascii="Times New Roman" w:hAnsi="Times New Roman" w:eastAsia="仿宋" w:cs="Times New Roman"/>
                <w:kern w:val="0"/>
                <w:szCs w:val="21"/>
                <w:lang w:val="zh-TW" w:eastAsia="zh-TW"/>
              </w:rPr>
              <w:t>小写：</w:t>
            </w:r>
          </w:p>
        </w:tc>
      </w:tr>
    </w:tbl>
    <w:p w14:paraId="20A10B1C">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4A1DADA0">
      <w:pPr>
        <w:pStyle w:val="39"/>
        <w:rPr>
          <w:sz w:val="48"/>
          <w:szCs w:val="48"/>
        </w:rPr>
      </w:pPr>
      <w:r>
        <w:rPr>
          <w:rFonts w:hint="eastAsia"/>
          <w:sz w:val="48"/>
          <w:szCs w:val="48"/>
        </w:rPr>
        <w:t>*</w:t>
      </w:r>
      <w:r>
        <w:rPr>
          <w:sz w:val="48"/>
          <w:szCs w:val="48"/>
        </w:rPr>
        <w:t>**</w:t>
      </w:r>
      <w:r>
        <w:rPr>
          <w:rFonts w:hint="eastAsia"/>
          <w:sz w:val="48"/>
          <w:szCs w:val="48"/>
        </w:rPr>
        <w:t>服务项目</w:t>
      </w:r>
    </w:p>
    <w:p w14:paraId="04282C4C">
      <w:pPr>
        <w:pStyle w:val="39"/>
        <w:rPr>
          <w:sz w:val="48"/>
          <w:szCs w:val="48"/>
        </w:rPr>
      </w:pPr>
      <w:r>
        <w:rPr>
          <w:rFonts w:hint="eastAsia"/>
          <w:sz w:val="48"/>
          <w:szCs w:val="48"/>
        </w:rPr>
        <w:t>采购</w:t>
      </w:r>
      <w:r>
        <w:rPr>
          <w:sz w:val="48"/>
          <w:szCs w:val="48"/>
        </w:rPr>
        <w:t>合同</w:t>
      </w:r>
    </w:p>
    <w:p w14:paraId="0748937D">
      <w:pPr>
        <w:adjustRightInd w:val="0"/>
        <w:ind w:firstLine="420" w:firstLineChars="200"/>
        <w:contextualSpacing/>
        <w:jc w:val="left"/>
        <w:rPr>
          <w:color w:val="000000"/>
          <w:szCs w:val="21"/>
        </w:rPr>
      </w:pPr>
    </w:p>
    <w:p w14:paraId="4FB19C70">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765E2065">
        <w:tblPrEx>
          <w:tblCellMar>
            <w:top w:w="0" w:type="dxa"/>
            <w:left w:w="0" w:type="dxa"/>
            <w:bottom w:w="0" w:type="dxa"/>
            <w:right w:w="0" w:type="dxa"/>
          </w:tblCellMar>
        </w:tblPrEx>
        <w:trPr>
          <w:trHeight w:val="767" w:hRule="atLeast"/>
          <w:jc w:val="center"/>
        </w:trPr>
        <w:tc>
          <w:tcPr>
            <w:tcW w:w="10204" w:type="dxa"/>
            <w:gridSpan w:val="2"/>
          </w:tcPr>
          <w:p w14:paraId="732BCB77">
            <w:pPr>
              <w:contextualSpacing/>
              <w:rPr>
                <w:color w:val="000000"/>
                <w:szCs w:val="21"/>
              </w:rPr>
            </w:pPr>
            <w:r>
              <w:rPr>
                <w:b/>
                <w:bCs/>
                <w:color w:val="000000"/>
                <w:szCs w:val="21"/>
              </w:rPr>
              <w:t>合同编号</w:t>
            </w:r>
            <w:r>
              <w:rPr>
                <w:color w:val="000000"/>
                <w:szCs w:val="21"/>
              </w:rPr>
              <w:t>：CGZX-***</w:t>
            </w:r>
          </w:p>
          <w:p w14:paraId="6521A40B">
            <w:pPr>
              <w:contextualSpacing/>
              <w:rPr>
                <w:color w:val="000000"/>
                <w:szCs w:val="21"/>
              </w:rPr>
            </w:pPr>
            <w:r>
              <w:rPr>
                <w:b/>
                <w:bCs/>
                <w:color w:val="000000"/>
                <w:szCs w:val="21"/>
              </w:rPr>
              <w:t>签订地点</w:t>
            </w:r>
            <w:r>
              <w:rPr>
                <w:color w:val="000000"/>
                <w:szCs w:val="21"/>
              </w:rPr>
              <w:t>：四川省人民医院</w:t>
            </w:r>
          </w:p>
        </w:tc>
      </w:tr>
      <w:tr w14:paraId="139C764E">
        <w:tblPrEx>
          <w:tblCellMar>
            <w:top w:w="0" w:type="dxa"/>
            <w:left w:w="0" w:type="dxa"/>
            <w:bottom w:w="0" w:type="dxa"/>
            <w:right w:w="0" w:type="dxa"/>
          </w:tblCellMar>
        </w:tblPrEx>
        <w:trPr>
          <w:jc w:val="center"/>
        </w:trPr>
        <w:tc>
          <w:tcPr>
            <w:tcW w:w="4962" w:type="dxa"/>
          </w:tcPr>
          <w:p w14:paraId="159EAAF7">
            <w:pPr>
              <w:rPr>
                <w:szCs w:val="21"/>
              </w:rPr>
            </w:pPr>
            <w:r>
              <w:rPr>
                <w:b/>
                <w:bCs/>
                <w:szCs w:val="21"/>
              </w:rPr>
              <w:t>采购人（以下简称甲方）</w:t>
            </w:r>
            <w:r>
              <w:rPr>
                <w:szCs w:val="21"/>
              </w:rPr>
              <w:t>：四川省人民医院</w:t>
            </w:r>
          </w:p>
          <w:p w14:paraId="58117F67">
            <w:pPr>
              <w:rPr>
                <w:szCs w:val="21"/>
              </w:rPr>
            </w:pPr>
            <w:r>
              <w:rPr>
                <w:b/>
                <w:bCs/>
                <w:szCs w:val="21"/>
              </w:rPr>
              <w:t>地址</w:t>
            </w:r>
            <w:r>
              <w:rPr>
                <w:szCs w:val="21"/>
              </w:rPr>
              <w:t>：四川省成都市一环路西二段32号</w:t>
            </w:r>
          </w:p>
          <w:p w14:paraId="2A307575">
            <w:pPr>
              <w:rPr>
                <w:szCs w:val="21"/>
              </w:rPr>
            </w:pPr>
            <w:r>
              <w:rPr>
                <w:b/>
                <w:bCs/>
                <w:szCs w:val="21"/>
              </w:rPr>
              <w:t>项目联系人</w:t>
            </w:r>
            <w:r>
              <w:rPr>
                <w:szCs w:val="21"/>
              </w:rPr>
              <w:t xml:space="preserve">：*** </w:t>
            </w:r>
            <w:r>
              <w:rPr>
                <w:b/>
                <w:bCs/>
                <w:szCs w:val="21"/>
              </w:rPr>
              <w:t>电话</w:t>
            </w:r>
            <w:r>
              <w:rPr>
                <w:szCs w:val="21"/>
              </w:rPr>
              <w:t>：***</w:t>
            </w:r>
          </w:p>
          <w:p w14:paraId="1AE748C3">
            <w:r>
              <w:rPr>
                <w:rFonts w:hint="eastAsia"/>
                <w:b/>
                <w:bCs/>
                <w:szCs w:val="21"/>
              </w:rPr>
              <w:t>电子邮件：</w:t>
            </w:r>
            <w:r>
              <w:rPr>
                <w:rFonts w:hint="eastAsia"/>
                <w:szCs w:val="21"/>
              </w:rPr>
              <w:t>*</w:t>
            </w:r>
            <w:r>
              <w:rPr>
                <w:szCs w:val="21"/>
              </w:rPr>
              <w:t>**</w:t>
            </w:r>
          </w:p>
        </w:tc>
        <w:tc>
          <w:tcPr>
            <w:tcW w:w="5242" w:type="dxa"/>
          </w:tcPr>
          <w:p w14:paraId="56E63204">
            <w:pPr>
              <w:rPr>
                <w:b/>
                <w:bCs/>
                <w:szCs w:val="21"/>
              </w:rPr>
            </w:pPr>
            <w:r>
              <w:rPr>
                <w:b/>
                <w:bCs/>
                <w:szCs w:val="21"/>
              </w:rPr>
              <w:t>供应商（以下简称乙方）：***</w:t>
            </w:r>
          </w:p>
          <w:p w14:paraId="61247CA1">
            <w:pPr>
              <w:rPr>
                <w:b/>
                <w:bCs/>
                <w:szCs w:val="21"/>
              </w:rPr>
            </w:pPr>
            <w:r>
              <w:rPr>
                <w:b/>
                <w:bCs/>
                <w:szCs w:val="21"/>
              </w:rPr>
              <w:t>地址：***</w:t>
            </w:r>
          </w:p>
          <w:p w14:paraId="0748EE1F">
            <w:pPr>
              <w:rPr>
                <w:b/>
                <w:bCs/>
                <w:szCs w:val="21"/>
              </w:rPr>
            </w:pPr>
            <w:r>
              <w:rPr>
                <w:b/>
                <w:bCs/>
                <w:szCs w:val="21"/>
              </w:rPr>
              <w:t>移动电话：***</w:t>
            </w:r>
          </w:p>
          <w:p w14:paraId="1A68FCDB">
            <w:pPr>
              <w:contextualSpacing/>
              <w:rPr>
                <w:b/>
                <w:bCs/>
                <w:szCs w:val="21"/>
              </w:rPr>
            </w:pPr>
            <w:r>
              <w:rPr>
                <w:b/>
                <w:bCs/>
                <w:szCs w:val="21"/>
              </w:rPr>
              <w:t>联系人：***</w:t>
            </w:r>
          </w:p>
          <w:p w14:paraId="28B7DF60">
            <w:pPr>
              <w:rPr>
                <w:bCs/>
                <w:szCs w:val="21"/>
              </w:rPr>
            </w:pPr>
            <w:r>
              <w:rPr>
                <w:rFonts w:hint="eastAsia"/>
                <w:b/>
                <w:bCs/>
                <w:szCs w:val="21"/>
              </w:rPr>
              <w:t>电子邮件：</w:t>
            </w:r>
            <w:r>
              <w:rPr>
                <w:rFonts w:hint="eastAsia"/>
                <w:szCs w:val="21"/>
              </w:rPr>
              <w:t>*</w:t>
            </w:r>
            <w:r>
              <w:rPr>
                <w:szCs w:val="21"/>
              </w:rPr>
              <w:t>**</w:t>
            </w:r>
          </w:p>
        </w:tc>
      </w:tr>
    </w:tbl>
    <w:p w14:paraId="2EA78E17">
      <w:pPr>
        <w:ind w:firstLine="420" w:firstLineChars="200"/>
        <w:contextualSpacing/>
        <w:jc w:val="left"/>
        <w:rPr>
          <w:color w:val="000000"/>
          <w:szCs w:val="21"/>
        </w:rPr>
      </w:pPr>
    </w:p>
    <w:p w14:paraId="441E58E2">
      <w:pPr>
        <w:keepNext w:val="0"/>
        <w:keepLines w:val="0"/>
        <w:pageBreakBefore w:val="0"/>
        <w:kinsoku/>
        <w:wordWrap/>
        <w:overflowPunct/>
        <w:topLinePunct w:val="0"/>
        <w:autoSpaceDE/>
        <w:autoSpaceDN/>
        <w:bidi w:val="0"/>
        <w:adjustRightInd w:val="0"/>
        <w:spacing w:line="380" w:lineRule="exact"/>
        <w:ind w:firstLine="420" w:firstLineChars="200"/>
        <w:contextualSpacing/>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t>根据《中华人民共和国民法典》及甲方发布的***项目（项目编号</w:t>
      </w:r>
      <w:permStart w:id="0" w:edGrp="everyone"/>
      <w:r>
        <w:rPr>
          <w:rFonts w:hint="eastAsia" w:ascii="宋体" w:hAnsi="宋体" w:eastAsia="宋体" w:cs="宋体"/>
          <w:color w:val="000000"/>
          <w:sz w:val="21"/>
          <w:szCs w:val="21"/>
        </w:rPr>
        <w:t>：</w:t>
      </w:r>
      <w:r>
        <w:rPr>
          <w:rFonts w:hint="eastAsia" w:ascii="宋体" w:hAnsi="宋体" w:eastAsia="宋体" w:cs="宋体"/>
          <w:sz w:val="21"/>
          <w:szCs w:val="21"/>
        </w:rPr>
        <w:t>***</w:t>
      </w:r>
      <w:permEnd w:id="0"/>
      <w:r>
        <w:rPr>
          <w:rFonts w:hint="eastAsia" w:ascii="宋体" w:hAnsi="宋体" w:eastAsia="宋体" w:cs="宋体"/>
          <w:color w:val="000000"/>
          <w:sz w:val="21"/>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73FA94FD">
      <w:pPr>
        <w:keepNext w:val="0"/>
        <w:keepLines w:val="0"/>
        <w:pageBreakBefore w:val="0"/>
        <w:kinsoku/>
        <w:wordWrap/>
        <w:overflowPunct/>
        <w:topLinePunct w:val="0"/>
        <w:autoSpaceDE/>
        <w:autoSpaceDN/>
        <w:bidi w:val="0"/>
        <w:spacing w:line="380" w:lineRule="exact"/>
        <w:contextualSpacing/>
        <w:jc w:val="left"/>
        <w:textAlignment w:val="auto"/>
        <w:rPr>
          <w:rFonts w:hint="eastAsia" w:ascii="宋体" w:hAnsi="宋体" w:eastAsia="宋体" w:cs="宋体"/>
          <w:b/>
          <w:sz w:val="21"/>
          <w:szCs w:val="21"/>
        </w:rPr>
      </w:pPr>
    </w:p>
    <w:p w14:paraId="7056C779">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合同标的</w:t>
      </w:r>
    </w:p>
    <w:p w14:paraId="415479D1">
      <w:pPr>
        <w:pStyle w:val="9"/>
        <w:keepNext w:val="0"/>
        <w:keepLines w:val="0"/>
        <w:pageBreakBefore w:val="0"/>
        <w:numPr>
          <w:ilvl w:val="0"/>
          <w:numId w:val="16"/>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标的名称：</w:t>
      </w:r>
      <w:permStart w:id="1" w:edGrp="everyone"/>
      <w:r>
        <w:rPr>
          <w:rFonts w:hint="eastAsia" w:ascii="宋体" w:hAnsi="宋体" w:eastAsia="宋体" w:cs="宋体"/>
          <w:sz w:val="21"/>
          <w:szCs w:val="21"/>
        </w:rPr>
        <w:t>***</w:t>
      </w:r>
      <w:permEnd w:id="1"/>
      <w:r>
        <w:rPr>
          <w:rFonts w:hint="eastAsia" w:ascii="宋体" w:hAnsi="宋体" w:eastAsia="宋体" w:cs="宋体"/>
          <w:sz w:val="21"/>
          <w:szCs w:val="21"/>
        </w:rPr>
        <w:t>。</w:t>
      </w:r>
    </w:p>
    <w:p w14:paraId="3BF9DD04">
      <w:pPr>
        <w:pStyle w:val="9"/>
        <w:keepNext w:val="0"/>
        <w:keepLines w:val="0"/>
        <w:pageBreakBefore w:val="0"/>
        <w:numPr>
          <w:ilvl w:val="0"/>
          <w:numId w:val="16"/>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乙方向甲方提供服务的主要内容：***。</w:t>
      </w:r>
    </w:p>
    <w:p w14:paraId="6D2EB496">
      <w:pPr>
        <w:pStyle w:val="9"/>
        <w:keepNext w:val="0"/>
        <w:keepLines w:val="0"/>
        <w:pageBreakBefore w:val="0"/>
        <w:numPr>
          <w:ilvl w:val="0"/>
          <w:numId w:val="16"/>
        </w:numPr>
        <w:kinsoku/>
        <w:wordWrap/>
        <w:overflowPunct/>
        <w:topLinePunct w:val="0"/>
        <w:autoSpaceDE/>
        <w:autoSpaceDN/>
        <w:bidi w:val="0"/>
        <w:spacing w:after="0" w:line="380" w:lineRule="exact"/>
        <w:ind w:left="210" w:leftChars="0" w:hanging="210" w:hangingChars="1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服务分项明细：</w:t>
      </w:r>
      <w:r>
        <w:rPr>
          <w:rFonts w:hint="eastAsia" w:ascii="宋体" w:hAnsi="宋体" w:eastAsia="宋体" w:cs="宋体"/>
          <w:i/>
          <w:iCs/>
          <w:color w:val="000000"/>
          <w:sz w:val="21"/>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10E9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3FB9A22">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序号</w:t>
            </w:r>
          </w:p>
        </w:tc>
        <w:tc>
          <w:tcPr>
            <w:tcW w:w="2977" w:type="dxa"/>
            <w:vAlign w:val="center"/>
          </w:tcPr>
          <w:p w14:paraId="3771F800">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分项服务名称</w:t>
            </w:r>
          </w:p>
        </w:tc>
        <w:tc>
          <w:tcPr>
            <w:tcW w:w="3686" w:type="dxa"/>
            <w:vAlign w:val="center"/>
          </w:tcPr>
          <w:p w14:paraId="57B98AC9">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具体内容</w:t>
            </w:r>
          </w:p>
        </w:tc>
        <w:tc>
          <w:tcPr>
            <w:tcW w:w="963" w:type="dxa"/>
            <w:vAlign w:val="center"/>
          </w:tcPr>
          <w:p w14:paraId="6C4FA119">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分项价格（万元）</w:t>
            </w:r>
          </w:p>
        </w:tc>
        <w:tc>
          <w:tcPr>
            <w:tcW w:w="2016" w:type="dxa"/>
          </w:tcPr>
          <w:p w14:paraId="244801FB">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备注</w:t>
            </w:r>
          </w:p>
        </w:tc>
      </w:tr>
      <w:tr w14:paraId="438F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582AD6D">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977" w:type="dxa"/>
            <w:vAlign w:val="center"/>
          </w:tcPr>
          <w:p w14:paraId="11F0DA10">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62B17BE">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ECDA59F">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7BA806A3">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F03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7B340F5">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2977" w:type="dxa"/>
            <w:vAlign w:val="center"/>
          </w:tcPr>
          <w:p w14:paraId="169BC297">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4AFAE82A">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10E29181">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5FD0073">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749F1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0CDE7B27">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2977" w:type="dxa"/>
            <w:vAlign w:val="center"/>
          </w:tcPr>
          <w:p w14:paraId="2CE6C4D3">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09D28D0D">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773D6A1D">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542047A3">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r w14:paraId="3B27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82A42DB">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w:t>
            </w:r>
          </w:p>
        </w:tc>
        <w:tc>
          <w:tcPr>
            <w:tcW w:w="2977" w:type="dxa"/>
            <w:vAlign w:val="center"/>
          </w:tcPr>
          <w:p w14:paraId="28940AE5">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3686" w:type="dxa"/>
            <w:vAlign w:val="center"/>
          </w:tcPr>
          <w:p w14:paraId="30698DDF">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c>
          <w:tcPr>
            <w:tcW w:w="963" w:type="dxa"/>
            <w:vAlign w:val="center"/>
          </w:tcPr>
          <w:p w14:paraId="5561E28F">
            <w:pPr>
              <w:pStyle w:val="27"/>
              <w:keepNext w:val="0"/>
              <w:keepLines w:val="0"/>
              <w:pageBreakBefore w:val="0"/>
              <w:kinsoku/>
              <w:wordWrap/>
              <w:overflowPunct/>
              <w:topLinePunct w:val="0"/>
              <w:autoSpaceDE/>
              <w:autoSpaceDN/>
              <w:bidi w:val="0"/>
              <w:spacing w:line="380" w:lineRule="exact"/>
              <w:ind w:firstLine="0" w:firstLineChars="0"/>
              <w:jc w:val="center"/>
              <w:textAlignment w:val="auto"/>
              <w:rPr>
                <w:rFonts w:hint="eastAsia" w:ascii="宋体" w:hAnsi="宋体" w:eastAsia="宋体" w:cs="宋体"/>
                <w:color w:val="000000"/>
                <w:sz w:val="21"/>
                <w:szCs w:val="21"/>
              </w:rPr>
            </w:pPr>
          </w:p>
        </w:tc>
        <w:tc>
          <w:tcPr>
            <w:tcW w:w="2016" w:type="dxa"/>
          </w:tcPr>
          <w:p w14:paraId="11260044">
            <w:pPr>
              <w:pStyle w:val="27"/>
              <w:keepNext w:val="0"/>
              <w:keepLines w:val="0"/>
              <w:pageBreakBefore w:val="0"/>
              <w:kinsoku/>
              <w:wordWrap/>
              <w:overflowPunct/>
              <w:topLinePunct w:val="0"/>
              <w:autoSpaceDE/>
              <w:autoSpaceDN/>
              <w:bidi w:val="0"/>
              <w:spacing w:line="380" w:lineRule="exact"/>
              <w:ind w:firstLine="0" w:firstLineChars="0"/>
              <w:textAlignment w:val="auto"/>
              <w:rPr>
                <w:rFonts w:hint="eastAsia" w:ascii="宋体" w:hAnsi="宋体" w:eastAsia="宋体" w:cs="宋体"/>
                <w:color w:val="000000"/>
                <w:sz w:val="21"/>
                <w:szCs w:val="21"/>
              </w:rPr>
            </w:pPr>
          </w:p>
        </w:tc>
      </w:tr>
    </w:tbl>
    <w:p w14:paraId="68219535">
      <w:pPr>
        <w:pStyle w:val="27"/>
        <w:keepNext w:val="0"/>
        <w:keepLines w:val="0"/>
        <w:pageBreakBefore w:val="0"/>
        <w:numPr>
          <w:ilvl w:val="0"/>
          <w:numId w:val="15"/>
        </w:numPr>
        <w:kinsoku/>
        <w:wordWrap/>
        <w:overflowPunct/>
        <w:topLinePunct w:val="0"/>
        <w:autoSpaceDE/>
        <w:autoSpaceDN/>
        <w:bidi w:val="0"/>
        <w:spacing w:line="380" w:lineRule="exact"/>
        <w:ind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合同价款</w:t>
      </w:r>
    </w:p>
    <w:p w14:paraId="5AABFA69">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bookmarkStart w:id="95" w:name="OLE_LINK1"/>
      <w:bookmarkStart w:id="96" w:name="OLE_LINK2"/>
      <w:r>
        <w:rPr>
          <w:rFonts w:hint="eastAsia" w:ascii="宋体" w:hAnsi="宋体" w:eastAsia="宋体" w:cs="宋体"/>
          <w:color w:val="000000"/>
          <w:sz w:val="21"/>
          <w:szCs w:val="21"/>
        </w:rPr>
        <w:sym w:font="Wingdings 2" w:char="F052"/>
      </w:r>
      <w:r>
        <w:rPr>
          <w:rFonts w:hint="eastAsia" w:ascii="宋体" w:hAnsi="宋体" w:eastAsia="宋体" w:cs="宋体"/>
          <w:sz w:val="21"/>
          <w:szCs w:val="21"/>
        </w:rPr>
        <w:t>全包服务</w:t>
      </w:r>
    </w:p>
    <w:p w14:paraId="2AE35938">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D7A97F3">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半包服务</w:t>
      </w:r>
    </w:p>
    <w:p w14:paraId="0B7863E9">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1.本合同固定部分价款为</w:t>
      </w:r>
      <w:bookmarkStart w:id="97" w:name="OLE_LINK28"/>
      <w:r>
        <w:rPr>
          <w:rFonts w:hint="eastAsia" w:ascii="宋体" w:hAnsi="宋体" w:eastAsia="宋体" w:cs="宋体"/>
          <w:sz w:val="21"/>
          <w:szCs w:val="21"/>
        </w:rPr>
        <w:t>人民币大写：*** 圆整，即RMB *** 元</w:t>
      </w:r>
      <w:bookmarkEnd w:id="97"/>
      <w:r>
        <w:rPr>
          <w:rFonts w:hint="eastAsia" w:ascii="宋体" w:hAnsi="宋体" w:eastAsia="宋体" w:cs="宋体"/>
          <w:sz w:val="21"/>
          <w:szCs w:val="21"/>
        </w:rPr>
        <w:t>，该部分价款已包括***及税费在内的全部含税费用。本合同执行期间该部分合同价款不变，甲方无须向乙方支付本合同规定之外的其他任何费用。</w:t>
      </w:r>
    </w:p>
    <w:p w14:paraId="3C7CF0E4">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 w:val="21"/>
          <w:szCs w:val="21"/>
          <w:highlight w:val="yellow"/>
        </w:rPr>
        <w:t>&lt;根据项目实际情况编制结算依据、标准等必要内容&gt;</w:t>
      </w:r>
    </w:p>
    <w:p w14:paraId="3D7C634B">
      <w:pPr>
        <w:keepNext w:val="0"/>
        <w:keepLines w:val="0"/>
        <w:pageBreakBefore w:val="0"/>
        <w:kinsoku/>
        <w:wordWrap/>
        <w:overflowPunct/>
        <w:topLinePunct w:val="0"/>
        <w:autoSpaceDE/>
        <w:autoSpaceDN/>
        <w:bidi w:val="0"/>
        <w:spacing w:line="380" w:lineRule="exact"/>
        <w:ind w:firstLine="480"/>
        <w:contextualSpacing/>
        <w:jc w:val="left"/>
        <w:textAlignment w:val="auto"/>
        <w:rPr>
          <w:rFonts w:hint="eastAsia" w:ascii="宋体" w:hAnsi="宋体" w:eastAsia="宋体" w:cs="宋体"/>
          <w:sz w:val="21"/>
          <w:szCs w:val="21"/>
        </w:rPr>
      </w:pP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sz w:val="21"/>
          <w:szCs w:val="21"/>
        </w:rPr>
        <w:t>按实结算</w:t>
      </w:r>
    </w:p>
    <w:p w14:paraId="1E1C3EEC">
      <w:pPr>
        <w:keepNext w:val="0"/>
        <w:keepLines w:val="0"/>
        <w:pageBreakBefore w:val="0"/>
        <w:kinsoku/>
        <w:wordWrap/>
        <w:overflowPunct/>
        <w:topLinePunct w:val="0"/>
        <w:autoSpaceDE/>
        <w:autoSpaceDN/>
        <w:bidi w:val="0"/>
        <w:spacing w:line="380" w:lineRule="exact"/>
        <w:ind w:left="420" w:leftChars="200"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本合同支付总额不超过人民币大写：*** 圆整，即RMB *** 元，依据本合同单价进行结算，结算单价详见附件1《结算单价清单》。</w:t>
      </w:r>
    </w:p>
    <w:bookmarkEnd w:id="95"/>
    <w:bookmarkEnd w:id="96"/>
    <w:p w14:paraId="340C2782">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jc w:val="left"/>
        <w:textAlignment w:val="auto"/>
        <w:rPr>
          <w:rFonts w:hint="eastAsia" w:ascii="宋体" w:hAnsi="宋体" w:eastAsia="宋体" w:cs="宋体"/>
          <w:b/>
          <w:sz w:val="21"/>
          <w:szCs w:val="21"/>
        </w:rPr>
      </w:pPr>
      <w:r>
        <w:rPr>
          <w:rFonts w:hint="eastAsia" w:ascii="宋体" w:hAnsi="宋体" w:eastAsia="宋体" w:cs="宋体"/>
          <w:b/>
          <w:sz w:val="21"/>
          <w:szCs w:val="21"/>
        </w:rPr>
        <w:t>服务期限</w:t>
      </w:r>
      <w:r>
        <w:rPr>
          <w:rFonts w:hint="eastAsia" w:ascii="宋体" w:hAnsi="宋体" w:eastAsia="宋体" w:cs="宋体"/>
          <w:i/>
          <w:iCs/>
          <w:sz w:val="21"/>
          <w:szCs w:val="21"/>
          <w:highlight w:val="yellow"/>
        </w:rPr>
        <w:t>&lt;根据项目实际情况选择&gt;</w:t>
      </w:r>
    </w:p>
    <w:p w14:paraId="4BE0F017">
      <w:pPr>
        <w:pStyle w:val="27"/>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本</w:t>
      </w:r>
      <w:r>
        <w:rPr>
          <w:rFonts w:hint="eastAsia" w:ascii="宋体" w:hAnsi="宋体" w:eastAsia="宋体" w:cs="宋体"/>
          <w:bCs/>
          <w:sz w:val="21"/>
          <w:szCs w:val="21"/>
        </w:rPr>
        <w:t>合同服务期限为 *** 年，自 202* 年 *** 月 *** 日起至 202* 年 *** 月 *** 日。</w:t>
      </w:r>
    </w:p>
    <w:p w14:paraId="6E934571">
      <w:pPr>
        <w:pStyle w:val="27"/>
        <w:keepNext w:val="0"/>
        <w:keepLines w:val="0"/>
        <w:pageBreakBefore w:val="0"/>
        <w:kinsoku/>
        <w:wordWrap/>
        <w:overflowPunct/>
        <w:topLinePunct w:val="0"/>
        <w:autoSpaceDE/>
        <w:autoSpaceDN/>
        <w:bidi w:val="0"/>
        <w:spacing w:line="380" w:lineRule="exact"/>
        <w:jc w:val="left"/>
        <w:textAlignment w:val="auto"/>
        <w:rPr>
          <w:rFonts w:hint="eastAsia" w:ascii="宋体" w:hAnsi="宋体" w:eastAsia="宋体" w:cs="宋体"/>
          <w:bCs/>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本合同服务期限为双方签字盖章生效之日起 *** 年，即自 202* 年 *** 月 *** 日起至 202* 年 *** 月 *** 日。</w:t>
      </w:r>
    </w:p>
    <w:p w14:paraId="3061A74C">
      <w:pPr>
        <w:pStyle w:val="27"/>
        <w:keepNext w:val="0"/>
        <w:keepLines w:val="0"/>
        <w:pageBreakBefore w:val="0"/>
        <w:kinsoku/>
        <w:wordWrap/>
        <w:overflowPunct/>
        <w:topLinePunct w:val="0"/>
        <w:autoSpaceDE/>
        <w:autoSpaceDN/>
        <w:bidi w:val="0"/>
        <w:spacing w:line="380" w:lineRule="exact"/>
        <w:ind w:left="105" w:leftChars="50" w:firstLine="315" w:firstLineChars="150"/>
        <w:jc w:val="left"/>
        <w:textAlignment w:val="auto"/>
        <w:rPr>
          <w:rFonts w:hint="eastAsia" w:ascii="宋体" w:hAnsi="宋体" w:eastAsia="宋体" w:cs="宋体"/>
          <w:b/>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bCs/>
          <w:sz w:val="21"/>
          <w:szCs w:val="21"/>
        </w:rPr>
        <w:t>本项目服务期为</w:t>
      </w:r>
      <w:r>
        <w:rPr>
          <w:rFonts w:hint="eastAsia" w:ascii="宋体" w:hAnsi="宋体" w:eastAsia="宋体" w:cs="宋体"/>
          <w:bCs/>
          <w:sz w:val="21"/>
          <w:szCs w:val="21"/>
          <w:u w:val="single"/>
        </w:rPr>
        <w:t>叁</w:t>
      </w:r>
      <w:r>
        <w:rPr>
          <w:rFonts w:hint="eastAsia" w:ascii="宋体" w:hAnsi="宋体" w:eastAsia="宋体" w:cs="宋体"/>
          <w:bCs/>
          <w:sz w:val="21"/>
          <w:szCs w:val="21"/>
        </w:rPr>
        <w:t>年（自202*年**月**日到202*年**月**日），合同一年一签，每年服务费为人民币 *** 元（大写：*** 圆整）。本合同为第***期，服务期为自202*年***月***日至202*年**月**日</w:t>
      </w:r>
      <w:r>
        <w:rPr>
          <w:rFonts w:hint="eastAsia" w:ascii="宋体" w:hAnsi="宋体" w:eastAsia="宋体" w:cs="宋体"/>
          <w:bCs/>
          <w:sz w:val="21"/>
          <w:szCs w:val="21"/>
          <w:u w:val="single"/>
        </w:rPr>
        <w:t>，经甲方考核合格后续签下一年合同</w:t>
      </w:r>
      <w:bookmarkStart w:id="98" w:name="OLE_LINK29"/>
      <w:r>
        <w:rPr>
          <w:rFonts w:hint="eastAsia" w:ascii="宋体" w:hAnsi="宋体" w:eastAsia="宋体" w:cs="宋体"/>
          <w:bCs/>
          <w:sz w:val="21"/>
          <w:szCs w:val="21"/>
        </w:rPr>
        <w:t>，考核标准详见附件</w:t>
      </w:r>
      <w:r>
        <w:rPr>
          <w:rFonts w:hint="eastAsia" w:ascii="宋体" w:hAnsi="宋体" w:eastAsia="宋体" w:cs="宋体"/>
          <w:bCs/>
          <w:sz w:val="21"/>
          <w:szCs w:val="21"/>
          <w:u w:val="single"/>
        </w:rPr>
        <w:t>2</w:t>
      </w:r>
      <w:r>
        <w:rPr>
          <w:rFonts w:hint="eastAsia" w:ascii="宋体" w:hAnsi="宋体" w:eastAsia="宋体" w:cs="宋体"/>
          <w:bCs/>
          <w:sz w:val="21"/>
          <w:szCs w:val="21"/>
        </w:rPr>
        <w:t>《考核标准》</w:t>
      </w:r>
      <w:bookmarkEnd w:id="98"/>
      <w:r>
        <w:rPr>
          <w:rFonts w:hint="eastAsia" w:ascii="宋体" w:hAnsi="宋体" w:eastAsia="宋体" w:cs="宋体"/>
          <w:bCs/>
          <w:sz w:val="21"/>
          <w:szCs w:val="21"/>
        </w:rPr>
        <w:t>。</w:t>
      </w:r>
    </w:p>
    <w:p w14:paraId="1345B3CD">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服务方案</w:t>
      </w:r>
    </w:p>
    <w:p w14:paraId="2DFF92A6">
      <w:pPr>
        <w:keepNext w:val="0"/>
        <w:keepLines w:val="0"/>
        <w:pageBreakBefore w:val="0"/>
        <w:kinsoku/>
        <w:wordWrap/>
        <w:overflowPunct/>
        <w:topLinePunct w:val="0"/>
        <w:autoSpaceDE/>
        <w:autoSpaceDN/>
        <w:bidi w:val="0"/>
        <w:spacing w:line="380" w:lineRule="exact"/>
        <w:ind w:firstLine="420" w:firstLineChars="200"/>
        <w:contextualSpacing/>
        <w:jc w:val="left"/>
        <w:textAlignment w:val="auto"/>
        <w:rPr>
          <w:rFonts w:hint="eastAsia" w:ascii="宋体" w:hAnsi="宋体" w:eastAsia="宋体" w:cs="宋体"/>
          <w:sz w:val="21"/>
          <w:szCs w:val="21"/>
        </w:rPr>
      </w:pPr>
      <w:r>
        <w:rPr>
          <w:rFonts w:hint="eastAsia" w:ascii="宋体" w:hAnsi="宋体" w:eastAsia="宋体" w:cs="宋体"/>
          <w:bCs/>
          <w:sz w:val="21"/>
          <w:szCs w:val="21"/>
        </w:rPr>
        <w:t>乙方应严格按照本合同服务方案和甲方要求提供服务，服务方案详见附件3《服务方案》。</w:t>
      </w:r>
    </w:p>
    <w:p w14:paraId="63FC2639">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验收</w:t>
      </w:r>
    </w:p>
    <w:p w14:paraId="236C5AD2">
      <w:pPr>
        <w:pStyle w:val="27"/>
        <w:keepNext w:val="0"/>
        <w:keepLines w:val="0"/>
        <w:pageBreakBefore w:val="0"/>
        <w:numPr>
          <w:ilvl w:val="0"/>
          <w:numId w:val="17"/>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甲、乙双方确定，按照本合同约定的验收方案对乙方按本合同约定所提供的服务进行验收。</w:t>
      </w:r>
    </w:p>
    <w:p w14:paraId="127A3D11">
      <w:pPr>
        <w:pStyle w:val="27"/>
        <w:keepNext w:val="0"/>
        <w:keepLines w:val="0"/>
        <w:pageBreakBefore w:val="0"/>
        <w:numPr>
          <w:ilvl w:val="0"/>
          <w:numId w:val="17"/>
        </w:numPr>
        <w:kinsoku/>
        <w:wordWrap/>
        <w:overflowPunct/>
        <w:topLinePunct w:val="0"/>
        <w:autoSpaceDE/>
        <w:autoSpaceDN/>
        <w:bidi w:val="0"/>
        <w:spacing w:line="380" w:lineRule="exact"/>
        <w:ind w:left="0" w:firstLine="0"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验收方案：</w:t>
      </w:r>
    </w:p>
    <w:p w14:paraId="2D539E51">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验收主体：甲方</w:t>
      </w:r>
    </w:p>
    <w:p w14:paraId="295587D2">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验收组织方式：自行验收</w:t>
      </w:r>
    </w:p>
    <w:p w14:paraId="34F2CC8C">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验收程序：</w:t>
      </w:r>
      <w:r>
        <w:rPr>
          <w:rFonts w:hint="eastAsia" w:ascii="宋体" w:hAnsi="宋体" w:eastAsia="宋体" w:cs="宋体"/>
          <w:sz w:val="21"/>
          <w:szCs w:val="21"/>
        </w:rPr>
        <w:sym w:font="Wingdings 2" w:char="F052"/>
      </w:r>
      <w:r>
        <w:rPr>
          <w:rFonts w:hint="eastAsia" w:ascii="宋体" w:hAnsi="宋体" w:eastAsia="宋体" w:cs="宋体"/>
          <w:color w:val="000000"/>
          <w:sz w:val="21"/>
          <w:szCs w:val="21"/>
        </w:rPr>
        <w:t xml:space="preserve">一次性验收   </w:t>
      </w:r>
      <w:r>
        <w:rPr>
          <w:rFonts w:hint="eastAsia" w:ascii="宋体" w:hAnsi="宋体" w:eastAsia="宋体" w:cs="宋体"/>
          <w:sz w:val="21"/>
          <w:szCs w:val="21"/>
        </w:rPr>
        <w:sym w:font="Wingdings" w:char="F0A8"/>
      </w:r>
      <w:r>
        <w:rPr>
          <w:rFonts w:hint="eastAsia" w:ascii="宋体" w:hAnsi="宋体" w:eastAsia="宋体" w:cs="宋体"/>
          <w:color w:val="000000"/>
          <w:sz w:val="21"/>
          <w:szCs w:val="21"/>
        </w:rPr>
        <w:t>分段/分期验收</w:t>
      </w:r>
    </w:p>
    <w:p w14:paraId="2E46B810">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验收方式：</w:t>
      </w: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现场整体验收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考核验收</w:t>
      </w:r>
      <w:r>
        <w:rPr>
          <w:rFonts w:hint="eastAsia" w:ascii="宋体" w:hAnsi="宋体" w:eastAsia="宋体" w:cs="宋体"/>
          <w:color w:val="000000"/>
          <w:kern w:val="0"/>
          <w:sz w:val="21"/>
          <w:szCs w:val="21"/>
          <w:shd w:val="clear" w:color="auto" w:fill="FFFFFF"/>
        </w:rPr>
        <w:t xml:space="preserve">   </w:t>
      </w:r>
      <w:r>
        <w:rPr>
          <w:rFonts w:hint="eastAsia" w:ascii="宋体" w:hAnsi="宋体" w:eastAsia="宋体" w:cs="宋体"/>
          <w:color w:val="000000"/>
          <w:sz w:val="21"/>
          <w:szCs w:val="21"/>
          <w:shd w:val="clear" w:color="auto" w:fill="FFFFFF"/>
        </w:rPr>
        <w:sym w:font="Wingdings" w:char="F0A8"/>
      </w:r>
      <w:r>
        <w:rPr>
          <w:rFonts w:hint="eastAsia" w:ascii="宋体" w:hAnsi="宋体" w:eastAsia="宋体" w:cs="宋体"/>
          <w:color w:val="000000"/>
          <w:sz w:val="21"/>
          <w:szCs w:val="21"/>
          <w:shd w:val="clear" w:color="auto" w:fill="FFFFFF"/>
        </w:rPr>
        <w:t>其它验收方式：</w:t>
      </w:r>
      <w:r>
        <w:rPr>
          <w:rFonts w:hint="eastAsia" w:ascii="宋体" w:hAnsi="宋体" w:eastAsia="宋体" w:cs="宋体"/>
          <w:color w:val="000000"/>
          <w:sz w:val="21"/>
          <w:szCs w:val="21"/>
          <w:u w:val="single"/>
          <w:shd w:val="clear" w:color="auto" w:fill="FFFFFF"/>
        </w:rPr>
        <w:t>***</w:t>
      </w:r>
    </w:p>
    <w:p w14:paraId="5B04528B">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履约验收内容：按照甲方的采购文件要求及乙方响应文件响应情况，由乙方向甲方提供的</w:t>
      </w:r>
      <w:r>
        <w:rPr>
          <w:rFonts w:hint="eastAsia" w:ascii="宋体" w:hAnsi="宋体" w:eastAsia="宋体" w:cs="宋体"/>
          <w:sz w:val="21"/>
          <w:szCs w:val="21"/>
          <w:u w:val="single"/>
        </w:rPr>
        <w:t>全部服务</w:t>
      </w:r>
      <w:r>
        <w:rPr>
          <w:rFonts w:hint="eastAsia" w:ascii="宋体" w:hAnsi="宋体" w:eastAsia="宋体" w:cs="宋体"/>
          <w:sz w:val="21"/>
          <w:szCs w:val="21"/>
        </w:rPr>
        <w:t>的履约情况。</w:t>
      </w:r>
    </w:p>
    <w:p w14:paraId="39A66DC0">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履约验收时间：</w:t>
      </w:r>
    </w:p>
    <w:p w14:paraId="648CD316">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服务期满且乙方完成所有服务内容后X日内通知甲方验收，甲方接乙方通知后X日内组织验收</w:t>
      </w:r>
    </w:p>
    <w:p w14:paraId="3670B147">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乙方完成每一阶段或轮次服务内容后X日内通知甲方验收，甲方接乙方通知后X日内组织验收</w:t>
      </w:r>
    </w:p>
    <w:p w14:paraId="5C285C00">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甲方完成考核后X日内组织验收</w:t>
      </w:r>
    </w:p>
    <w:p w14:paraId="467A026E">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 xml:space="preserve">其它验收时间：            </w:t>
      </w:r>
    </w:p>
    <w:p w14:paraId="6032832C">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是否邀请本项目的其他供应商：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3DE4A81">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是否邀请专家：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0ADBF2E">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 xml:space="preserve">是否邀请服务对象：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48D634F9">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是否邀请第三方检测机构：</w:t>
      </w:r>
      <w:r>
        <w:rPr>
          <w:rFonts w:hint="eastAsia" w:ascii="宋体" w:hAnsi="宋体" w:eastAsia="宋体" w:cs="宋体"/>
          <w:kern w:val="0"/>
          <w:sz w:val="21"/>
          <w:szCs w:val="21"/>
          <w:shd w:val="clear" w:color="auto" w:fill="FFFFFF"/>
        </w:rPr>
        <w:t xml:space="preserve"> </w:t>
      </w:r>
      <w:r>
        <w:rPr>
          <w:rFonts w:hint="eastAsia" w:ascii="宋体" w:hAnsi="宋体" w:eastAsia="宋体" w:cs="宋体"/>
          <w:kern w:val="0"/>
          <w:sz w:val="21"/>
          <w:szCs w:val="21"/>
          <w:shd w:val="clear" w:color="auto" w:fill="FFFFFF"/>
        </w:rPr>
        <w:sym w:font="Wingdings" w:char="F0A8"/>
      </w:r>
      <w:r>
        <w:rPr>
          <w:rFonts w:hint="eastAsia" w:ascii="宋体" w:hAnsi="宋体" w:eastAsia="宋体" w:cs="宋体"/>
          <w:sz w:val="21"/>
          <w:szCs w:val="21"/>
          <w:shd w:val="clear" w:color="auto" w:fill="FFFFFF"/>
        </w:rPr>
        <w:t xml:space="preserve">是   </w:t>
      </w:r>
      <w:r>
        <w:rPr>
          <w:rFonts w:hint="eastAsia" w:ascii="宋体" w:hAnsi="宋体" w:eastAsia="宋体" w:cs="宋体"/>
          <w:kern w:val="0"/>
          <w:sz w:val="21"/>
          <w:szCs w:val="21"/>
        </w:rPr>
        <w:sym w:font="Wingdings 2" w:char="F052"/>
      </w:r>
      <w:r>
        <w:rPr>
          <w:rFonts w:hint="eastAsia" w:ascii="宋体" w:hAnsi="宋体" w:eastAsia="宋体" w:cs="宋体"/>
          <w:sz w:val="21"/>
          <w:szCs w:val="21"/>
          <w:shd w:val="clear" w:color="auto" w:fill="FFFFFF"/>
        </w:rPr>
        <w:t>否</w:t>
      </w:r>
    </w:p>
    <w:p w14:paraId="17ADBF3D">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验收标准：</w:t>
      </w:r>
    </w:p>
    <w:p w14:paraId="7DF51521">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bookmarkStart w:id="99" w:name="OLE_LINK4"/>
      <w:r>
        <w:rPr>
          <w:rFonts w:hint="eastAsia" w:ascii="宋体" w:hAnsi="宋体" w:eastAsia="宋体" w:cs="宋体"/>
          <w:sz w:val="21"/>
          <w:szCs w:val="21"/>
          <w:shd w:val="clear" w:color="auto" w:fill="FFFFFF"/>
        </w:rPr>
        <w:t>国家相关法律法规、行业标准、技术规范。</w:t>
      </w:r>
    </w:p>
    <w:p w14:paraId="250FB2C4">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甲方采购文件相关技术、服务要求、乙方响应文件相关响应内容。</w:t>
      </w:r>
    </w:p>
    <w:p w14:paraId="49CB302A">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如本项目验收方式为考核验收，则考核结果须为合格。</w:t>
      </w:r>
    </w:p>
    <w:bookmarkEnd w:id="99"/>
    <w:p w14:paraId="7B51151F">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如验收时，甲方与乙方认为本项目验收标准中的技术指标、质量要求等内容存在相互抵触或对其理解存在异议，应按照其中更严格的要求、标准等进行验收。</w:t>
      </w:r>
    </w:p>
    <w:p w14:paraId="1F93FEF8">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参照《财政部关于进一步加强政府采购需求和履约验收管理的指导意见》（财库〔2016〕205号）的要求进行验收。</w:t>
      </w:r>
    </w:p>
    <w:p w14:paraId="0A93B369">
      <w:pPr>
        <w:pStyle w:val="16"/>
        <w:keepNext w:val="0"/>
        <w:keepLines w:val="0"/>
        <w:pageBreakBefore w:val="0"/>
        <w:numPr>
          <w:ilvl w:val="0"/>
          <w:numId w:val="19"/>
        </w:numPr>
        <w:kinsoku/>
        <w:wordWrap/>
        <w:overflowPunct/>
        <w:topLinePunct w:val="0"/>
        <w:autoSpaceDE/>
        <w:autoSpaceDN/>
        <w:bidi w:val="0"/>
        <w:spacing w:before="0" w:after="0"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其它标准：</w:t>
      </w:r>
      <w:r>
        <w:rPr>
          <w:rFonts w:hint="eastAsia" w:ascii="宋体" w:hAnsi="宋体" w:eastAsia="宋体" w:cs="宋体"/>
          <w:sz w:val="21"/>
          <w:szCs w:val="21"/>
          <w:u w:val="single"/>
        </w:rPr>
        <w:t>无。</w:t>
      </w:r>
    </w:p>
    <w:p w14:paraId="5E710AB7">
      <w:pPr>
        <w:pStyle w:val="27"/>
        <w:keepNext w:val="0"/>
        <w:keepLines w:val="0"/>
        <w:pageBreakBefore w:val="0"/>
        <w:numPr>
          <w:ilvl w:val="0"/>
          <w:numId w:val="18"/>
        </w:numPr>
        <w:kinsoku/>
        <w:wordWrap/>
        <w:overflowPunct/>
        <w:topLinePunct w:val="0"/>
        <w:autoSpaceDE/>
        <w:autoSpaceDN/>
        <w:bidi w:val="0"/>
        <w:spacing w:line="380" w:lineRule="exact"/>
        <w:ind w:firstLineChars="0"/>
        <w:contextualSpacing/>
        <w:textAlignment w:val="auto"/>
        <w:rPr>
          <w:rFonts w:hint="eastAsia" w:ascii="宋体" w:hAnsi="宋体" w:eastAsia="宋体" w:cs="宋体"/>
          <w:sz w:val="21"/>
          <w:szCs w:val="21"/>
        </w:rPr>
      </w:pPr>
      <w:r>
        <w:rPr>
          <w:rFonts w:hint="eastAsia" w:ascii="宋体" w:hAnsi="宋体" w:eastAsia="宋体" w:cs="宋体"/>
          <w:sz w:val="21"/>
          <w:szCs w:val="21"/>
        </w:rPr>
        <w:t>其它验收要求：</w:t>
      </w:r>
      <w:r>
        <w:rPr>
          <w:rFonts w:hint="eastAsia" w:ascii="宋体" w:hAnsi="宋体" w:eastAsia="宋体" w:cs="宋体"/>
          <w:color w:val="000000"/>
          <w:kern w:val="0"/>
          <w:sz w:val="21"/>
          <w:szCs w:val="21"/>
          <w:u w:val="single"/>
        </w:rPr>
        <w:t>无</w:t>
      </w:r>
      <w:r>
        <w:rPr>
          <w:rFonts w:hint="eastAsia" w:ascii="宋体" w:hAnsi="宋体" w:eastAsia="宋体" w:cs="宋体"/>
          <w:i/>
          <w:iCs/>
          <w:color w:val="000000"/>
          <w:kern w:val="0"/>
          <w:sz w:val="21"/>
          <w:szCs w:val="21"/>
          <w:highlight w:val="yellow"/>
        </w:rPr>
        <w:t>&lt;如有请填写</w:t>
      </w:r>
      <w:r>
        <w:rPr>
          <w:rFonts w:hint="eastAsia" w:ascii="宋体" w:hAnsi="宋体" w:eastAsia="宋体" w:cs="宋体"/>
          <w:i/>
          <w:iCs/>
          <w:color w:val="000000"/>
          <w:kern w:val="0"/>
          <w:sz w:val="21"/>
          <w:szCs w:val="21"/>
        </w:rPr>
        <w:t>&gt;</w:t>
      </w:r>
    </w:p>
    <w:p w14:paraId="119A7F8A">
      <w:pPr>
        <w:pStyle w:val="27"/>
        <w:keepNext w:val="0"/>
        <w:keepLines w:val="0"/>
        <w:pageBreakBefore w:val="0"/>
        <w:numPr>
          <w:ilvl w:val="0"/>
          <w:numId w:val="1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5580944F">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付款方式</w:t>
      </w:r>
    </w:p>
    <w:p w14:paraId="34E3500A">
      <w:pPr>
        <w:pStyle w:val="9"/>
        <w:keepNext w:val="0"/>
        <w:keepLines w:val="0"/>
        <w:pageBreakBefore w:val="0"/>
        <w:numPr>
          <w:ilvl w:val="0"/>
          <w:numId w:val="20"/>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履约保证金：</w:t>
      </w:r>
    </w:p>
    <w:p w14:paraId="59AB7DD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F052"/>
      </w:r>
      <w:r>
        <w:rPr>
          <w:rFonts w:hint="eastAsia" w:ascii="宋体" w:hAnsi="宋体" w:eastAsia="宋体" w:cs="宋体"/>
          <w:color w:val="000000"/>
          <w:sz w:val="21"/>
          <w:szCs w:val="21"/>
        </w:rPr>
        <w:t>乙方在合同签订生效之日起的</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个工作日内，按合同总价</w:t>
      </w:r>
      <w:r>
        <w:rPr>
          <w:rFonts w:hint="eastAsia" w:ascii="宋体" w:hAnsi="宋体" w:eastAsia="宋体" w:cs="宋体"/>
          <w:color w:val="000000"/>
          <w:sz w:val="21"/>
          <w:szCs w:val="21"/>
          <w:u w:val="single"/>
        </w:rPr>
        <w:t>***</w:t>
      </w:r>
      <w:r>
        <w:rPr>
          <w:rFonts w:hint="eastAsia" w:ascii="宋体" w:hAnsi="宋体" w:eastAsia="宋体" w:cs="宋体"/>
          <w:color w:val="000000"/>
          <w:sz w:val="21"/>
          <w:szCs w:val="21"/>
        </w:rPr>
        <w:t>%支付履约保证金；本合同服务期满且验收合格后，甲方接到乙方付款申请后</w:t>
      </w:r>
      <w:r>
        <w:rPr>
          <w:rFonts w:hint="eastAsia" w:ascii="宋体" w:hAnsi="宋体" w:eastAsia="宋体" w:cs="宋体"/>
          <w:color w:val="000000"/>
          <w:sz w:val="21"/>
          <w:szCs w:val="21"/>
          <w:u w:val="single"/>
        </w:rPr>
        <w:t>30</w:t>
      </w:r>
      <w:r>
        <w:rPr>
          <w:rFonts w:hint="eastAsia" w:ascii="宋体" w:hAnsi="宋体" w:eastAsia="宋体" w:cs="宋体"/>
          <w:color w:val="000000"/>
          <w:sz w:val="21"/>
          <w:szCs w:val="21"/>
        </w:rPr>
        <w:t>个工作日内，甲方一次性无息退还乙方的履约保证金；经验收后乙方履约不合格的，履约保证金不予退还。</w:t>
      </w:r>
    </w:p>
    <w:p w14:paraId="0812993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本合同不涉及履约保证金。</w:t>
      </w:r>
    </w:p>
    <w:p w14:paraId="18BED6E0">
      <w:pPr>
        <w:pStyle w:val="9"/>
        <w:keepNext w:val="0"/>
        <w:keepLines w:val="0"/>
        <w:pageBreakBefore w:val="0"/>
        <w:numPr>
          <w:ilvl w:val="0"/>
          <w:numId w:val="20"/>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本合同价款采用以下方式支付，以人民币结算：</w:t>
      </w:r>
    </w:p>
    <w:p w14:paraId="61FC3AD9">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2" w:char="00A3"/>
      </w:r>
      <w:r>
        <w:rPr>
          <w:rFonts w:hint="eastAsia" w:ascii="宋体" w:hAnsi="宋体" w:eastAsia="宋体" w:cs="宋体"/>
          <w:color w:val="000000"/>
          <w:sz w:val="21"/>
          <w:szCs w:val="21"/>
        </w:rPr>
        <w:t>一次性支付：</w:t>
      </w:r>
    </w:p>
    <w:p w14:paraId="5E3F27F7">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sz w:val="21"/>
          <w:szCs w:val="21"/>
        </w:rPr>
        <w:t>本合同服务期满且经甲方验收合格后</w:t>
      </w:r>
      <w:r>
        <w:rPr>
          <w:rFonts w:hint="eastAsia" w:ascii="宋体" w:hAnsi="宋体" w:eastAsia="宋体" w:cs="宋体"/>
          <w:sz w:val="21"/>
          <w:szCs w:val="21"/>
          <w:u w:val="single"/>
        </w:rPr>
        <w:t>5</w:t>
      </w:r>
      <w:r>
        <w:rPr>
          <w:rFonts w:hint="eastAsia" w:ascii="宋体" w:hAnsi="宋体" w:eastAsia="宋体" w:cs="宋体"/>
          <w:sz w:val="21"/>
          <w:szCs w:val="21"/>
        </w:rPr>
        <w:t>日内</w:t>
      </w:r>
      <w:r>
        <w:rPr>
          <w:rFonts w:hint="eastAsia" w:ascii="宋体" w:hAnsi="宋体" w:eastAsia="宋体" w:cs="宋体"/>
          <w:color w:val="000000"/>
          <w:sz w:val="21"/>
          <w:szCs w:val="21"/>
        </w:rPr>
        <w:t>，乙方须向甲方提供合法有效票据及其他相关请款资料，甲方自收到乙方请款资料后</w:t>
      </w:r>
      <w:r>
        <w:rPr>
          <w:rFonts w:hint="eastAsia" w:ascii="宋体" w:hAnsi="宋体" w:eastAsia="宋体" w:cs="宋体"/>
          <w:color w:val="000000"/>
          <w:sz w:val="21"/>
          <w:szCs w:val="21"/>
          <w:u w:val="single"/>
        </w:rPr>
        <w:t>55</w:t>
      </w:r>
      <w:r>
        <w:rPr>
          <w:rFonts w:hint="eastAsia" w:ascii="宋体" w:hAnsi="宋体" w:eastAsia="宋体" w:cs="宋体"/>
          <w:color w:val="000000"/>
          <w:sz w:val="21"/>
          <w:szCs w:val="21"/>
        </w:rPr>
        <w:t>日内支付合同总价100%的金额给乙方。</w:t>
      </w:r>
    </w:p>
    <w:p w14:paraId="767FF6CD">
      <w:pPr>
        <w:pStyle w:val="16"/>
        <w:keepNext w:val="0"/>
        <w:keepLines w:val="0"/>
        <w:pageBreakBefore w:val="0"/>
        <w:kinsoku/>
        <w:wordWrap/>
        <w:overflowPunct/>
        <w:topLinePunct w:val="0"/>
        <w:autoSpaceDE/>
        <w:autoSpaceDN/>
        <w:bidi w:val="0"/>
        <w:spacing w:before="0" w:after="0" w:line="380" w:lineRule="exact"/>
        <w:ind w:left="420" w:leftChars="200" w:firstLine="0" w:firstLineChars="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sym w:font="Wingdings" w:char="F0A8"/>
      </w:r>
      <w:r>
        <w:rPr>
          <w:rFonts w:hint="eastAsia" w:ascii="宋体" w:hAnsi="宋体" w:eastAsia="宋体" w:cs="宋体"/>
          <w:color w:val="000000"/>
          <w:sz w:val="21"/>
          <w:szCs w:val="21"/>
        </w:rPr>
        <w:t>分阶段支付，支付期限、方式及额度如下：</w:t>
      </w:r>
    </w:p>
    <w:p w14:paraId="3EAFD114">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（1）</w:t>
      </w:r>
      <w:bookmarkStart w:id="100" w:name="OLE_LINK30"/>
      <w:r>
        <w:rPr>
          <w:rFonts w:hint="eastAsia" w:ascii="宋体" w:hAnsi="宋体" w:eastAsia="宋体" w:cs="宋体"/>
          <w:sz w:val="21"/>
          <w:szCs w:val="21"/>
        </w:rPr>
        <w:t>固定部分价款</w:t>
      </w:r>
      <w:bookmarkEnd w:id="100"/>
      <w:r>
        <w:rPr>
          <w:rFonts w:hint="eastAsia" w:ascii="宋体" w:hAnsi="宋体" w:eastAsia="宋体" w:cs="宋体"/>
          <w:color w:val="000000"/>
          <w:sz w:val="21"/>
          <w:szCs w:val="21"/>
        </w:rPr>
        <w:t>：</w:t>
      </w:r>
      <w:r>
        <w:rPr>
          <w:rFonts w:hint="eastAsia" w:ascii="宋体" w:hAnsi="宋体" w:eastAsia="宋体" w:cs="宋体"/>
          <w:sz w:val="21"/>
          <w:szCs w:val="21"/>
        </w:rPr>
        <w:t>本合同服务期满且经甲方验收合格后5日内</w:t>
      </w:r>
      <w:r>
        <w:rPr>
          <w:rFonts w:hint="eastAsia" w:ascii="宋体" w:hAnsi="宋体" w:eastAsia="宋体" w:cs="宋体"/>
          <w:color w:val="000000"/>
          <w:sz w:val="21"/>
          <w:szCs w:val="21"/>
        </w:rPr>
        <w:t>，乙方须向甲方提供合法有效票据及其他相关请款资料，甲方自收到乙方请款资料后55日内向乙方支付本合同</w:t>
      </w:r>
      <w:r>
        <w:rPr>
          <w:rFonts w:hint="eastAsia" w:ascii="宋体" w:hAnsi="宋体" w:eastAsia="宋体" w:cs="宋体"/>
          <w:color w:val="000000"/>
          <w:sz w:val="21"/>
          <w:szCs w:val="21"/>
          <w:u w:val="single"/>
        </w:rPr>
        <w:t>第二条</w:t>
      </w:r>
      <w:r>
        <w:rPr>
          <w:rFonts w:hint="eastAsia" w:ascii="宋体" w:hAnsi="宋体" w:eastAsia="宋体" w:cs="宋体"/>
          <w:color w:val="000000"/>
          <w:sz w:val="21"/>
          <w:szCs w:val="21"/>
        </w:rPr>
        <w:t>写明的全部</w:t>
      </w:r>
      <w:r>
        <w:rPr>
          <w:rFonts w:hint="eastAsia" w:ascii="宋体" w:hAnsi="宋体" w:eastAsia="宋体" w:cs="宋体"/>
          <w:sz w:val="21"/>
          <w:szCs w:val="21"/>
        </w:rPr>
        <w:t>固定部分价款</w:t>
      </w:r>
      <w:r>
        <w:rPr>
          <w:rFonts w:hint="eastAsia" w:ascii="宋体" w:hAnsi="宋体" w:eastAsia="宋体" w:cs="宋体"/>
          <w:color w:val="000000"/>
          <w:sz w:val="21"/>
          <w:szCs w:val="21"/>
        </w:rPr>
        <w:t>。</w:t>
      </w:r>
    </w:p>
    <w:p w14:paraId="75A0C735">
      <w:pPr>
        <w:pStyle w:val="16"/>
        <w:keepNext w:val="0"/>
        <w:keepLines w:val="0"/>
        <w:pageBreakBefore w:val="0"/>
        <w:kinsoku/>
        <w:wordWrap/>
        <w:overflowPunct/>
        <w:topLinePunct w:val="0"/>
        <w:autoSpaceDE/>
        <w:autoSpaceDN/>
        <w:bidi w:val="0"/>
        <w:spacing w:before="0" w:after="0" w:line="380" w:lineRule="exact"/>
        <w:ind w:left="840" w:leftChars="400" w:firstLineChars="200"/>
        <w:contextualSpacing/>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（2）按实结算部分：每</w:t>
      </w:r>
      <w:r>
        <w:rPr>
          <w:rFonts w:hint="eastAsia" w:ascii="宋体" w:hAnsi="宋体" w:eastAsia="宋体" w:cs="宋体"/>
          <w:color w:val="000000"/>
          <w:sz w:val="21"/>
          <w:szCs w:val="21"/>
          <w:u w:val="single"/>
        </w:rPr>
        <w:t>XX</w:t>
      </w:r>
      <w:r>
        <w:rPr>
          <w:rFonts w:hint="eastAsia" w:ascii="宋体" w:hAnsi="宋体" w:eastAsia="宋体" w:cs="宋体"/>
          <w:i/>
          <w:iCs/>
          <w:sz w:val="21"/>
          <w:szCs w:val="21"/>
          <w:highlight w:val="yellow"/>
        </w:rPr>
        <w:t>&lt;约定按固定周期支付的（如每季度），可根据项目具体情况编制本条款&gt;</w:t>
      </w:r>
      <w:r>
        <w:rPr>
          <w:rFonts w:hint="eastAsia" w:ascii="宋体" w:hAnsi="宋体" w:eastAsia="宋体" w:cs="宋体"/>
          <w:color w:val="000000"/>
          <w:sz w:val="21"/>
          <w:szCs w:val="21"/>
        </w:rPr>
        <w:t>结算一次费用，结算单价以</w:t>
      </w:r>
      <w:r>
        <w:rPr>
          <w:rFonts w:hint="eastAsia" w:ascii="宋体" w:hAnsi="宋体" w:eastAsia="宋体" w:cs="宋体"/>
          <w:sz w:val="21"/>
          <w:szCs w:val="21"/>
        </w:rPr>
        <w:t>《结算单价清单》</w:t>
      </w:r>
      <w:r>
        <w:rPr>
          <w:rFonts w:hint="eastAsia" w:ascii="宋体" w:hAnsi="宋体" w:eastAsia="宋体" w:cs="宋体"/>
          <w:color w:val="000000"/>
          <w:sz w:val="21"/>
          <w:szCs w:val="21"/>
        </w:rPr>
        <w:t>为准。</w:t>
      </w:r>
      <w:r>
        <w:rPr>
          <w:rFonts w:hint="eastAsia" w:ascii="宋体" w:hAnsi="宋体" w:eastAsia="宋体" w:cs="宋体"/>
          <w:sz w:val="21"/>
          <w:szCs w:val="21"/>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sz w:val="21"/>
          <w:szCs w:val="21"/>
          <w:u w:val="single"/>
          <w:lang w:bidi="ar"/>
        </w:rPr>
        <w:t>55</w:t>
      </w:r>
      <w:r>
        <w:rPr>
          <w:rFonts w:hint="eastAsia" w:ascii="宋体" w:hAnsi="宋体" w:eastAsia="宋体" w:cs="宋体"/>
          <w:sz w:val="21"/>
          <w:szCs w:val="21"/>
          <w:lang w:bidi="ar"/>
        </w:rPr>
        <w:t>日内，向乙方全额支付上述结算费用。</w:t>
      </w:r>
    </w:p>
    <w:p w14:paraId="5EC2C152">
      <w:pPr>
        <w:pStyle w:val="9"/>
        <w:keepNext w:val="0"/>
        <w:keepLines w:val="0"/>
        <w:pageBreakBefore w:val="0"/>
        <w:numPr>
          <w:ilvl w:val="0"/>
          <w:numId w:val="20"/>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甲方付款前，乙方需</w:t>
      </w:r>
      <w:r>
        <w:rPr>
          <w:rFonts w:hint="eastAsia" w:ascii="宋体" w:hAnsi="宋体" w:eastAsia="宋体" w:cs="宋体"/>
          <w:sz w:val="21"/>
          <w:szCs w:val="21"/>
          <w:lang w:bidi="ar"/>
        </w:rPr>
        <w:t>提供合法有效票据及其他相关请款资料</w:t>
      </w:r>
      <w:r>
        <w:rPr>
          <w:rFonts w:hint="eastAsia" w:ascii="宋体" w:hAnsi="宋体" w:eastAsia="宋体" w:cs="宋体"/>
          <w:sz w:val="21"/>
          <w:szCs w:val="21"/>
        </w:rPr>
        <w:t>，否则甲方有权拒绝支付且不承担任何违约责任，且乙方不得因此停止服务。</w:t>
      </w:r>
    </w:p>
    <w:p w14:paraId="2DC0CC99">
      <w:pPr>
        <w:pStyle w:val="9"/>
        <w:keepNext w:val="0"/>
        <w:keepLines w:val="0"/>
        <w:pageBreakBefore w:val="0"/>
        <w:numPr>
          <w:ilvl w:val="0"/>
          <w:numId w:val="20"/>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乙方开票信息应与合同预留账户信息一致。如有变更，乙方应当在变更后3日内通知甲方。否则，由此造成的损失由乙方自行承担。</w:t>
      </w:r>
    </w:p>
    <w:p w14:paraId="56D9DF46">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双方权利与义务</w:t>
      </w:r>
    </w:p>
    <w:p w14:paraId="62705D20">
      <w:pPr>
        <w:pStyle w:val="9"/>
        <w:keepNext w:val="0"/>
        <w:keepLines w:val="0"/>
        <w:pageBreakBefore w:val="0"/>
        <w:numPr>
          <w:ilvl w:val="0"/>
          <w:numId w:val="21"/>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甲方权利与义务</w:t>
      </w:r>
    </w:p>
    <w:p w14:paraId="590E8BAC">
      <w:pPr>
        <w:pStyle w:val="27"/>
        <w:keepNext w:val="0"/>
        <w:keepLines w:val="0"/>
        <w:pageBreakBefore w:val="0"/>
        <w:numPr>
          <w:ilvl w:val="0"/>
          <w:numId w:val="22"/>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按合同约定向乙方支付费用。</w:t>
      </w:r>
    </w:p>
    <w:p w14:paraId="184833A4">
      <w:pPr>
        <w:pStyle w:val="27"/>
        <w:keepNext w:val="0"/>
        <w:keepLines w:val="0"/>
        <w:pageBreakBefore w:val="0"/>
        <w:numPr>
          <w:ilvl w:val="0"/>
          <w:numId w:val="22"/>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保证乙方实施服务所必须的外部条件如电源、水源的正常供应及开启、关闭等。</w:t>
      </w:r>
    </w:p>
    <w:p w14:paraId="08C6B074">
      <w:pPr>
        <w:pStyle w:val="27"/>
        <w:keepNext w:val="0"/>
        <w:keepLines w:val="0"/>
        <w:pageBreakBefore w:val="0"/>
        <w:numPr>
          <w:ilvl w:val="0"/>
          <w:numId w:val="22"/>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对于乙方在提供服务期间所提供的信息，甲方应予保密，未经乙方书面同意，甲方不得擅自使用或透露给第三方。</w:t>
      </w:r>
    </w:p>
    <w:p w14:paraId="0BCD5926">
      <w:pPr>
        <w:pStyle w:val="27"/>
        <w:keepNext w:val="0"/>
        <w:keepLines w:val="0"/>
        <w:pageBreakBefore w:val="0"/>
        <w:numPr>
          <w:ilvl w:val="0"/>
          <w:numId w:val="22"/>
        </w:numPr>
        <w:kinsoku/>
        <w:wordWrap/>
        <w:overflowPunct/>
        <w:topLinePunct w:val="0"/>
        <w:autoSpaceDE/>
        <w:autoSpaceDN/>
        <w:bidi w:val="0"/>
        <w:adjustRightInd w:val="0"/>
        <w:spacing w:line="380" w:lineRule="exact"/>
        <w:ind w:left="525"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甲方对服务人员不满意的，有权要求乙方在7日内更换相关服务人员。</w:t>
      </w:r>
    </w:p>
    <w:p w14:paraId="60C8337D">
      <w:pPr>
        <w:pStyle w:val="9"/>
        <w:keepNext w:val="0"/>
        <w:keepLines w:val="0"/>
        <w:pageBreakBefore w:val="0"/>
        <w:numPr>
          <w:ilvl w:val="0"/>
          <w:numId w:val="21"/>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乙方权利与义务</w:t>
      </w:r>
    </w:p>
    <w:p w14:paraId="5EC5F453">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按本合同约定向甲方提供服务。</w:t>
      </w:r>
    </w:p>
    <w:p w14:paraId="02A9CF7D">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乙方应保证提供的服务人员具备相应的服务能力和服务资质（如涉及）。</w:t>
      </w:r>
    </w:p>
    <w:p w14:paraId="531E4955">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735C6A19">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如服务涉及计算机软件产品的，乙方须承诺在服务中设备安装的软件已获得软件厂商的正规授权。</w:t>
      </w:r>
    </w:p>
    <w:p w14:paraId="2C58BFE1">
      <w:pPr>
        <w:pStyle w:val="9"/>
        <w:keepNext w:val="0"/>
        <w:keepLines w:val="0"/>
        <w:pageBreakBefore w:val="0"/>
        <w:numPr>
          <w:ilvl w:val="0"/>
          <w:numId w:val="23"/>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乙方对在按本合同约定向甲方提供服务过程中所获得的所有数据、商业秘密或其它技术及经营信息负有保密的义务，不得向任何第三方透露或泄露。</w:t>
      </w:r>
    </w:p>
    <w:p w14:paraId="11B61F2D">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违约责任</w:t>
      </w:r>
    </w:p>
    <w:p w14:paraId="5EFE946D">
      <w:pPr>
        <w:pStyle w:val="9"/>
        <w:keepNext w:val="0"/>
        <w:keepLines w:val="0"/>
        <w:pageBreakBefore w:val="0"/>
        <w:numPr>
          <w:ilvl w:val="0"/>
          <w:numId w:val="24"/>
        </w:numPr>
        <w:kinsoku/>
        <w:wordWrap/>
        <w:overflowPunct/>
        <w:topLinePunct w:val="0"/>
        <w:autoSpaceDE/>
        <w:autoSpaceDN/>
        <w:bidi w:val="0"/>
        <w:spacing w:after="0" w:line="380" w:lineRule="exact"/>
        <w:ind w:left="227" w:leftChars="0" w:hanging="227"/>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甲方违约责任：甲方无正当理由拒绝乙方按本合同约定提供服务的，甲方应偿付合同总金额的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p w14:paraId="5A3E43BF">
      <w:pPr>
        <w:pStyle w:val="27"/>
        <w:keepNext w:val="0"/>
        <w:keepLines w:val="0"/>
        <w:pageBreakBefore w:val="0"/>
        <w:numPr>
          <w:ilvl w:val="0"/>
          <w:numId w:val="24"/>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乙方违约责任：</w:t>
      </w:r>
    </w:p>
    <w:p w14:paraId="12D093B7">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bookmarkStart w:id="101" w:name="OLE_LINK18"/>
      <w:bookmarkStart w:id="102" w:name="OLE_LINK17"/>
      <w:r>
        <w:rPr>
          <w:rFonts w:hint="eastAsia" w:ascii="宋体" w:hAnsi="宋体" w:eastAsia="宋体" w:cs="宋体"/>
          <w:sz w:val="21"/>
          <w:szCs w:val="21"/>
        </w:rPr>
        <w:t>乙方应派遣具备相关资质的技术人员为甲方提供服务，服务过程中，乙方技术人员因操作不当、未采取必要的安全防范措施等原因导致安全责任事故的，由乙方承担由此造成的全部法律责任。</w:t>
      </w:r>
    </w:p>
    <w:p w14:paraId="029AD166">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因乙方在服务中更换的备品备件或原材料在质保期内并在正常使用情况下出现质量原因导致甲方或第三方财产或人身损害的，由乙方承担赔偿责任。</w:t>
      </w:r>
    </w:p>
    <w:p w14:paraId="76D10404">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在本合同的履行中，如乙方提供的服务存在设计、工艺或材料缺陷（包括潜在缺陷），乙方应当对由于上述缺陷造成的损失负责。</w:t>
      </w:r>
    </w:p>
    <w:p w14:paraId="1A31D2A4">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在本合同履行中，如乙方未按本合同约定及时向甲方提供服务，每发生一次，乙方应按</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lang w:val="en-US" w:eastAsia="zh-CN"/>
        </w:rPr>
        <w:t>3</w:t>
      </w:r>
      <w:r>
        <w:rPr>
          <w:rFonts w:hint="eastAsia" w:ascii="宋体" w:hAnsi="宋体" w:eastAsia="宋体" w:cs="宋体"/>
          <w:sz w:val="21"/>
          <w:szCs w:val="21"/>
        </w:rPr>
        <w:t>‰向甲方支付违约金。甲方可采取必要的补救措施，但由此而产生的风险责任和费用将由乙方负担，甲方根据合同规定对乙方行使的其他权利不受影响。</w:t>
      </w:r>
    </w:p>
    <w:p w14:paraId="41D4BAD0">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乙方在提供服务过程中侵犯他人知识产权，甲方有权单方解除合同，并要求乙方赔偿所造成的损失，同时甲方有权要求对方按照</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%支付违约金。</w:t>
      </w:r>
    </w:p>
    <w:p w14:paraId="78342411">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乙方违反保密义务，甲方有权单方解除合同，乙方应按甲方实际损失向甲方进行赔偿并向甲方支付</w:t>
      </w:r>
      <w:r>
        <w:rPr>
          <w:rFonts w:hint="eastAsia" w:ascii="宋体" w:hAnsi="宋体" w:eastAsia="宋体" w:cs="宋体"/>
          <w:sz w:val="21"/>
          <w:szCs w:val="21"/>
          <w:u w:val="single"/>
        </w:rPr>
        <w:t>合同总金额</w:t>
      </w:r>
      <w:r>
        <w:rPr>
          <w:rFonts w:hint="eastAsia" w:ascii="宋体" w:hAnsi="宋体" w:eastAsia="宋体" w:cs="宋体"/>
          <w:sz w:val="21"/>
          <w:szCs w:val="21"/>
        </w:rPr>
        <w:t>的</w:t>
      </w:r>
      <w:r>
        <w:rPr>
          <w:rFonts w:hint="eastAsia" w:ascii="宋体" w:hAnsi="宋体" w:eastAsia="宋体" w:cs="宋体"/>
          <w:sz w:val="21"/>
          <w:szCs w:val="21"/>
          <w:u w:val="single"/>
        </w:rPr>
        <w:t>10</w:t>
      </w:r>
      <w:r>
        <w:rPr>
          <w:rFonts w:hint="eastAsia" w:ascii="宋体" w:hAnsi="宋体" w:eastAsia="宋体" w:cs="宋体"/>
          <w:sz w:val="21"/>
          <w:szCs w:val="21"/>
        </w:rPr>
        <w:t>%作为违约金。</w:t>
      </w:r>
    </w:p>
    <w:bookmarkEnd w:id="101"/>
    <w:bookmarkEnd w:id="102"/>
    <w:p w14:paraId="771B9E3D">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乙方偿付的违约金不足以弥补甲方损失的，还应按甲方损失尚未弥补的部分，支付赔偿金给甲方。</w:t>
      </w:r>
    </w:p>
    <w:p w14:paraId="21B207D0">
      <w:pPr>
        <w:pStyle w:val="9"/>
        <w:keepNext w:val="0"/>
        <w:keepLines w:val="0"/>
        <w:pageBreakBefore w:val="0"/>
        <w:numPr>
          <w:ilvl w:val="0"/>
          <w:numId w:val="25"/>
        </w:numPr>
        <w:kinsoku/>
        <w:wordWrap/>
        <w:overflowPunct/>
        <w:topLinePunct w:val="0"/>
        <w:autoSpaceDE/>
        <w:autoSpaceDN/>
        <w:bidi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乙方未按照本合同约定的时限提供合法发票或提供发票瑕疵（包括但不限于发票种类有误、发票金额有误等），甲方付款时限相应顺延并不承担任何延期支付的违约责任。</w:t>
      </w:r>
    </w:p>
    <w:p w14:paraId="33339C13">
      <w:pPr>
        <w:pStyle w:val="9"/>
        <w:keepNext w:val="0"/>
        <w:keepLines w:val="0"/>
        <w:pageBreakBefore w:val="0"/>
        <w:numPr>
          <w:ilvl w:val="0"/>
          <w:numId w:val="25"/>
        </w:numPr>
        <w:kinsoku/>
        <w:wordWrap/>
        <w:overflowPunct/>
        <w:topLinePunct w:val="0"/>
        <w:autoSpaceDE/>
        <w:autoSpaceDN/>
        <w:bidi w:val="0"/>
        <w:snapToGrid w:val="0"/>
        <w:spacing w:after="0" w:line="380" w:lineRule="exact"/>
        <w:ind w:left="525" w:leftChars="0" w:hanging="525" w:hangingChars="25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DD8785D">
      <w:pPr>
        <w:pStyle w:val="9"/>
        <w:keepNext w:val="0"/>
        <w:keepLines w:val="0"/>
        <w:pageBreakBefore w:val="0"/>
        <w:kinsoku/>
        <w:wordWrap/>
        <w:overflowPunct/>
        <w:topLinePunct w:val="0"/>
        <w:autoSpaceDE/>
        <w:autoSpaceDN/>
        <w:bidi w:val="0"/>
        <w:spacing w:after="0" w:line="380" w:lineRule="exact"/>
        <w:ind w:left="0" w:leftChars="0"/>
        <w:contextualSpacing/>
        <w:jc w:val="left"/>
        <w:textAlignment w:val="auto"/>
        <w:rPr>
          <w:rFonts w:hint="eastAsia" w:ascii="宋体" w:hAnsi="宋体" w:eastAsia="宋体" w:cs="宋体"/>
          <w:sz w:val="21"/>
          <w:szCs w:val="21"/>
        </w:rPr>
      </w:pPr>
      <w:r>
        <w:rPr>
          <w:rFonts w:hint="eastAsia" w:ascii="宋体" w:hAnsi="宋体" w:eastAsia="宋体" w:cs="宋体"/>
          <w:sz w:val="21"/>
          <w:szCs w:val="21"/>
        </w:rPr>
        <w:t>3.本合同履行中如有任何一方违约，那么守约方为保障自己合法权益而产生的律师费、诉讼费、差旅费、公告费等，均由违约方承担。</w:t>
      </w:r>
    </w:p>
    <w:p w14:paraId="087BCB4B">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不可抗力</w:t>
      </w:r>
    </w:p>
    <w:p w14:paraId="078B8FD4">
      <w:pPr>
        <w:pStyle w:val="27"/>
        <w:keepNext w:val="0"/>
        <w:keepLines w:val="0"/>
        <w:pageBreakBefore w:val="0"/>
        <w:kinsoku/>
        <w:wordWrap/>
        <w:overflowPunct/>
        <w:topLinePunct w:val="0"/>
        <w:autoSpaceDE/>
        <w:autoSpaceDN/>
        <w:bidi w:val="0"/>
        <w:snapToGrid w:val="0"/>
        <w:spacing w:line="380" w:lineRule="exact"/>
        <w:textAlignment w:val="auto"/>
        <w:rPr>
          <w:rFonts w:hint="eastAsia" w:ascii="宋体" w:hAnsi="宋体" w:eastAsia="宋体" w:cs="宋体"/>
          <w:bCs/>
          <w:sz w:val="21"/>
          <w:szCs w:val="21"/>
        </w:rPr>
      </w:pPr>
      <w:r>
        <w:rPr>
          <w:rFonts w:hint="eastAsia" w:ascii="宋体" w:hAnsi="宋体" w:eastAsia="宋体" w:cs="宋体"/>
          <w:bCs/>
          <w:sz w:val="21"/>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 w:val="21"/>
          <w:szCs w:val="21"/>
          <w:lang w:val="en-US" w:eastAsia="zh-CN"/>
        </w:rPr>
        <w:t>30</w:t>
      </w:r>
      <w:r>
        <w:rPr>
          <w:rFonts w:hint="eastAsia" w:ascii="宋体" w:hAnsi="宋体" w:eastAsia="宋体" w:cs="宋体"/>
          <w:bCs/>
          <w:sz w:val="21"/>
          <w:szCs w:val="21"/>
        </w:rPr>
        <w:t>日，甲方有权解除合同，双方互不承担违约责任。</w:t>
      </w:r>
    </w:p>
    <w:p w14:paraId="04BDE3C0">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合同终止及解除</w:t>
      </w:r>
    </w:p>
    <w:p w14:paraId="552B5126">
      <w:pPr>
        <w:pStyle w:val="27"/>
        <w:keepNext w:val="0"/>
        <w:keepLines w:val="0"/>
        <w:pageBreakBefore w:val="0"/>
        <w:numPr>
          <w:ilvl w:val="0"/>
          <w:numId w:val="26"/>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合同一方发现可能致使本合同无法按约定继续履行的情形时，应当及时通知另一方并采取适当措施减少损失；没有及时通知并采取适当措施，致使损失扩大的，应当就扩大的损失承担责任。</w:t>
      </w:r>
    </w:p>
    <w:p w14:paraId="7C5340A4">
      <w:pPr>
        <w:pStyle w:val="27"/>
        <w:keepNext w:val="0"/>
        <w:keepLines w:val="0"/>
        <w:pageBreakBefore w:val="0"/>
        <w:numPr>
          <w:ilvl w:val="0"/>
          <w:numId w:val="26"/>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在甲、乙任何一方有严重违约行为时，另一方有权单方解除合同。</w:t>
      </w:r>
    </w:p>
    <w:p w14:paraId="5E63D4DE">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争议解决办法</w:t>
      </w:r>
    </w:p>
    <w:p w14:paraId="26D21314">
      <w:pPr>
        <w:pStyle w:val="27"/>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因服务质量问题发生争议，由质量技术监督部门或其指定的质量鉴定机构进行质量鉴定，结果符合标准的，鉴定费由甲方承担；不符合标准的，鉴定费由乙方承担。</w:t>
      </w:r>
    </w:p>
    <w:p w14:paraId="029A6F91">
      <w:pPr>
        <w:pStyle w:val="27"/>
        <w:keepNext w:val="0"/>
        <w:keepLines w:val="0"/>
        <w:pageBreakBefore w:val="0"/>
        <w:numPr>
          <w:ilvl w:val="0"/>
          <w:numId w:val="27"/>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合同履行期间,若双方发生争议，可协商或由有关部门调解解决，协商或调解不成的，任何一方均有权向甲方所在地具有管辖权的人民法院起诉。</w:t>
      </w:r>
    </w:p>
    <w:p w14:paraId="49B19412">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送达（送达地址是司法机关、执法机关和仲裁机关将法律文书送达给当事人的收件地址）</w:t>
      </w:r>
    </w:p>
    <w:p w14:paraId="0636E1A3">
      <w:pPr>
        <w:pStyle w:val="32"/>
        <w:keepNext w:val="0"/>
        <w:keepLines w:val="0"/>
        <w:pageBreakBefore w:val="0"/>
        <w:numPr>
          <w:ilvl w:val="0"/>
          <w:numId w:val="28"/>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甲方送达地址：四川省成都市青羊区一环路西二段32号。</w:t>
      </w:r>
    </w:p>
    <w:p w14:paraId="362D409A">
      <w:pPr>
        <w:pStyle w:val="32"/>
        <w:keepNext w:val="0"/>
        <w:keepLines w:val="0"/>
        <w:pageBreakBefore w:val="0"/>
        <w:numPr>
          <w:ilvl w:val="0"/>
          <w:numId w:val="28"/>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乙方送达地址：***</w:t>
      </w:r>
    </w:p>
    <w:p w14:paraId="6C978075">
      <w:pPr>
        <w:pStyle w:val="32"/>
        <w:keepNext w:val="0"/>
        <w:keepLines w:val="0"/>
        <w:pageBreakBefore w:val="0"/>
        <w:numPr>
          <w:ilvl w:val="0"/>
          <w:numId w:val="28"/>
        </w:numPr>
        <w:kinsoku/>
        <w:wordWrap/>
        <w:overflowPunct/>
        <w:topLinePunct w:val="0"/>
        <w:autoSpaceDE/>
        <w:autoSpaceDN/>
        <w:bidi w:val="0"/>
        <w:spacing w:line="380" w:lineRule="exact"/>
        <w:ind w:left="0" w:firstLine="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600EECE">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其他</w:t>
      </w:r>
    </w:p>
    <w:p w14:paraId="306815CF">
      <w:pPr>
        <w:pStyle w:val="27"/>
        <w:keepNext w:val="0"/>
        <w:keepLines w:val="0"/>
        <w:pageBreakBefore w:val="0"/>
        <w:numPr>
          <w:ilvl w:val="0"/>
          <w:numId w:val="29"/>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如有未尽事宜，由双方依法订立补充合同。补充合同及本合同附件均为本合同的组成部分，与本合同具有同等法律效力。</w:t>
      </w:r>
    </w:p>
    <w:p w14:paraId="513D143F">
      <w:pPr>
        <w:pStyle w:val="27"/>
        <w:keepNext w:val="0"/>
        <w:keepLines w:val="0"/>
        <w:pageBreakBefore w:val="0"/>
        <w:numPr>
          <w:ilvl w:val="0"/>
          <w:numId w:val="29"/>
        </w:numPr>
        <w:kinsoku/>
        <w:wordWrap/>
        <w:overflowPunct/>
        <w:topLinePunct w:val="0"/>
        <w:autoSpaceDE/>
        <w:autoSpaceDN/>
        <w:bidi w:val="0"/>
        <w:spacing w:line="380" w:lineRule="exact"/>
        <w:ind w:left="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本合同一式四份，自双方签字且盖章之日起生效。甲方三份，乙方一份。</w:t>
      </w:r>
    </w:p>
    <w:p w14:paraId="5C9514A7">
      <w:pPr>
        <w:pStyle w:val="27"/>
        <w:keepNext w:val="0"/>
        <w:keepLines w:val="0"/>
        <w:pageBreakBefore w:val="0"/>
        <w:numPr>
          <w:ilvl w:val="0"/>
          <w:numId w:val="15"/>
        </w:numPr>
        <w:kinsoku/>
        <w:wordWrap/>
        <w:overflowPunct/>
        <w:topLinePunct w:val="0"/>
        <w:autoSpaceDE/>
        <w:autoSpaceDN/>
        <w:bidi w:val="0"/>
        <w:spacing w:line="380" w:lineRule="exact"/>
        <w:ind w:left="0" w:firstLine="0" w:firstLineChars="0"/>
        <w:contextualSpacing/>
        <w:jc w:val="left"/>
        <w:textAlignment w:val="auto"/>
        <w:rPr>
          <w:rFonts w:hint="eastAsia" w:ascii="宋体" w:hAnsi="宋体" w:eastAsia="宋体" w:cs="宋体"/>
          <w:b/>
          <w:sz w:val="21"/>
          <w:szCs w:val="21"/>
        </w:rPr>
      </w:pPr>
      <w:r>
        <w:rPr>
          <w:rFonts w:hint="eastAsia" w:ascii="宋体" w:hAnsi="宋体" w:eastAsia="宋体" w:cs="宋体"/>
          <w:b/>
          <w:sz w:val="21"/>
          <w:szCs w:val="21"/>
        </w:rPr>
        <w:t>合同附件</w:t>
      </w:r>
    </w:p>
    <w:p w14:paraId="3A8F98E9">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本合同为</w:t>
      </w:r>
      <w:r>
        <w:rPr>
          <w:rFonts w:hint="eastAsia" w:ascii="宋体" w:hAnsi="宋体" w:eastAsia="宋体" w:cs="宋体"/>
          <w:sz w:val="21"/>
          <w:szCs w:val="21"/>
          <w:u w:val="single"/>
        </w:rPr>
        <w:t>有</w:t>
      </w:r>
      <w:r>
        <w:rPr>
          <w:rFonts w:hint="eastAsia" w:ascii="宋体" w:hAnsi="宋体" w:eastAsia="宋体" w:cs="宋体"/>
          <w:sz w:val="21"/>
          <w:szCs w:val="21"/>
        </w:rPr>
        <w:t>附件合同，附件如下：</w:t>
      </w:r>
      <w:r>
        <w:rPr>
          <w:rFonts w:hint="eastAsia" w:ascii="宋体" w:hAnsi="宋体" w:eastAsia="宋体" w:cs="宋体"/>
          <w:i/>
          <w:iCs/>
          <w:sz w:val="21"/>
          <w:szCs w:val="21"/>
          <w:highlight w:val="yellow"/>
        </w:rPr>
        <w:t>&lt;根据项目实际情况编制&gt;</w:t>
      </w:r>
    </w:p>
    <w:p w14:paraId="1C68F264">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附件1《</w:t>
      </w:r>
      <w:bookmarkStart w:id="103" w:name="OLE_LINK32"/>
      <w:r>
        <w:rPr>
          <w:rFonts w:hint="eastAsia" w:ascii="宋体" w:hAnsi="宋体" w:eastAsia="宋体" w:cs="宋体"/>
          <w:sz w:val="21"/>
          <w:szCs w:val="21"/>
        </w:rPr>
        <w:t>结算单价清单</w:t>
      </w:r>
      <w:bookmarkEnd w:id="103"/>
      <w:r>
        <w:rPr>
          <w:rFonts w:hint="eastAsia" w:ascii="宋体" w:hAnsi="宋体" w:eastAsia="宋体" w:cs="宋体"/>
          <w:sz w:val="21"/>
          <w:szCs w:val="21"/>
        </w:rPr>
        <w:t>》</w:t>
      </w:r>
    </w:p>
    <w:p w14:paraId="316CDF16">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附件2《考核标准》</w:t>
      </w:r>
    </w:p>
    <w:p w14:paraId="47EE6110">
      <w:pPr>
        <w:keepNext w:val="0"/>
        <w:keepLines w:val="0"/>
        <w:pageBreakBefore w:val="0"/>
        <w:kinsoku/>
        <w:wordWrap/>
        <w:overflowPunct/>
        <w:topLinePunct w:val="0"/>
        <w:autoSpaceDE/>
        <w:autoSpaceDN/>
        <w:bidi w:val="0"/>
        <w:spacing w:line="380" w:lineRule="exact"/>
        <w:jc w:val="left"/>
        <w:textAlignment w:val="auto"/>
        <w:outlineLvl w:val="0"/>
        <w:rPr>
          <w:rFonts w:hint="eastAsia" w:ascii="宋体" w:hAnsi="宋体" w:eastAsia="宋体" w:cs="宋体"/>
          <w:sz w:val="21"/>
          <w:szCs w:val="21"/>
        </w:rPr>
      </w:pPr>
      <w:r>
        <w:rPr>
          <w:rFonts w:hint="eastAsia" w:ascii="宋体" w:hAnsi="宋体" w:eastAsia="宋体" w:cs="宋体"/>
          <w:sz w:val="21"/>
          <w:szCs w:val="21"/>
        </w:rPr>
        <w:t>附件3《服务方案》</w:t>
      </w:r>
    </w:p>
    <w:p w14:paraId="552DC3E7">
      <w:pPr>
        <w:keepNext w:val="0"/>
        <w:keepLines w:val="0"/>
        <w:pageBreakBefore w:val="0"/>
        <w:kinsoku/>
        <w:wordWrap/>
        <w:overflowPunct/>
        <w:topLinePunct w:val="0"/>
        <w:autoSpaceDE/>
        <w:autoSpaceDN/>
        <w:bidi w:val="0"/>
        <w:spacing w:line="380" w:lineRule="exact"/>
        <w:jc w:val="center"/>
        <w:textAlignment w:val="auto"/>
        <w:rPr>
          <w:rFonts w:hint="eastAsia" w:ascii="宋体" w:hAnsi="宋体" w:eastAsia="宋体" w:cs="宋体"/>
          <w:sz w:val="21"/>
          <w:szCs w:val="21"/>
        </w:rPr>
      </w:pPr>
      <w:r>
        <w:rPr>
          <w:rFonts w:hint="eastAsia" w:ascii="宋体" w:hAnsi="宋体" w:eastAsia="宋体" w:cs="宋体"/>
          <w:sz w:val="21"/>
          <w:szCs w:val="21"/>
        </w:rPr>
        <w:t>——以下无正文——</w:t>
      </w:r>
    </w:p>
    <w:tbl>
      <w:tblPr>
        <w:tblStyle w:val="18"/>
        <w:tblW w:w="5000" w:type="pct"/>
        <w:jc w:val="center"/>
        <w:tblLayout w:type="autofit"/>
        <w:tblCellMar>
          <w:top w:w="0" w:type="dxa"/>
          <w:left w:w="0" w:type="dxa"/>
          <w:bottom w:w="0" w:type="dxa"/>
          <w:right w:w="0" w:type="dxa"/>
        </w:tblCellMar>
      </w:tblPr>
      <w:tblGrid>
        <w:gridCol w:w="4688"/>
        <w:gridCol w:w="4950"/>
      </w:tblGrid>
      <w:tr w14:paraId="76DEE611">
        <w:tblPrEx>
          <w:tblCellMar>
            <w:top w:w="0" w:type="dxa"/>
            <w:left w:w="0" w:type="dxa"/>
            <w:bottom w:w="0" w:type="dxa"/>
            <w:right w:w="0" w:type="dxa"/>
          </w:tblCellMar>
        </w:tblPrEx>
        <w:trPr>
          <w:trHeight w:val="519" w:hRule="atLeast"/>
          <w:jc w:val="center"/>
        </w:trPr>
        <w:tc>
          <w:tcPr>
            <w:tcW w:w="10214" w:type="dxa"/>
            <w:gridSpan w:val="2"/>
          </w:tcPr>
          <w:p w14:paraId="41A7EEB0">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签订时间：202*年***月***日</w:t>
            </w:r>
          </w:p>
        </w:tc>
      </w:tr>
      <w:tr w14:paraId="3324515B">
        <w:tblPrEx>
          <w:tblCellMar>
            <w:top w:w="0" w:type="dxa"/>
            <w:left w:w="0" w:type="dxa"/>
            <w:bottom w:w="0" w:type="dxa"/>
            <w:right w:w="0" w:type="dxa"/>
          </w:tblCellMar>
        </w:tblPrEx>
        <w:trPr>
          <w:jc w:val="center"/>
        </w:trPr>
        <w:tc>
          <w:tcPr>
            <w:tcW w:w="4967" w:type="dxa"/>
          </w:tcPr>
          <w:p w14:paraId="1914C25A">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甲方：四川省人民医院（盖章）</w:t>
            </w:r>
          </w:p>
          <w:p w14:paraId="51F56BA2">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278998B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    址：四川省成都市一环路西二段32号</w:t>
            </w:r>
          </w:p>
          <w:p w14:paraId="5EF02AD1">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开户银行：建设银行成都青羊支行</w:t>
            </w:r>
          </w:p>
          <w:p w14:paraId="6086BEEC">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账号：5100 1446 4360 5037 4282</w:t>
            </w:r>
          </w:p>
        </w:tc>
        <w:tc>
          <w:tcPr>
            <w:tcW w:w="5247" w:type="dxa"/>
          </w:tcPr>
          <w:p w14:paraId="4D1217F6">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乙方：</w:t>
            </w:r>
            <w:permStart w:id="2" w:edGrp="everyone"/>
            <w:r>
              <w:rPr>
                <w:rFonts w:hint="eastAsia" w:ascii="宋体" w:hAnsi="宋体" w:eastAsia="宋体" w:cs="宋体"/>
                <w:sz w:val="21"/>
                <w:szCs w:val="21"/>
              </w:rPr>
              <w:t>***</w:t>
            </w:r>
            <w:permEnd w:id="2"/>
            <w:r>
              <w:rPr>
                <w:rFonts w:hint="eastAsia" w:ascii="宋体" w:hAnsi="宋体" w:eastAsia="宋体" w:cs="宋体"/>
                <w:sz w:val="21"/>
                <w:szCs w:val="21"/>
              </w:rPr>
              <w:t>（盖章）</w:t>
            </w:r>
          </w:p>
          <w:p w14:paraId="21FB85E3">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法定代表人（授权代表签字）：</w:t>
            </w:r>
          </w:p>
          <w:p w14:paraId="02F3BD67">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地址：</w:t>
            </w:r>
            <w:permStart w:id="3" w:edGrp="everyone"/>
            <w:r>
              <w:rPr>
                <w:rFonts w:hint="eastAsia" w:ascii="宋体" w:hAnsi="宋体" w:eastAsia="宋体" w:cs="宋体"/>
                <w:sz w:val="21"/>
                <w:szCs w:val="21"/>
              </w:rPr>
              <w:t>***</w:t>
            </w:r>
            <w:permEnd w:id="3"/>
          </w:p>
          <w:p w14:paraId="6BB9791B">
            <w:pPr>
              <w:keepNext w:val="0"/>
              <w:keepLines w:val="0"/>
              <w:pageBreakBefore w:val="0"/>
              <w:kinsoku/>
              <w:wordWrap/>
              <w:overflowPunct/>
              <w:topLinePunct w:val="0"/>
              <w:autoSpaceDE/>
              <w:autoSpaceDN/>
              <w:bidi w:val="0"/>
              <w:spacing w:line="380" w:lineRule="exact"/>
              <w:textAlignment w:val="auto"/>
              <w:rPr>
                <w:rFonts w:hint="eastAsia" w:ascii="宋体" w:hAnsi="宋体" w:eastAsia="宋体" w:cs="宋体"/>
                <w:sz w:val="21"/>
                <w:szCs w:val="21"/>
              </w:rPr>
            </w:pPr>
            <w:r>
              <w:rPr>
                <w:rFonts w:hint="eastAsia" w:ascii="宋体" w:hAnsi="宋体" w:eastAsia="宋体" w:cs="宋体"/>
                <w:sz w:val="21"/>
                <w:szCs w:val="21"/>
              </w:rPr>
              <w:t>开户银行：</w:t>
            </w:r>
            <w:permStart w:id="4" w:edGrp="everyone"/>
            <w:r>
              <w:rPr>
                <w:rFonts w:hint="eastAsia" w:ascii="宋体" w:hAnsi="宋体" w:eastAsia="宋体" w:cs="宋体"/>
                <w:sz w:val="21"/>
                <w:szCs w:val="21"/>
              </w:rPr>
              <w:t>***</w:t>
            </w:r>
          </w:p>
          <w:permEnd w:id="4"/>
          <w:p w14:paraId="5D72E5CB">
            <w:pPr>
              <w:keepNext w:val="0"/>
              <w:keepLines w:val="0"/>
              <w:pageBreakBefore w:val="0"/>
              <w:widowControl/>
              <w:kinsoku/>
              <w:wordWrap/>
              <w:overflowPunct/>
              <w:topLinePunct w:val="0"/>
              <w:autoSpaceDE/>
              <w:autoSpaceDN/>
              <w:bidi w:val="0"/>
              <w:spacing w:line="38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账号：</w:t>
            </w:r>
            <w:permStart w:id="5" w:edGrp="everyone"/>
            <w:r>
              <w:rPr>
                <w:rFonts w:hint="eastAsia" w:ascii="宋体" w:hAnsi="宋体" w:eastAsia="宋体" w:cs="宋体"/>
                <w:sz w:val="21"/>
                <w:szCs w:val="21"/>
              </w:rPr>
              <w:t>***</w:t>
            </w:r>
            <w:permEnd w:id="5"/>
          </w:p>
        </w:tc>
      </w:tr>
    </w:tbl>
    <w:p w14:paraId="3743C453">
      <w:pPr>
        <w:rPr>
          <w:b/>
          <w:bCs/>
          <w:szCs w:val="21"/>
        </w:rPr>
      </w:pPr>
      <w:r>
        <w:rPr>
          <w:b/>
          <w:bCs/>
          <w:szCs w:val="21"/>
        </w:rPr>
        <w:br w:type="page"/>
      </w:r>
    </w:p>
    <w:p w14:paraId="013D3502">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41EED08">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D64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B4895D3">
            <w:pPr>
              <w:widowControl/>
              <w:jc w:val="center"/>
              <w:rPr>
                <w:b/>
                <w:bCs/>
                <w:szCs w:val="21"/>
              </w:rPr>
            </w:pPr>
            <w:r>
              <w:rPr>
                <w:rFonts w:hint="eastAsia"/>
                <w:b/>
                <w:bCs/>
                <w:szCs w:val="21"/>
              </w:rPr>
              <w:t>序号</w:t>
            </w:r>
          </w:p>
        </w:tc>
        <w:tc>
          <w:tcPr>
            <w:tcW w:w="3686" w:type="dxa"/>
            <w:vAlign w:val="center"/>
          </w:tcPr>
          <w:p w14:paraId="19584100">
            <w:pPr>
              <w:widowControl/>
              <w:jc w:val="center"/>
              <w:rPr>
                <w:b/>
                <w:bCs/>
                <w:szCs w:val="21"/>
              </w:rPr>
            </w:pPr>
            <w:r>
              <w:rPr>
                <w:rFonts w:hint="eastAsia"/>
                <w:b/>
                <w:bCs/>
                <w:szCs w:val="21"/>
              </w:rPr>
              <w:t>结算项目名称</w:t>
            </w:r>
          </w:p>
        </w:tc>
        <w:tc>
          <w:tcPr>
            <w:tcW w:w="3402" w:type="dxa"/>
            <w:vAlign w:val="center"/>
          </w:tcPr>
          <w:p w14:paraId="189588A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5B33DC3D">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63351272">
            <w:pPr>
              <w:widowControl/>
              <w:jc w:val="center"/>
              <w:rPr>
                <w:b/>
                <w:bCs/>
                <w:szCs w:val="21"/>
              </w:rPr>
            </w:pPr>
            <w:r>
              <w:rPr>
                <w:rFonts w:hint="eastAsia"/>
                <w:b/>
                <w:bCs/>
                <w:szCs w:val="21"/>
              </w:rPr>
              <w:t>结算单价</w:t>
            </w:r>
          </w:p>
        </w:tc>
      </w:tr>
      <w:tr w14:paraId="76E15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3872DB6">
            <w:pPr>
              <w:widowControl/>
              <w:jc w:val="center"/>
              <w:rPr>
                <w:szCs w:val="21"/>
              </w:rPr>
            </w:pPr>
            <w:r>
              <w:rPr>
                <w:rFonts w:hint="eastAsia"/>
                <w:szCs w:val="21"/>
              </w:rPr>
              <w:t>1</w:t>
            </w:r>
          </w:p>
        </w:tc>
        <w:tc>
          <w:tcPr>
            <w:tcW w:w="3686" w:type="dxa"/>
            <w:vAlign w:val="center"/>
          </w:tcPr>
          <w:p w14:paraId="1B51F472">
            <w:pPr>
              <w:widowControl/>
              <w:jc w:val="left"/>
              <w:rPr>
                <w:szCs w:val="21"/>
              </w:rPr>
            </w:pPr>
          </w:p>
        </w:tc>
        <w:tc>
          <w:tcPr>
            <w:tcW w:w="3402" w:type="dxa"/>
            <w:vAlign w:val="center"/>
          </w:tcPr>
          <w:p w14:paraId="7DD7FFC4">
            <w:pPr>
              <w:widowControl/>
              <w:jc w:val="left"/>
              <w:rPr>
                <w:szCs w:val="21"/>
              </w:rPr>
            </w:pPr>
          </w:p>
        </w:tc>
        <w:tc>
          <w:tcPr>
            <w:tcW w:w="992" w:type="dxa"/>
            <w:vAlign w:val="center"/>
          </w:tcPr>
          <w:p w14:paraId="0FE89261">
            <w:pPr>
              <w:widowControl/>
              <w:jc w:val="center"/>
              <w:rPr>
                <w:szCs w:val="21"/>
              </w:rPr>
            </w:pPr>
          </w:p>
        </w:tc>
        <w:tc>
          <w:tcPr>
            <w:tcW w:w="986" w:type="dxa"/>
            <w:vAlign w:val="center"/>
          </w:tcPr>
          <w:p w14:paraId="0F2A25BF">
            <w:pPr>
              <w:widowControl/>
              <w:jc w:val="center"/>
              <w:rPr>
                <w:szCs w:val="21"/>
              </w:rPr>
            </w:pPr>
          </w:p>
        </w:tc>
      </w:tr>
      <w:tr w14:paraId="752D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13D3369">
            <w:pPr>
              <w:widowControl/>
              <w:jc w:val="center"/>
              <w:rPr>
                <w:szCs w:val="21"/>
              </w:rPr>
            </w:pPr>
            <w:r>
              <w:rPr>
                <w:rFonts w:hint="eastAsia"/>
                <w:szCs w:val="21"/>
              </w:rPr>
              <w:t>2</w:t>
            </w:r>
          </w:p>
        </w:tc>
        <w:tc>
          <w:tcPr>
            <w:tcW w:w="3686" w:type="dxa"/>
            <w:vAlign w:val="center"/>
          </w:tcPr>
          <w:p w14:paraId="0A223391">
            <w:pPr>
              <w:widowControl/>
              <w:jc w:val="left"/>
              <w:rPr>
                <w:szCs w:val="21"/>
              </w:rPr>
            </w:pPr>
          </w:p>
        </w:tc>
        <w:tc>
          <w:tcPr>
            <w:tcW w:w="3402" w:type="dxa"/>
            <w:vAlign w:val="center"/>
          </w:tcPr>
          <w:p w14:paraId="41AB15F4">
            <w:pPr>
              <w:widowControl/>
              <w:jc w:val="left"/>
              <w:rPr>
                <w:szCs w:val="21"/>
              </w:rPr>
            </w:pPr>
          </w:p>
        </w:tc>
        <w:tc>
          <w:tcPr>
            <w:tcW w:w="992" w:type="dxa"/>
            <w:vAlign w:val="center"/>
          </w:tcPr>
          <w:p w14:paraId="070B9E57">
            <w:pPr>
              <w:widowControl/>
              <w:jc w:val="center"/>
              <w:rPr>
                <w:szCs w:val="21"/>
              </w:rPr>
            </w:pPr>
          </w:p>
        </w:tc>
        <w:tc>
          <w:tcPr>
            <w:tcW w:w="986" w:type="dxa"/>
            <w:vAlign w:val="center"/>
          </w:tcPr>
          <w:p w14:paraId="6CEDF7E5">
            <w:pPr>
              <w:widowControl/>
              <w:jc w:val="center"/>
              <w:rPr>
                <w:szCs w:val="21"/>
              </w:rPr>
            </w:pPr>
          </w:p>
        </w:tc>
      </w:tr>
      <w:tr w14:paraId="016A6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EA6CF83">
            <w:pPr>
              <w:widowControl/>
              <w:jc w:val="center"/>
              <w:rPr>
                <w:szCs w:val="21"/>
              </w:rPr>
            </w:pPr>
            <w:r>
              <w:rPr>
                <w:szCs w:val="21"/>
              </w:rPr>
              <w:t>…</w:t>
            </w:r>
          </w:p>
        </w:tc>
        <w:tc>
          <w:tcPr>
            <w:tcW w:w="3686" w:type="dxa"/>
            <w:vAlign w:val="center"/>
          </w:tcPr>
          <w:p w14:paraId="73663D6A">
            <w:pPr>
              <w:widowControl/>
              <w:jc w:val="left"/>
              <w:rPr>
                <w:szCs w:val="21"/>
              </w:rPr>
            </w:pPr>
          </w:p>
        </w:tc>
        <w:tc>
          <w:tcPr>
            <w:tcW w:w="3402" w:type="dxa"/>
            <w:vAlign w:val="center"/>
          </w:tcPr>
          <w:p w14:paraId="1D6D4B46">
            <w:pPr>
              <w:widowControl/>
              <w:jc w:val="left"/>
              <w:rPr>
                <w:szCs w:val="21"/>
              </w:rPr>
            </w:pPr>
          </w:p>
        </w:tc>
        <w:tc>
          <w:tcPr>
            <w:tcW w:w="992" w:type="dxa"/>
            <w:vAlign w:val="center"/>
          </w:tcPr>
          <w:p w14:paraId="222BAC48">
            <w:pPr>
              <w:widowControl/>
              <w:jc w:val="center"/>
              <w:rPr>
                <w:szCs w:val="21"/>
              </w:rPr>
            </w:pPr>
          </w:p>
        </w:tc>
        <w:tc>
          <w:tcPr>
            <w:tcW w:w="986" w:type="dxa"/>
            <w:vAlign w:val="center"/>
          </w:tcPr>
          <w:p w14:paraId="0F066CCC">
            <w:pPr>
              <w:widowControl/>
              <w:jc w:val="center"/>
              <w:rPr>
                <w:szCs w:val="21"/>
              </w:rPr>
            </w:pPr>
          </w:p>
        </w:tc>
      </w:tr>
    </w:tbl>
    <w:p w14:paraId="7E4B40E7">
      <w:pPr>
        <w:widowControl/>
        <w:jc w:val="left"/>
        <w:rPr>
          <w:szCs w:val="21"/>
        </w:rPr>
        <w:sectPr>
          <w:headerReference r:id="rId6" w:type="default"/>
          <w:footerReference r:id="rId7" w:type="default"/>
          <w:pgSz w:w="11906" w:h="16838"/>
          <w:pgMar w:top="851" w:right="1134" w:bottom="851" w:left="1134" w:header="0" w:footer="567" w:gutter="0"/>
          <w:pgNumType w:fmt="decimal" w:start="1"/>
          <w:cols w:space="425" w:num="1"/>
          <w:docGrid w:linePitch="312" w:charSpace="0"/>
        </w:sectPr>
      </w:pPr>
    </w:p>
    <w:p w14:paraId="05444452">
      <w:pPr>
        <w:widowControl/>
        <w:jc w:val="left"/>
        <w:rPr>
          <w:rFonts w:ascii="宋体" w:hAnsi="宋体"/>
          <w:b/>
          <w:bCs/>
          <w:szCs w:val="21"/>
        </w:rPr>
      </w:pPr>
      <w:r>
        <w:rPr>
          <w:rFonts w:hint="eastAsia" w:ascii="宋体" w:hAnsi="宋体"/>
          <w:b/>
          <w:bCs/>
          <w:szCs w:val="21"/>
        </w:rPr>
        <w:t>附件2：考核标准</w:t>
      </w:r>
    </w:p>
    <w:p w14:paraId="43DD6514"/>
    <w:p w14:paraId="11E34C38">
      <w:r>
        <w:rPr>
          <w:rFonts w:hint="eastAsia"/>
        </w:rPr>
        <w:t>*</w:t>
      </w:r>
      <w:r>
        <w:t>**</w:t>
      </w:r>
    </w:p>
    <w:p w14:paraId="4B448798">
      <w:r>
        <w:br w:type="page"/>
      </w:r>
    </w:p>
    <w:p w14:paraId="2C133F9F">
      <w:pPr>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BFA308"/>
    <w:p w14:paraId="6F9E11C8">
      <w:r>
        <w:rPr>
          <w:rFonts w:hint="eastAsia"/>
        </w:rPr>
        <w:t>*</w:t>
      </w:r>
      <w:r>
        <w:t>**</w:t>
      </w:r>
    </w:p>
    <w:p w14:paraId="15E827A6">
      <w:pPr>
        <w:rPr>
          <w:rFonts w:ascii="Times New Roman" w:hAnsi="Times New Roman" w:cs="Times New Roman"/>
          <w:b/>
          <w:bCs/>
          <w:sz w:val="44"/>
          <w:szCs w:val="52"/>
        </w:rPr>
      </w:pPr>
      <w:r>
        <w:rPr>
          <w:rFonts w:ascii="Times New Roman" w:hAnsi="Times New Roman" w:cs="Times New Roman"/>
          <w:b/>
          <w:bCs/>
          <w:sz w:val="44"/>
          <w:szCs w:val="52"/>
        </w:rPr>
        <w:br w:type="page"/>
      </w:r>
    </w:p>
    <w:p w14:paraId="0CA01D3C">
      <w:pPr>
        <w:rPr>
          <w:rFonts w:ascii="Times New Roman" w:hAnsi="Times New Roman" w:cs="Times New Roman"/>
          <w:b/>
          <w:bCs/>
          <w:sz w:val="44"/>
          <w:szCs w:val="52"/>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1"/>
          <w:rFonts w:ascii="Times New Roman" w:hAnsi="Times New Roman" w:eastAsia="宋体" w:cs="Times New Roman"/>
          <w:b/>
          <w:bCs/>
          <w:sz w:val="32"/>
          <w:szCs w:val="32"/>
        </w:rPr>
      </w:pPr>
      <w:r>
        <w:rPr>
          <w:rFonts w:ascii="Times New Roman" w:hAnsi="Times New Roman" w:cs="Times New Roman"/>
        </w:rPr>
        <w:t>年   月   日</w:t>
      </w:r>
    </w:p>
    <w:p w14:paraId="27852A60">
      <w:pPr>
        <w:pStyle w:val="24"/>
        <w:rPr>
          <w:rFonts w:ascii="Times New Roman" w:hAnsi="Times New Roman"/>
        </w:rPr>
      </w:pP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374D8B-F0B6-4E99-9CF0-F8BD05F1345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398D457-FE5F-431A-9E25-17AF7BC366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5556B63-2CFF-44D5-92CE-AA03605DDF97}"/>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81DAC25-D635-430F-B13C-A173377E5167}"/>
  </w:font>
  <w:font w:name="Segoe UI Symbol">
    <w:panose1 w:val="020B0502040204020203"/>
    <w:charset w:val="00"/>
    <w:family w:val="swiss"/>
    <w:pitch w:val="default"/>
    <w:sig w:usb0="800001E3" w:usb1="1200FFEF" w:usb2="00040000" w:usb3="04000000" w:csb0="00000001" w:csb1="40000000"/>
    <w:embedRegular r:id="rId5" w:fontKey="{186FA296-BF19-4756-84BE-228C119F67F0}"/>
  </w:font>
  <w:font w:name="Wingdings 2">
    <w:altName w:val="Wingdings"/>
    <w:panose1 w:val="05020102010507070707"/>
    <w:charset w:val="4D"/>
    <w:family w:val="decorative"/>
    <w:pitch w:val="default"/>
    <w:sig w:usb0="00000000" w:usb1="00000000" w:usb2="00000000" w:usb3="00000000" w:csb0="80000000" w:csb1="00000000"/>
    <w:embedRegular r:id="rId6" w:fontKey="{2048C445-F042-49B2-BFFC-1BA19F3AED17}"/>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2E5B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E82E4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 xml:space="preserve">43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E82E4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 xml:space="preserve">43 </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C8C3A">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DDC8C3A">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687B7">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BFBBE"/>
    <w:multiLevelType w:val="singleLevel"/>
    <w:tmpl w:val="874BFBBE"/>
    <w:lvl w:ilvl="0" w:tentative="0">
      <w:start w:val="1"/>
      <w:numFmt w:val="decimal"/>
      <w:lvlText w:val="%1."/>
      <w:lvlJc w:val="left"/>
      <w:pPr>
        <w:tabs>
          <w:tab w:val="left" w:pos="312"/>
        </w:tabs>
      </w:p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C4222BEC"/>
    <w:multiLevelType w:val="singleLevel"/>
    <w:tmpl w:val="C4222BEC"/>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000002"/>
    <w:multiLevelType w:val="singleLevel"/>
    <w:tmpl w:val="00000002"/>
    <w:lvl w:ilvl="0" w:tentative="0">
      <w:start w:val="1"/>
      <w:numFmt w:val="decimal"/>
      <w:lvlText w:val="(%1)"/>
      <w:lvlJc w:val="left"/>
      <w:pPr>
        <w:tabs>
          <w:tab w:val="left" w:pos="0"/>
        </w:tabs>
        <w:ind w:left="-61" w:firstLine="61"/>
      </w:pPr>
      <w:rPr>
        <w:rFonts w:hint="default"/>
      </w:rPr>
    </w:lvl>
  </w:abstractNum>
  <w:abstractNum w:abstractNumId="8">
    <w:nsid w:val="00000007"/>
    <w:multiLevelType w:val="singleLevel"/>
    <w:tmpl w:val="00000007"/>
    <w:lvl w:ilvl="0" w:tentative="0">
      <w:start w:val="1"/>
      <w:numFmt w:val="decimal"/>
      <w:lvlText w:val="(%1)"/>
      <w:lvlJc w:val="left"/>
      <w:pPr>
        <w:ind w:left="425" w:hanging="425"/>
      </w:pPr>
      <w:rPr>
        <w:rFonts w:hint="default"/>
      </w:rPr>
    </w:lvl>
  </w:abstractNum>
  <w:abstractNum w:abstractNumId="9">
    <w:nsid w:val="00000009"/>
    <w:multiLevelType w:val="singleLevel"/>
    <w:tmpl w:val="00000009"/>
    <w:lvl w:ilvl="0" w:tentative="0">
      <w:start w:val="1"/>
      <w:numFmt w:val="decimal"/>
      <w:lvlText w:val="%1."/>
      <w:lvlJc w:val="left"/>
      <w:pPr>
        <w:tabs>
          <w:tab w:val="left" w:pos="0"/>
        </w:tabs>
        <w:ind w:left="0" w:firstLine="0"/>
      </w:pPr>
      <w:rPr>
        <w:rFonts w:hint="default"/>
      </w:rPr>
    </w:lvl>
  </w:abstractNum>
  <w:abstractNum w:abstractNumId="10">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4">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6">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7">
    <w:nsid w:val="1F712D09"/>
    <w:multiLevelType w:val="singleLevel"/>
    <w:tmpl w:val="1F712D09"/>
    <w:lvl w:ilvl="0" w:tentative="0">
      <w:start w:val="1"/>
      <w:numFmt w:val="decimal"/>
      <w:lvlText w:val="(%1)"/>
      <w:lvlJc w:val="left"/>
      <w:pPr>
        <w:ind w:left="218" w:hanging="425"/>
      </w:pPr>
      <w:rPr>
        <w:rFonts w:hint="default"/>
      </w:rPr>
    </w:lvl>
  </w:abstractNum>
  <w:abstractNum w:abstractNumId="18">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7">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9"/>
  </w:num>
  <w:num w:numId="2">
    <w:abstractNumId w:val="5"/>
  </w:num>
  <w:num w:numId="3">
    <w:abstractNumId w:val="20"/>
  </w:num>
  <w:num w:numId="4">
    <w:abstractNumId w:val="28"/>
  </w:num>
  <w:num w:numId="5">
    <w:abstractNumId w:val="17"/>
  </w:num>
  <w:num w:numId="6">
    <w:abstractNumId w:val="9"/>
  </w:num>
  <w:num w:numId="7">
    <w:abstractNumId w:val="8"/>
  </w:num>
  <w:num w:numId="8">
    <w:abstractNumId w:val="7"/>
  </w:num>
  <w:num w:numId="9">
    <w:abstractNumId w:val="4"/>
  </w:num>
  <w:num w:numId="10">
    <w:abstractNumId w:val="2"/>
  </w:num>
  <w:num w:numId="11">
    <w:abstractNumId w:val="1"/>
  </w:num>
  <w:num w:numId="12">
    <w:abstractNumId w:val="6"/>
  </w:num>
  <w:num w:numId="13">
    <w:abstractNumId w:val="0"/>
  </w:num>
  <w:num w:numId="14">
    <w:abstractNumId w:val="3"/>
  </w:num>
  <w:num w:numId="15">
    <w:abstractNumId w:val="16"/>
  </w:num>
  <w:num w:numId="16">
    <w:abstractNumId w:val="24"/>
  </w:num>
  <w:num w:numId="17">
    <w:abstractNumId w:val="27"/>
  </w:num>
  <w:num w:numId="18">
    <w:abstractNumId w:val="22"/>
  </w:num>
  <w:num w:numId="19">
    <w:abstractNumId w:val="13"/>
  </w:num>
  <w:num w:numId="20">
    <w:abstractNumId w:val="11"/>
  </w:num>
  <w:num w:numId="21">
    <w:abstractNumId w:val="25"/>
  </w:num>
  <w:num w:numId="22">
    <w:abstractNumId w:val="21"/>
  </w:num>
  <w:num w:numId="23">
    <w:abstractNumId w:val="12"/>
  </w:num>
  <w:num w:numId="24">
    <w:abstractNumId w:val="15"/>
  </w:num>
  <w:num w:numId="25">
    <w:abstractNumId w:val="26"/>
  </w:num>
  <w:num w:numId="26">
    <w:abstractNumId w:val="10"/>
  </w:num>
  <w:num w:numId="27">
    <w:abstractNumId w:val="23"/>
  </w:num>
  <w:num w:numId="28">
    <w:abstractNumId w:val="14"/>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075CB"/>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D68EC"/>
    <w:rsid w:val="00EF1292"/>
    <w:rsid w:val="00F3202A"/>
    <w:rsid w:val="00F523A1"/>
    <w:rsid w:val="00F676AD"/>
    <w:rsid w:val="00F90C3B"/>
    <w:rsid w:val="00FF60E3"/>
    <w:rsid w:val="01F77F95"/>
    <w:rsid w:val="04395576"/>
    <w:rsid w:val="04777312"/>
    <w:rsid w:val="058C78B0"/>
    <w:rsid w:val="05E13064"/>
    <w:rsid w:val="06E01180"/>
    <w:rsid w:val="078A573C"/>
    <w:rsid w:val="07FB488D"/>
    <w:rsid w:val="081541D2"/>
    <w:rsid w:val="093A3733"/>
    <w:rsid w:val="0B4508AE"/>
    <w:rsid w:val="0C0D512F"/>
    <w:rsid w:val="0CD67F10"/>
    <w:rsid w:val="0CF161C9"/>
    <w:rsid w:val="0E0B7FF0"/>
    <w:rsid w:val="0FE61CA0"/>
    <w:rsid w:val="117A5014"/>
    <w:rsid w:val="127F05A0"/>
    <w:rsid w:val="136D78F8"/>
    <w:rsid w:val="15845DE6"/>
    <w:rsid w:val="15CC4977"/>
    <w:rsid w:val="162A4F7D"/>
    <w:rsid w:val="16A82A66"/>
    <w:rsid w:val="175E328A"/>
    <w:rsid w:val="1994787E"/>
    <w:rsid w:val="1C8335FD"/>
    <w:rsid w:val="1DD000AF"/>
    <w:rsid w:val="1E09745A"/>
    <w:rsid w:val="1E176351"/>
    <w:rsid w:val="1FCD64B1"/>
    <w:rsid w:val="21B3734E"/>
    <w:rsid w:val="22935D1D"/>
    <w:rsid w:val="23D4489F"/>
    <w:rsid w:val="262001B9"/>
    <w:rsid w:val="27B87AF9"/>
    <w:rsid w:val="27E80EA9"/>
    <w:rsid w:val="280414A1"/>
    <w:rsid w:val="28570368"/>
    <w:rsid w:val="29C5318E"/>
    <w:rsid w:val="29E144BE"/>
    <w:rsid w:val="2B502F98"/>
    <w:rsid w:val="2B5F63AF"/>
    <w:rsid w:val="2C9A0A9E"/>
    <w:rsid w:val="2CC31B0E"/>
    <w:rsid w:val="2DA70D65"/>
    <w:rsid w:val="30F776C7"/>
    <w:rsid w:val="3427766B"/>
    <w:rsid w:val="343706EB"/>
    <w:rsid w:val="351A08D0"/>
    <w:rsid w:val="36334CE5"/>
    <w:rsid w:val="37D16702"/>
    <w:rsid w:val="3A551407"/>
    <w:rsid w:val="3AAC733F"/>
    <w:rsid w:val="3B033C36"/>
    <w:rsid w:val="3C5C560E"/>
    <w:rsid w:val="3E5D4E8E"/>
    <w:rsid w:val="3FE25336"/>
    <w:rsid w:val="41076015"/>
    <w:rsid w:val="42075FF8"/>
    <w:rsid w:val="42842020"/>
    <w:rsid w:val="45A33E32"/>
    <w:rsid w:val="468567BB"/>
    <w:rsid w:val="46D63C8B"/>
    <w:rsid w:val="4782487D"/>
    <w:rsid w:val="47A8577D"/>
    <w:rsid w:val="48852C5B"/>
    <w:rsid w:val="49B51131"/>
    <w:rsid w:val="4B31068E"/>
    <w:rsid w:val="4BA55220"/>
    <w:rsid w:val="4BAD0151"/>
    <w:rsid w:val="4C184E09"/>
    <w:rsid w:val="4C8F75A2"/>
    <w:rsid w:val="4DAD4403"/>
    <w:rsid w:val="4E8168A2"/>
    <w:rsid w:val="4E8C008E"/>
    <w:rsid w:val="4F470789"/>
    <w:rsid w:val="4FEF758C"/>
    <w:rsid w:val="50771A9C"/>
    <w:rsid w:val="50A417ED"/>
    <w:rsid w:val="51814859"/>
    <w:rsid w:val="51C47F6D"/>
    <w:rsid w:val="526C2A8A"/>
    <w:rsid w:val="5455382C"/>
    <w:rsid w:val="566429F2"/>
    <w:rsid w:val="56DB728F"/>
    <w:rsid w:val="5D0A3490"/>
    <w:rsid w:val="5D7E0D39"/>
    <w:rsid w:val="5DFB21D6"/>
    <w:rsid w:val="5E7943E4"/>
    <w:rsid w:val="5E9D3F29"/>
    <w:rsid w:val="60241FF3"/>
    <w:rsid w:val="60384CD1"/>
    <w:rsid w:val="60655808"/>
    <w:rsid w:val="60E23609"/>
    <w:rsid w:val="60F86CEE"/>
    <w:rsid w:val="61DA7EB5"/>
    <w:rsid w:val="63A9427A"/>
    <w:rsid w:val="63D462B1"/>
    <w:rsid w:val="641A3596"/>
    <w:rsid w:val="64D96647"/>
    <w:rsid w:val="655B51E5"/>
    <w:rsid w:val="65E40ADA"/>
    <w:rsid w:val="66330B86"/>
    <w:rsid w:val="66E22203"/>
    <w:rsid w:val="68B812C9"/>
    <w:rsid w:val="69D50CF4"/>
    <w:rsid w:val="6B054862"/>
    <w:rsid w:val="6C487AFD"/>
    <w:rsid w:val="6CB24363"/>
    <w:rsid w:val="6CFA6338"/>
    <w:rsid w:val="6EA93466"/>
    <w:rsid w:val="6EBD136C"/>
    <w:rsid w:val="6EDF197E"/>
    <w:rsid w:val="6FCF0795"/>
    <w:rsid w:val="71381023"/>
    <w:rsid w:val="73714961"/>
    <w:rsid w:val="754D1D92"/>
    <w:rsid w:val="758350A9"/>
    <w:rsid w:val="76CC46E8"/>
    <w:rsid w:val="77BC7D69"/>
    <w:rsid w:val="79687E1D"/>
    <w:rsid w:val="7A7120E3"/>
    <w:rsid w:val="7B560FD7"/>
    <w:rsid w:val="7B5F74F8"/>
    <w:rsid w:val="7B690630"/>
    <w:rsid w:val="7BCE4A5E"/>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rPr>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paragraph" w:customStyle="1" w:styleId="39">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1244</Words>
  <Characters>1322</Characters>
  <Lines>72</Lines>
  <Paragraphs>20</Paragraphs>
  <TotalTime>0</TotalTime>
  <ScaleCrop>false</ScaleCrop>
  <LinksUpToDate>false</LinksUpToDate>
  <CharactersWithSpaces>1394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好嘞</cp:lastModifiedBy>
  <dcterms:modified xsi:type="dcterms:W3CDTF">2026-06-08T10:20:19Z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50E803B176664D6FA00F74B60392790E_13</vt:lpwstr>
  </property>
  <property fmtid="{D5CDD505-2E9C-101B-9397-08002B2CF9AE}" pid="4" name="KSOTemplateDocerSaveRecord">
    <vt:lpwstr>eyJoZGlkIjoiYzBmNjVkODg4YTI3YTdkZTY0YmRiY2Y4YmFkMWQ1OTIiLCJ1c2VySWQiOiI2NDE5ODgzNDAifQ==</vt:lpwstr>
  </property>
</Properties>
</file>