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高新院区建设项目施工用电工程</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1919"/>
      <w:bookmarkStart w:id="1" w:name="_Toc20358"/>
      <w:bookmarkStart w:id="2" w:name="_Toc62832406"/>
      <w:bookmarkStart w:id="3" w:name="_Toc3240"/>
      <w:bookmarkStart w:id="4" w:name="_Toc471310326"/>
      <w:bookmarkStart w:id="5" w:name="_Toc1907"/>
      <w:r>
        <w:rPr>
          <w:rFonts w:ascii="Times New Roman" w:hAnsi="Times New Roman" w:cs="Times New Roman"/>
        </w:rPr>
        <w:t>谈判邀请</w:t>
      </w:r>
      <w:bookmarkEnd w:id="0"/>
      <w:bookmarkEnd w:id="1"/>
      <w:bookmarkEnd w:id="2"/>
      <w:bookmarkEnd w:id="3"/>
      <w:bookmarkEnd w:id="4"/>
      <w:bookmarkEnd w:id="5"/>
    </w:p>
    <w:tbl>
      <w:tblPr>
        <w:tblStyle w:val="19"/>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258DC8DA">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四川省人民医院高新院区建设项目施工用电工程</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CGZX-HQB20261346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1DC07A74">
            <w:pPr>
              <w:spacing w:line="360" w:lineRule="auto"/>
              <w:ind w:left="210" w:leftChars="100"/>
              <w:rPr>
                <w:rFonts w:hint="eastAsia" w:ascii="Times New Roman" w:hAnsi="Times New Roman" w:eastAsia="仿宋" w:cs="Times New Roman"/>
                <w:sz w:val="22"/>
                <w:lang w:val="en-US" w:eastAsia="zh-CN"/>
              </w:rPr>
            </w:pPr>
            <w:r>
              <w:rPr>
                <w:rFonts w:hint="eastAsia" w:ascii="Times New Roman" w:hAnsi="Times New Roman" w:eastAsia="仿宋" w:cs="Times New Roman"/>
                <w:sz w:val="22"/>
              </w:rPr>
              <w:t xml:space="preserve">人民币 </w:t>
            </w:r>
            <w:r>
              <w:rPr>
                <w:rFonts w:hint="eastAsia" w:ascii="Times New Roman" w:hAnsi="Times New Roman" w:eastAsia="仿宋" w:cs="Times New Roman"/>
                <w:sz w:val="22"/>
                <w:lang w:val="en-US" w:eastAsia="zh-CN"/>
              </w:rPr>
              <w:t xml:space="preserve"> 961944.41</w:t>
            </w:r>
            <w:r>
              <w:rPr>
                <w:rFonts w:hint="eastAsia" w:ascii="Times New Roman" w:hAnsi="Times New Roman" w:eastAsia="仿宋" w:cs="Times New Roman"/>
                <w:sz w:val="22"/>
              </w:rPr>
              <w:t>元</w:t>
            </w:r>
            <w:r>
              <w:rPr>
                <w:rFonts w:hint="eastAsia" w:ascii="Times New Roman" w:hAnsi="Times New Roman" w:eastAsia="仿宋" w:cs="Times New Roman"/>
                <w:sz w:val="22"/>
                <w:lang w:val="en-US" w:eastAsia="zh-CN"/>
              </w:rPr>
              <w:t>（其中不可竞争费用为：暂列金额 16518.82元元，安全生产措施费12389.12元，规费0元）</w:t>
            </w:r>
          </w:p>
          <w:p w14:paraId="14AD9879">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lang w:val="en-US" w:eastAsia="zh-CN"/>
              </w:rPr>
              <w:t>注：超过最高限价的报价视为无效报价，其响应文件作无效处理。</w:t>
            </w:r>
          </w:p>
          <w:p w14:paraId="056F6904">
            <w:pPr>
              <w:spacing w:line="360" w:lineRule="auto"/>
              <w:ind w:left="210" w:leftChars="100"/>
              <w:rPr>
                <w:rFonts w:ascii="Times New Roman" w:hAnsi="Times New Roman" w:eastAsia="仿宋" w:cs="Times New Roman"/>
                <w:sz w:val="22"/>
              </w:rPr>
            </w:pP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8"/>
              <w:numPr>
                <w:ilvl w:val="0"/>
                <w:numId w:val="5"/>
              </w:numPr>
              <w:spacing w:after="0" w:line="560" w:lineRule="exact"/>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仿宋" w:hAnsi="仿宋" w:eastAsia="仿宋" w:cs="仿宋"/>
                <w:sz w:val="22"/>
                <w:szCs w:val="22"/>
                <w:u w:color="000000"/>
                <w:lang w:val="en-US" w:eastAsia="zh-CN"/>
              </w:rPr>
              <w:t>2026年9月23日</w:t>
            </w:r>
            <w:r>
              <w:rPr>
                <w:rFonts w:hint="eastAsia" w:ascii="仿宋" w:hAnsi="仿宋" w:eastAsia="仿宋" w:cs="仿宋"/>
                <w:b w:val="0"/>
                <w:bCs/>
                <w:color w:val="auto"/>
                <w:kern w:val="2"/>
                <w:sz w:val="22"/>
                <w:szCs w:val="22"/>
                <w:highlight w:val="none"/>
                <w:lang w:val="en-US" w:eastAsia="zh-CN" w:bidi="ar-SA"/>
              </w:rPr>
              <w:t>上午9：00</w:t>
            </w:r>
          </w:p>
          <w:p w14:paraId="72677446">
            <w:pPr>
              <w:pStyle w:val="8"/>
              <w:numPr>
                <w:ilvl w:val="0"/>
                <w:numId w:val="5"/>
              </w:numPr>
              <w:spacing w:after="0" w:line="560" w:lineRule="exact"/>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仿宋" w:hAnsi="仿宋" w:eastAsia="仿宋" w:cs="仿宋"/>
                <w:b w:val="0"/>
                <w:bCs/>
                <w:color w:val="auto"/>
                <w:kern w:val="2"/>
                <w:sz w:val="22"/>
                <w:szCs w:val="22"/>
                <w:highlight w:val="none"/>
                <w:lang w:val="en-US" w:eastAsia="zh-CN" w:bidi="ar-SA"/>
              </w:rPr>
              <w:t>成都市青羊区浣花北路18号四川省人民医院医学图书馆4楼招标采购中心401办公室</w:t>
            </w:r>
          </w:p>
          <w:p w14:paraId="05E49845">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仿宋" w:hAnsi="仿宋" w:eastAsia="仿宋" w:cs="仿宋"/>
                <w:sz w:val="22"/>
                <w:szCs w:val="22"/>
                <w:u w:color="000000"/>
                <w:lang w:val="en-US" w:eastAsia="zh-CN"/>
              </w:rPr>
              <w:t>2026年9月23</w:t>
            </w:r>
            <w:bookmarkStart w:id="339" w:name="_GoBack"/>
            <w:bookmarkEnd w:id="339"/>
            <w:r>
              <w:rPr>
                <w:rFonts w:hint="eastAsia" w:ascii="仿宋" w:hAnsi="仿宋" w:eastAsia="仿宋" w:cs="仿宋"/>
                <w:sz w:val="22"/>
                <w:szCs w:val="22"/>
                <w:u w:color="000000"/>
                <w:lang w:val="en-US" w:eastAsia="zh-CN"/>
              </w:rPr>
              <w:t>日</w:t>
            </w:r>
            <w:r>
              <w:rPr>
                <w:rFonts w:hint="eastAsia" w:ascii="仿宋" w:hAnsi="仿宋" w:eastAsia="仿宋" w:cs="仿宋"/>
                <w:b w:val="0"/>
                <w:bCs/>
                <w:color w:val="auto"/>
                <w:kern w:val="2"/>
                <w:sz w:val="22"/>
                <w:szCs w:val="22"/>
                <w:highlight w:val="none"/>
                <w:lang w:val="en-US" w:eastAsia="zh-CN" w:bidi="ar-SA"/>
              </w:rPr>
              <w:t>11：00</w:t>
            </w:r>
          </w:p>
          <w:p w14:paraId="2DB245B1">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踏勘地点：四川省人民医院高新院区，成都市双流区观东一街与观东二街之间</w:t>
            </w:r>
          </w:p>
          <w:p w14:paraId="49FEA132">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rPr>
              <w:t xml:space="preserve">刘旭 </w:t>
            </w:r>
          </w:p>
          <w:p w14:paraId="7C1A1462">
            <w:pPr>
              <w:pStyle w:val="8"/>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rPr>
              <w:t>13408492212</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成交价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扣除招标暂定部分</w:t>
            </w:r>
            <w:r>
              <w:rPr>
                <w:rFonts w:hint="eastAsia" w:ascii="Times New Roman" w:hAnsi="Times New Roman" w:eastAsia="仿宋" w:cs="Times New Roman"/>
                <w:sz w:val="22"/>
                <w:szCs w:val="22"/>
                <w:lang w:val="zh-CN"/>
              </w:rPr>
              <w:t>）的 10 %（根据实际情况需明确暂定部分为暂列金额和暂估价）。</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工程竣工验收合格并将工程及其相关资料移交</w:t>
            </w:r>
            <w:r>
              <w:rPr>
                <w:rFonts w:hint="eastAsia" w:ascii="Times New Roman" w:hAnsi="Times New Roman" w:eastAsia="仿宋" w:cs="Times New Roman"/>
                <w:sz w:val="22"/>
                <w:szCs w:val="22"/>
                <w:lang w:val="en-US" w:eastAsia="zh-CN"/>
              </w:rPr>
              <w:t>采购人</w:t>
            </w:r>
            <w:r>
              <w:rPr>
                <w:rFonts w:ascii="Times New Roman" w:hAnsi="Times New Roman" w:eastAsia="仿宋" w:cs="Times New Roman"/>
                <w:sz w:val="22"/>
                <w:szCs w:val="22"/>
                <w:u w:val="none"/>
                <w:lang w:val="zh-CN"/>
              </w:rPr>
              <w:t>后</w:t>
            </w:r>
            <w:r>
              <w:rPr>
                <w:rFonts w:hint="eastAsia" w:ascii="Times New Roman" w:hAnsi="Times New Roman" w:eastAsia="仿宋" w:cs="Times New Roman"/>
                <w:sz w:val="22"/>
                <w:szCs w:val="22"/>
                <w:u w:val="none"/>
                <w:lang w:val="zh-CN"/>
              </w:rPr>
              <w:t>，</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老师028-</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none"/>
                <w:lang w:val="en-US" w:eastAsia="zh-CN"/>
              </w:rPr>
              <w:t>后勤保障</w:t>
            </w:r>
            <w:r>
              <w:rPr>
                <w:rFonts w:ascii="Times New Roman" w:hAnsi="Times New Roman" w:eastAsia="仿宋" w:cs="Times New Roman"/>
                <w:sz w:val="22"/>
                <w:u w:val="none"/>
              </w:rPr>
              <w:t>部门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kern w:val="0"/>
                <w:sz w:val="22"/>
              </w:rPr>
              <w:t>李</w:t>
            </w:r>
            <w:r>
              <w:rPr>
                <w:rFonts w:ascii="Times New Roman" w:hAnsi="Times New Roman" w:eastAsia="仿宋" w:cs="Times New Roman"/>
                <w:kern w:val="0"/>
                <w:sz w:val="22"/>
              </w:rPr>
              <w:t>老师028-</w:t>
            </w:r>
            <w:r>
              <w:rPr>
                <w:rFonts w:hint="eastAsia" w:ascii="Times New Roman" w:hAnsi="Times New Roman" w:eastAsia="仿宋" w:cs="Times New Roman"/>
                <w:kern w:val="0"/>
                <w:sz w:val="22"/>
              </w:rPr>
              <w:t>87393442</w:t>
            </w:r>
          </w:p>
          <w:p w14:paraId="7EDD87F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60097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361C885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55"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670CC87F">
            <w:pPr>
              <w:widowControl/>
              <w:numPr>
                <w:ilvl w:val="-1"/>
                <w:numId w:val="0"/>
              </w:numPr>
              <w:jc w:val="left"/>
              <w:rPr>
                <w:rFonts w:hint="eastAsia"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rPr>
              <w:t xml:space="preserve"> </w:t>
            </w:r>
          </w:p>
          <w:p w14:paraId="5216CCEA">
            <w:pPr>
              <w:widowControl/>
              <w:numPr>
                <w:ilvl w:val="-1"/>
                <w:numId w:val="0"/>
              </w:numPr>
              <w:spacing w:line="360" w:lineRule="auto"/>
              <w:jc w:val="left"/>
              <w:rPr>
                <w:rFonts w:ascii="Times New Roman" w:hAnsi="Times New Roman" w:eastAsia="仿宋" w:cs="Times New Roman"/>
                <w:b w:val="0"/>
                <w:bCs/>
                <w:sz w:val="22"/>
                <w:szCs w:val="22"/>
              </w:rPr>
            </w:pPr>
            <w:r>
              <w:rPr>
                <w:rFonts w:hint="eastAsia" w:ascii="Times New Roman" w:hAnsi="Times New Roman" w:eastAsia="仿宋" w:cs="Times New Roman"/>
                <w:b w:val="0"/>
                <w:bCs/>
                <w:sz w:val="22"/>
                <w:szCs w:val="22"/>
                <w:lang w:eastAsia="zh-CN"/>
              </w:rPr>
              <w:t>（</w:t>
            </w:r>
            <w:r>
              <w:rPr>
                <w:rFonts w:hint="eastAsia" w:ascii="Times New Roman" w:hAnsi="Times New Roman" w:eastAsia="仿宋" w:cs="Times New Roman"/>
                <w:b w:val="0"/>
                <w:bCs/>
                <w:sz w:val="22"/>
                <w:szCs w:val="22"/>
                <w:lang w:val="en-US" w:eastAsia="zh-CN"/>
              </w:rPr>
              <w:t>1</w:t>
            </w:r>
            <w:r>
              <w:rPr>
                <w:rFonts w:hint="eastAsia" w:ascii="Times New Roman" w:hAnsi="Times New Roman" w:eastAsia="仿宋" w:cs="Times New Roman"/>
                <w:b w:val="0"/>
                <w:bCs/>
                <w:sz w:val="22"/>
                <w:szCs w:val="22"/>
                <w:lang w:eastAsia="zh-CN"/>
              </w:rPr>
              <w:t>）</w:t>
            </w:r>
            <w:r>
              <w:rPr>
                <w:rFonts w:ascii="Times New Roman" w:hAnsi="Times New Roman" w:eastAsia="仿宋" w:cs="Times New Roman"/>
                <w:b w:val="0"/>
                <w:bCs/>
                <w:sz w:val="22"/>
                <w:szCs w:val="22"/>
              </w:rPr>
              <w:t>具备国家建设行政主管部门颁发的电力工程施工总承包三级及以上资质</w:t>
            </w:r>
            <w:r>
              <w:rPr>
                <w:rFonts w:ascii="Times New Roman" w:hAnsi="Times New Roman" w:eastAsia="仿宋" w:cs="Times New Roman"/>
                <w:bCs/>
                <w:sz w:val="22"/>
                <w:szCs w:val="22"/>
              </w:rPr>
              <w:t>或</w:t>
            </w:r>
            <w:r>
              <w:rPr>
                <w:rFonts w:ascii="Times New Roman" w:hAnsi="Times New Roman" w:eastAsia="仿宋" w:cs="Times New Roman"/>
                <w:b w:val="0"/>
                <w:bCs/>
                <w:sz w:val="22"/>
                <w:szCs w:val="22"/>
              </w:rPr>
              <w:t xml:space="preserve">输变电工程专业承包三级及以上资质； </w:t>
            </w:r>
          </w:p>
          <w:p w14:paraId="3A8DFD26">
            <w:pPr>
              <w:widowControl/>
              <w:numPr>
                <w:ilvl w:val="-1"/>
                <w:numId w:val="0"/>
              </w:numPr>
              <w:spacing w:line="360" w:lineRule="auto"/>
              <w:jc w:val="left"/>
              <w:rPr>
                <w:rFonts w:ascii="Times New Roman" w:hAnsi="Times New Roman" w:eastAsia="仿宋" w:cs="Times New Roman"/>
                <w:b w:val="0"/>
                <w:bCs/>
                <w:sz w:val="22"/>
              </w:rPr>
            </w:pPr>
            <w:r>
              <w:rPr>
                <w:rFonts w:hint="eastAsia" w:ascii="Times New Roman" w:hAnsi="Times New Roman" w:eastAsia="仿宋" w:cs="Times New Roman"/>
                <w:b w:val="0"/>
                <w:bCs/>
                <w:sz w:val="22"/>
                <w:szCs w:val="22"/>
                <w:lang w:eastAsia="zh-CN"/>
              </w:rPr>
              <w:t>（</w:t>
            </w:r>
            <w:r>
              <w:rPr>
                <w:rFonts w:hint="eastAsia" w:ascii="Times New Roman" w:hAnsi="Times New Roman" w:eastAsia="仿宋" w:cs="Times New Roman"/>
                <w:b w:val="0"/>
                <w:bCs/>
                <w:sz w:val="22"/>
                <w:szCs w:val="22"/>
                <w:lang w:val="en-US" w:eastAsia="zh-CN"/>
              </w:rPr>
              <w:t>2</w:t>
            </w:r>
            <w:r>
              <w:rPr>
                <w:rFonts w:hint="eastAsia" w:ascii="Times New Roman" w:hAnsi="Times New Roman" w:eastAsia="仿宋" w:cs="Times New Roman"/>
                <w:b w:val="0"/>
                <w:bCs/>
                <w:sz w:val="22"/>
                <w:szCs w:val="22"/>
                <w:lang w:eastAsia="zh-CN"/>
              </w:rPr>
              <w:t>）</w:t>
            </w:r>
            <w:r>
              <w:rPr>
                <w:rFonts w:ascii="Times New Roman" w:hAnsi="Times New Roman" w:eastAsia="仿宋" w:cs="Times New Roman"/>
                <w:b w:val="0"/>
                <w:bCs/>
                <w:sz w:val="22"/>
                <w:szCs w:val="22"/>
              </w:rPr>
              <w:t>具备国家能源局及其派出机构颁发的</w:t>
            </w:r>
            <w:r>
              <w:rPr>
                <w:rFonts w:ascii="Times New Roman" w:hAnsi="Times New Roman" w:eastAsia="仿宋" w:cs="Times New Roman"/>
                <w:bCs/>
                <w:sz w:val="22"/>
                <w:szCs w:val="22"/>
              </w:rPr>
              <w:t>承装（修、试）电力设施许可证（承装类）三级及以上</w:t>
            </w:r>
            <w:r>
              <w:rPr>
                <w:rFonts w:ascii="Times New Roman" w:hAnsi="Times New Roman" w:eastAsia="仿宋" w:cs="Times New Roman"/>
                <w:b w:val="0"/>
                <w:bCs/>
                <w:sz w:val="22"/>
                <w:szCs w:val="22"/>
              </w:rPr>
              <w:t xml:space="preserve">证书； </w:t>
            </w:r>
          </w:p>
          <w:p w14:paraId="08C8CB2F">
            <w:pPr>
              <w:widowControl/>
              <w:numPr>
                <w:ilvl w:val="-1"/>
                <w:numId w:val="0"/>
              </w:numPr>
              <w:spacing w:line="360" w:lineRule="auto"/>
              <w:jc w:val="left"/>
            </w:pPr>
            <w:r>
              <w:rPr>
                <w:rFonts w:hint="eastAsia" w:ascii="Times New Roman" w:hAnsi="Times New Roman" w:eastAsia="仿宋" w:cs="Times New Roman"/>
                <w:b w:val="0"/>
                <w:bCs/>
                <w:sz w:val="22"/>
                <w:szCs w:val="22"/>
                <w:lang w:eastAsia="zh-CN"/>
              </w:rPr>
              <w:t>（</w:t>
            </w:r>
            <w:r>
              <w:rPr>
                <w:rFonts w:hint="eastAsia" w:ascii="Times New Roman" w:hAnsi="Times New Roman" w:eastAsia="仿宋" w:cs="Times New Roman"/>
                <w:b w:val="0"/>
                <w:bCs/>
                <w:sz w:val="22"/>
                <w:szCs w:val="22"/>
                <w:lang w:val="en-US" w:eastAsia="zh-CN"/>
              </w:rPr>
              <w:t>3</w:t>
            </w:r>
            <w:r>
              <w:rPr>
                <w:rFonts w:hint="eastAsia" w:ascii="Times New Roman" w:hAnsi="Times New Roman" w:eastAsia="仿宋" w:cs="Times New Roman"/>
                <w:b w:val="0"/>
                <w:bCs/>
                <w:sz w:val="22"/>
                <w:szCs w:val="22"/>
                <w:lang w:eastAsia="zh-CN"/>
              </w:rPr>
              <w:t>）</w:t>
            </w:r>
            <w:r>
              <w:rPr>
                <w:rFonts w:ascii="Times New Roman" w:hAnsi="Times New Roman" w:eastAsia="仿宋" w:cs="Times New Roman"/>
                <w:b w:val="0"/>
                <w:bCs/>
                <w:sz w:val="22"/>
                <w:szCs w:val="22"/>
              </w:rPr>
              <w:t>具备有效的安全生产许可证。</w:t>
            </w:r>
          </w:p>
        </w:tc>
        <w:tc>
          <w:tcPr>
            <w:tcW w:w="2846" w:type="pct"/>
            <w:vAlign w:val="center"/>
          </w:tcPr>
          <w:p w14:paraId="7D3D2FEC">
            <w:pPr>
              <w:rPr>
                <w:rFonts w:ascii="Times New Roman" w:hAnsi="Times New Roman" w:eastAsia="仿宋" w:cs="Times New Roman"/>
                <w:sz w:val="22"/>
                <w:u w:val="single"/>
              </w:rPr>
            </w:pPr>
            <w:r>
              <w:rPr>
                <w:rFonts w:hint="eastAsia" w:ascii="Times New Roman" w:hAnsi="Times New Roman" w:eastAsia="仿宋" w:cs="Times New Roman"/>
                <w:sz w:val="22"/>
                <w:u w:val="single"/>
                <w:lang w:val="en-US" w:eastAsia="zh-CN"/>
              </w:rPr>
              <w:t>提供证明材料并加盖供应商公章。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5526654A">
      <w:pPr>
        <w:pStyle w:val="17"/>
        <w:keepNext w:val="0"/>
        <w:keepLines w:val="0"/>
        <w:pageBreakBefore w:val="0"/>
        <w:widowControl w:val="0"/>
        <w:numPr>
          <w:ilvl w:val="0"/>
          <w:numId w:val="12"/>
        </w:numPr>
        <w:kinsoku/>
        <w:wordWrap/>
        <w:overflowPunct/>
        <w:topLinePunct w:val="0"/>
        <w:autoSpaceDE/>
        <w:autoSpaceDN/>
        <w:bidi w:val="0"/>
        <w:adjustRightInd/>
        <w:snapToGrid w:val="0"/>
        <w:ind w:left="-482" w:leftChars="0" w:firstLineChars="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项目简介</w:t>
      </w:r>
    </w:p>
    <w:p w14:paraId="4542FC81">
      <w:pPr>
        <w:pStyle w:val="17"/>
        <w:keepNext w:val="0"/>
        <w:keepLines w:val="0"/>
        <w:pageBreakBefore w:val="0"/>
        <w:widowControl w:val="0"/>
        <w:numPr>
          <w:ilvl w:val="0"/>
          <w:numId w:val="0"/>
        </w:numPr>
        <w:kinsoku/>
        <w:wordWrap/>
        <w:overflowPunct/>
        <w:topLinePunct w:val="0"/>
        <w:autoSpaceDE/>
        <w:autoSpaceDN/>
        <w:bidi w:val="0"/>
        <w:adjustRightInd/>
        <w:snapToGrid w:val="0"/>
        <w:ind w:leftChars="0"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本项目为四川省人民医院高新院区建设项目施工用电工程，为高新院区建设项目提供施工电源。</w:t>
      </w:r>
    </w:p>
    <w:p w14:paraId="769BCB10">
      <w:pPr>
        <w:pStyle w:val="17"/>
        <w:keepNext w:val="0"/>
        <w:keepLines w:val="0"/>
        <w:pageBreakBefore w:val="0"/>
        <w:widowControl w:val="0"/>
        <w:numPr>
          <w:ilvl w:val="0"/>
          <w:numId w:val="12"/>
        </w:numPr>
        <w:kinsoku/>
        <w:wordWrap/>
        <w:overflowPunct/>
        <w:topLinePunct w:val="0"/>
        <w:autoSpaceDE/>
        <w:autoSpaceDN/>
        <w:bidi w:val="0"/>
        <w:adjustRightInd/>
        <w:snapToGrid w:val="0"/>
        <w:ind w:left="-482" w:leftChars="0" w:firstLine="420" w:firstLineChars="0"/>
        <w:textAlignment w:val="auto"/>
        <w:rPr>
          <w:rFonts w:hint="eastAsia" w:ascii="仿宋" w:hAnsi="仿宋" w:eastAsia="仿宋" w:cs="仿宋"/>
          <w:b/>
          <w:bCs/>
          <w:sz w:val="28"/>
          <w:szCs w:val="28"/>
        </w:rPr>
      </w:pPr>
      <w:r>
        <w:rPr>
          <w:rFonts w:hint="eastAsia" w:ascii="仿宋" w:hAnsi="仿宋" w:eastAsia="仿宋" w:cs="仿宋"/>
          <w:b w:val="0"/>
          <w:color w:val="auto"/>
          <w:kern w:val="2"/>
          <w:sz w:val="28"/>
          <w:szCs w:val="28"/>
          <w:highlight w:val="none"/>
          <w:lang w:val="en-US" w:eastAsia="zh-CN" w:bidi="ar-SA"/>
        </w:rPr>
        <w:t>★</w:t>
      </w:r>
      <w:r>
        <w:rPr>
          <w:rFonts w:hint="eastAsia" w:ascii="仿宋" w:hAnsi="仿宋" w:eastAsia="仿宋" w:cs="仿宋"/>
          <w:b/>
          <w:bCs/>
          <w:sz w:val="28"/>
          <w:szCs w:val="28"/>
          <w:lang w:val="en-US" w:eastAsia="zh-CN"/>
        </w:rPr>
        <w:t>服务内容</w:t>
      </w:r>
    </w:p>
    <w:p w14:paraId="46A193D6">
      <w:pPr>
        <w:pStyle w:val="17"/>
        <w:keepNext w:val="0"/>
        <w:keepLines w:val="0"/>
        <w:pageBreakBefore w:val="0"/>
        <w:widowControl w:val="0"/>
        <w:numPr>
          <w:ilvl w:val="0"/>
          <w:numId w:val="0"/>
        </w:numPr>
        <w:kinsoku/>
        <w:wordWrap/>
        <w:overflowPunct/>
        <w:topLinePunct w:val="0"/>
        <w:autoSpaceDE/>
        <w:autoSpaceDN/>
        <w:bidi w:val="0"/>
        <w:adjustRightInd/>
        <w:snapToGrid w:val="0"/>
        <w:ind w:leftChars="0"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根据高压供电答复单的批复建设高新院区建设项目施工用电工程所有内容;包含但不限于新建箱变（1000KVA和1250KVA箱变各一套）、电缆敷设以及对应范围内的土建工程等，具体详见本项目施工图纸（附件）及招标工程量清单（附件）所示范围内的全部施工内容，并完成通电。</w:t>
      </w:r>
    </w:p>
    <w:p w14:paraId="5B3283D8">
      <w:pPr>
        <w:pStyle w:val="17"/>
        <w:keepNext w:val="0"/>
        <w:keepLines w:val="0"/>
        <w:pageBreakBefore w:val="0"/>
        <w:widowControl w:val="0"/>
        <w:numPr>
          <w:ilvl w:val="0"/>
          <w:numId w:val="0"/>
        </w:numPr>
        <w:kinsoku/>
        <w:wordWrap/>
        <w:overflowPunct/>
        <w:topLinePunct w:val="0"/>
        <w:autoSpaceDE/>
        <w:autoSpaceDN/>
        <w:bidi w:val="0"/>
        <w:adjustRightInd/>
        <w:snapToGrid w:val="0"/>
        <w:ind w:left="-62" w:leftChars="0"/>
        <w:textAlignment w:val="auto"/>
        <w:rPr>
          <w:rFonts w:hint="eastAsia" w:ascii="仿宋" w:hAnsi="仿宋" w:eastAsia="仿宋" w:cs="仿宋"/>
          <w:b/>
          <w:bCs/>
          <w:sz w:val="28"/>
          <w:szCs w:val="28"/>
        </w:rPr>
      </w:pP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0"/>
        <w:gridCol w:w="5789"/>
        <w:gridCol w:w="1535"/>
        <w:gridCol w:w="1305"/>
      </w:tblGrid>
      <w:tr w14:paraId="2697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19" w:type="pct"/>
            <w:vAlign w:val="center"/>
          </w:tcPr>
          <w:p w14:paraId="3D9A5079">
            <w:pPr>
              <w:widowControl w:val="0"/>
              <w:snapToGrid w:val="0"/>
              <w:spacing w:before="40" w:after="40" w:line="240" w:lineRule="auto"/>
              <w:ind w:firstLine="0"/>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序号</w:t>
            </w:r>
          </w:p>
        </w:tc>
        <w:tc>
          <w:tcPr>
            <w:tcW w:w="2937" w:type="pct"/>
            <w:vAlign w:val="center"/>
          </w:tcPr>
          <w:p w14:paraId="5DA326DD">
            <w:pPr>
              <w:widowControl w:val="0"/>
              <w:snapToGrid w:val="0"/>
              <w:spacing w:before="40" w:after="40" w:line="240" w:lineRule="auto"/>
              <w:ind w:firstLine="0"/>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采购标的</w:t>
            </w:r>
          </w:p>
        </w:tc>
        <w:tc>
          <w:tcPr>
            <w:tcW w:w="779" w:type="pct"/>
            <w:vAlign w:val="center"/>
          </w:tcPr>
          <w:p w14:paraId="039EB4ED">
            <w:pPr>
              <w:widowControl w:val="0"/>
              <w:snapToGrid w:val="0"/>
              <w:spacing w:before="40" w:after="40" w:line="240" w:lineRule="auto"/>
              <w:ind w:firstLine="0" w:firstLineChars="0"/>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单位</w:t>
            </w:r>
          </w:p>
        </w:tc>
        <w:tc>
          <w:tcPr>
            <w:tcW w:w="662" w:type="pct"/>
            <w:vAlign w:val="center"/>
          </w:tcPr>
          <w:p w14:paraId="5D211111">
            <w:pPr>
              <w:widowControl w:val="0"/>
              <w:snapToGrid w:val="0"/>
              <w:spacing w:before="40" w:after="40" w:line="240" w:lineRule="auto"/>
              <w:ind w:firstLine="0"/>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数量</w:t>
            </w:r>
          </w:p>
        </w:tc>
      </w:tr>
      <w:tr w14:paraId="4B23D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619" w:type="pct"/>
            <w:vAlign w:val="center"/>
          </w:tcPr>
          <w:p w14:paraId="442AAC45">
            <w:pPr>
              <w:widowControl w:val="0"/>
              <w:snapToGrid w:val="0"/>
              <w:spacing w:before="40" w:after="40" w:line="240" w:lineRule="auto"/>
              <w:ind w:firstLine="0"/>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w:t>
            </w:r>
          </w:p>
        </w:tc>
        <w:tc>
          <w:tcPr>
            <w:tcW w:w="2937" w:type="pct"/>
            <w:vAlign w:val="center"/>
          </w:tcPr>
          <w:p w14:paraId="47D082F2">
            <w:pPr>
              <w:widowControl w:val="0"/>
              <w:snapToGrid w:val="0"/>
              <w:spacing w:before="40" w:after="40" w:line="240" w:lineRule="auto"/>
              <w:ind w:left="0" w:leftChars="0" w:firstLine="0" w:firstLineChars="0"/>
              <w:jc w:val="center"/>
              <w:rPr>
                <w:rFonts w:hint="eastAsia" w:ascii="仿宋" w:hAnsi="仿宋" w:eastAsia="仿宋" w:cs="仿宋"/>
                <w:kern w:val="2"/>
                <w:sz w:val="28"/>
                <w:szCs w:val="28"/>
                <w:lang w:val="en-US" w:eastAsia="zh-CN" w:bidi="ar-SA"/>
              </w:rPr>
            </w:pPr>
            <w:r>
              <w:rPr>
                <w:rFonts w:hint="eastAsia" w:ascii="仿宋" w:hAnsi="仿宋" w:eastAsia="仿宋" w:cs="仿宋"/>
                <w:sz w:val="28"/>
                <w:szCs w:val="28"/>
              </w:rPr>
              <w:t>四川省人民医院高新院区建设项目施工用电工程</w:t>
            </w:r>
          </w:p>
        </w:tc>
        <w:tc>
          <w:tcPr>
            <w:tcW w:w="779" w:type="pct"/>
            <w:vAlign w:val="center"/>
          </w:tcPr>
          <w:p w14:paraId="1F5779A1">
            <w:pPr>
              <w:widowControl w:val="0"/>
              <w:snapToGrid w:val="0"/>
              <w:spacing w:before="40" w:after="40" w:line="240" w:lineRule="auto"/>
              <w:ind w:firstLine="0" w:firstLineChars="0"/>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项</w:t>
            </w:r>
          </w:p>
        </w:tc>
        <w:tc>
          <w:tcPr>
            <w:tcW w:w="662" w:type="pct"/>
            <w:vAlign w:val="center"/>
          </w:tcPr>
          <w:p w14:paraId="077900B9">
            <w:pPr>
              <w:widowControl w:val="0"/>
              <w:snapToGrid w:val="0"/>
              <w:spacing w:before="40" w:after="40" w:line="240" w:lineRule="auto"/>
              <w:ind w:firstLine="0" w:firstLineChars="0"/>
              <w:jc w:val="cente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1</w:t>
            </w:r>
          </w:p>
        </w:tc>
      </w:tr>
    </w:tbl>
    <w:p w14:paraId="75E26FE4">
      <w:pPr>
        <w:pStyle w:val="17"/>
        <w:keepNext w:val="0"/>
        <w:keepLines w:val="0"/>
        <w:pageBreakBefore w:val="0"/>
        <w:widowControl w:val="0"/>
        <w:numPr>
          <w:ilvl w:val="0"/>
          <w:numId w:val="12"/>
        </w:numPr>
        <w:kinsoku/>
        <w:wordWrap/>
        <w:overflowPunct/>
        <w:topLinePunct w:val="0"/>
        <w:autoSpaceDE/>
        <w:autoSpaceDN/>
        <w:bidi w:val="0"/>
        <w:adjustRightInd/>
        <w:snapToGrid w:val="0"/>
        <w:ind w:left="-482" w:leftChars="0" w:firstLine="420" w:firstLineChars="0"/>
        <w:textAlignment w:val="auto"/>
        <w:rPr>
          <w:rFonts w:hint="eastAsia" w:ascii="仿宋" w:hAnsi="仿宋" w:eastAsia="仿宋" w:cs="仿宋"/>
          <w:sz w:val="28"/>
          <w:szCs w:val="28"/>
        </w:rPr>
      </w:pPr>
      <w:r>
        <w:rPr>
          <w:rFonts w:hint="eastAsia" w:ascii="仿宋" w:hAnsi="仿宋" w:eastAsia="仿宋" w:cs="仿宋"/>
          <w:b w:val="0"/>
          <w:color w:val="auto"/>
          <w:kern w:val="2"/>
          <w:sz w:val="28"/>
          <w:szCs w:val="28"/>
          <w:highlight w:val="none"/>
          <w:lang w:val="en-US" w:eastAsia="zh-CN" w:bidi="ar-SA"/>
        </w:rPr>
        <w:t>★</w:t>
      </w:r>
      <w:r>
        <w:rPr>
          <w:rFonts w:hint="eastAsia" w:ascii="仿宋" w:hAnsi="仿宋" w:eastAsia="仿宋" w:cs="仿宋"/>
          <w:b/>
          <w:bCs/>
          <w:sz w:val="28"/>
          <w:szCs w:val="28"/>
        </w:rPr>
        <w:t>技术、服务要求</w:t>
      </w:r>
    </w:p>
    <w:p w14:paraId="3EAB1729">
      <w:pPr>
        <w:pStyle w:val="3"/>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left="0" w:leftChars="0" w:firstLine="0"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cs="仿宋"/>
          <w:b w:val="0"/>
          <w:color w:val="auto"/>
          <w:kern w:val="2"/>
          <w:sz w:val="28"/>
          <w:szCs w:val="28"/>
          <w:highlight w:val="none"/>
          <w:lang w:val="en-US" w:eastAsia="zh-CN" w:bidi="ar-SA"/>
        </w:rPr>
        <w:t>1.</w:t>
      </w:r>
      <w:r>
        <w:rPr>
          <w:rFonts w:hint="eastAsia" w:ascii="仿宋" w:hAnsi="仿宋" w:eastAsia="仿宋" w:cs="仿宋"/>
          <w:b w:val="0"/>
          <w:color w:val="auto"/>
          <w:kern w:val="2"/>
          <w:sz w:val="28"/>
          <w:szCs w:val="28"/>
          <w:highlight w:val="none"/>
          <w:lang w:val="en-US" w:eastAsia="zh-CN" w:bidi="ar-SA"/>
        </w:rPr>
        <w:t>施工及质量要求</w:t>
      </w:r>
    </w:p>
    <w:p w14:paraId="3F5F0110">
      <w:pPr>
        <w:pStyle w:val="3"/>
        <w:keepNext w:val="0"/>
        <w:keepLines w:val="0"/>
        <w:pageBreakBefore w:val="0"/>
        <w:widowControl w:val="0"/>
        <w:numPr>
          <w:ilvl w:val="0"/>
          <w:numId w:val="13"/>
        </w:numPr>
        <w:kinsoku/>
        <w:wordWrap/>
        <w:overflowPunct/>
        <w:topLinePunct w:val="0"/>
        <w:autoSpaceDE w:val="0"/>
        <w:autoSpaceDN w:val="0"/>
        <w:bidi w:val="0"/>
        <w:adjustRightInd w:val="0"/>
        <w:snapToGrid/>
        <w:spacing w:line="560" w:lineRule="exact"/>
        <w:ind w:left="425" w:leftChars="0" w:hanging="425"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用于本项目的货物（含零部件、配件等），表面无划伤、无碰撞痕迹，且权属清楚，不得侵害他人的知识产权。</w:t>
      </w:r>
    </w:p>
    <w:p w14:paraId="521EA64D">
      <w:pPr>
        <w:pStyle w:val="3"/>
        <w:keepNext w:val="0"/>
        <w:keepLines w:val="0"/>
        <w:pageBreakBefore w:val="0"/>
        <w:widowControl w:val="0"/>
        <w:numPr>
          <w:ilvl w:val="0"/>
          <w:numId w:val="13"/>
        </w:numPr>
        <w:kinsoku/>
        <w:wordWrap/>
        <w:overflowPunct/>
        <w:topLinePunct w:val="0"/>
        <w:autoSpaceDE w:val="0"/>
        <w:autoSpaceDN w:val="0"/>
        <w:bidi w:val="0"/>
        <w:adjustRightInd w:val="0"/>
        <w:snapToGrid/>
        <w:spacing w:line="560" w:lineRule="exact"/>
        <w:ind w:left="425" w:leftChars="0" w:hanging="425"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用于本项目的货物保证质量优异，性能稳定可靠，符合或优于国家（行业标准）。</w:t>
      </w:r>
    </w:p>
    <w:p w14:paraId="7D176A87">
      <w:pPr>
        <w:pStyle w:val="3"/>
        <w:keepNext w:val="0"/>
        <w:keepLines w:val="0"/>
        <w:pageBreakBefore w:val="0"/>
        <w:widowControl w:val="0"/>
        <w:numPr>
          <w:ilvl w:val="0"/>
          <w:numId w:val="13"/>
        </w:numPr>
        <w:kinsoku/>
        <w:wordWrap/>
        <w:overflowPunct/>
        <w:topLinePunct w:val="0"/>
        <w:autoSpaceDE w:val="0"/>
        <w:autoSpaceDN w:val="0"/>
        <w:bidi w:val="0"/>
        <w:adjustRightInd w:val="0"/>
        <w:snapToGrid/>
        <w:spacing w:line="560" w:lineRule="exact"/>
        <w:ind w:left="425" w:leftChars="0" w:hanging="425"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在施工期间，根据采购人要求进行安装，并严格遵守《建筑安装工程安全技术操作规程》、《中华人民共和国消防条例》国家现行《电气装置安装工程高压电气施工及验收规范》进行施工。</w:t>
      </w:r>
    </w:p>
    <w:p w14:paraId="5360285F">
      <w:pPr>
        <w:pStyle w:val="3"/>
        <w:keepNext w:val="0"/>
        <w:keepLines w:val="0"/>
        <w:pageBreakBefore w:val="0"/>
        <w:widowControl w:val="0"/>
        <w:numPr>
          <w:ilvl w:val="0"/>
          <w:numId w:val="13"/>
        </w:numPr>
        <w:kinsoku/>
        <w:wordWrap/>
        <w:overflowPunct/>
        <w:topLinePunct w:val="0"/>
        <w:autoSpaceDE w:val="0"/>
        <w:autoSpaceDN w:val="0"/>
        <w:bidi w:val="0"/>
        <w:adjustRightInd w:val="0"/>
        <w:snapToGrid/>
        <w:spacing w:line="560" w:lineRule="exact"/>
        <w:ind w:left="425" w:leftChars="0" w:hanging="425"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遵守采购人制定的施工现场各项管理制度，确保工期和质量符合合同约定。</w:t>
      </w:r>
    </w:p>
    <w:p w14:paraId="68433977">
      <w:pPr>
        <w:pStyle w:val="3"/>
        <w:keepNext w:val="0"/>
        <w:keepLines w:val="0"/>
        <w:pageBreakBefore w:val="0"/>
        <w:widowControl w:val="0"/>
        <w:numPr>
          <w:ilvl w:val="0"/>
          <w:numId w:val="13"/>
        </w:numPr>
        <w:kinsoku/>
        <w:wordWrap/>
        <w:overflowPunct/>
        <w:topLinePunct w:val="0"/>
        <w:autoSpaceDE w:val="0"/>
        <w:autoSpaceDN w:val="0"/>
        <w:bidi w:val="0"/>
        <w:adjustRightInd w:val="0"/>
        <w:snapToGrid/>
        <w:spacing w:line="560" w:lineRule="exact"/>
        <w:ind w:left="425" w:leftChars="0" w:hanging="425"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严格执行操作规程，做到清洁文明施工，施工完成后，清洁施工场地。施工过程中造成财产损失，人员伤害、伤亡事件，承担全部责任和因此发生的全部费用。</w:t>
      </w:r>
    </w:p>
    <w:p w14:paraId="2A5346FF">
      <w:pPr>
        <w:pStyle w:val="3"/>
        <w:keepNext w:val="0"/>
        <w:keepLines w:val="0"/>
        <w:pageBreakBefore w:val="0"/>
        <w:widowControl w:val="0"/>
        <w:numPr>
          <w:ilvl w:val="0"/>
          <w:numId w:val="13"/>
        </w:numPr>
        <w:kinsoku/>
        <w:wordWrap/>
        <w:overflowPunct/>
        <w:topLinePunct w:val="0"/>
        <w:autoSpaceDE w:val="0"/>
        <w:autoSpaceDN w:val="0"/>
        <w:bidi w:val="0"/>
        <w:adjustRightInd w:val="0"/>
        <w:snapToGrid/>
        <w:spacing w:line="560" w:lineRule="exact"/>
        <w:ind w:left="425" w:leftChars="0" w:hanging="425"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施工过程中必须对此次项目不涉及部分进行保护，施工完成后进行原样恢复，如因供应商施工过程中损坏，应按照原样进行更换。</w:t>
      </w:r>
    </w:p>
    <w:p w14:paraId="659CE304">
      <w:pPr>
        <w:pStyle w:val="3"/>
        <w:keepNext w:val="0"/>
        <w:keepLines w:val="0"/>
        <w:pageBreakBefore w:val="0"/>
        <w:widowControl w:val="0"/>
        <w:numPr>
          <w:ilvl w:val="0"/>
          <w:numId w:val="13"/>
        </w:numPr>
        <w:kinsoku/>
        <w:wordWrap/>
        <w:overflowPunct/>
        <w:topLinePunct w:val="0"/>
        <w:autoSpaceDE w:val="0"/>
        <w:autoSpaceDN w:val="0"/>
        <w:bidi w:val="0"/>
        <w:adjustRightInd w:val="0"/>
        <w:snapToGrid/>
        <w:spacing w:line="560" w:lineRule="exact"/>
        <w:ind w:left="425" w:leftChars="0" w:hanging="425"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施工过程中不影响采购人各科室的正常工作，服从采购人调度安排，合理安排作业时间。如有不文明施工的情况，采购人可立即解除合同。</w:t>
      </w:r>
    </w:p>
    <w:p w14:paraId="58D62B61">
      <w:pPr>
        <w:pStyle w:val="3"/>
        <w:keepNext w:val="0"/>
        <w:keepLines w:val="0"/>
        <w:pageBreakBefore w:val="0"/>
        <w:widowControl w:val="0"/>
        <w:numPr>
          <w:ilvl w:val="0"/>
          <w:numId w:val="13"/>
        </w:numPr>
        <w:kinsoku/>
        <w:wordWrap/>
        <w:overflowPunct/>
        <w:topLinePunct w:val="0"/>
        <w:autoSpaceDE w:val="0"/>
        <w:autoSpaceDN w:val="0"/>
        <w:bidi w:val="0"/>
        <w:adjustRightInd w:val="0"/>
        <w:snapToGrid/>
        <w:spacing w:line="560" w:lineRule="exact"/>
        <w:ind w:left="425" w:leftChars="0" w:hanging="425"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eastAsia="仿宋" w:cs="仿宋"/>
          <w:b w:val="0"/>
          <w:color w:val="auto"/>
          <w:kern w:val="2"/>
          <w:sz w:val="28"/>
          <w:szCs w:val="28"/>
          <w:highlight w:val="none"/>
          <w:lang w:val="en-US" w:eastAsia="zh-CN" w:bidi="ar-SA"/>
        </w:rPr>
        <w:t>施工过程中以及质保期内的安全责任由供应商负责。</w:t>
      </w:r>
    </w:p>
    <w:p w14:paraId="2C6F182E">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0" w:firstLineChars="0"/>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2.如有工程量清单(或施工图预算清单)之外的新增材料需要办理认质核价，须在材料使用之前提交的盖章的认质核价申请单(标明厂家、品牌、规格、型号等重要参数)，若超时提交相关材料，采购人有权按照市场上同类材料的最低价认定。</w:t>
      </w:r>
    </w:p>
    <w:p w14:paraId="48D982ED">
      <w:pPr>
        <w:pStyle w:val="3"/>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left="0" w:leftChars="0" w:firstLine="0" w:firstLineChars="0"/>
        <w:jc w:val="both"/>
        <w:textAlignment w:val="auto"/>
        <w:rPr>
          <w:rFonts w:hint="eastAsia" w:ascii="仿宋" w:hAnsi="仿宋" w:cs="仿宋"/>
          <w:b w:val="0"/>
          <w:color w:val="auto"/>
          <w:kern w:val="2"/>
          <w:sz w:val="28"/>
          <w:szCs w:val="28"/>
          <w:highlight w:val="none"/>
          <w:lang w:val="en-US" w:eastAsia="zh-CN" w:bidi="ar-SA"/>
        </w:rPr>
      </w:pPr>
      <w:r>
        <w:rPr>
          <w:rFonts w:hint="eastAsia" w:ascii="仿宋" w:hAnsi="仿宋" w:cs="仿宋"/>
          <w:b w:val="0"/>
          <w:color w:val="auto"/>
          <w:kern w:val="2"/>
          <w:sz w:val="28"/>
          <w:szCs w:val="28"/>
          <w:highlight w:val="none"/>
          <w:lang w:val="en-US" w:eastAsia="zh-CN" w:bidi="ar-SA"/>
        </w:rPr>
        <w:t>3.人员配置</w:t>
      </w:r>
    </w:p>
    <w:p w14:paraId="39DDE874">
      <w:pPr>
        <w:pStyle w:val="3"/>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left="0" w:leftChars="0" w:firstLine="0" w:firstLineChars="0"/>
        <w:jc w:val="both"/>
        <w:textAlignment w:val="auto"/>
        <w:rPr>
          <w:rFonts w:hint="eastAsia" w:ascii="仿宋" w:hAnsi="仿宋" w:eastAsia="仿宋" w:cs="仿宋"/>
          <w:b w:val="0"/>
          <w:color w:val="auto"/>
          <w:kern w:val="2"/>
          <w:sz w:val="28"/>
          <w:szCs w:val="28"/>
          <w:highlight w:val="none"/>
          <w:lang w:val="en-US" w:eastAsia="zh-CN" w:bidi="ar-SA"/>
        </w:rPr>
      </w:pPr>
      <w:r>
        <w:rPr>
          <w:rFonts w:hint="eastAsia" w:ascii="仿宋" w:hAnsi="仿宋" w:cs="仿宋"/>
          <w:b w:val="0"/>
          <w:color w:val="auto"/>
          <w:kern w:val="2"/>
          <w:sz w:val="28"/>
          <w:szCs w:val="28"/>
          <w:highlight w:val="none"/>
          <w:lang w:val="en-US" w:eastAsia="zh-CN" w:bidi="ar-SA"/>
        </w:rPr>
        <w:t>（1）</w:t>
      </w:r>
      <w:r>
        <w:rPr>
          <w:rFonts w:hint="eastAsia" w:ascii="仿宋" w:hAnsi="仿宋" w:eastAsia="仿宋" w:cs="仿宋"/>
          <w:b w:val="0"/>
          <w:color w:val="auto"/>
          <w:kern w:val="2"/>
          <w:sz w:val="28"/>
          <w:szCs w:val="28"/>
          <w:highlight w:val="none"/>
          <w:lang w:val="en-US" w:eastAsia="zh-CN" w:bidi="ar-SA"/>
        </w:rPr>
        <w:t>项目经理、技术负责人、现场专职安全员以及所有作业人员须为供应商本单位人员（提供在职证明）。</w:t>
      </w:r>
    </w:p>
    <w:p w14:paraId="30463DC1">
      <w:pPr>
        <w:pStyle w:val="3"/>
        <w:keepNext w:val="0"/>
        <w:keepLines w:val="0"/>
        <w:pageBreakBefore w:val="0"/>
        <w:widowControl w:val="0"/>
        <w:numPr>
          <w:ilvl w:val="-1"/>
          <w:numId w:val="0"/>
        </w:numPr>
        <w:kinsoku/>
        <w:wordWrap/>
        <w:overflowPunct/>
        <w:topLinePunct w:val="0"/>
        <w:autoSpaceDE w:val="0"/>
        <w:autoSpaceDN w:val="0"/>
        <w:bidi w:val="0"/>
        <w:adjustRightInd w:val="0"/>
        <w:snapToGrid/>
        <w:spacing w:line="560" w:lineRule="exact"/>
        <w:ind w:left="0" w:leftChars="0" w:firstLine="0" w:firstLineChars="0"/>
        <w:jc w:val="both"/>
        <w:textAlignment w:val="auto"/>
        <w:rPr>
          <w:rFonts w:hint="eastAsia" w:ascii="仿宋" w:hAnsi="仿宋" w:cs="仿宋"/>
          <w:b w:val="0"/>
          <w:bCs/>
          <w:sz w:val="28"/>
          <w:szCs w:val="28"/>
          <w:lang w:eastAsia="zh-CN"/>
        </w:rPr>
      </w:pPr>
      <w:r>
        <w:rPr>
          <w:rFonts w:hint="eastAsia" w:ascii="仿宋" w:hAnsi="仿宋" w:cs="仿宋"/>
          <w:b w:val="0"/>
          <w:bCs/>
          <w:sz w:val="28"/>
          <w:szCs w:val="28"/>
          <w:lang w:eastAsia="zh-CN"/>
        </w:rPr>
        <w:t>（</w:t>
      </w:r>
      <w:r>
        <w:rPr>
          <w:rFonts w:hint="eastAsia" w:ascii="仿宋" w:hAnsi="仿宋" w:cs="仿宋"/>
          <w:b w:val="0"/>
          <w:bCs/>
          <w:sz w:val="28"/>
          <w:szCs w:val="28"/>
          <w:lang w:val="en-US" w:eastAsia="zh-CN"/>
        </w:rPr>
        <w:t>2</w:t>
      </w:r>
      <w:r>
        <w:rPr>
          <w:rFonts w:hint="eastAsia" w:ascii="仿宋" w:hAnsi="仿宋" w:cs="仿宋"/>
          <w:b w:val="0"/>
          <w:bCs/>
          <w:sz w:val="28"/>
          <w:szCs w:val="28"/>
          <w:lang w:eastAsia="zh-CN"/>
        </w:rPr>
        <w:t>）</w:t>
      </w:r>
      <w:r>
        <w:rPr>
          <w:rFonts w:hint="eastAsia" w:ascii="仿宋" w:hAnsi="仿宋" w:eastAsia="仿宋" w:cs="仿宋"/>
          <w:b w:val="0"/>
          <w:bCs/>
          <w:sz w:val="28"/>
          <w:szCs w:val="28"/>
        </w:rPr>
        <w:t>拟投入本项目特种作业电工人员不少于 5 名，人员须持有在有效期内的《中华人民共和国特种作业操作证》，作业项目包含</w:t>
      </w:r>
      <w:r>
        <w:rPr>
          <w:rFonts w:hint="eastAsia" w:ascii="仿宋" w:hAnsi="仿宋" w:cs="仿宋"/>
          <w:b w:val="0"/>
          <w:bCs/>
          <w:sz w:val="28"/>
          <w:szCs w:val="28"/>
          <w:lang w:eastAsia="zh-CN"/>
        </w:rPr>
        <w:t>“</w:t>
      </w:r>
      <w:r>
        <w:rPr>
          <w:rFonts w:hint="eastAsia" w:ascii="仿宋" w:hAnsi="仿宋" w:eastAsia="仿宋" w:cs="仿宋"/>
          <w:b w:val="0"/>
          <w:bCs/>
          <w:sz w:val="28"/>
          <w:szCs w:val="28"/>
        </w:rPr>
        <w:t>高压电工作业</w:t>
      </w:r>
      <w:r>
        <w:rPr>
          <w:rFonts w:hint="eastAsia" w:ascii="仿宋" w:hAnsi="仿宋" w:cs="仿宋"/>
          <w:b w:val="0"/>
          <w:bCs/>
          <w:sz w:val="28"/>
          <w:szCs w:val="28"/>
          <w:lang w:eastAsia="zh-CN"/>
        </w:rPr>
        <w:t>”</w:t>
      </w:r>
      <w:r>
        <w:rPr>
          <w:rFonts w:hint="eastAsia" w:ascii="仿宋" w:hAnsi="仿宋" w:eastAsia="仿宋" w:cs="仿宋"/>
          <w:b w:val="0"/>
          <w:bCs/>
          <w:sz w:val="28"/>
          <w:szCs w:val="28"/>
        </w:rPr>
        <w:t>。</w:t>
      </w:r>
      <w:r>
        <w:rPr>
          <w:rFonts w:hint="eastAsia" w:ascii="仿宋" w:hAnsi="仿宋" w:cs="仿宋"/>
          <w:b w:val="0"/>
          <w:bCs/>
          <w:sz w:val="28"/>
          <w:szCs w:val="28"/>
          <w:lang w:eastAsia="zh-CN"/>
        </w:rPr>
        <w:t>（</w:t>
      </w:r>
      <w:r>
        <w:rPr>
          <w:rFonts w:hint="eastAsia" w:ascii="仿宋" w:hAnsi="仿宋" w:eastAsia="仿宋" w:cs="仿宋"/>
          <w:b w:val="0"/>
          <w:bCs/>
          <w:sz w:val="28"/>
          <w:szCs w:val="28"/>
        </w:rPr>
        <w:t>投标时提供证书扫描件</w:t>
      </w:r>
      <w:r>
        <w:rPr>
          <w:rFonts w:hint="eastAsia" w:ascii="仿宋" w:hAnsi="仿宋" w:cs="仿宋"/>
          <w:b w:val="0"/>
          <w:bCs/>
          <w:sz w:val="28"/>
          <w:szCs w:val="28"/>
          <w:lang w:val="en-US" w:eastAsia="zh-CN"/>
        </w:rPr>
        <w:t>并加盖公章</w:t>
      </w:r>
      <w:r>
        <w:rPr>
          <w:rFonts w:hint="eastAsia" w:ascii="仿宋" w:hAnsi="仿宋" w:cs="仿宋"/>
          <w:b w:val="0"/>
          <w:bCs/>
          <w:sz w:val="28"/>
          <w:szCs w:val="28"/>
          <w:lang w:eastAsia="zh-CN"/>
        </w:rPr>
        <w:t>）</w:t>
      </w:r>
    </w:p>
    <w:p w14:paraId="6F34C7F9">
      <w:pPr>
        <w:rPr>
          <w:rFonts w:hint="eastAsia" w:ascii="仿宋" w:hAnsi="仿宋" w:eastAsia="仿宋" w:cs="仿宋"/>
          <w:b w:val="0"/>
          <w:bCs/>
          <w:sz w:val="28"/>
          <w:szCs w:val="28"/>
          <w:lang w:val="en-US" w:eastAsia="zh-CN"/>
        </w:rPr>
      </w:pPr>
      <w:r>
        <w:rPr>
          <w:rFonts w:hint="eastAsia" w:ascii="仿宋" w:hAnsi="仿宋" w:cs="仿宋"/>
          <w:b w:val="0"/>
          <w:bCs/>
          <w:sz w:val="28"/>
          <w:szCs w:val="28"/>
          <w:lang w:eastAsia="zh-CN"/>
        </w:rPr>
        <w:t>（</w:t>
      </w:r>
      <w:r>
        <w:rPr>
          <w:rFonts w:hint="eastAsia" w:ascii="仿宋" w:hAnsi="仿宋" w:cs="仿宋"/>
          <w:b w:val="0"/>
          <w:bCs/>
          <w:sz w:val="28"/>
          <w:szCs w:val="28"/>
          <w:lang w:val="en-US" w:eastAsia="zh-CN"/>
        </w:rPr>
        <w:t>3</w:t>
      </w:r>
      <w:r>
        <w:rPr>
          <w:rFonts w:hint="eastAsia" w:ascii="仿宋" w:hAnsi="仿宋" w:cs="仿宋"/>
          <w:b w:val="0"/>
          <w:bCs/>
          <w:sz w:val="28"/>
          <w:szCs w:val="28"/>
          <w:lang w:eastAsia="zh-CN"/>
        </w:rPr>
        <w:t>）</w:t>
      </w:r>
      <w:r>
        <w:rPr>
          <w:rFonts w:hint="eastAsia" w:ascii="仿宋" w:hAnsi="仿宋" w:eastAsia="仿宋" w:cs="仿宋"/>
          <w:b w:val="0"/>
          <w:bCs/>
          <w:sz w:val="28"/>
          <w:szCs w:val="28"/>
          <w:lang w:val="en-US" w:eastAsia="zh-CN"/>
        </w:rPr>
        <w:t>项目经理：具有机电工程专业二级及以上注册建造师证书，须具备有效的安全生产考核合格B证；</w:t>
      </w:r>
    </w:p>
    <w:p w14:paraId="6813DD5A">
      <w:p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（4）技术负责人：具有机电工程专业二级及以上注册建造师证书，且具有机电工程相关专业或电力相关专业中级及以上职称。</w:t>
      </w:r>
    </w:p>
    <w:p w14:paraId="32009049">
      <w:pPr>
        <w:rPr>
          <w:rFonts w:hint="eastAsia" w:ascii="仿宋" w:hAnsi="仿宋" w:eastAsia="仿宋" w:cs="仿宋"/>
          <w:bCs/>
          <w:sz w:val="28"/>
          <w:szCs w:val="28"/>
          <w:lang w:eastAsia="zh-CN"/>
        </w:rPr>
      </w:pPr>
      <w:r>
        <w:rPr>
          <w:rFonts w:hint="eastAsia" w:ascii="仿宋" w:hAnsi="仿宋" w:eastAsia="仿宋" w:cs="仿宋"/>
          <w:b w:val="0"/>
          <w:bCs/>
          <w:sz w:val="28"/>
          <w:szCs w:val="28"/>
          <w:lang w:val="en-US" w:eastAsia="zh-CN"/>
        </w:rPr>
        <w:t>（5）项目经理与技术负责人</w:t>
      </w:r>
      <w:r>
        <w:rPr>
          <w:rFonts w:hint="eastAsia" w:ascii="仿宋" w:hAnsi="仿宋" w:eastAsia="仿宋" w:cs="仿宋"/>
          <w:bCs/>
          <w:sz w:val="28"/>
          <w:szCs w:val="28"/>
        </w:rPr>
        <w:t>不得为同一人</w:t>
      </w:r>
      <w:r>
        <w:rPr>
          <w:rFonts w:hint="eastAsia" w:ascii="仿宋" w:hAnsi="仿宋" w:eastAsia="仿宋" w:cs="仿宋"/>
          <w:bCs/>
          <w:sz w:val="28"/>
          <w:szCs w:val="28"/>
          <w:lang w:eastAsia="zh-CN"/>
        </w:rPr>
        <w:t>。</w:t>
      </w:r>
    </w:p>
    <w:p w14:paraId="152E746D">
      <w:pPr>
        <w:rPr>
          <w:rFonts w:hint="default" w:ascii="仿宋" w:hAnsi="仿宋" w:eastAsia="仿宋" w:cs="仿宋"/>
          <w:bCs/>
          <w:sz w:val="28"/>
          <w:szCs w:val="28"/>
          <w:lang w:val="en-US" w:eastAsia="zh-CN"/>
        </w:rPr>
      </w:pPr>
      <w:r>
        <w:rPr>
          <w:rFonts w:hint="eastAsia" w:ascii="仿宋" w:hAnsi="仿宋" w:eastAsia="仿宋" w:cs="仿宋"/>
          <w:bCs/>
          <w:sz w:val="28"/>
          <w:szCs w:val="28"/>
          <w:lang w:eastAsia="zh-CN"/>
        </w:rPr>
        <w:t>（</w:t>
      </w:r>
      <w:r>
        <w:rPr>
          <w:rFonts w:hint="eastAsia" w:ascii="仿宋" w:hAnsi="仿宋" w:eastAsia="仿宋" w:cs="仿宋"/>
          <w:bCs/>
          <w:sz w:val="28"/>
          <w:szCs w:val="28"/>
          <w:lang w:val="en-US" w:eastAsia="zh-CN"/>
        </w:rPr>
        <w:t>6</w:t>
      </w:r>
      <w:r>
        <w:rPr>
          <w:rFonts w:hint="eastAsia" w:ascii="仿宋" w:hAnsi="仿宋" w:eastAsia="仿宋" w:cs="仿宋"/>
          <w:bCs/>
          <w:sz w:val="28"/>
          <w:szCs w:val="28"/>
          <w:lang w:eastAsia="zh-CN"/>
        </w:rPr>
        <w:t>）</w:t>
      </w:r>
      <w:r>
        <w:rPr>
          <w:rFonts w:hint="eastAsia" w:ascii="仿宋" w:hAnsi="仿宋" w:eastAsia="仿宋" w:cs="仿宋"/>
          <w:color w:val="0D0D0D"/>
          <w:kern w:val="2"/>
          <w:sz w:val="28"/>
          <w:szCs w:val="28"/>
          <w:lang w:val="en-US" w:eastAsia="zh-CN"/>
        </w:rPr>
        <w:t>该项目拟派确保项目顺利实施的项目团队，且拟派项目人员不能更换，若需更换须经采购人同意。</w:t>
      </w:r>
    </w:p>
    <w:p w14:paraId="6EAD01DB">
      <w:pPr>
        <w:rPr>
          <w:rFonts w:hint="eastAsia" w:ascii="仿宋" w:hAnsi="仿宋" w:eastAsia="仿宋" w:cs="仿宋"/>
          <w:b w:val="0"/>
          <w:bCs w:val="0"/>
          <w:color w:val="0D0D0D"/>
          <w:sz w:val="28"/>
          <w:szCs w:val="28"/>
          <w:lang w:val="en-US" w:eastAsia="zh-CN"/>
        </w:rPr>
      </w:pPr>
      <w:r>
        <w:rPr>
          <w:rFonts w:hint="eastAsia" w:ascii="仿宋" w:hAnsi="仿宋" w:cs="仿宋"/>
          <w:b w:val="0"/>
          <w:bCs/>
          <w:sz w:val="28"/>
          <w:szCs w:val="28"/>
          <w:lang w:val="en-US" w:eastAsia="zh-CN"/>
        </w:rPr>
        <w:t>4.</w:t>
      </w:r>
      <w:r>
        <w:rPr>
          <w:rFonts w:hint="eastAsia" w:ascii="仿宋" w:hAnsi="仿宋" w:eastAsia="仿宋" w:cs="仿宋"/>
          <w:b w:val="0"/>
          <w:bCs w:val="0"/>
          <w:color w:val="0D0D0D"/>
          <w:sz w:val="28"/>
          <w:szCs w:val="28"/>
          <w:lang w:val="en-US" w:eastAsia="zh-CN"/>
        </w:rPr>
        <w:t>供应商应保质保量按期完成所承包范围内的一切工程内容，否则，供应商应承担所有违约责任</w:t>
      </w:r>
      <w:r>
        <w:rPr>
          <w:rFonts w:hint="eastAsia" w:ascii="仿宋" w:hAnsi="仿宋" w:eastAsia="仿宋" w:cs="仿宋"/>
          <w:b w:val="0"/>
          <w:bCs w:val="0"/>
          <w:color w:val="0D0D0D"/>
          <w:sz w:val="28"/>
          <w:szCs w:val="28"/>
          <w:lang w:val="en-US" w:eastAsia="zh-CN"/>
        </w:rPr>
        <w:t>。</w:t>
      </w:r>
    </w:p>
    <w:p w14:paraId="35AB1DFF">
      <w:pPr>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5.与本工程相关的未尽工作内容，由供应商综合考虑在报价中。</w:t>
      </w:r>
    </w:p>
    <w:p w14:paraId="463EB94A">
      <w:pPr>
        <w:pStyle w:val="17"/>
        <w:keepNext w:val="0"/>
        <w:keepLines w:val="0"/>
        <w:pageBreakBefore w:val="0"/>
        <w:widowControl w:val="0"/>
        <w:numPr>
          <w:ilvl w:val="0"/>
          <w:numId w:val="12"/>
        </w:numPr>
        <w:kinsoku/>
        <w:wordWrap/>
        <w:overflowPunct/>
        <w:topLinePunct w:val="0"/>
        <w:autoSpaceDE/>
        <w:autoSpaceDN/>
        <w:bidi w:val="0"/>
        <w:adjustRightInd/>
        <w:snapToGrid w:val="0"/>
        <w:ind w:left="-482" w:leftChars="0" w:firstLine="420" w:firstLineChars="0"/>
        <w:textAlignment w:val="auto"/>
        <w:rPr>
          <w:rFonts w:hint="eastAsia" w:ascii="仿宋" w:hAnsi="仿宋" w:eastAsia="仿宋" w:cs="仿宋"/>
          <w:sz w:val="28"/>
          <w:szCs w:val="28"/>
        </w:rPr>
      </w:pPr>
      <w:r>
        <w:rPr>
          <w:rFonts w:hint="eastAsia" w:ascii="仿宋" w:hAnsi="仿宋" w:eastAsia="仿宋" w:cs="仿宋"/>
          <w:b w:val="0"/>
          <w:color w:val="auto"/>
          <w:kern w:val="2"/>
          <w:sz w:val="28"/>
          <w:szCs w:val="28"/>
          <w:highlight w:val="none"/>
          <w:lang w:val="en-US" w:eastAsia="zh-CN" w:bidi="ar-SA"/>
        </w:rPr>
        <w:t>★</w:t>
      </w:r>
      <w:r>
        <w:rPr>
          <w:rFonts w:hint="eastAsia" w:ascii="仿宋" w:hAnsi="仿宋" w:eastAsia="仿宋" w:cs="仿宋"/>
          <w:b/>
          <w:bCs/>
          <w:sz w:val="28"/>
          <w:szCs w:val="28"/>
        </w:rPr>
        <w:t>商务要求：</w:t>
      </w:r>
    </w:p>
    <w:p w14:paraId="0A4723B2">
      <w:pPr>
        <w:pStyle w:val="17"/>
        <w:keepNext w:val="0"/>
        <w:keepLines w:val="0"/>
        <w:pageBreakBefore w:val="0"/>
        <w:widowControl w:val="0"/>
        <w:numPr>
          <w:ilvl w:val="0"/>
          <w:numId w:val="14"/>
        </w:numPr>
        <w:kinsoku/>
        <w:wordWrap/>
        <w:overflowPunct/>
        <w:topLinePunct w:val="0"/>
        <w:autoSpaceDE/>
        <w:autoSpaceDN/>
        <w:bidi w:val="0"/>
        <w:adjustRightInd/>
        <w:snapToGrid w:val="0"/>
        <w:spacing w:line="360" w:lineRule="auto"/>
        <w:ind w:left="0" w:leftChars="0" w:firstLine="0" w:firstLineChars="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lang w:val="en-US" w:eastAsia="zh-CN" w:bidi="ar"/>
        </w:rPr>
        <w:t>付款方式：</w:t>
      </w:r>
    </w:p>
    <w:p w14:paraId="55892A93">
      <w:pPr>
        <w:pStyle w:val="7"/>
        <w:numPr>
          <w:ilvl w:val="0"/>
          <w:numId w:val="15"/>
        </w:numPr>
        <w:rPr>
          <w:rFonts w:hint="eastAsia" w:ascii="仿宋" w:hAnsi="仿宋" w:eastAsia="仿宋" w:cs="仿宋"/>
          <w:b w:val="0"/>
          <w:bCs w:val="0"/>
          <w:kern w:val="2"/>
          <w:sz w:val="28"/>
          <w:szCs w:val="28"/>
          <w:lang w:val="en-US" w:eastAsia="zh-CN" w:bidi="ar-SA"/>
        </w:rPr>
      </w:pPr>
      <w:r>
        <w:rPr>
          <w:rFonts w:hint="eastAsia" w:ascii="仿宋" w:hAnsi="仿宋" w:eastAsia="仿宋" w:cs="仿宋"/>
          <w:b/>
          <w:bCs/>
          <w:kern w:val="2"/>
          <w:sz w:val="28"/>
          <w:szCs w:val="28"/>
          <w:lang w:val="en-US" w:eastAsia="zh-CN" w:bidi="ar-SA"/>
        </w:rPr>
        <w:t>预付款支付：</w:t>
      </w:r>
      <w:r>
        <w:rPr>
          <w:rFonts w:hint="eastAsia" w:ascii="仿宋" w:hAnsi="仿宋" w:eastAsia="仿宋" w:cs="仿宋"/>
          <w:b w:val="0"/>
          <w:bCs w:val="0"/>
          <w:kern w:val="2"/>
          <w:sz w:val="28"/>
          <w:szCs w:val="28"/>
          <w:lang w:val="en-US" w:eastAsia="zh-CN" w:bidi="ar-SA"/>
        </w:rPr>
        <w:t xml:space="preserve">合同暂定总价的 20%（计算预付款时，先扣除暂列金额）。合同签订后，监理单位收到供应商提交的预付款申请资料、合法有效票据及其他相关请款资料后 5 日内完成审核；监理单位负有本项目付款资料审核责任。采购人在收到监理单位审核的预付款申请及供应商提供的合法有效票据及其他相关请款资料后 10 日内支付预付款。 </w:t>
      </w:r>
    </w:p>
    <w:p w14:paraId="28652F3C">
      <w:pPr>
        <w:pStyle w:val="7"/>
        <w:numPr>
          <w:ilvl w:val="0"/>
          <w:numId w:val="15"/>
        </w:numPr>
        <w:rPr>
          <w:rFonts w:hint="eastAsia" w:ascii="仿宋" w:hAnsi="仿宋" w:eastAsia="仿宋" w:cs="仿宋"/>
          <w:b w:val="0"/>
          <w:kern w:val="0"/>
          <w:sz w:val="28"/>
          <w:szCs w:val="28"/>
          <w:vertAlign w:val="baseline"/>
          <w:lang w:val="en-US" w:eastAsia="zh-CN" w:bidi="ar"/>
        </w:rPr>
      </w:pPr>
      <w:r>
        <w:rPr>
          <w:rFonts w:hint="eastAsia" w:ascii="仿宋" w:hAnsi="仿宋" w:eastAsia="仿宋" w:cs="仿宋"/>
          <w:b w:val="0"/>
          <w:bCs w:val="0"/>
          <w:kern w:val="2"/>
          <w:sz w:val="28"/>
          <w:szCs w:val="28"/>
          <w:lang w:val="en-US" w:eastAsia="zh-CN" w:bidi="ar-SA"/>
        </w:rPr>
        <w:t xml:space="preserve">工程进度款：项目施工竣工验收合格后 5 日内，供应商须向采购人提供合法有效票据及其他相关请款资料，监理单位对进度款申请资料履行审核责任。采购人自收到监理单位审核通过的上述票据及资料后 55 日内支付至合同暂定总价的 80%（含已支付预付款，计算进度款支付基数时，先扣除暂列金额）。 </w:t>
      </w:r>
    </w:p>
    <w:p w14:paraId="6609E129">
      <w:pPr>
        <w:pStyle w:val="7"/>
        <w:numPr>
          <w:ilvl w:val="0"/>
          <w:numId w:val="15"/>
        </w:numPr>
        <w:rPr>
          <w:rFonts w:hint="eastAsia" w:ascii="仿宋" w:hAnsi="仿宋" w:eastAsia="仿宋" w:cs="仿宋"/>
          <w:b w:val="0"/>
          <w:kern w:val="0"/>
          <w:sz w:val="28"/>
          <w:szCs w:val="28"/>
          <w:vertAlign w:val="baseline"/>
          <w:lang w:val="en-US" w:eastAsia="zh-CN" w:bidi="ar"/>
        </w:rPr>
      </w:pPr>
      <w:r>
        <w:rPr>
          <w:rFonts w:hint="eastAsia" w:ascii="仿宋" w:hAnsi="仿宋" w:eastAsia="仿宋" w:cs="仿宋"/>
          <w:b w:val="0"/>
          <w:bCs w:val="0"/>
          <w:kern w:val="2"/>
          <w:sz w:val="28"/>
          <w:szCs w:val="28"/>
          <w:lang w:val="en-US" w:eastAsia="zh-CN" w:bidi="ar-SA"/>
        </w:rPr>
        <w:t>竣工结算款支付：待竣工结算审核完成，第三方造价咨询机构出具竣工结算审核报告后 5 日内，供应商向采购人交纳质保金（竣工结算审核审定金额的 3%）后，提供合法有效票据及其他相关请款资料，采购人自收到上述票据及资料后 55 日内支付至竣工结算审核总价的 100%。</w:t>
      </w:r>
    </w:p>
    <w:p w14:paraId="34F97D32">
      <w:pPr>
        <w:pStyle w:val="7"/>
        <w:numPr>
          <w:ilvl w:val="-1"/>
          <w:numId w:val="0"/>
        </w:numPr>
        <w:rPr>
          <w:rFonts w:hint="eastAsia" w:ascii="仿宋" w:hAnsi="仿宋" w:eastAsia="仿宋" w:cs="仿宋"/>
          <w:b w:val="0"/>
          <w:kern w:val="0"/>
          <w:sz w:val="28"/>
          <w:szCs w:val="28"/>
          <w:vertAlign w:val="baseline"/>
          <w:lang w:val="en-US" w:eastAsia="zh-CN" w:bidi="ar"/>
        </w:rPr>
      </w:pPr>
      <w:r>
        <w:rPr>
          <w:rFonts w:hint="eastAsia" w:ascii="仿宋" w:hAnsi="仿宋" w:eastAsia="仿宋" w:cs="仿宋"/>
          <w:b w:val="0"/>
          <w:kern w:val="0"/>
          <w:sz w:val="28"/>
          <w:szCs w:val="28"/>
          <w:vertAlign w:val="baseline"/>
          <w:lang w:val="en-US" w:eastAsia="zh-CN" w:bidi="ar"/>
        </w:rPr>
        <w:t>2.工程地点：</w:t>
      </w:r>
    </w:p>
    <w:p w14:paraId="7FAB7DC8">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560" w:firstLineChars="200"/>
        <w:textAlignment w:val="auto"/>
        <w:rPr>
          <w:rFonts w:hint="eastAsia" w:ascii="仿宋" w:hAnsi="仿宋" w:eastAsia="仿宋" w:cs="仿宋"/>
          <w:b w:val="0"/>
          <w:kern w:val="0"/>
          <w:sz w:val="28"/>
          <w:szCs w:val="28"/>
          <w:lang w:val="en-US" w:eastAsia="zh-CN" w:bidi="ar"/>
        </w:rPr>
      </w:pPr>
      <w:r>
        <w:rPr>
          <w:rFonts w:hint="eastAsia" w:ascii="仿宋" w:hAnsi="仿宋" w:eastAsia="仿宋" w:cs="仿宋"/>
          <w:b w:val="0"/>
          <w:kern w:val="0"/>
          <w:sz w:val="28"/>
          <w:szCs w:val="28"/>
          <w:vertAlign w:val="baseline"/>
          <w:lang w:val="en-US" w:eastAsia="zh-CN" w:bidi="ar"/>
        </w:rPr>
        <w:t>四川省人民医院高新院区，成都市双流区观东一街与观东二街之间</w:t>
      </w:r>
    </w:p>
    <w:p w14:paraId="2EA52BE2">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Fonts w:hint="eastAsia" w:ascii="仿宋" w:hAnsi="仿宋" w:eastAsia="仿宋" w:cs="仿宋"/>
          <w:kern w:val="0"/>
          <w:sz w:val="28"/>
          <w:szCs w:val="28"/>
          <w:lang w:val="en-US" w:eastAsia="zh-CN" w:bidi="ar"/>
        </w:rPr>
      </w:pPr>
      <w:r>
        <w:rPr>
          <w:rFonts w:hint="eastAsia" w:ascii="仿宋" w:hAnsi="仿宋" w:eastAsia="仿宋" w:cs="仿宋"/>
          <w:color w:val="0D0D0D"/>
          <w:kern w:val="2"/>
          <w:sz w:val="28"/>
          <w:szCs w:val="28"/>
          <w:lang w:val="en-US" w:eastAsia="zh-CN"/>
        </w:rPr>
        <w:t>3.计划工期：</w:t>
      </w:r>
      <w:r>
        <w:rPr>
          <w:rFonts w:hint="eastAsia" w:ascii="仿宋" w:hAnsi="仿宋" w:eastAsia="仿宋" w:cs="仿宋"/>
          <w:kern w:val="0"/>
          <w:sz w:val="28"/>
          <w:szCs w:val="28"/>
          <w:lang w:val="en-US" w:eastAsia="zh-CN" w:bidi="ar"/>
        </w:rPr>
        <w:t xml:space="preserve"> </w:t>
      </w:r>
    </w:p>
    <w:p w14:paraId="19C00340">
      <w:pPr>
        <w:pStyle w:val="17"/>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textAlignment w:val="auto"/>
        <w:rPr>
          <w:rFonts w:hint="eastAsia"/>
          <w:lang w:eastAsia="zh-CN"/>
        </w:rPr>
      </w:pPr>
      <w:r>
        <w:rPr>
          <w:rFonts w:hint="eastAsia" w:ascii="仿宋" w:hAnsi="仿宋" w:eastAsia="仿宋" w:cs="仿宋"/>
          <w:kern w:val="0"/>
          <w:sz w:val="28"/>
          <w:szCs w:val="28"/>
          <w:lang w:val="en-US" w:eastAsia="zh-CN" w:bidi="ar"/>
        </w:rPr>
        <w:t xml:space="preserve">   本项目总工期为 20个日历天， 供应商应在此工期内完成全部供货、安装、调试及验收工作</w:t>
      </w:r>
      <w:r>
        <w:rPr>
          <w:rFonts w:hint="eastAsia"/>
          <w:lang w:eastAsia="zh-CN"/>
        </w:rPr>
        <w:t>。</w:t>
      </w:r>
    </w:p>
    <w:p w14:paraId="794F5DDE">
      <w:pPr>
        <w:pStyle w:val="17"/>
        <w:keepNext w:val="0"/>
        <w:keepLines w:val="0"/>
        <w:pageBreakBefore w:val="0"/>
        <w:widowControl w:val="0"/>
        <w:numPr>
          <w:ilvl w:val="0"/>
          <w:numId w:val="16"/>
        </w:numPr>
        <w:kinsoku/>
        <w:wordWrap/>
        <w:overflowPunct/>
        <w:topLinePunct w:val="0"/>
        <w:autoSpaceDE/>
        <w:autoSpaceDN/>
        <w:bidi w:val="0"/>
        <w:adjustRightInd/>
        <w:snapToGrid w:val="0"/>
        <w:spacing w:line="360" w:lineRule="auto"/>
        <w:ind w:left="-482" w:leftChars="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计划开工时间：自合同签订生效之日起计算。</w:t>
      </w:r>
    </w:p>
    <w:p w14:paraId="27361AB6">
      <w:pPr>
        <w:pStyle w:val="17"/>
        <w:keepNext w:val="0"/>
        <w:keepLines w:val="0"/>
        <w:pageBreakBefore w:val="0"/>
        <w:widowControl w:val="0"/>
        <w:numPr>
          <w:ilvl w:val="0"/>
          <w:numId w:val="16"/>
        </w:numPr>
        <w:kinsoku/>
        <w:wordWrap/>
        <w:overflowPunct/>
        <w:topLinePunct w:val="0"/>
        <w:autoSpaceDE/>
        <w:autoSpaceDN/>
        <w:bidi w:val="0"/>
        <w:adjustRightInd/>
        <w:snapToGrid w:val="0"/>
        <w:spacing w:line="360" w:lineRule="auto"/>
        <w:ind w:left="-482" w:leftChars="0"/>
        <w:textAlignment w:val="auto"/>
        <w:rPr>
          <w:rFonts w:hint="default" w:ascii="仿宋" w:hAnsi="仿宋" w:eastAsia="仿宋" w:cs="仿宋"/>
          <w:kern w:val="0"/>
          <w:sz w:val="28"/>
          <w:szCs w:val="28"/>
          <w:lang w:val="en-US" w:eastAsia="zh-CN" w:bidi="ar"/>
        </w:rPr>
      </w:pPr>
      <w:r>
        <w:rPr>
          <w:rFonts w:hint="default" w:ascii="仿宋" w:hAnsi="仿宋" w:eastAsia="仿宋" w:cs="仿宋"/>
          <w:kern w:val="0"/>
          <w:sz w:val="28"/>
          <w:szCs w:val="28"/>
          <w:lang w:val="en-US" w:eastAsia="zh-CN" w:bidi="ar"/>
        </w:rPr>
        <w:t>质量保证金要求:</w:t>
      </w:r>
    </w:p>
    <w:p w14:paraId="193640A1">
      <w:pPr>
        <w:pStyle w:val="17"/>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482" w:leftChars="0" w:firstLine="0"/>
        <w:textAlignment w:val="auto"/>
        <w:rPr>
          <w:rFonts w:hint="default" w:ascii="仿宋" w:hAnsi="仿宋" w:eastAsia="仿宋" w:cs="仿宋"/>
          <w:kern w:val="0"/>
          <w:sz w:val="28"/>
          <w:szCs w:val="28"/>
          <w:lang w:val="en-US" w:eastAsia="zh-CN" w:bidi="ar"/>
        </w:rPr>
      </w:pPr>
      <w:r>
        <w:rPr>
          <w:rFonts w:hint="default" w:ascii="仿宋" w:hAnsi="仿宋" w:eastAsia="仿宋" w:cs="仿宋"/>
          <w:kern w:val="0"/>
          <w:sz w:val="28"/>
          <w:szCs w:val="28"/>
          <w:lang w:val="en-US" w:eastAsia="zh-CN" w:bidi="ar"/>
        </w:rPr>
        <w:t>(1)是否提交质量保证金:是;</w:t>
      </w:r>
    </w:p>
    <w:p w14:paraId="6E6B7319">
      <w:pPr>
        <w:pStyle w:val="17"/>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482" w:leftChars="0" w:firstLine="0"/>
        <w:textAlignment w:val="auto"/>
        <w:rPr>
          <w:rFonts w:hint="default" w:ascii="仿宋" w:hAnsi="仿宋" w:eastAsia="仿宋" w:cs="仿宋"/>
          <w:kern w:val="0"/>
          <w:sz w:val="28"/>
          <w:szCs w:val="28"/>
          <w:lang w:val="en-US" w:eastAsia="zh-CN" w:bidi="ar"/>
        </w:rPr>
      </w:pPr>
      <w:r>
        <w:rPr>
          <w:rFonts w:hint="default" w:ascii="仿宋" w:hAnsi="仿宋" w:eastAsia="仿宋" w:cs="仿宋"/>
          <w:kern w:val="0"/>
          <w:sz w:val="28"/>
          <w:szCs w:val="28"/>
          <w:lang w:val="en-US" w:eastAsia="zh-CN" w:bidi="ar"/>
        </w:rPr>
        <w:t>(2)提交金额:竣工结算审核审定金额的3%。</w:t>
      </w:r>
    </w:p>
    <w:p w14:paraId="4EEBFF82">
      <w:pPr>
        <w:pStyle w:val="17"/>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482" w:leftChars="0" w:firstLine="0"/>
        <w:textAlignment w:val="auto"/>
        <w:rPr>
          <w:rFonts w:hint="default" w:ascii="仿宋" w:hAnsi="仿宋" w:eastAsia="仿宋" w:cs="仿宋"/>
          <w:kern w:val="0"/>
          <w:sz w:val="28"/>
          <w:szCs w:val="28"/>
          <w:lang w:val="en-US" w:eastAsia="zh-CN" w:bidi="ar"/>
        </w:rPr>
      </w:pPr>
      <w:r>
        <w:rPr>
          <w:rFonts w:hint="default" w:ascii="仿宋" w:hAnsi="仿宋" w:eastAsia="仿宋" w:cs="仿宋"/>
          <w:kern w:val="0"/>
          <w:sz w:val="28"/>
          <w:szCs w:val="28"/>
          <w:lang w:val="en-US" w:eastAsia="zh-CN" w:bidi="ar"/>
        </w:rPr>
        <w:t>(3)提交时间及方式:完成竣工结算审核，第三方造价咨询机构出具竣工结算审核报告后5日内，供应商须向采购人缴纳;</w:t>
      </w:r>
    </w:p>
    <w:p w14:paraId="6B6167BA">
      <w:pPr>
        <w:pStyle w:val="17"/>
        <w:keepNext w:val="0"/>
        <w:keepLines w:val="0"/>
        <w:pageBreakBefore w:val="0"/>
        <w:widowControl w:val="0"/>
        <w:numPr>
          <w:ilvl w:val="-1"/>
          <w:numId w:val="0"/>
        </w:numPr>
        <w:kinsoku/>
        <w:wordWrap/>
        <w:overflowPunct/>
        <w:topLinePunct w:val="0"/>
        <w:autoSpaceDE/>
        <w:autoSpaceDN/>
        <w:bidi w:val="0"/>
        <w:adjustRightInd/>
        <w:snapToGrid w:val="0"/>
        <w:spacing w:line="360" w:lineRule="auto"/>
        <w:ind w:left="482" w:leftChars="0" w:firstLine="0"/>
        <w:textAlignment w:val="auto"/>
        <w:rPr>
          <w:rFonts w:hint="default" w:ascii="仿宋" w:hAnsi="仿宋" w:eastAsia="仿宋" w:cs="仿宋"/>
          <w:kern w:val="0"/>
          <w:sz w:val="28"/>
          <w:szCs w:val="28"/>
          <w:lang w:val="en-US" w:eastAsia="zh-CN" w:bidi="ar"/>
        </w:rPr>
      </w:pPr>
      <w:r>
        <w:rPr>
          <w:rFonts w:hint="default" w:ascii="仿宋" w:hAnsi="仿宋" w:eastAsia="仿宋" w:cs="仿宋"/>
          <w:kern w:val="0"/>
          <w:sz w:val="28"/>
          <w:szCs w:val="28"/>
          <w:lang w:val="en-US" w:eastAsia="zh-CN" w:bidi="ar"/>
        </w:rPr>
        <w:t>(4)退还时间及方式:缺陷责任期满，经采购人确认无质量问题，采购人接供应商退款申请后30个工作日内一次性无息退还质量保证金。</w:t>
      </w:r>
    </w:p>
    <w:p w14:paraId="41EAA6B7">
      <w:pPr>
        <w:pStyle w:val="17"/>
        <w:keepNext w:val="0"/>
        <w:keepLines w:val="0"/>
        <w:pageBreakBefore w:val="0"/>
        <w:widowControl w:val="0"/>
        <w:numPr>
          <w:ilvl w:val="0"/>
          <w:numId w:val="16"/>
        </w:numPr>
        <w:kinsoku/>
        <w:wordWrap/>
        <w:overflowPunct/>
        <w:topLinePunct w:val="0"/>
        <w:autoSpaceDE/>
        <w:autoSpaceDN/>
        <w:bidi w:val="0"/>
        <w:adjustRightInd/>
        <w:snapToGrid w:val="0"/>
        <w:spacing w:line="360" w:lineRule="auto"/>
        <w:ind w:left="-482" w:leftChars="0"/>
        <w:textAlignment w:val="auto"/>
        <w:rPr>
          <w:rFonts w:hint="default" w:ascii="仿宋" w:hAnsi="仿宋" w:eastAsia="仿宋" w:cs="仿宋"/>
          <w:kern w:val="0"/>
          <w:sz w:val="28"/>
          <w:szCs w:val="28"/>
          <w:lang w:val="en-US" w:eastAsia="zh-CN" w:bidi="ar"/>
        </w:rPr>
      </w:pPr>
      <w:r>
        <w:rPr>
          <w:rFonts w:hint="default" w:ascii="仿宋" w:hAnsi="仿宋" w:eastAsia="仿宋" w:cs="仿宋"/>
          <w:kern w:val="0"/>
          <w:sz w:val="28"/>
          <w:szCs w:val="28"/>
          <w:lang w:val="en-US" w:eastAsia="zh-CN" w:bidi="ar"/>
        </w:rPr>
        <w:t>缺陷责任期：自工程竣工验收合格之日起12个月</w:t>
      </w:r>
      <w:r>
        <w:rPr>
          <w:rFonts w:hint="eastAsia" w:ascii="仿宋" w:hAnsi="仿宋" w:eastAsia="仿宋" w:cs="仿宋"/>
          <w:kern w:val="0"/>
          <w:sz w:val="28"/>
          <w:szCs w:val="28"/>
          <w:lang w:val="en-US" w:eastAsia="zh-CN" w:bidi="ar"/>
        </w:rPr>
        <w:t>。</w:t>
      </w:r>
    </w:p>
    <w:p w14:paraId="479A48F2">
      <w:pPr>
        <w:pStyle w:val="17"/>
        <w:keepNext w:val="0"/>
        <w:keepLines w:val="0"/>
        <w:pageBreakBefore w:val="0"/>
        <w:widowControl w:val="0"/>
        <w:numPr>
          <w:ilvl w:val="0"/>
          <w:numId w:val="16"/>
        </w:numPr>
        <w:kinsoku/>
        <w:wordWrap/>
        <w:overflowPunct/>
        <w:topLinePunct w:val="0"/>
        <w:autoSpaceDE/>
        <w:autoSpaceDN/>
        <w:bidi w:val="0"/>
        <w:adjustRightInd/>
        <w:snapToGrid w:val="0"/>
        <w:spacing w:line="360" w:lineRule="auto"/>
        <w:ind w:left="-482" w:leftChars="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工程保修：工程质量保修范围、期限和责任（详见《工程质量保修书》）</w:t>
      </w:r>
    </w:p>
    <w:p w14:paraId="0A42F7BC">
      <w:pPr>
        <w:pStyle w:val="17"/>
        <w:keepNext w:val="0"/>
        <w:keepLines w:val="0"/>
        <w:pageBreakBefore w:val="0"/>
        <w:widowControl w:val="0"/>
        <w:numPr>
          <w:ilvl w:val="0"/>
          <w:numId w:val="16"/>
        </w:numPr>
        <w:kinsoku/>
        <w:wordWrap/>
        <w:overflowPunct/>
        <w:topLinePunct w:val="0"/>
        <w:autoSpaceDE/>
        <w:autoSpaceDN/>
        <w:bidi w:val="0"/>
        <w:adjustRightInd/>
        <w:snapToGrid w:val="0"/>
        <w:spacing w:line="360" w:lineRule="auto"/>
        <w:ind w:left="-482" w:leftChars="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验收方案：</w:t>
      </w:r>
    </w:p>
    <w:p w14:paraId="1802DA8A">
      <w:pPr>
        <w:pStyle w:val="7"/>
        <w:keepNext w:val="0"/>
        <w:keepLines w:val="0"/>
        <w:pageBreakBefore w:val="0"/>
        <w:kinsoku/>
        <w:wordWrap/>
        <w:overflowPunct/>
        <w:topLinePunct w:val="0"/>
        <w:autoSpaceDN/>
        <w:bidi w:val="0"/>
        <w:adjustRightInd/>
        <w:spacing w:line="360" w:lineRule="auto"/>
        <w:ind w:firstLine="560" w:firstLineChars="200"/>
        <w:textAlignment w:val="auto"/>
        <w:rPr>
          <w:rFonts w:hint="default" w:ascii="仿宋" w:hAnsi="仿宋" w:eastAsia="仿宋" w:cs="仿宋"/>
          <w:color w:val="0D0D0D"/>
          <w:kern w:val="2"/>
          <w:sz w:val="28"/>
          <w:szCs w:val="28"/>
          <w:lang w:val="en-US" w:eastAsia="zh-CN" w:bidi="ar-SA"/>
        </w:rPr>
      </w:pPr>
      <w:r>
        <w:rPr>
          <w:rFonts w:hint="eastAsia" w:ascii="仿宋" w:hAnsi="仿宋" w:eastAsia="仿宋" w:cs="仿宋"/>
          <w:color w:val="0D0D0D"/>
          <w:kern w:val="2"/>
          <w:sz w:val="28"/>
          <w:szCs w:val="28"/>
          <w:lang w:eastAsia="zh-CN"/>
        </w:rPr>
        <w:t>(1)验收时</w:t>
      </w:r>
      <w:r>
        <w:rPr>
          <w:rFonts w:hint="eastAsia" w:ascii="仿宋" w:hAnsi="仿宋" w:eastAsia="仿宋" w:cs="仿宋"/>
          <w:color w:val="0D0D0D"/>
          <w:kern w:val="2"/>
          <w:sz w:val="28"/>
          <w:szCs w:val="28"/>
          <w:lang w:val="en-US" w:eastAsia="zh-CN" w:bidi="ar-SA"/>
        </w:rPr>
        <w:t>间：供应商完成本项目涉及的所有工程项目的建设及相关内容并具备验收条件后，于5日内通知采购人验收，采购人接供应商通知后10日内组织验收。双方验收后，如验收内容符合本项目验收标准，采购人应于5个工作日内向供应商出具验收报告，并视为验收合格，验收合格的时间以出具报告的时间为准；</w:t>
      </w:r>
    </w:p>
    <w:p w14:paraId="23D55B85">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(2)验收主体：采购人；</w:t>
      </w:r>
    </w:p>
    <w:p w14:paraId="64EB06E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(3)验收方式：现场整体验收；</w:t>
      </w:r>
    </w:p>
    <w:p w14:paraId="60D9DFC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(4)验收程序：一次性验收；</w:t>
      </w:r>
    </w:p>
    <w:p w14:paraId="6D1EF9C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(5)验收内容:按照基于本项目采购需求编制的采购文件要求及供应商响应文件情况，由供应商向采购人交付全部工程的履约情况；</w:t>
      </w:r>
    </w:p>
    <w:p w14:paraId="4BC1A22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(6)验收组织方式：自行验收；</w:t>
      </w:r>
    </w:p>
    <w:p w14:paraId="2EBF2DD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(7)是否邀请本项目的其它供应商:否;</w:t>
      </w:r>
    </w:p>
    <w:p w14:paraId="143FCA27">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(8)是否邀请专家：否；</w:t>
      </w:r>
    </w:p>
    <w:p w14:paraId="414829DF">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(9)是否邀请服务对象：否；</w:t>
      </w:r>
    </w:p>
    <w:p w14:paraId="4579CB8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(10)是否邀请第三方检测机构:否</w:t>
      </w:r>
    </w:p>
    <w:p w14:paraId="383818C4">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(11)验收标准：</w:t>
      </w:r>
    </w:p>
    <w:p w14:paraId="3BC0449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1)国家相关法律法规、行业标准、技术规范。</w:t>
      </w:r>
    </w:p>
    <w:p w14:paraId="0FD9D2FA">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2)基于本项目采购需求编制的采购文件相关技术、服务要求、供应商响应文件相关响应内容。</w:t>
      </w:r>
    </w:p>
    <w:p w14:paraId="6CCE253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3)产品生产厂家出具的产品说明书、技术白皮书、医疗器械注册证或备案凭证等官方技术资料（如涉及）。</w:t>
      </w:r>
    </w:p>
    <w:p w14:paraId="302DC536">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4)如验收时，采购人与供应商认为本项目验收标准中的技术指标、质量要求等内容存在相互抵触或对其理解存在异议，应按照其中更严格的要求、标准等进行验收。</w:t>
      </w:r>
    </w:p>
    <w:p w14:paraId="2DE468AC">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5).按照《财政部关于进一步加强政府采购需求和履约验收管理的指导意见》（财库〔2016〕205号）的要求进行验收。（如本项目不涉及政府采购，将参照此条款）。</w:t>
      </w:r>
    </w:p>
    <w:p w14:paraId="51F03A09">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eastAsia="zh-CN"/>
        </w:rPr>
      </w:pPr>
      <w:r>
        <w:rPr>
          <w:rFonts w:hint="eastAsia" w:ascii="仿宋" w:hAnsi="仿宋" w:eastAsia="仿宋" w:cs="仿宋"/>
          <w:color w:val="0D0D0D"/>
          <w:kern w:val="2"/>
          <w:sz w:val="28"/>
          <w:szCs w:val="28"/>
          <w:lang w:eastAsia="zh-CN"/>
        </w:rPr>
        <w:t>6)如本项目验收方式为考核验收，则考核结果须为合格。</w:t>
      </w:r>
    </w:p>
    <w:p w14:paraId="437BC81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360" w:lineRule="auto"/>
        <w:ind w:leftChars="0" w:right="0" w:rightChars="0" w:firstLine="560" w:firstLineChars="20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7)其它标准:</w:t>
      </w:r>
    </w:p>
    <w:p w14:paraId="48638424">
      <w:pPr>
        <w:pStyle w:val="15"/>
        <w:keepNext w:val="0"/>
        <w:keepLines w:val="0"/>
        <w:pageBreakBefore w:val="0"/>
        <w:widowControl/>
        <w:numPr>
          <w:ilvl w:val="0"/>
          <w:numId w:val="17"/>
        </w:numPr>
        <w:suppressLineNumbers w:val="0"/>
        <w:kinsoku/>
        <w:wordWrap/>
        <w:overflowPunct/>
        <w:topLinePunct w:val="0"/>
        <w:autoSpaceDE w:val="0"/>
        <w:autoSpaceDN/>
        <w:bidi w:val="0"/>
        <w:adjustRightInd/>
        <w:snapToGrid/>
        <w:spacing w:before="0" w:beforeAutospacing="0" w:after="0" w:afterAutospacing="0" w:line="360" w:lineRule="auto"/>
        <w:ind w:left="479" w:leftChars="228" w:right="0" w:rightChars="0" w:firstLine="0" w:firstLineChars="0"/>
        <w:textAlignment w:val="auto"/>
        <w:rPr>
          <w:rFonts w:hint="eastAsia" w:ascii="仿宋" w:hAnsi="仿宋" w:eastAsia="仿宋" w:cs="仿宋"/>
          <w:kern w:val="2"/>
          <w:sz w:val="28"/>
          <w:szCs w:val="28"/>
        </w:rPr>
      </w:pPr>
      <w:r>
        <w:rPr>
          <w:rFonts w:hint="eastAsia" w:ascii="仿宋" w:hAnsi="仿宋" w:eastAsia="仿宋" w:cs="仿宋"/>
          <w:color w:val="0D0D0D"/>
          <w:kern w:val="2"/>
          <w:sz w:val="28"/>
          <w:szCs w:val="28"/>
          <w:lang w:eastAsia="zh-CN"/>
        </w:rPr>
        <w:t>履约验收其它事项：无</w:t>
      </w:r>
    </w:p>
    <w:p w14:paraId="06D841FA">
      <w:pPr>
        <w:pStyle w:val="15"/>
        <w:keepNext w:val="0"/>
        <w:keepLines w:val="0"/>
        <w:pageBreakBefore w:val="0"/>
        <w:widowControl/>
        <w:numPr>
          <w:ilvl w:val="-1"/>
          <w:numId w:val="0"/>
        </w:numPr>
        <w:suppressLineNumbers w:val="0"/>
        <w:kinsoku/>
        <w:wordWrap/>
        <w:overflowPunct/>
        <w:topLinePunct w:val="0"/>
        <w:autoSpaceDE w:val="0"/>
        <w:autoSpaceDN/>
        <w:bidi w:val="0"/>
        <w:adjustRightInd/>
        <w:snapToGrid/>
        <w:spacing w:before="0" w:beforeAutospacing="0" w:after="0" w:afterAutospacing="0" w:line="360" w:lineRule="auto"/>
        <w:ind w:left="0" w:leftChars="0" w:right="0" w:rightChars="0" w:firstLine="0" w:firstLineChars="0"/>
        <w:textAlignment w:val="auto"/>
        <w:rPr>
          <w:rFonts w:hint="eastAsia" w:ascii="仿宋" w:hAnsi="仿宋" w:eastAsia="仿宋" w:cs="仿宋"/>
          <w:color w:val="0D0D0D"/>
          <w:kern w:val="2"/>
          <w:sz w:val="28"/>
          <w:szCs w:val="28"/>
          <w:lang w:val="en-US" w:eastAsia="zh-CN"/>
        </w:rPr>
      </w:pPr>
      <w:r>
        <w:rPr>
          <w:rFonts w:hint="eastAsia" w:ascii="仿宋" w:hAnsi="仿宋" w:eastAsia="仿宋" w:cs="仿宋"/>
          <w:color w:val="0D0D0D"/>
          <w:kern w:val="2"/>
          <w:sz w:val="28"/>
          <w:szCs w:val="28"/>
          <w:lang w:val="en-US" w:eastAsia="zh-CN"/>
        </w:rPr>
        <w:t>五、其他要求</w:t>
      </w:r>
    </w:p>
    <w:p w14:paraId="3A9D93F5">
      <w:pPr>
        <w:pStyle w:val="17"/>
        <w:numPr>
          <w:ilvl w:val="0"/>
          <w:numId w:val="0"/>
        </w:num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1.业绩要求：自2023年1月1日</w:t>
      </w:r>
      <w:r>
        <w:rPr>
          <w:rFonts w:hint="eastAsia" w:ascii="仿宋" w:hAnsi="仿宋" w:eastAsia="仿宋" w:cs="仿宋"/>
          <w:color w:val="auto"/>
          <w:sz w:val="24"/>
          <w:szCs w:val="24"/>
          <w:highlight w:val="none"/>
          <w:lang w:val="en-US" w:eastAsia="zh-CN"/>
        </w:rPr>
        <w:t>（含）以来</w:t>
      </w:r>
      <w:r>
        <w:rPr>
          <w:rFonts w:hint="eastAsia" w:ascii="仿宋" w:hAnsi="仿宋" w:eastAsia="仿宋" w:cs="仿宋"/>
          <w:sz w:val="28"/>
          <w:szCs w:val="28"/>
          <w:lang w:val="en-US" w:eastAsia="zh-CN"/>
        </w:rPr>
        <w:t xml:space="preserve">，至少具有1个类似项目。（类似项目是指:已完成或新承接或正在施工的 10kV 及以上电压等级输变电或供变电或电力线路工程施工业绩），提供合同或中标通知书复印件。 </w:t>
      </w:r>
    </w:p>
    <w:p w14:paraId="7C85EA0A">
      <w:pPr>
        <w:pStyle w:val="17"/>
        <w:ind w:firstLine="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2.供应商针对本项目提供施工方案：①安全文明方案②质量保证措施③施工调度方案④应急预案</w:t>
      </w:r>
    </w:p>
    <w:p w14:paraId="78DD6955">
      <w:pPr>
        <w:pStyle w:val="17"/>
        <w:ind w:firstLine="0"/>
        <w:rPr>
          <w:rFonts w:hint="default" w:ascii="仿宋" w:hAnsi="仿宋" w:eastAsia="仿宋" w:cs="仿宋"/>
          <w:sz w:val="28"/>
          <w:szCs w:val="28"/>
          <w:lang w:val="en-US" w:eastAsia="zh-CN"/>
        </w:rPr>
      </w:pPr>
      <w:r>
        <w:rPr>
          <w:rFonts w:hint="eastAsia" w:ascii="仿宋" w:hAnsi="仿宋" w:eastAsia="仿宋" w:cs="仿宋"/>
          <w:b/>
          <w:bCs/>
          <w:sz w:val="28"/>
          <w:szCs w:val="28"/>
        </w:rPr>
        <w:t>★</w:t>
      </w:r>
      <w:r>
        <w:rPr>
          <w:rFonts w:hint="eastAsia" w:ascii="仿宋" w:hAnsi="仿宋" w:eastAsia="仿宋" w:cs="仿宋"/>
          <w:color w:val="auto"/>
          <w:kern w:val="2"/>
          <w:sz w:val="28"/>
          <w:szCs w:val="28"/>
          <w:highlight w:val="none"/>
          <w:lang w:val="en-US" w:eastAsia="zh-CN" w:bidi="ar-SA"/>
        </w:rPr>
        <w:t>3.成交供应商应在竣工验收之日起28个日历天内提交全套纸质盖章的竣工资料及竣工结算资料(各2套)，超过规定时间后，成交供应商应支付违约金，每日违约金按照合同暂定总价的千分之一收取，上限不超过百分之五。(在支付竣工结算款时扣除)。</w:t>
      </w:r>
    </w:p>
    <w:p w14:paraId="5014D632">
      <w:pPr>
        <w:pStyle w:val="17"/>
        <w:ind w:firstLine="0"/>
        <w:rPr>
          <w:rFonts w:hint="eastAsia" w:ascii="仿宋" w:hAnsi="仿宋" w:eastAsia="仿宋" w:cs="仿宋"/>
          <w:sz w:val="28"/>
          <w:szCs w:val="28"/>
        </w:rPr>
      </w:pPr>
    </w:p>
    <w:p w14:paraId="4A6A2942">
      <w:pPr>
        <w:pStyle w:val="17"/>
        <w:ind w:firstLine="0"/>
        <w:rPr>
          <w:rFonts w:hint="eastAsia" w:ascii="仿宋" w:hAnsi="仿宋" w:eastAsia="仿宋" w:cs="仿宋"/>
          <w:sz w:val="28"/>
          <w:szCs w:val="28"/>
        </w:rPr>
      </w:pPr>
      <w:r>
        <w:rPr>
          <w:rFonts w:hint="eastAsia" w:ascii="仿宋" w:hAnsi="仿宋" w:eastAsia="仿宋" w:cs="仿宋"/>
          <w:sz w:val="28"/>
          <w:szCs w:val="28"/>
        </w:rPr>
        <w:t>注：本章中带“</w:t>
      </w:r>
      <w:r>
        <w:rPr>
          <w:rFonts w:hint="eastAsia" w:ascii="仿宋" w:hAnsi="仿宋" w:eastAsia="仿宋" w:cs="仿宋"/>
          <w:b/>
          <w:bCs/>
          <w:sz w:val="28"/>
          <w:szCs w:val="28"/>
        </w:rPr>
        <w:t>★</w:t>
      </w:r>
      <w:r>
        <w:rPr>
          <w:rFonts w:hint="eastAsia" w:ascii="仿宋" w:hAnsi="仿宋" w:eastAsia="仿宋" w:cs="仿宋"/>
          <w:sz w:val="28"/>
          <w:szCs w:val="28"/>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0FE2E259">
      <w:pPr>
        <w:rPr>
          <w:lang w:val="zh-CN"/>
        </w:rPr>
      </w:pPr>
    </w:p>
    <w:tbl>
      <w:tblPr>
        <w:tblStyle w:val="19"/>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0"/>
        <w:gridCol w:w="1465"/>
        <w:gridCol w:w="1024"/>
        <w:gridCol w:w="3879"/>
        <w:gridCol w:w="2501"/>
      </w:tblGrid>
      <w:tr w14:paraId="6C1D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3" w:type="pct"/>
            <w:tcBorders>
              <w:top w:val="single" w:color="auto" w:sz="4" w:space="0"/>
              <w:left w:val="single" w:color="auto" w:sz="4" w:space="0"/>
              <w:bottom w:val="single" w:color="auto" w:sz="4" w:space="0"/>
              <w:right w:val="single" w:color="auto" w:sz="4" w:space="0"/>
            </w:tcBorders>
            <w:vAlign w:val="center"/>
          </w:tcPr>
          <w:p w14:paraId="315F68DC">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b/>
                <w:bCs/>
                <w:sz w:val="24"/>
                <w:szCs w:val="24"/>
              </w:rPr>
            </w:pPr>
            <w:r>
              <w:rPr>
                <w:rFonts w:hint="eastAsia" w:ascii="仿宋" w:hAnsi="仿宋" w:eastAsia="仿宋" w:cs="仿宋"/>
                <w:b/>
                <w:bCs/>
                <w:sz w:val="24"/>
                <w:szCs w:val="24"/>
              </w:rPr>
              <w:t>序号</w:t>
            </w:r>
          </w:p>
        </w:tc>
        <w:tc>
          <w:tcPr>
            <w:tcW w:w="744" w:type="pct"/>
            <w:tcBorders>
              <w:top w:val="single" w:color="auto" w:sz="4" w:space="0"/>
              <w:left w:val="single" w:color="auto" w:sz="4" w:space="0"/>
              <w:bottom w:val="single" w:color="auto" w:sz="4" w:space="0"/>
              <w:right w:val="single" w:color="auto" w:sz="4" w:space="0"/>
            </w:tcBorders>
            <w:vAlign w:val="center"/>
          </w:tcPr>
          <w:p w14:paraId="314818C5">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b/>
                <w:bCs/>
                <w:sz w:val="24"/>
                <w:szCs w:val="24"/>
              </w:rPr>
            </w:pPr>
            <w:r>
              <w:rPr>
                <w:rFonts w:hint="eastAsia" w:ascii="仿宋" w:hAnsi="仿宋" w:eastAsia="仿宋" w:cs="仿宋"/>
                <w:b/>
                <w:bCs/>
                <w:sz w:val="24"/>
                <w:szCs w:val="24"/>
              </w:rPr>
              <w:t>评审因素</w:t>
            </w:r>
          </w:p>
        </w:tc>
        <w:tc>
          <w:tcPr>
            <w:tcW w:w="520" w:type="pct"/>
            <w:tcBorders>
              <w:top w:val="single" w:color="auto" w:sz="4" w:space="0"/>
              <w:left w:val="single" w:color="auto" w:sz="4" w:space="0"/>
              <w:bottom w:val="single" w:color="auto" w:sz="4" w:space="0"/>
              <w:right w:val="single" w:color="auto" w:sz="4" w:space="0"/>
            </w:tcBorders>
            <w:vAlign w:val="center"/>
          </w:tcPr>
          <w:p w14:paraId="18FD3A97">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b/>
                <w:bCs/>
                <w:sz w:val="24"/>
                <w:szCs w:val="24"/>
              </w:rPr>
            </w:pPr>
            <w:r>
              <w:rPr>
                <w:rFonts w:hint="eastAsia" w:ascii="仿宋" w:hAnsi="仿宋" w:eastAsia="仿宋" w:cs="仿宋"/>
                <w:b/>
                <w:bCs/>
                <w:sz w:val="24"/>
                <w:szCs w:val="24"/>
              </w:rPr>
              <w:t>分值</w:t>
            </w:r>
          </w:p>
        </w:tc>
        <w:tc>
          <w:tcPr>
            <w:tcW w:w="1970" w:type="pct"/>
            <w:tcBorders>
              <w:top w:val="single" w:color="auto" w:sz="4" w:space="0"/>
              <w:left w:val="single" w:color="auto" w:sz="4" w:space="0"/>
              <w:bottom w:val="single" w:color="auto" w:sz="4" w:space="0"/>
              <w:right w:val="single" w:color="auto" w:sz="4" w:space="0"/>
            </w:tcBorders>
            <w:vAlign w:val="center"/>
          </w:tcPr>
          <w:p w14:paraId="017857F9">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b/>
                <w:bCs/>
                <w:sz w:val="24"/>
                <w:szCs w:val="24"/>
              </w:rPr>
            </w:pPr>
            <w:r>
              <w:rPr>
                <w:rFonts w:hint="eastAsia" w:ascii="仿宋" w:hAnsi="仿宋" w:eastAsia="仿宋" w:cs="仿宋"/>
                <w:b/>
                <w:bCs/>
                <w:sz w:val="24"/>
                <w:szCs w:val="24"/>
              </w:rPr>
              <w:t>评分标准</w:t>
            </w:r>
          </w:p>
        </w:tc>
        <w:tc>
          <w:tcPr>
            <w:tcW w:w="1270" w:type="pct"/>
            <w:tcBorders>
              <w:top w:val="single" w:color="auto" w:sz="4" w:space="0"/>
              <w:left w:val="single" w:color="auto" w:sz="4" w:space="0"/>
              <w:bottom w:val="single" w:color="auto" w:sz="4" w:space="0"/>
              <w:right w:val="single" w:color="auto" w:sz="4" w:space="0"/>
            </w:tcBorders>
            <w:vAlign w:val="center"/>
          </w:tcPr>
          <w:p w14:paraId="1615492F">
            <w:pPr>
              <w:keepNext w:val="0"/>
              <w:keepLines w:val="0"/>
              <w:pageBreakBefore w:val="0"/>
              <w:widowControl w:val="0"/>
              <w:kinsoku/>
              <w:overflowPunct/>
              <w:autoSpaceDE/>
              <w:autoSpaceDN/>
              <w:bidi w:val="0"/>
              <w:spacing w:line="360" w:lineRule="auto"/>
              <w:jc w:val="center"/>
              <w:textAlignment w:val="auto"/>
              <w:rPr>
                <w:rFonts w:ascii="仿宋" w:hAnsi="仿宋" w:eastAsia="仿宋" w:cs="仿宋"/>
                <w:b/>
                <w:bCs/>
                <w:sz w:val="24"/>
                <w:szCs w:val="24"/>
              </w:rPr>
            </w:pPr>
            <w:r>
              <w:rPr>
                <w:rFonts w:hint="eastAsia" w:ascii="仿宋" w:hAnsi="仿宋" w:eastAsia="仿宋" w:cs="仿宋"/>
                <w:b/>
                <w:bCs/>
                <w:sz w:val="24"/>
                <w:szCs w:val="24"/>
              </w:rPr>
              <w:t>说明</w:t>
            </w:r>
          </w:p>
        </w:tc>
      </w:tr>
      <w:tr w14:paraId="072F6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3" w:type="pct"/>
            <w:tcBorders>
              <w:top w:val="single" w:color="auto" w:sz="4" w:space="0"/>
              <w:left w:val="single" w:color="auto" w:sz="4" w:space="0"/>
              <w:bottom w:val="single" w:color="auto" w:sz="4" w:space="0"/>
              <w:right w:val="single" w:color="auto" w:sz="4" w:space="0"/>
            </w:tcBorders>
            <w:vAlign w:val="center"/>
          </w:tcPr>
          <w:p w14:paraId="7E0B8F78">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sz w:val="24"/>
                <w:szCs w:val="24"/>
              </w:rPr>
            </w:pPr>
            <w:r>
              <w:rPr>
                <w:rFonts w:hint="eastAsia" w:ascii="仿宋" w:hAnsi="仿宋" w:eastAsia="仿宋" w:cs="仿宋"/>
                <w:sz w:val="24"/>
                <w:szCs w:val="24"/>
              </w:rPr>
              <w:t>1</w:t>
            </w:r>
          </w:p>
        </w:tc>
        <w:tc>
          <w:tcPr>
            <w:tcW w:w="744" w:type="pct"/>
            <w:tcBorders>
              <w:top w:val="single" w:color="auto" w:sz="4" w:space="0"/>
              <w:left w:val="single" w:color="auto" w:sz="4" w:space="0"/>
              <w:bottom w:val="single" w:color="auto" w:sz="4" w:space="0"/>
              <w:right w:val="single" w:color="auto" w:sz="4" w:space="0"/>
            </w:tcBorders>
            <w:vAlign w:val="center"/>
          </w:tcPr>
          <w:p w14:paraId="512D0E28">
            <w:pPr>
              <w:keepNext w:val="0"/>
              <w:keepLines w:val="0"/>
              <w:pageBreakBefore w:val="0"/>
              <w:widowControl w:val="0"/>
              <w:kinsoku/>
              <w:wordWrap/>
              <w:overflowPunct/>
              <w:topLinePunct w:val="0"/>
              <w:autoSpaceDE/>
              <w:autoSpaceDN/>
              <w:bidi w:val="0"/>
              <w:adjustRightInd/>
              <w:snapToGrid/>
              <w:spacing w:line="360" w:lineRule="auto"/>
              <w:ind w:firstLine="28" w:firstLineChars="0"/>
              <w:jc w:val="center"/>
              <w:textAlignment w:val="auto"/>
              <w:rPr>
                <w:rFonts w:ascii="仿宋" w:hAnsi="仿宋" w:eastAsia="仿宋" w:cs="仿宋"/>
                <w:sz w:val="24"/>
                <w:szCs w:val="24"/>
              </w:rPr>
            </w:pPr>
            <w:r>
              <w:rPr>
                <w:rFonts w:hint="eastAsia" w:ascii="仿宋" w:hAnsi="仿宋" w:eastAsia="仿宋" w:cs="仿宋"/>
                <w:color w:val="auto"/>
                <w:sz w:val="24"/>
                <w:szCs w:val="24"/>
                <w:highlight w:val="none"/>
                <w:lang w:val="en-US" w:eastAsia="zh-CN"/>
              </w:rPr>
              <w:t>价格</w:t>
            </w:r>
          </w:p>
        </w:tc>
        <w:tc>
          <w:tcPr>
            <w:tcW w:w="520" w:type="pct"/>
            <w:tcBorders>
              <w:top w:val="single" w:color="auto" w:sz="4" w:space="0"/>
              <w:left w:val="single" w:color="auto" w:sz="4" w:space="0"/>
              <w:bottom w:val="single" w:color="auto" w:sz="4" w:space="0"/>
              <w:right w:val="single" w:color="auto" w:sz="4" w:space="0"/>
            </w:tcBorders>
            <w:vAlign w:val="center"/>
          </w:tcPr>
          <w:p w14:paraId="0A5BFBC3">
            <w:pPr>
              <w:keepNext w:val="0"/>
              <w:keepLines w:val="0"/>
              <w:pageBreakBefore w:val="0"/>
              <w:widowControl w:val="0"/>
              <w:kinsoku/>
              <w:wordWrap/>
              <w:overflowPunct/>
              <w:topLinePunct w:val="0"/>
              <w:autoSpaceDE/>
              <w:autoSpaceDN/>
              <w:bidi w:val="0"/>
              <w:adjustRightInd/>
              <w:snapToGrid/>
              <w:spacing w:line="360" w:lineRule="auto"/>
              <w:ind w:firstLine="28" w:firstLineChars="0"/>
              <w:jc w:val="center"/>
              <w:textAlignment w:val="auto"/>
              <w:rPr>
                <w:rFonts w:ascii="仿宋" w:hAnsi="仿宋" w:eastAsia="仿宋" w:cs="仿宋"/>
                <w:sz w:val="24"/>
                <w:szCs w:val="24"/>
              </w:rPr>
            </w:pPr>
            <w:r>
              <w:rPr>
                <w:rFonts w:hint="eastAsia" w:ascii="仿宋" w:hAnsi="仿宋" w:eastAsia="仿宋" w:cs="仿宋"/>
                <w:color w:val="auto"/>
                <w:sz w:val="24"/>
                <w:szCs w:val="24"/>
                <w:highlight w:val="none"/>
                <w:lang w:val="en-US" w:eastAsia="zh-CN"/>
              </w:rPr>
              <w:t>40分</w:t>
            </w:r>
          </w:p>
        </w:tc>
        <w:tc>
          <w:tcPr>
            <w:tcW w:w="1970" w:type="pct"/>
            <w:tcBorders>
              <w:top w:val="single" w:color="auto" w:sz="4" w:space="0"/>
              <w:left w:val="single" w:color="auto" w:sz="4" w:space="0"/>
              <w:bottom w:val="single" w:color="auto" w:sz="4" w:space="0"/>
              <w:right w:val="single" w:color="auto" w:sz="4" w:space="0"/>
            </w:tcBorders>
            <w:vAlign w:val="center"/>
          </w:tcPr>
          <w:p w14:paraId="6664B693">
            <w:pPr>
              <w:keepNext w:val="0"/>
              <w:keepLines w:val="0"/>
              <w:pageBreakBefore w:val="0"/>
              <w:widowControl w:val="0"/>
              <w:kinsoku/>
              <w:wordWrap/>
              <w:overflowPunct/>
              <w:topLinePunct w:val="0"/>
              <w:autoSpaceDE/>
              <w:autoSpaceDN/>
              <w:bidi w:val="0"/>
              <w:adjustRightInd/>
              <w:snapToGrid/>
              <w:spacing w:line="360" w:lineRule="auto"/>
              <w:ind w:firstLine="28" w:firstLineChars="0"/>
              <w:jc w:val="left"/>
              <w:textAlignment w:val="auto"/>
              <w:rPr>
                <w:rFonts w:hint="default" w:ascii="仿宋" w:hAnsi="仿宋" w:eastAsia="仿宋" w:cs="仿宋"/>
                <w:sz w:val="24"/>
                <w:szCs w:val="24"/>
                <w:lang w:val="en-US"/>
              </w:rPr>
            </w:pPr>
            <w:r>
              <w:rPr>
                <w:rFonts w:hint="default" w:ascii="仿宋" w:hAnsi="仿宋" w:eastAsia="仿宋" w:cs="仿宋"/>
                <w:color w:val="auto"/>
                <w:sz w:val="24"/>
                <w:szCs w:val="24"/>
                <w:highlight w:val="none"/>
                <w:lang w:val="en-US" w:eastAsia="zh-CN"/>
              </w:rPr>
              <w:t>以满足谈判文件要求</w:t>
            </w:r>
            <w:r>
              <w:rPr>
                <w:rFonts w:hint="eastAsia" w:ascii="仿宋" w:hAnsi="仿宋" w:eastAsia="仿宋" w:cs="仿宋"/>
                <w:color w:val="auto"/>
                <w:sz w:val="24"/>
                <w:szCs w:val="24"/>
                <w:highlight w:val="none"/>
                <w:lang w:val="en-US" w:eastAsia="zh-CN"/>
              </w:rPr>
              <w:t>的最低价</w:t>
            </w:r>
            <w:r>
              <w:rPr>
                <w:rFonts w:hint="default" w:ascii="仿宋" w:hAnsi="仿宋" w:eastAsia="仿宋" w:cs="仿宋"/>
                <w:color w:val="auto"/>
                <w:sz w:val="24"/>
                <w:szCs w:val="24"/>
                <w:highlight w:val="none"/>
                <w:lang w:val="en-US" w:eastAsia="zh-CN"/>
              </w:rPr>
              <w:t>为评审基准价，其价格分为满分。其他供应商的报价得分按照下列公式计算：</w:t>
            </w:r>
            <w:r>
              <w:rPr>
                <w:rFonts w:hint="eastAsia" w:ascii="仿宋" w:hAnsi="仿宋" w:eastAsia="仿宋" w:cs="仿宋"/>
                <w:color w:val="auto"/>
                <w:sz w:val="24"/>
                <w:szCs w:val="24"/>
                <w:highlight w:val="none"/>
              </w:rPr>
              <w:t>（基准价/报价）*</w:t>
            </w:r>
            <w:r>
              <w:rPr>
                <w:rFonts w:hint="eastAsia" w:ascii="仿宋" w:hAnsi="仿宋" w:eastAsia="仿宋" w:cs="仿宋"/>
                <w:color w:val="auto"/>
                <w:sz w:val="24"/>
                <w:szCs w:val="24"/>
                <w:highlight w:val="none"/>
                <w:lang w:val="en-US" w:eastAsia="zh-CN"/>
              </w:rPr>
              <w:t>40</w:t>
            </w:r>
          </w:p>
        </w:tc>
        <w:tc>
          <w:tcPr>
            <w:tcW w:w="1270" w:type="pct"/>
            <w:tcBorders>
              <w:top w:val="single" w:color="auto" w:sz="4" w:space="0"/>
              <w:left w:val="single" w:color="auto" w:sz="4" w:space="0"/>
              <w:bottom w:val="single" w:color="auto" w:sz="4" w:space="0"/>
              <w:right w:val="single" w:color="auto" w:sz="4" w:space="0"/>
            </w:tcBorders>
            <w:vAlign w:val="center"/>
          </w:tcPr>
          <w:p w14:paraId="74BE1F9F">
            <w:pPr>
              <w:keepNext w:val="0"/>
              <w:keepLines w:val="0"/>
              <w:pageBreakBefore w:val="0"/>
              <w:widowControl w:val="0"/>
              <w:kinsoku/>
              <w:overflowPunct/>
              <w:autoSpaceDE/>
              <w:autoSpaceDN/>
              <w:bidi w:val="0"/>
              <w:spacing w:line="360" w:lineRule="auto"/>
              <w:jc w:val="center"/>
              <w:textAlignment w:val="auto"/>
              <w:rPr>
                <w:rFonts w:ascii="仿宋" w:hAnsi="仿宋" w:eastAsia="仿宋" w:cs="仿宋"/>
                <w:sz w:val="24"/>
                <w:szCs w:val="24"/>
              </w:rPr>
            </w:pPr>
          </w:p>
        </w:tc>
      </w:tr>
      <w:tr w14:paraId="08AF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3" w:type="pct"/>
            <w:tcBorders>
              <w:top w:val="single" w:color="auto" w:sz="4" w:space="0"/>
              <w:left w:val="single" w:color="auto" w:sz="4" w:space="0"/>
              <w:bottom w:val="single" w:color="auto" w:sz="4" w:space="0"/>
              <w:right w:val="single" w:color="auto" w:sz="4" w:space="0"/>
            </w:tcBorders>
            <w:vAlign w:val="center"/>
          </w:tcPr>
          <w:p w14:paraId="74A0CBB5">
            <w:pPr>
              <w:keepNext w:val="0"/>
              <w:keepLines w:val="0"/>
              <w:pageBreakBefore w:val="0"/>
              <w:widowControl w:val="0"/>
              <w:kinsoku/>
              <w:overflowPunct/>
              <w:autoSpaceDE/>
              <w:autoSpaceDN/>
              <w:bidi w:val="0"/>
              <w:spacing w:line="360" w:lineRule="auto"/>
              <w:ind w:firstLine="28"/>
              <w:jc w:val="center"/>
              <w:textAlignment w:val="auto"/>
              <w:rPr>
                <w:rFonts w:ascii="仿宋" w:hAnsi="仿宋" w:eastAsia="仿宋" w:cs="仿宋"/>
                <w:sz w:val="24"/>
                <w:szCs w:val="24"/>
              </w:rPr>
            </w:pPr>
            <w:r>
              <w:rPr>
                <w:rFonts w:hint="eastAsia" w:ascii="仿宋" w:hAnsi="仿宋" w:eastAsia="仿宋" w:cs="仿宋"/>
                <w:sz w:val="24"/>
                <w:szCs w:val="24"/>
              </w:rPr>
              <w:t>2</w:t>
            </w:r>
          </w:p>
        </w:tc>
        <w:tc>
          <w:tcPr>
            <w:tcW w:w="744" w:type="pct"/>
            <w:tcBorders>
              <w:top w:val="single" w:color="auto" w:sz="4" w:space="0"/>
              <w:left w:val="single" w:color="auto" w:sz="4" w:space="0"/>
              <w:bottom w:val="single" w:color="auto" w:sz="4" w:space="0"/>
              <w:right w:val="single" w:color="auto" w:sz="4" w:space="0"/>
            </w:tcBorders>
            <w:vAlign w:val="center"/>
          </w:tcPr>
          <w:p w14:paraId="73912F2C">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 w:hAnsi="仿宋" w:eastAsia="仿宋" w:cs="仿宋"/>
                <w:sz w:val="24"/>
                <w:szCs w:val="24"/>
              </w:rPr>
            </w:pPr>
            <w:r>
              <w:rPr>
                <w:rFonts w:hint="eastAsia" w:ascii="仿宋" w:hAnsi="仿宋" w:eastAsia="仿宋" w:cs="仿宋"/>
                <w:color w:val="auto"/>
                <w:sz w:val="24"/>
                <w:szCs w:val="24"/>
              </w:rPr>
              <w:t>业绩</w:t>
            </w:r>
          </w:p>
        </w:tc>
        <w:tc>
          <w:tcPr>
            <w:tcW w:w="520" w:type="pct"/>
            <w:tcBorders>
              <w:top w:val="single" w:color="auto" w:sz="4" w:space="0"/>
              <w:left w:val="single" w:color="auto" w:sz="4" w:space="0"/>
              <w:bottom w:val="single" w:color="auto" w:sz="4" w:space="0"/>
              <w:right w:val="single" w:color="auto" w:sz="4" w:space="0"/>
            </w:tcBorders>
            <w:vAlign w:val="center"/>
          </w:tcPr>
          <w:p w14:paraId="7F37CB11">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ascii="仿宋" w:hAnsi="仿宋" w:eastAsia="仿宋" w:cs="仿宋"/>
                <w:sz w:val="24"/>
                <w:szCs w:val="24"/>
              </w:rPr>
            </w:pPr>
            <w:r>
              <w:rPr>
                <w:rFonts w:hint="eastAsia" w:ascii="仿宋" w:hAnsi="仿宋" w:eastAsia="仿宋" w:cs="仿宋"/>
                <w:color w:val="auto"/>
                <w:sz w:val="24"/>
                <w:szCs w:val="24"/>
                <w:lang w:val="en-US" w:eastAsia="zh-CN"/>
              </w:rPr>
              <w:t>30分</w:t>
            </w:r>
          </w:p>
        </w:tc>
        <w:tc>
          <w:tcPr>
            <w:tcW w:w="1970" w:type="pct"/>
            <w:tcBorders>
              <w:top w:val="single" w:color="auto" w:sz="4" w:space="0"/>
              <w:left w:val="single" w:color="auto" w:sz="4" w:space="0"/>
              <w:bottom w:val="single" w:color="auto" w:sz="4" w:space="0"/>
              <w:right w:val="single" w:color="auto" w:sz="4" w:space="0"/>
            </w:tcBorders>
            <w:vAlign w:val="center"/>
          </w:tcPr>
          <w:p w14:paraId="1C758E47">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公司业绩：自2023年1月1日（含）以来，至少具有1个类似项目。在满足1个的基础上，</w:t>
            </w:r>
            <w:r>
              <w:rPr>
                <w:rFonts w:hint="eastAsia" w:ascii="仿宋" w:hAnsi="仿宋" w:eastAsia="仿宋" w:cs="仿宋"/>
                <w:color w:val="auto"/>
                <w:sz w:val="24"/>
                <w:szCs w:val="24"/>
              </w:rPr>
              <w:t>每</w:t>
            </w:r>
            <w:r>
              <w:rPr>
                <w:rFonts w:hint="eastAsia" w:ascii="仿宋" w:hAnsi="仿宋" w:eastAsia="仿宋" w:cs="仿宋"/>
                <w:color w:val="auto"/>
                <w:sz w:val="24"/>
                <w:szCs w:val="24"/>
                <w:lang w:val="en-US" w:eastAsia="zh-CN"/>
              </w:rPr>
              <w:t>增加</w:t>
            </w:r>
            <w:r>
              <w:rPr>
                <w:rFonts w:hint="eastAsia" w:ascii="仿宋" w:hAnsi="仿宋" w:eastAsia="仿宋" w:cs="仿宋"/>
                <w:color w:val="auto"/>
                <w:sz w:val="24"/>
                <w:szCs w:val="24"/>
              </w:rPr>
              <w:t>1个</w:t>
            </w:r>
            <w:r>
              <w:rPr>
                <w:rFonts w:hint="eastAsia" w:ascii="仿宋" w:hAnsi="仿宋" w:eastAsia="仿宋" w:cs="仿宋"/>
                <w:color w:val="auto"/>
                <w:sz w:val="24"/>
                <w:szCs w:val="24"/>
                <w:lang w:val="en-US" w:eastAsia="zh-CN"/>
              </w:rPr>
              <w:t>得6</w:t>
            </w:r>
            <w:r>
              <w:rPr>
                <w:rFonts w:hint="eastAsia" w:ascii="仿宋" w:hAnsi="仿宋" w:eastAsia="仿宋" w:cs="仿宋"/>
                <w:color w:val="auto"/>
                <w:sz w:val="24"/>
                <w:szCs w:val="24"/>
              </w:rPr>
              <w:t>分，最多得</w:t>
            </w:r>
            <w:r>
              <w:rPr>
                <w:rFonts w:hint="eastAsia" w:ascii="仿宋" w:hAnsi="仿宋" w:eastAsia="仿宋" w:cs="仿宋"/>
                <w:color w:val="auto"/>
                <w:sz w:val="24"/>
                <w:szCs w:val="24"/>
                <w:lang w:val="en-US" w:eastAsia="zh-CN"/>
              </w:rPr>
              <w:t>30</w:t>
            </w:r>
            <w:r>
              <w:rPr>
                <w:rFonts w:hint="eastAsia" w:ascii="仿宋" w:hAnsi="仿宋" w:eastAsia="仿宋" w:cs="仿宋"/>
                <w:color w:val="auto"/>
                <w:sz w:val="24"/>
                <w:szCs w:val="24"/>
              </w:rPr>
              <w:t>分。</w:t>
            </w:r>
          </w:p>
        </w:tc>
        <w:tc>
          <w:tcPr>
            <w:tcW w:w="1270" w:type="pct"/>
            <w:tcBorders>
              <w:top w:val="single" w:color="auto" w:sz="4" w:space="0"/>
              <w:left w:val="single" w:color="auto" w:sz="4" w:space="0"/>
              <w:bottom w:val="single" w:color="auto" w:sz="4" w:space="0"/>
              <w:right w:val="single" w:color="auto" w:sz="4" w:space="0"/>
            </w:tcBorders>
            <w:vAlign w:val="center"/>
          </w:tcPr>
          <w:p w14:paraId="0A324183">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类似项目是指:已完成或新承接或正在施工的 10kV 及以上电压等级输变电或供变电或电力线路工程施工业绩；</w:t>
            </w:r>
          </w:p>
          <w:p w14:paraId="57387583">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仿宋" w:hAnsi="仿宋" w:eastAsia="仿宋" w:cs="仿宋"/>
                <w:color w:val="auto"/>
                <w:sz w:val="21"/>
                <w:szCs w:val="21"/>
                <w:lang w:val="en-US" w:eastAsia="zh-CN"/>
              </w:rPr>
            </w:pPr>
            <w:r>
              <w:rPr>
                <w:rFonts w:hint="default" w:ascii="仿宋" w:hAnsi="仿宋" w:eastAsia="仿宋" w:cs="仿宋"/>
                <w:color w:val="auto"/>
                <w:sz w:val="21"/>
                <w:szCs w:val="21"/>
                <w:lang w:val="en-US" w:eastAsia="zh-CN"/>
              </w:rPr>
              <w:t>提供中标（成交）通知书复印件或合同复印件并加盖供应商公章</w:t>
            </w:r>
            <w:r>
              <w:rPr>
                <w:rFonts w:hint="eastAsia" w:ascii="仿宋" w:hAnsi="仿宋" w:eastAsia="仿宋" w:cs="仿宋"/>
                <w:color w:val="auto"/>
                <w:sz w:val="21"/>
                <w:szCs w:val="21"/>
                <w:lang w:val="en-US" w:eastAsia="zh-CN"/>
              </w:rPr>
              <w:t>。</w:t>
            </w:r>
          </w:p>
        </w:tc>
      </w:tr>
      <w:tr w14:paraId="46C33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3" w:type="pct"/>
            <w:tcBorders>
              <w:top w:val="single" w:color="auto" w:sz="4" w:space="0"/>
              <w:left w:val="single" w:color="auto" w:sz="4" w:space="0"/>
              <w:bottom w:val="single" w:color="auto" w:sz="4" w:space="0"/>
              <w:right w:val="single" w:color="auto" w:sz="4" w:space="0"/>
            </w:tcBorders>
            <w:vAlign w:val="center"/>
          </w:tcPr>
          <w:p w14:paraId="7DA64FDC">
            <w:pPr>
              <w:keepNext w:val="0"/>
              <w:keepLines w:val="0"/>
              <w:pageBreakBefore w:val="0"/>
              <w:widowControl w:val="0"/>
              <w:kinsoku/>
              <w:overflowPunct/>
              <w:autoSpaceDE/>
              <w:autoSpaceDN/>
              <w:bidi w:val="0"/>
              <w:spacing w:line="360" w:lineRule="auto"/>
              <w:ind w:firstLine="28"/>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744" w:type="pct"/>
            <w:tcBorders>
              <w:top w:val="single" w:color="auto" w:sz="4" w:space="0"/>
              <w:left w:val="single" w:color="auto" w:sz="4" w:space="0"/>
              <w:bottom w:val="single" w:color="auto" w:sz="4" w:space="0"/>
              <w:right w:val="single" w:color="auto" w:sz="4" w:space="0"/>
            </w:tcBorders>
            <w:vAlign w:val="center"/>
          </w:tcPr>
          <w:p w14:paraId="0F6C466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人员配置</w:t>
            </w:r>
          </w:p>
        </w:tc>
        <w:tc>
          <w:tcPr>
            <w:tcW w:w="520" w:type="pct"/>
            <w:tcBorders>
              <w:top w:val="single" w:color="auto" w:sz="4" w:space="0"/>
              <w:left w:val="single" w:color="auto" w:sz="4" w:space="0"/>
              <w:bottom w:val="single" w:color="auto" w:sz="4" w:space="0"/>
              <w:right w:val="single" w:color="auto" w:sz="4" w:space="0"/>
            </w:tcBorders>
            <w:vAlign w:val="center"/>
          </w:tcPr>
          <w:p w14:paraId="4666E24B">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18分</w:t>
            </w:r>
          </w:p>
        </w:tc>
        <w:tc>
          <w:tcPr>
            <w:tcW w:w="1970" w:type="pct"/>
            <w:tcBorders>
              <w:top w:val="single" w:color="auto" w:sz="4" w:space="0"/>
              <w:left w:val="single" w:color="auto" w:sz="4" w:space="0"/>
              <w:bottom w:val="single" w:color="auto" w:sz="4" w:space="0"/>
              <w:right w:val="single" w:color="auto" w:sz="4" w:space="0"/>
            </w:tcBorders>
            <w:vAlign w:val="center"/>
          </w:tcPr>
          <w:p w14:paraId="7C0AF22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1.拟派本项目特种作业电工人员：本项目投入的持证特种作业电工人员，在满足招标文件实质性要求 5 名人员的基础上，每额外增配 1 名得4.5分，本项最高得18分。</w:t>
            </w:r>
          </w:p>
          <w:p w14:paraId="2E0BF8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注：人员须持有在有效期内的《中华人民共和国特种作业操作证》，作业项目包含“高压电工作业”。</w:t>
            </w:r>
          </w:p>
        </w:tc>
        <w:tc>
          <w:tcPr>
            <w:tcW w:w="1270" w:type="pct"/>
            <w:tcBorders>
              <w:top w:val="single" w:color="auto" w:sz="4" w:space="0"/>
              <w:left w:val="single" w:color="auto" w:sz="4" w:space="0"/>
              <w:bottom w:val="single" w:color="auto" w:sz="4" w:space="0"/>
              <w:right w:val="single" w:color="auto" w:sz="4" w:space="0"/>
            </w:tcBorders>
            <w:vAlign w:val="center"/>
          </w:tcPr>
          <w:p w14:paraId="3CAF5C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1"/>
                <w:szCs w:val="21"/>
                <w:lang w:val="en-US" w:eastAsia="zh-CN"/>
              </w:rPr>
              <w:t>提供证书或证明材料复印件（加盖公章）</w:t>
            </w:r>
          </w:p>
        </w:tc>
      </w:tr>
      <w:tr w14:paraId="67F64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93" w:type="pct"/>
            <w:tcBorders>
              <w:top w:val="single" w:color="auto" w:sz="4" w:space="0"/>
              <w:left w:val="single" w:color="auto" w:sz="4" w:space="0"/>
              <w:bottom w:val="single" w:color="auto" w:sz="4" w:space="0"/>
              <w:right w:val="single" w:color="auto" w:sz="4" w:space="0"/>
            </w:tcBorders>
            <w:vAlign w:val="center"/>
          </w:tcPr>
          <w:p w14:paraId="5B884A55">
            <w:pPr>
              <w:keepNext w:val="0"/>
              <w:keepLines w:val="0"/>
              <w:pageBreakBefore w:val="0"/>
              <w:widowControl w:val="0"/>
              <w:kinsoku/>
              <w:overflowPunct/>
              <w:autoSpaceDE/>
              <w:autoSpaceDN/>
              <w:bidi w:val="0"/>
              <w:spacing w:line="360" w:lineRule="auto"/>
              <w:ind w:firstLine="28"/>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744" w:type="pct"/>
            <w:tcBorders>
              <w:top w:val="single" w:color="auto" w:sz="4" w:space="0"/>
              <w:left w:val="single" w:color="auto" w:sz="4" w:space="0"/>
              <w:bottom w:val="single" w:color="auto" w:sz="4" w:space="0"/>
              <w:right w:val="single" w:color="auto" w:sz="4" w:space="0"/>
            </w:tcBorders>
            <w:vAlign w:val="center"/>
          </w:tcPr>
          <w:p w14:paraId="06307A90">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kern w:val="2"/>
                <w:sz w:val="24"/>
                <w:szCs w:val="24"/>
                <w:lang w:val="en-US" w:eastAsia="zh-CN" w:bidi="ar-SA"/>
              </w:rPr>
              <w:t>施工方案</w:t>
            </w:r>
          </w:p>
        </w:tc>
        <w:tc>
          <w:tcPr>
            <w:tcW w:w="520" w:type="pct"/>
            <w:tcBorders>
              <w:top w:val="single" w:color="auto" w:sz="4" w:space="0"/>
              <w:left w:val="single" w:color="auto" w:sz="4" w:space="0"/>
              <w:bottom w:val="single" w:color="auto" w:sz="4" w:space="0"/>
              <w:right w:val="single" w:color="auto" w:sz="4" w:space="0"/>
            </w:tcBorders>
            <w:vAlign w:val="center"/>
          </w:tcPr>
          <w:p w14:paraId="49E1C7F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12分</w:t>
            </w:r>
          </w:p>
        </w:tc>
        <w:tc>
          <w:tcPr>
            <w:tcW w:w="1970" w:type="pct"/>
            <w:tcBorders>
              <w:top w:val="single" w:color="auto" w:sz="4" w:space="0"/>
              <w:left w:val="single" w:color="auto" w:sz="4" w:space="0"/>
              <w:bottom w:val="single" w:color="auto" w:sz="4" w:space="0"/>
              <w:right w:val="single" w:color="auto" w:sz="4" w:space="0"/>
            </w:tcBorders>
            <w:vAlign w:val="center"/>
          </w:tcPr>
          <w:p w14:paraId="1DC83ED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针对本项目供应商提供的施工方案：①安全文明方案②质量保证措施③施工调度方案④应急预案；根据提供的以上施工方案综合评审，本项满分12分，每有一项缺项扣3分，各项中每有一处内容存在错误或不足扣1.5分，本项分值扣完为止，未提供不得分。</w:t>
            </w:r>
          </w:p>
        </w:tc>
        <w:tc>
          <w:tcPr>
            <w:tcW w:w="1270" w:type="pct"/>
            <w:tcBorders>
              <w:top w:val="single" w:color="auto" w:sz="4" w:space="0"/>
              <w:left w:val="single" w:color="auto" w:sz="4" w:space="0"/>
              <w:bottom w:val="single" w:color="auto" w:sz="4" w:space="0"/>
              <w:right w:val="single" w:color="auto" w:sz="4" w:space="0"/>
            </w:tcBorders>
            <w:vAlign w:val="center"/>
          </w:tcPr>
          <w:p w14:paraId="2F9681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1"/>
                <w:szCs w:val="21"/>
                <w:lang w:val="en-US" w:eastAsia="zh-CN"/>
              </w:rPr>
              <w:t>内容存在错误或不足是指：项目名称、涉及的规范、标准、与本项目要求不一致、方案低于本项目要求、方案内容简略、与本项目无关、凭空编造、逻辑有漏洞及完全照抄法律法规的情形。</w:t>
            </w: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1690"/>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24123"/>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27526"/>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2031"/>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1352"/>
      <w:bookmarkStart w:id="49" w:name="_Toc6482"/>
      <w:bookmarkStart w:id="50" w:name="_Toc3023"/>
      <w:bookmarkStart w:id="51" w:name="_Toc16029"/>
      <w:bookmarkStart w:id="52" w:name="_Toc21519"/>
      <w:bookmarkStart w:id="53"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4305"/>
      <w:bookmarkStart w:id="55" w:name="_Toc31838"/>
      <w:bookmarkStart w:id="56" w:name="_Toc30971"/>
      <w:bookmarkStart w:id="57" w:name="_Toc22676"/>
      <w:bookmarkStart w:id="58" w:name="_Toc17857"/>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7661"/>
      <w:bookmarkStart w:id="68" w:name="_Toc25638"/>
      <w:bookmarkStart w:id="69" w:name="_Toc15526"/>
      <w:bookmarkStart w:id="70" w:name="_Toc12015"/>
      <w:bookmarkStart w:id="71" w:name="_Toc11351"/>
      <w:bookmarkStart w:id="72" w:name="_Toc20589"/>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041"/>
      <w:bookmarkStart w:id="74" w:name="_Toc12967"/>
      <w:bookmarkStart w:id="75" w:name="_Toc23967"/>
      <w:bookmarkStart w:id="76" w:name="_Toc1074"/>
      <w:bookmarkStart w:id="77" w:name="_Toc16435"/>
      <w:bookmarkStart w:id="78" w:name="_Toc26969"/>
      <w:r>
        <w:rPr>
          <w:rStyle w:val="40"/>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1369"/>
      <w:bookmarkStart w:id="80" w:name="_Toc21082"/>
      <w:bookmarkStart w:id="81" w:name="_Toc28634"/>
      <w:bookmarkStart w:id="82" w:name="_Toc24806"/>
      <w:bookmarkStart w:id="83" w:name="_Toc26839"/>
      <w:bookmarkStart w:id="84" w:name="_Toc31686"/>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667F5B17">
      <w:pPr>
        <w:rPr>
          <w:rFonts w:hint="default" w:eastAsia="宋体"/>
          <w:lang w:val="en-US" w:eastAsia="zh-CN"/>
        </w:rPr>
      </w:pPr>
      <w:r>
        <w:rPr>
          <w:rFonts w:hint="eastAsia" w:ascii="宋体" w:hAnsi="宋体" w:eastAsia="宋体" w:cs="Times New Roman"/>
          <w:b/>
          <w:bCs/>
          <w:szCs w:val="21"/>
          <w:lang w:val="en-US" w:eastAsia="zh-CN"/>
        </w:rPr>
        <w:t>1.报价说明:</w:t>
      </w:r>
      <w:r>
        <w:rPr>
          <w:rFonts w:ascii="宋体" w:hAnsi="宋体" w:eastAsia="宋体" w:cs="Times New Roman"/>
          <w:b/>
          <w:bCs/>
          <w:szCs w:val="21"/>
          <w:lang w:val="zh-TW" w:eastAsia="zh-TW"/>
        </w:rPr>
        <w:t>所有报价均用人民币表示。</w:t>
      </w:r>
      <w:r>
        <w:rPr>
          <w:rFonts w:hint="eastAsia" w:ascii="宋体" w:hAnsi="宋体" w:eastAsia="宋体" w:cs="Times New Roman"/>
          <w:b/>
          <w:bCs/>
          <w:szCs w:val="21"/>
          <w:lang w:val="en-US" w:eastAsia="zh-CN"/>
        </w:rPr>
        <w:t>本项目报价包含安装、调试费、包装运输费、检测验收费、技术措施费、材料费、人工费，供应商负责办理相关手续并负责所涉及的费用(包含但不限于与供电部门高压搭接、维护费、市政建设及电缆通道使用)等通电所需一切费用。</w:t>
      </w:r>
    </w:p>
    <w:p w14:paraId="7C0E8357">
      <w:pPr>
        <w:rPr>
          <w:lang w:val="zh-TW"/>
        </w:rPr>
      </w:pPr>
    </w:p>
    <w:p w14:paraId="53D1A6BA">
      <w:pPr>
        <w:pStyle w:val="8"/>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3"/>
        <w:gridCol w:w="3424"/>
        <w:gridCol w:w="2035"/>
        <w:gridCol w:w="3621"/>
      </w:tblGrid>
      <w:tr w14:paraId="2107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Header/>
          <w:jc w:val="center"/>
        </w:trPr>
        <w:tc>
          <w:tcPr>
            <w:tcW w:w="292" w:type="pct"/>
            <w:vAlign w:val="center"/>
          </w:tcPr>
          <w:p w14:paraId="6C6B1652">
            <w:pPr>
              <w:snapToGrid w:val="0"/>
              <w:spacing w:line="240" w:lineRule="auto"/>
              <w:ind w:left="0" w:leftChars="0" w:right="0" w:rightChars="0" w:firstLine="0" w:firstLineChars="0"/>
              <w:jc w:val="center"/>
              <w:rPr>
                <w:rFonts w:hint="eastAsia" w:ascii="仿宋" w:hAnsi="仿宋" w:eastAsia="仿宋" w:cs="仿宋"/>
                <w:b/>
                <w:kern w:val="0"/>
                <w:sz w:val="21"/>
                <w:szCs w:val="21"/>
                <w:lang w:val="zh-TW" w:eastAsia="zh-TW"/>
              </w:rPr>
            </w:pPr>
            <w:r>
              <w:rPr>
                <w:rFonts w:hint="eastAsia" w:ascii="仿宋" w:hAnsi="仿宋" w:eastAsia="仿宋" w:cs="仿宋"/>
                <w:b/>
                <w:kern w:val="0"/>
                <w:sz w:val="21"/>
                <w:szCs w:val="21"/>
                <w:lang w:val="zh-TW" w:eastAsia="zh-TW"/>
              </w:rPr>
              <w:t>序号</w:t>
            </w:r>
          </w:p>
        </w:tc>
        <w:tc>
          <w:tcPr>
            <w:tcW w:w="1775" w:type="pct"/>
            <w:vAlign w:val="center"/>
          </w:tcPr>
          <w:p w14:paraId="08346EF8">
            <w:pPr>
              <w:snapToGrid w:val="0"/>
              <w:spacing w:line="240" w:lineRule="auto"/>
              <w:ind w:left="0" w:leftChars="0" w:right="0" w:rightChars="0" w:firstLine="0" w:firstLineChars="0"/>
              <w:jc w:val="center"/>
              <w:rPr>
                <w:rFonts w:hint="eastAsia" w:ascii="仿宋" w:hAnsi="仿宋" w:eastAsia="仿宋" w:cs="仿宋"/>
                <w:b/>
                <w:kern w:val="0"/>
                <w:sz w:val="21"/>
                <w:szCs w:val="21"/>
                <w:lang w:val="zh-TW" w:eastAsia="zh-CN"/>
              </w:rPr>
            </w:pPr>
            <w:r>
              <w:rPr>
                <w:rFonts w:hint="eastAsia" w:ascii="仿宋" w:hAnsi="仿宋" w:eastAsia="仿宋" w:cs="仿宋"/>
                <w:b/>
                <w:kern w:val="0"/>
                <w:sz w:val="21"/>
                <w:szCs w:val="21"/>
                <w:lang w:val="en-US" w:eastAsia="zh-CN"/>
              </w:rPr>
              <w:t>采购项目</w:t>
            </w:r>
          </w:p>
        </w:tc>
        <w:tc>
          <w:tcPr>
            <w:tcW w:w="1055" w:type="pct"/>
            <w:vAlign w:val="center"/>
          </w:tcPr>
          <w:p w14:paraId="5DB8D28D">
            <w:pPr>
              <w:keepNext w:val="0"/>
              <w:keepLines w:val="0"/>
              <w:widowControl/>
              <w:suppressLineNumbers w:val="0"/>
              <w:snapToGrid w:val="0"/>
              <w:ind w:left="0" w:leftChars="0" w:right="0" w:rightChars="0" w:firstLine="0" w:firstLineChars="0"/>
              <w:jc w:val="center"/>
              <w:rPr>
                <w:rStyle w:val="22"/>
                <w:rFonts w:hint="eastAsia" w:ascii="仿宋" w:hAnsi="仿宋" w:eastAsia="仿宋" w:cs="仿宋"/>
                <w:b/>
                <w:kern w:val="0"/>
                <w:sz w:val="21"/>
                <w:szCs w:val="21"/>
                <w:lang w:val="en-US" w:eastAsia="zh-CN" w:bidi="ar"/>
              </w:rPr>
            </w:pPr>
            <w:r>
              <w:rPr>
                <w:rStyle w:val="22"/>
                <w:rFonts w:hint="eastAsia" w:ascii="仿宋" w:hAnsi="仿宋" w:eastAsia="仿宋" w:cs="仿宋"/>
                <w:kern w:val="0"/>
                <w:sz w:val="21"/>
                <w:szCs w:val="21"/>
                <w:lang w:val="en-US" w:eastAsia="zh-CN" w:bidi="ar"/>
              </w:rPr>
              <w:t>响应总报价（含税</w:t>
            </w:r>
          </w:p>
          <w:p w14:paraId="77A2D9D1">
            <w:pPr>
              <w:keepNext w:val="0"/>
              <w:keepLines w:val="0"/>
              <w:widowControl/>
              <w:suppressLineNumbers w:val="0"/>
              <w:snapToGrid w:val="0"/>
              <w:ind w:left="0" w:leftChars="0" w:right="0" w:rightChars="0" w:firstLine="0" w:firstLineChars="0"/>
              <w:jc w:val="center"/>
              <w:rPr>
                <w:rFonts w:hint="eastAsia" w:ascii="仿宋" w:hAnsi="仿宋" w:eastAsia="仿宋" w:cs="仿宋"/>
                <w:b/>
                <w:kern w:val="0"/>
                <w:sz w:val="21"/>
                <w:szCs w:val="21"/>
                <w:lang w:val="zh-TW" w:eastAsia="zh-CN"/>
              </w:rPr>
            </w:pPr>
            <w:r>
              <w:rPr>
                <w:rFonts w:hint="eastAsia" w:ascii="仿宋" w:hAnsi="仿宋" w:eastAsia="仿宋" w:cs="仿宋"/>
                <w:b/>
                <w:kern w:val="0"/>
                <w:sz w:val="21"/>
                <w:szCs w:val="21"/>
                <w:lang w:val="en-US" w:eastAsia="zh-CN"/>
              </w:rPr>
              <w:t>（元）</w:t>
            </w:r>
          </w:p>
        </w:tc>
        <w:tc>
          <w:tcPr>
            <w:tcW w:w="1877" w:type="pct"/>
            <w:vAlign w:val="center"/>
          </w:tcPr>
          <w:p w14:paraId="4A3B5023">
            <w:pPr>
              <w:snapToGrid w:val="0"/>
              <w:spacing w:line="240" w:lineRule="auto"/>
              <w:ind w:left="0" w:leftChars="0" w:right="0" w:rightChars="0" w:firstLine="0" w:firstLineChars="0"/>
              <w:jc w:val="center"/>
              <w:rPr>
                <w:rFonts w:hint="eastAsia" w:ascii="仿宋" w:hAnsi="仿宋" w:eastAsia="仿宋" w:cs="仿宋"/>
                <w:b/>
                <w:kern w:val="0"/>
                <w:sz w:val="21"/>
                <w:szCs w:val="21"/>
                <w:lang w:val="en-US" w:eastAsia="zh-CN"/>
              </w:rPr>
            </w:pPr>
            <w:r>
              <w:rPr>
                <w:rFonts w:hint="eastAsia" w:ascii="仿宋" w:hAnsi="仿宋" w:eastAsia="仿宋" w:cs="仿宋"/>
                <w:b/>
                <w:kern w:val="0"/>
                <w:sz w:val="21"/>
                <w:szCs w:val="21"/>
                <w:lang w:val="en-US" w:eastAsia="zh-CN"/>
              </w:rPr>
              <w:t>备注</w:t>
            </w:r>
          </w:p>
        </w:tc>
      </w:tr>
      <w:tr w14:paraId="65C8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2" w:type="pct"/>
            <w:vAlign w:val="center"/>
          </w:tcPr>
          <w:p w14:paraId="73797E6F">
            <w:pPr>
              <w:pStyle w:val="8"/>
              <w:snapToGrid w:val="0"/>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1</w:t>
            </w:r>
          </w:p>
        </w:tc>
        <w:tc>
          <w:tcPr>
            <w:tcW w:w="1775" w:type="pct"/>
            <w:vAlign w:val="center"/>
          </w:tcPr>
          <w:p w14:paraId="247A9AF1">
            <w:pPr>
              <w:pStyle w:val="8"/>
              <w:snapToGrid w:val="0"/>
              <w:ind w:left="0" w:leftChars="0" w:right="0" w:rightChars="0" w:firstLine="0" w:firstLineChars="0"/>
              <w:jc w:val="center"/>
              <w:rPr>
                <w:rFonts w:hint="eastAsia" w:ascii="仿宋" w:hAnsi="仿宋" w:eastAsia="仿宋" w:cs="仿宋"/>
                <w:sz w:val="24"/>
                <w:szCs w:val="24"/>
              </w:rPr>
            </w:pPr>
            <w:r>
              <w:rPr>
                <w:rFonts w:hint="eastAsia" w:ascii="仿宋" w:hAnsi="Times New Roman" w:eastAsia="仿宋" w:cs="Times New Roman"/>
                <w:sz w:val="24"/>
                <w:szCs w:val="21"/>
              </w:rPr>
              <w:t>四川省人民医院高新院区建设项目施工用电工程</w:t>
            </w:r>
          </w:p>
        </w:tc>
        <w:tc>
          <w:tcPr>
            <w:tcW w:w="1055" w:type="pct"/>
            <w:vAlign w:val="center"/>
          </w:tcPr>
          <w:p w14:paraId="4916A6D0">
            <w:pPr>
              <w:pStyle w:val="8"/>
              <w:snapToGrid w:val="0"/>
              <w:ind w:left="0" w:leftChars="0" w:right="0" w:rightChars="0" w:firstLine="0" w:firstLineChars="0"/>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小写：                 </w:t>
            </w:r>
          </w:p>
          <w:p w14:paraId="106E47FE">
            <w:pPr>
              <w:snapToGrid w:val="0"/>
              <w:ind w:left="0" w:leftChars="0" w:right="0" w:rightChars="0" w:firstLine="0" w:firstLineChars="0"/>
              <w:jc w:val="left"/>
              <w:rPr>
                <w:rFonts w:hint="eastAsia" w:ascii="仿宋" w:hAnsi="仿宋" w:eastAsia="仿宋" w:cs="仿宋"/>
                <w:sz w:val="24"/>
                <w:szCs w:val="24"/>
                <w:u w:val="single"/>
                <w:lang w:val="en-US" w:eastAsia="zh-CN"/>
              </w:rPr>
            </w:pPr>
            <w:r>
              <w:rPr>
                <w:rFonts w:hint="eastAsia" w:ascii="仿宋" w:hAnsi="仿宋" w:eastAsia="仿宋" w:cs="仿宋"/>
                <w:sz w:val="24"/>
                <w:szCs w:val="24"/>
                <w:lang w:val="en-US" w:eastAsia="zh-CN"/>
              </w:rPr>
              <w:t>大写：</w:t>
            </w:r>
            <w:r>
              <w:rPr>
                <w:rFonts w:hint="eastAsia" w:ascii="仿宋" w:hAnsi="仿宋" w:eastAsia="仿宋" w:cs="仿宋"/>
                <w:sz w:val="24"/>
                <w:szCs w:val="24"/>
                <w:u w:val="single"/>
                <w:lang w:val="en-US" w:eastAsia="zh-CN"/>
              </w:rPr>
              <w:t xml:space="preserve">                 </w:t>
            </w:r>
          </w:p>
        </w:tc>
        <w:tc>
          <w:tcPr>
            <w:tcW w:w="1877" w:type="pct"/>
            <w:vAlign w:val="center"/>
          </w:tcPr>
          <w:p w14:paraId="3B55F0C7">
            <w:pPr>
              <w:pStyle w:val="8"/>
              <w:snapToGrid w:val="0"/>
              <w:ind w:left="0" w:leftChars="0" w:right="0" w:righ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供应商在响应时一并提供报单价的工程量清单</w:t>
            </w:r>
          </w:p>
        </w:tc>
      </w:tr>
      <w:tr w14:paraId="23CC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2" w:type="pct"/>
            <w:vAlign w:val="center"/>
          </w:tcPr>
          <w:p w14:paraId="5D47A5A7">
            <w:pPr>
              <w:pStyle w:val="8"/>
              <w:snapToGrid w:val="0"/>
              <w:ind w:left="0" w:leftChars="0" w:right="0" w:rightChars="0" w:firstLine="0" w:firstLineChars="0"/>
              <w:jc w:val="center"/>
              <w:rPr>
                <w:rFonts w:hint="eastAsia" w:ascii="仿宋" w:hAnsi="仿宋" w:eastAsia="仿宋" w:cs="仿宋"/>
                <w:sz w:val="24"/>
                <w:szCs w:val="24"/>
              </w:rPr>
            </w:pPr>
            <w:r>
              <w:rPr>
                <w:rFonts w:hint="eastAsia" w:ascii="仿宋" w:hAnsi="仿宋" w:eastAsia="仿宋" w:cs="仿宋"/>
                <w:sz w:val="24"/>
                <w:szCs w:val="24"/>
              </w:rPr>
              <w:t>....</w:t>
            </w:r>
          </w:p>
        </w:tc>
        <w:tc>
          <w:tcPr>
            <w:tcW w:w="1775" w:type="pct"/>
            <w:vAlign w:val="center"/>
          </w:tcPr>
          <w:p w14:paraId="72409C23">
            <w:pPr>
              <w:pStyle w:val="8"/>
              <w:snapToGrid w:val="0"/>
              <w:ind w:left="0" w:leftChars="0" w:right="0" w:rightChars="0" w:firstLine="0" w:firstLineChars="0"/>
              <w:jc w:val="center"/>
              <w:rPr>
                <w:rFonts w:hint="eastAsia" w:ascii="仿宋" w:hAnsi="仿宋" w:eastAsia="仿宋" w:cs="仿宋"/>
                <w:sz w:val="24"/>
                <w:szCs w:val="24"/>
              </w:rPr>
            </w:pPr>
          </w:p>
        </w:tc>
        <w:tc>
          <w:tcPr>
            <w:tcW w:w="1055" w:type="pct"/>
            <w:vAlign w:val="center"/>
          </w:tcPr>
          <w:p w14:paraId="4B45A4AE">
            <w:pPr>
              <w:pStyle w:val="8"/>
              <w:snapToGrid w:val="0"/>
              <w:ind w:left="0" w:leftChars="0" w:right="0" w:rightChars="0" w:firstLine="0" w:firstLineChars="0"/>
              <w:jc w:val="center"/>
              <w:rPr>
                <w:rFonts w:hint="eastAsia" w:ascii="仿宋" w:hAnsi="仿宋" w:eastAsia="仿宋" w:cs="仿宋"/>
                <w:sz w:val="24"/>
                <w:szCs w:val="24"/>
              </w:rPr>
            </w:pPr>
          </w:p>
        </w:tc>
        <w:tc>
          <w:tcPr>
            <w:tcW w:w="1877" w:type="pct"/>
            <w:vAlign w:val="center"/>
          </w:tcPr>
          <w:p w14:paraId="675F40E7">
            <w:pPr>
              <w:pStyle w:val="8"/>
              <w:snapToGrid w:val="0"/>
              <w:ind w:left="0" w:leftChars="0" w:right="0" w:rightChars="0" w:firstLine="0" w:firstLineChars="0"/>
              <w:jc w:val="center"/>
              <w:rPr>
                <w:rFonts w:hint="eastAsia" w:ascii="仿宋" w:hAnsi="仿宋" w:eastAsia="仿宋" w:cs="仿宋"/>
                <w:sz w:val="24"/>
                <w:szCs w:val="24"/>
              </w:rPr>
            </w:pPr>
          </w:p>
        </w:tc>
      </w:tr>
      <w:tr w14:paraId="7A591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2" w:type="pct"/>
            <w:vAlign w:val="center"/>
          </w:tcPr>
          <w:p w14:paraId="34B860B3">
            <w:pPr>
              <w:pStyle w:val="8"/>
              <w:snapToGrid w:val="0"/>
              <w:ind w:left="0" w:leftChars="0" w:right="0" w:rightChars="0" w:firstLine="0" w:firstLineChars="0"/>
              <w:jc w:val="center"/>
              <w:rPr>
                <w:rFonts w:hint="eastAsia" w:ascii="仿宋" w:hAnsi="仿宋" w:eastAsia="仿宋" w:cs="仿宋"/>
                <w:sz w:val="24"/>
                <w:szCs w:val="24"/>
              </w:rPr>
            </w:pPr>
          </w:p>
        </w:tc>
        <w:tc>
          <w:tcPr>
            <w:tcW w:w="1775" w:type="pct"/>
            <w:vAlign w:val="center"/>
          </w:tcPr>
          <w:p w14:paraId="165CF58D">
            <w:pPr>
              <w:pStyle w:val="8"/>
              <w:snapToGrid w:val="0"/>
              <w:ind w:left="0" w:leftChars="0" w:right="0" w:rightChars="0" w:firstLine="0" w:firstLineChars="0"/>
              <w:jc w:val="center"/>
              <w:rPr>
                <w:rFonts w:hint="eastAsia" w:ascii="仿宋" w:hAnsi="仿宋" w:eastAsia="仿宋" w:cs="仿宋"/>
                <w:sz w:val="24"/>
                <w:szCs w:val="24"/>
              </w:rPr>
            </w:pPr>
          </w:p>
        </w:tc>
        <w:tc>
          <w:tcPr>
            <w:tcW w:w="1055" w:type="pct"/>
            <w:vAlign w:val="center"/>
          </w:tcPr>
          <w:p w14:paraId="11FF0A2C">
            <w:pPr>
              <w:pStyle w:val="8"/>
              <w:snapToGrid w:val="0"/>
              <w:ind w:left="0" w:leftChars="0" w:right="0" w:rightChars="0" w:firstLine="0" w:firstLineChars="0"/>
              <w:jc w:val="center"/>
              <w:rPr>
                <w:rFonts w:hint="eastAsia" w:ascii="仿宋" w:hAnsi="仿宋" w:eastAsia="仿宋" w:cs="仿宋"/>
                <w:sz w:val="24"/>
                <w:szCs w:val="24"/>
              </w:rPr>
            </w:pPr>
          </w:p>
        </w:tc>
        <w:tc>
          <w:tcPr>
            <w:tcW w:w="1877" w:type="pct"/>
            <w:vAlign w:val="center"/>
          </w:tcPr>
          <w:p w14:paraId="55DCC50E">
            <w:pPr>
              <w:pStyle w:val="8"/>
              <w:snapToGrid w:val="0"/>
              <w:ind w:left="0" w:leftChars="0" w:right="0" w:rightChars="0" w:firstLine="0" w:firstLineChars="0"/>
              <w:jc w:val="center"/>
              <w:rPr>
                <w:rFonts w:hint="eastAsia" w:ascii="仿宋" w:hAnsi="仿宋" w:eastAsia="仿宋" w:cs="仿宋"/>
                <w:sz w:val="24"/>
                <w:szCs w:val="24"/>
              </w:rPr>
            </w:pPr>
          </w:p>
        </w:tc>
      </w:tr>
    </w:tbl>
    <w:p w14:paraId="3B950897">
      <w:pPr>
        <w:pStyle w:val="8"/>
        <w:rPr>
          <w:rFonts w:ascii="Times New Roman" w:hAnsi="Times New Roman" w:eastAsia="仿宋" w:cs="Times New Roman"/>
          <w:szCs w:val="21"/>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8D02568">
      <w:pPr>
        <w:pStyle w:val="13"/>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1F769B88">
      <w:pPr>
        <w:jc w:val="center"/>
        <w:rPr>
          <w:rFonts w:hint="eastAsia" w:ascii="仿宋" w:hAnsi="仿宋" w:eastAsia="仿宋" w:cs="仿宋"/>
          <w:sz w:val="84"/>
          <w:szCs w:val="84"/>
        </w:rPr>
      </w:pPr>
      <w:r>
        <w:rPr>
          <w:rFonts w:hint="eastAsia" w:ascii="仿宋" w:hAnsi="仿宋" w:eastAsia="仿宋" w:cs="仿宋"/>
          <w:sz w:val="84"/>
          <w:szCs w:val="84"/>
        </w:rPr>
        <w:t>施工合同</w:t>
      </w:r>
    </w:p>
    <w:p w14:paraId="608AB2EE">
      <w:pPr>
        <w:jc w:val="center"/>
        <w:rPr>
          <w:rFonts w:hint="eastAsia" w:ascii="仿宋" w:hAnsi="仿宋" w:eastAsia="仿宋" w:cs="仿宋"/>
          <w:b/>
          <w:sz w:val="32"/>
          <w:szCs w:val="32"/>
        </w:rPr>
      </w:pPr>
    </w:p>
    <w:p w14:paraId="484EC16D">
      <w:pPr>
        <w:jc w:val="center"/>
        <w:rPr>
          <w:rFonts w:hint="eastAsia" w:ascii="仿宋" w:hAnsi="仿宋" w:eastAsia="仿宋" w:cs="仿宋"/>
          <w:b/>
          <w:sz w:val="32"/>
          <w:szCs w:val="32"/>
        </w:rPr>
      </w:pPr>
    </w:p>
    <w:p w14:paraId="1A7C435C">
      <w:pPr>
        <w:jc w:val="center"/>
        <w:rPr>
          <w:rFonts w:hint="eastAsia" w:ascii="仿宋" w:hAnsi="仿宋" w:eastAsia="仿宋" w:cs="仿宋"/>
          <w:b/>
          <w:sz w:val="32"/>
          <w:szCs w:val="32"/>
        </w:rPr>
      </w:pPr>
    </w:p>
    <w:p w14:paraId="232DEE2F">
      <w:pPr>
        <w:jc w:val="center"/>
        <w:rPr>
          <w:rFonts w:hint="eastAsia" w:ascii="仿宋" w:hAnsi="仿宋" w:eastAsia="仿宋" w:cs="仿宋"/>
          <w:b/>
          <w:sz w:val="32"/>
          <w:szCs w:val="32"/>
        </w:rPr>
      </w:pPr>
    </w:p>
    <w:p w14:paraId="78AA58FF">
      <w:pPr>
        <w:jc w:val="center"/>
        <w:rPr>
          <w:rFonts w:hint="eastAsia" w:ascii="仿宋" w:hAnsi="仿宋" w:eastAsia="仿宋" w:cs="仿宋"/>
          <w:b/>
          <w:sz w:val="32"/>
          <w:szCs w:val="32"/>
        </w:rPr>
      </w:pPr>
    </w:p>
    <w:p w14:paraId="5DA2E655">
      <w:pPr>
        <w:jc w:val="center"/>
        <w:rPr>
          <w:rFonts w:hint="eastAsia" w:ascii="仿宋" w:hAnsi="仿宋" w:eastAsia="仿宋" w:cs="仿宋"/>
          <w:b/>
          <w:sz w:val="32"/>
          <w:szCs w:val="32"/>
          <w:u w:val="single"/>
        </w:rPr>
      </w:pPr>
      <w:r>
        <w:rPr>
          <w:rFonts w:hint="eastAsia" w:ascii="仿宋" w:hAnsi="仿宋" w:eastAsia="仿宋" w:cs="仿宋"/>
          <w:b/>
          <w:sz w:val="32"/>
          <w:szCs w:val="32"/>
        </w:rPr>
        <w:t>发包人：</w:t>
      </w:r>
      <w:r>
        <w:rPr>
          <w:rFonts w:hint="eastAsia" w:ascii="仿宋" w:hAnsi="仿宋" w:eastAsia="仿宋" w:cs="仿宋"/>
          <w:b/>
          <w:sz w:val="32"/>
          <w:szCs w:val="32"/>
          <w:u w:val="single"/>
        </w:rPr>
        <w:t>四川省人民医院</w:t>
      </w:r>
    </w:p>
    <w:p w14:paraId="7335F66E">
      <w:pPr>
        <w:spacing w:line="360" w:lineRule="auto"/>
        <w:ind w:firstLine="3534" w:firstLineChars="1100"/>
        <w:jc w:val="left"/>
        <w:rPr>
          <w:rFonts w:hint="eastAsia" w:ascii="仿宋" w:hAnsi="仿宋" w:eastAsia="仿宋" w:cs="仿宋"/>
          <w:b/>
          <w:sz w:val="32"/>
          <w:szCs w:val="32"/>
        </w:rPr>
      </w:pPr>
    </w:p>
    <w:p w14:paraId="720A3524">
      <w:pPr>
        <w:spacing w:line="360" w:lineRule="auto"/>
        <w:ind w:firstLine="3213" w:firstLineChars="1000"/>
        <w:jc w:val="left"/>
        <w:rPr>
          <w:rFonts w:hint="eastAsia" w:ascii="仿宋" w:hAnsi="仿宋" w:eastAsia="仿宋" w:cs="仿宋"/>
          <w:b/>
          <w:sz w:val="32"/>
          <w:szCs w:val="32"/>
          <w:u w:val="single"/>
        </w:rPr>
      </w:pPr>
      <w:r>
        <w:rPr>
          <w:rFonts w:hint="eastAsia" w:ascii="仿宋" w:hAnsi="仿宋" w:eastAsia="仿宋" w:cs="仿宋"/>
          <w:b/>
          <w:sz w:val="32"/>
          <w:szCs w:val="32"/>
        </w:rPr>
        <w:t>承包人：</w:t>
      </w:r>
    </w:p>
    <w:p w14:paraId="57A79DEB">
      <w:pPr>
        <w:rPr>
          <w:rFonts w:hint="eastAsia" w:ascii="仿宋" w:hAnsi="仿宋" w:eastAsia="仿宋" w:cs="仿宋"/>
        </w:rPr>
      </w:pPr>
    </w:p>
    <w:p w14:paraId="116EA847">
      <w:pPr>
        <w:ind w:left="0" w:leftChars="0" w:firstLine="0" w:firstLineChars="0"/>
        <w:jc w:val="center"/>
        <w:rPr>
          <w:rFonts w:hint="eastAsia" w:ascii="仿宋" w:hAnsi="仿宋" w:eastAsia="仿宋" w:cs="仿宋"/>
          <w:sz w:val="30"/>
          <w:szCs w:val="30"/>
        </w:rPr>
      </w:pPr>
    </w:p>
    <w:p w14:paraId="1D023D7F">
      <w:pPr>
        <w:ind w:left="0" w:leftChars="0" w:firstLine="0" w:firstLineChars="0"/>
        <w:jc w:val="center"/>
        <w:rPr>
          <w:rFonts w:hint="eastAsia" w:ascii="仿宋" w:hAnsi="仿宋" w:eastAsia="仿宋" w:cs="仿宋"/>
          <w:sz w:val="30"/>
          <w:szCs w:val="30"/>
        </w:rPr>
      </w:pPr>
      <w:r>
        <w:rPr>
          <w:rFonts w:hint="eastAsia" w:ascii="仿宋" w:hAnsi="仿宋" w:eastAsia="仿宋" w:cs="仿宋"/>
          <w:sz w:val="30"/>
          <w:szCs w:val="30"/>
        </w:rPr>
        <w:t>202</w:t>
      </w:r>
      <w:r>
        <w:rPr>
          <w:rFonts w:hint="eastAsia" w:ascii="仿宋" w:hAnsi="仿宋" w:eastAsia="仿宋" w:cs="仿宋"/>
          <w:sz w:val="30"/>
          <w:szCs w:val="30"/>
          <w:lang w:val="en-US" w:eastAsia="zh-CN"/>
        </w:rPr>
        <w:t>6</w:t>
      </w:r>
      <w:r>
        <w:rPr>
          <w:rFonts w:hint="eastAsia" w:ascii="仿宋" w:hAnsi="仿宋" w:eastAsia="仿宋" w:cs="仿宋"/>
          <w:sz w:val="30"/>
          <w:szCs w:val="30"/>
        </w:rPr>
        <w:t>年  月</w:t>
      </w:r>
    </w:p>
    <w:p w14:paraId="6364D5E9">
      <w:pPr>
        <w:tabs>
          <w:tab w:val="center" w:pos="4410"/>
        </w:tabs>
        <w:spacing w:line="460" w:lineRule="exact"/>
        <w:jc w:val="center"/>
        <w:rPr>
          <w:rFonts w:hint="eastAsia" w:ascii="仿宋" w:hAnsi="仿宋" w:eastAsia="仿宋" w:cs="仿宋"/>
          <w:b/>
          <w:bCs/>
          <w:sz w:val="36"/>
          <w:szCs w:val="36"/>
        </w:rPr>
      </w:pPr>
      <w:r>
        <w:rPr>
          <w:rFonts w:hint="eastAsia" w:ascii="仿宋" w:hAnsi="仿宋" w:eastAsia="仿宋" w:cs="仿宋"/>
        </w:rPr>
        <w:br w:type="page"/>
      </w:r>
      <w:r>
        <w:rPr>
          <w:rFonts w:hint="eastAsia" w:ascii="仿宋" w:hAnsi="仿宋" w:eastAsia="仿宋" w:cs="仿宋"/>
          <w:b/>
          <w:bCs/>
          <w:sz w:val="36"/>
          <w:szCs w:val="36"/>
        </w:rPr>
        <w:t>第一部分 合同协议书</w:t>
      </w:r>
    </w:p>
    <w:p w14:paraId="55149877">
      <w:pPr>
        <w:tabs>
          <w:tab w:val="center" w:pos="4410"/>
        </w:tabs>
        <w:rPr>
          <w:rFonts w:hint="eastAsia" w:ascii="仿宋" w:hAnsi="仿宋" w:eastAsia="仿宋" w:cs="仿宋"/>
          <w:szCs w:val="21"/>
        </w:rPr>
      </w:pPr>
    </w:p>
    <w:p w14:paraId="0D8F1EDB">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发包人（全称）：</w:t>
      </w:r>
      <w:r>
        <w:rPr>
          <w:rFonts w:hint="eastAsia" w:ascii="仿宋" w:hAnsi="仿宋" w:eastAsia="仿宋" w:cs="仿宋"/>
          <w:b/>
          <w:sz w:val="28"/>
          <w:szCs w:val="28"/>
          <w:u w:val="single"/>
        </w:rPr>
        <w:t>四川省人民医院</w:t>
      </w:r>
    </w:p>
    <w:p w14:paraId="5B796468">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承包人（全称）：</w:t>
      </w:r>
    </w:p>
    <w:p w14:paraId="4731D550">
      <w:pPr>
        <w:spacing w:line="460" w:lineRule="exact"/>
        <w:rPr>
          <w:rFonts w:hint="eastAsia" w:ascii="仿宋" w:hAnsi="仿宋" w:eastAsia="仿宋" w:cs="仿宋"/>
          <w:b/>
          <w:sz w:val="28"/>
          <w:szCs w:val="28"/>
          <w:u w:val="single"/>
        </w:rPr>
      </w:pPr>
    </w:p>
    <w:p w14:paraId="583DAB1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根据《中华人民共和国民法典》、《中华人民共和国建筑法》及有关法律规定，遵循平等、自愿、公平和诚实信用的原则，双方就</w:t>
      </w:r>
      <w:r>
        <w:rPr>
          <w:rFonts w:hint="eastAsia" w:ascii="仿宋" w:hAnsi="仿宋" w:eastAsia="仿宋" w:cs="仿宋"/>
          <w:b/>
          <w:sz w:val="28"/>
          <w:szCs w:val="28"/>
          <w:u w:val="single"/>
        </w:rPr>
        <w:t>四川省人民医院            项目</w:t>
      </w:r>
      <w:r>
        <w:rPr>
          <w:rFonts w:hint="eastAsia" w:ascii="仿宋" w:hAnsi="仿宋" w:eastAsia="仿宋" w:cs="仿宋"/>
          <w:sz w:val="28"/>
          <w:szCs w:val="28"/>
        </w:rPr>
        <w:t>工程施工及有关事项协商一致，共同达成如下协议：</w:t>
      </w:r>
    </w:p>
    <w:p w14:paraId="3C7E288C">
      <w:pPr>
        <w:pStyle w:val="5"/>
        <w:keepNext w:val="0"/>
        <w:keepLines w:val="0"/>
        <w:spacing w:line="460" w:lineRule="exact"/>
        <w:ind w:firstLine="562" w:firstLineChars="200"/>
        <w:rPr>
          <w:rFonts w:hint="eastAsia" w:ascii="仿宋" w:hAnsi="仿宋" w:eastAsia="仿宋" w:cs="仿宋"/>
          <w:bCs w:val="0"/>
        </w:rPr>
      </w:pPr>
      <w:bookmarkStart w:id="95" w:name="_Toc351203481"/>
      <w:r>
        <w:rPr>
          <w:rFonts w:hint="eastAsia" w:ascii="仿宋" w:hAnsi="仿宋" w:eastAsia="仿宋" w:cs="仿宋"/>
        </w:rPr>
        <w:t>一、工程概况</w:t>
      </w:r>
      <w:bookmarkEnd w:id="95"/>
    </w:p>
    <w:p w14:paraId="73D6E6DD">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1.工程名称</w:t>
      </w:r>
      <w:r>
        <w:rPr>
          <w:rFonts w:hint="eastAsia" w:ascii="仿宋" w:hAnsi="仿宋" w:eastAsia="仿宋" w:cs="仿宋"/>
          <w:sz w:val="28"/>
          <w:szCs w:val="28"/>
        </w:rPr>
        <w:t>：。</w:t>
      </w:r>
    </w:p>
    <w:p w14:paraId="1BDE1D46">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2.工程地点：</w:t>
      </w:r>
      <w:r>
        <w:rPr>
          <w:rFonts w:hint="eastAsia" w:ascii="仿宋" w:hAnsi="仿宋" w:eastAsia="仿宋" w:cs="仿宋"/>
          <w:sz w:val="28"/>
          <w:szCs w:val="28"/>
        </w:rPr>
        <w:t>。</w:t>
      </w:r>
    </w:p>
    <w:p w14:paraId="06F74A51">
      <w:pPr>
        <w:spacing w:line="46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3.工程内容：。</w:t>
      </w:r>
    </w:p>
    <w:p w14:paraId="20F2FD4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4.工程承包范围：</w:t>
      </w:r>
    </w:p>
    <w:p w14:paraId="59E3DE8C">
      <w:pPr>
        <w:spacing w:line="460" w:lineRule="exact"/>
        <w:ind w:firstLine="562" w:firstLineChars="200"/>
        <w:rPr>
          <w:rFonts w:hint="eastAsia" w:ascii="仿宋" w:hAnsi="仿宋" w:eastAsia="仿宋" w:cs="仿宋"/>
          <w:sz w:val="28"/>
          <w:szCs w:val="28"/>
        </w:rPr>
      </w:pPr>
      <w:r>
        <w:rPr>
          <w:rFonts w:hint="eastAsia" w:ascii="仿宋" w:hAnsi="仿宋" w:eastAsia="仿宋" w:cs="仿宋"/>
          <w:b/>
          <w:sz w:val="28"/>
          <w:szCs w:val="28"/>
          <w:u w:val="single"/>
        </w:rPr>
        <w:t>该项目施工图(设计号:******)和招标工程量清单范围内的工程施工</w:t>
      </w:r>
      <w:r>
        <w:rPr>
          <w:rFonts w:hint="eastAsia" w:ascii="仿宋" w:hAnsi="仿宋" w:eastAsia="仿宋" w:cs="仿宋"/>
          <w:sz w:val="28"/>
          <w:szCs w:val="28"/>
        </w:rPr>
        <w:t>。</w:t>
      </w:r>
    </w:p>
    <w:p w14:paraId="44F59142">
      <w:pPr>
        <w:pStyle w:val="5"/>
        <w:keepNext w:val="0"/>
        <w:keepLines w:val="0"/>
        <w:spacing w:line="460" w:lineRule="exact"/>
        <w:ind w:firstLine="562" w:firstLineChars="200"/>
        <w:rPr>
          <w:rFonts w:hint="eastAsia" w:ascii="仿宋" w:hAnsi="仿宋" w:eastAsia="仿宋" w:cs="仿宋"/>
          <w:bCs w:val="0"/>
        </w:rPr>
      </w:pPr>
      <w:bookmarkStart w:id="96" w:name="_Toc351203482"/>
      <w:r>
        <w:rPr>
          <w:rFonts w:hint="eastAsia" w:ascii="仿宋" w:hAnsi="仿宋" w:eastAsia="仿宋" w:cs="仿宋"/>
          <w:bCs w:val="0"/>
        </w:rPr>
        <w:t>二、合同工期</w:t>
      </w:r>
      <w:bookmarkEnd w:id="96"/>
    </w:p>
    <w:p w14:paraId="3D6973A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计划开工日期：</w:t>
      </w:r>
      <w:r>
        <w:rPr>
          <w:rFonts w:hint="eastAsia" w:ascii="仿宋" w:hAnsi="仿宋" w:eastAsia="仿宋" w:cs="仿宋"/>
          <w:sz w:val="28"/>
          <w:szCs w:val="28"/>
          <w:u w:val="single"/>
        </w:rPr>
        <w:t></w:t>
      </w:r>
      <w:r>
        <w:rPr>
          <w:rFonts w:hint="eastAsia" w:ascii="仿宋" w:hAnsi="仿宋" w:eastAsia="仿宋" w:cs="仿宋"/>
          <w:sz w:val="28"/>
          <w:szCs w:val="28"/>
        </w:rPr>
        <w:t>年</w:t>
      </w:r>
      <w:r>
        <w:rPr>
          <w:rFonts w:hint="eastAsia" w:ascii="仿宋" w:hAnsi="仿宋" w:eastAsia="仿宋" w:cs="仿宋"/>
          <w:sz w:val="28"/>
          <w:szCs w:val="28"/>
          <w:u w:val="single"/>
        </w:rPr>
        <w:t></w:t>
      </w:r>
      <w:r>
        <w:rPr>
          <w:rFonts w:hint="eastAsia" w:ascii="仿宋" w:hAnsi="仿宋" w:eastAsia="仿宋" w:cs="仿宋"/>
          <w:sz w:val="28"/>
          <w:szCs w:val="28"/>
        </w:rPr>
        <w:t>月</w:t>
      </w:r>
      <w:r>
        <w:rPr>
          <w:rFonts w:hint="eastAsia" w:ascii="仿宋" w:hAnsi="仿宋" w:eastAsia="仿宋" w:cs="仿宋"/>
          <w:sz w:val="28"/>
          <w:szCs w:val="28"/>
          <w:u w:val="single"/>
        </w:rPr>
        <w:t></w:t>
      </w:r>
      <w:r>
        <w:rPr>
          <w:rFonts w:hint="eastAsia" w:ascii="仿宋" w:hAnsi="仿宋" w:eastAsia="仿宋" w:cs="仿宋"/>
          <w:sz w:val="28"/>
          <w:szCs w:val="28"/>
        </w:rPr>
        <w:t>日（以监理工程师签发的开工令为准）。</w:t>
      </w:r>
    </w:p>
    <w:p w14:paraId="74E99E3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计划竣工日期：</w:t>
      </w:r>
      <w:r>
        <w:rPr>
          <w:rFonts w:hint="eastAsia" w:ascii="仿宋" w:hAnsi="仿宋" w:eastAsia="仿宋" w:cs="仿宋"/>
          <w:sz w:val="28"/>
          <w:szCs w:val="28"/>
          <w:u w:val="single"/>
        </w:rPr>
        <w:t></w:t>
      </w:r>
      <w:r>
        <w:rPr>
          <w:rFonts w:hint="eastAsia" w:ascii="仿宋" w:hAnsi="仿宋" w:eastAsia="仿宋" w:cs="仿宋"/>
          <w:sz w:val="28"/>
          <w:szCs w:val="28"/>
        </w:rPr>
        <w:t>年</w:t>
      </w:r>
      <w:r>
        <w:rPr>
          <w:rFonts w:hint="eastAsia" w:ascii="仿宋" w:hAnsi="仿宋" w:eastAsia="仿宋" w:cs="仿宋"/>
          <w:sz w:val="28"/>
          <w:szCs w:val="28"/>
          <w:u w:val="single"/>
        </w:rPr>
        <w:t></w:t>
      </w:r>
      <w:r>
        <w:rPr>
          <w:rFonts w:hint="eastAsia" w:ascii="仿宋" w:hAnsi="仿宋" w:eastAsia="仿宋" w:cs="仿宋"/>
          <w:sz w:val="28"/>
          <w:szCs w:val="28"/>
        </w:rPr>
        <w:t>月</w:t>
      </w:r>
      <w:r>
        <w:rPr>
          <w:rFonts w:hint="eastAsia" w:ascii="仿宋" w:hAnsi="仿宋" w:eastAsia="仿宋" w:cs="仿宋"/>
          <w:sz w:val="28"/>
          <w:szCs w:val="28"/>
          <w:u w:val="single"/>
        </w:rPr>
        <w:t></w:t>
      </w:r>
      <w:r>
        <w:rPr>
          <w:rFonts w:hint="eastAsia" w:ascii="仿宋" w:hAnsi="仿宋" w:eastAsia="仿宋" w:cs="仿宋"/>
          <w:sz w:val="28"/>
          <w:szCs w:val="28"/>
        </w:rPr>
        <w:t>日。</w:t>
      </w:r>
    </w:p>
    <w:p w14:paraId="558C051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工期总日历天数：天。工期总日历天数与根据前述计划开竣工日期计算的工期天数不一致的，以工期总日历天数为准。</w:t>
      </w:r>
    </w:p>
    <w:p w14:paraId="57725E48">
      <w:pPr>
        <w:pStyle w:val="5"/>
        <w:keepNext w:val="0"/>
        <w:keepLines w:val="0"/>
        <w:spacing w:line="460" w:lineRule="exact"/>
        <w:ind w:firstLine="562" w:firstLineChars="200"/>
        <w:rPr>
          <w:rFonts w:hint="eastAsia" w:ascii="仿宋" w:hAnsi="仿宋" w:eastAsia="仿宋" w:cs="仿宋"/>
          <w:bCs w:val="0"/>
        </w:rPr>
      </w:pPr>
      <w:bookmarkStart w:id="97" w:name="_Toc351203483"/>
      <w:r>
        <w:rPr>
          <w:rFonts w:hint="eastAsia" w:ascii="仿宋" w:hAnsi="仿宋" w:eastAsia="仿宋" w:cs="仿宋"/>
          <w:bCs w:val="0"/>
        </w:rPr>
        <w:t>三、质量标准</w:t>
      </w:r>
      <w:bookmarkEnd w:id="97"/>
    </w:p>
    <w:p w14:paraId="5E7447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工程质量符合</w:t>
      </w:r>
      <w:r>
        <w:rPr>
          <w:rFonts w:hint="eastAsia" w:ascii="仿宋" w:hAnsi="仿宋" w:eastAsia="仿宋" w:cs="仿宋"/>
          <w:b/>
          <w:sz w:val="28"/>
          <w:szCs w:val="28"/>
          <w:u w:val="single"/>
        </w:rPr>
        <w:t>国家现行验收合格</w:t>
      </w:r>
      <w:r>
        <w:rPr>
          <w:rFonts w:hint="eastAsia" w:ascii="仿宋" w:hAnsi="仿宋" w:eastAsia="仿宋" w:cs="仿宋"/>
          <w:sz w:val="28"/>
          <w:szCs w:val="28"/>
        </w:rPr>
        <w:t>标准。</w:t>
      </w:r>
    </w:p>
    <w:p w14:paraId="1ED1BE60">
      <w:pPr>
        <w:pStyle w:val="5"/>
        <w:keepNext w:val="0"/>
        <w:keepLines w:val="0"/>
        <w:spacing w:line="460" w:lineRule="exact"/>
        <w:ind w:firstLine="562" w:firstLineChars="200"/>
        <w:rPr>
          <w:rFonts w:hint="eastAsia" w:ascii="仿宋" w:hAnsi="仿宋" w:eastAsia="仿宋" w:cs="仿宋"/>
          <w:bCs w:val="0"/>
        </w:rPr>
      </w:pPr>
      <w:bookmarkStart w:id="98" w:name="_Toc351203484"/>
      <w:r>
        <w:rPr>
          <w:rFonts w:hint="eastAsia" w:ascii="仿宋" w:hAnsi="仿宋" w:eastAsia="仿宋" w:cs="仿宋"/>
          <w:bCs w:val="0"/>
        </w:rPr>
        <w:t>四、签约合同价与合同价格形式</w:t>
      </w:r>
      <w:bookmarkEnd w:id="98"/>
      <w:r>
        <w:rPr>
          <w:rFonts w:hint="eastAsia" w:ascii="仿宋" w:hAnsi="仿宋" w:eastAsia="仿宋" w:cs="仿宋"/>
          <w:bCs w:val="0"/>
        </w:rPr>
        <w:tab/>
      </w:r>
    </w:p>
    <w:p w14:paraId="2B176E2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1.签约合同价为：</w:t>
      </w:r>
    </w:p>
    <w:p w14:paraId="6C5C078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人民币（小写）￥ 元(人民币)；最终价款以甲方结算审核金额为准。(大写)元，若最终审核金额超出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元，需另行协商签订结算协议。</w:t>
      </w:r>
    </w:p>
    <w:p w14:paraId="5504D5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2.合同价格形式：。(固定综合单价/固定总价)</w:t>
      </w:r>
    </w:p>
    <w:p w14:paraId="1DE8C52A">
      <w:pPr>
        <w:spacing w:before="120" w:after="120" w:line="460" w:lineRule="exact"/>
        <w:ind w:firstLine="562" w:firstLineChars="200"/>
        <w:rPr>
          <w:rFonts w:hint="eastAsia" w:ascii="仿宋" w:hAnsi="仿宋" w:eastAsia="仿宋" w:cs="仿宋"/>
          <w:b/>
          <w:sz w:val="28"/>
          <w:szCs w:val="28"/>
        </w:rPr>
      </w:pPr>
      <w:bookmarkStart w:id="99" w:name="_Toc351203485"/>
      <w:r>
        <w:rPr>
          <w:rFonts w:hint="eastAsia" w:ascii="仿宋" w:hAnsi="仿宋" w:eastAsia="仿宋" w:cs="仿宋"/>
          <w:b/>
          <w:sz w:val="28"/>
          <w:szCs w:val="28"/>
        </w:rPr>
        <w:t>五、</w:t>
      </w:r>
      <w:bookmarkEnd w:id="99"/>
      <w:r>
        <w:rPr>
          <w:rFonts w:hint="eastAsia" w:ascii="仿宋" w:hAnsi="仿宋" w:eastAsia="仿宋" w:cs="仿宋"/>
          <w:b/>
          <w:sz w:val="28"/>
          <w:szCs w:val="28"/>
        </w:rPr>
        <w:t>项目经理</w:t>
      </w:r>
    </w:p>
    <w:p w14:paraId="34F56C5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承包人项目经理：；</w:t>
      </w:r>
    </w:p>
    <w:p w14:paraId="42681B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w:t>
      </w:r>
      <w:r>
        <w:rPr>
          <w:rFonts w:hint="eastAsia" w:ascii="仿宋" w:hAnsi="仿宋" w:eastAsia="仿宋" w:cs="仿宋"/>
          <w:sz w:val="28"/>
          <w:szCs w:val="28"/>
        </w:rPr>
        <w:t>；</w:t>
      </w:r>
    </w:p>
    <w:p w14:paraId="17F2B0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7B8F6CC">
      <w:pPr>
        <w:spacing w:before="120" w:after="120" w:line="460" w:lineRule="exact"/>
        <w:ind w:firstLine="562" w:firstLineChars="200"/>
        <w:rPr>
          <w:rFonts w:hint="eastAsia" w:ascii="仿宋" w:hAnsi="仿宋" w:eastAsia="仿宋" w:cs="仿宋"/>
          <w:sz w:val="28"/>
          <w:szCs w:val="28"/>
        </w:rPr>
      </w:pPr>
      <w:bookmarkStart w:id="100" w:name="_Toc351203486"/>
      <w:r>
        <w:rPr>
          <w:rFonts w:hint="eastAsia" w:ascii="仿宋" w:hAnsi="仿宋" w:eastAsia="仿宋" w:cs="仿宋"/>
          <w:b/>
          <w:sz w:val="28"/>
          <w:szCs w:val="28"/>
        </w:rPr>
        <w:t>六、合同文件构成</w:t>
      </w:r>
      <w:bookmarkEnd w:id="100"/>
    </w:p>
    <w:p w14:paraId="1A1BB5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4CB7F4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5866D2DE">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上述各项合同文件包括合同当事人就该项合同文件所作出的补充和修改，属于同一类内容的文件，应以最新签署的为准。专用合同条款及其附件须经合同当事人签字或盖章。</w:t>
      </w:r>
    </w:p>
    <w:p w14:paraId="44233A6D">
      <w:pPr>
        <w:pStyle w:val="5"/>
        <w:keepNext w:val="0"/>
        <w:keepLines w:val="0"/>
        <w:spacing w:line="460" w:lineRule="exact"/>
        <w:ind w:firstLine="562" w:firstLineChars="200"/>
        <w:rPr>
          <w:rFonts w:hint="eastAsia" w:ascii="仿宋" w:hAnsi="仿宋" w:eastAsia="仿宋" w:cs="仿宋"/>
          <w:bCs w:val="0"/>
        </w:rPr>
      </w:pPr>
      <w:bookmarkStart w:id="101" w:name="_Toc351203487"/>
      <w:r>
        <w:rPr>
          <w:rFonts w:hint="eastAsia" w:ascii="仿宋" w:hAnsi="仿宋" w:eastAsia="仿宋" w:cs="仿宋"/>
          <w:bCs w:val="0"/>
        </w:rPr>
        <w:t>七、承诺</w:t>
      </w:r>
      <w:bookmarkEnd w:id="101"/>
    </w:p>
    <w:p w14:paraId="2C45E1D5">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1.发包人承诺按照合同约定的期限和方式支付合同价款。</w:t>
      </w:r>
    </w:p>
    <w:p w14:paraId="61B3B21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2.承包人承诺按照法律规定及合同约定组织完成工程施工，确保工程质量和安全，不进行转包及违法分包，并在缺陷责任期及保修期内承担相应的工程维修责任。</w:t>
      </w:r>
    </w:p>
    <w:p w14:paraId="2BCEABFF">
      <w:pPr>
        <w:spacing w:before="120" w:after="120" w:line="460" w:lineRule="exact"/>
        <w:ind w:firstLine="562" w:firstLineChars="200"/>
        <w:rPr>
          <w:rFonts w:hint="eastAsia" w:ascii="仿宋" w:hAnsi="仿宋" w:eastAsia="仿宋" w:cs="仿宋"/>
          <w:sz w:val="28"/>
          <w:szCs w:val="28"/>
        </w:rPr>
      </w:pPr>
      <w:bookmarkStart w:id="102" w:name="_Toc351203489"/>
      <w:r>
        <w:rPr>
          <w:rFonts w:hint="eastAsia" w:ascii="仿宋" w:hAnsi="仿宋" w:eastAsia="仿宋" w:cs="仿宋"/>
          <w:b/>
          <w:sz w:val="28"/>
          <w:szCs w:val="28"/>
        </w:rPr>
        <w:t>八、签订时间</w:t>
      </w:r>
      <w:bookmarkEnd w:id="102"/>
    </w:p>
    <w:p w14:paraId="02CB485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本合同于</w:t>
      </w:r>
      <w:r>
        <w:rPr>
          <w:rFonts w:hint="eastAsia" w:ascii="仿宋" w:hAnsi="仿宋" w:eastAsia="仿宋" w:cs="仿宋"/>
          <w:bCs/>
          <w:sz w:val="28"/>
          <w:szCs w:val="28"/>
          <w:u w:val="single"/>
        </w:rPr>
        <w:t>20</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日签订。</w:t>
      </w:r>
    </w:p>
    <w:p w14:paraId="407DBB77">
      <w:pPr>
        <w:spacing w:before="120" w:after="120" w:line="460" w:lineRule="exact"/>
        <w:ind w:firstLine="562" w:firstLineChars="200"/>
        <w:rPr>
          <w:rFonts w:hint="eastAsia" w:ascii="仿宋" w:hAnsi="仿宋" w:eastAsia="仿宋" w:cs="仿宋"/>
          <w:sz w:val="28"/>
          <w:szCs w:val="28"/>
        </w:rPr>
      </w:pPr>
      <w:bookmarkStart w:id="103" w:name="_Toc351203490"/>
      <w:r>
        <w:rPr>
          <w:rFonts w:hint="eastAsia" w:ascii="仿宋" w:hAnsi="仿宋" w:eastAsia="仿宋" w:cs="仿宋"/>
          <w:b/>
          <w:sz w:val="28"/>
          <w:szCs w:val="28"/>
        </w:rPr>
        <w:t>九、签订地点</w:t>
      </w:r>
      <w:bookmarkEnd w:id="103"/>
    </w:p>
    <w:p w14:paraId="019E31E7">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本合同在</w:t>
      </w:r>
      <w:r>
        <w:rPr>
          <w:rFonts w:hint="eastAsia" w:ascii="仿宋" w:hAnsi="仿宋" w:eastAsia="仿宋" w:cs="仿宋"/>
          <w:b/>
          <w:bCs/>
          <w:sz w:val="28"/>
          <w:szCs w:val="28"/>
          <w:u w:val="single"/>
        </w:rPr>
        <w:t>成都市</w:t>
      </w:r>
      <w:r>
        <w:rPr>
          <w:rFonts w:hint="eastAsia" w:ascii="仿宋" w:hAnsi="仿宋" w:eastAsia="仿宋" w:cs="仿宋"/>
          <w:bCs/>
          <w:sz w:val="28"/>
          <w:szCs w:val="28"/>
        </w:rPr>
        <w:t>签订。</w:t>
      </w:r>
    </w:p>
    <w:p w14:paraId="7BF03FED">
      <w:pPr>
        <w:spacing w:before="120" w:after="120" w:line="460" w:lineRule="exact"/>
        <w:ind w:firstLine="562" w:firstLineChars="200"/>
        <w:rPr>
          <w:rFonts w:hint="eastAsia" w:ascii="仿宋" w:hAnsi="仿宋" w:eastAsia="仿宋" w:cs="仿宋"/>
          <w:sz w:val="28"/>
          <w:szCs w:val="28"/>
        </w:rPr>
      </w:pPr>
      <w:bookmarkStart w:id="104" w:name="_Toc351203491"/>
      <w:r>
        <w:rPr>
          <w:rFonts w:hint="eastAsia" w:ascii="仿宋" w:hAnsi="仿宋" w:eastAsia="仿宋" w:cs="仿宋"/>
          <w:b/>
          <w:sz w:val="28"/>
          <w:szCs w:val="28"/>
        </w:rPr>
        <w:t>十、补充协议</w:t>
      </w:r>
      <w:bookmarkEnd w:id="104"/>
    </w:p>
    <w:p w14:paraId="73DC121A">
      <w:pPr>
        <w:spacing w:line="460" w:lineRule="exact"/>
        <w:ind w:firstLine="560" w:firstLineChars="200"/>
        <w:rPr>
          <w:rFonts w:hint="eastAsia" w:ascii="仿宋" w:hAnsi="仿宋" w:eastAsia="仿宋" w:cs="仿宋"/>
          <w:b/>
          <w:bCs/>
          <w:sz w:val="28"/>
          <w:szCs w:val="28"/>
        </w:rPr>
      </w:pPr>
      <w:r>
        <w:rPr>
          <w:rFonts w:hint="eastAsia" w:ascii="仿宋" w:hAnsi="仿宋" w:eastAsia="仿宋" w:cs="仿宋"/>
          <w:bCs/>
          <w:sz w:val="28"/>
          <w:szCs w:val="28"/>
        </w:rPr>
        <w:t>合同未尽事宜，合同当事人另行签订补充协议，补充协议是合同的组成部分。</w:t>
      </w:r>
    </w:p>
    <w:p w14:paraId="77B2D61B">
      <w:pPr>
        <w:spacing w:before="120" w:after="120" w:line="460" w:lineRule="exact"/>
        <w:ind w:firstLine="562" w:firstLineChars="200"/>
        <w:rPr>
          <w:rFonts w:hint="eastAsia" w:ascii="仿宋" w:hAnsi="仿宋" w:eastAsia="仿宋" w:cs="仿宋"/>
          <w:sz w:val="28"/>
          <w:szCs w:val="28"/>
        </w:rPr>
      </w:pPr>
      <w:bookmarkStart w:id="105" w:name="_Toc351203492"/>
      <w:r>
        <w:rPr>
          <w:rFonts w:hint="eastAsia" w:ascii="仿宋" w:hAnsi="仿宋" w:eastAsia="仿宋" w:cs="仿宋"/>
          <w:b/>
          <w:sz w:val="28"/>
          <w:szCs w:val="28"/>
        </w:rPr>
        <w:t>十一、合同生效</w:t>
      </w:r>
      <w:bookmarkEnd w:id="105"/>
    </w:p>
    <w:p w14:paraId="47CD956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本合同自</w:t>
      </w:r>
      <w:r>
        <w:rPr>
          <w:rFonts w:hint="eastAsia" w:ascii="仿宋" w:hAnsi="仿宋" w:eastAsia="仿宋" w:cs="仿宋"/>
          <w:bCs/>
          <w:sz w:val="28"/>
          <w:szCs w:val="28"/>
          <w:u w:val="single"/>
        </w:rPr>
        <w:t>双方签字盖章后</w:t>
      </w:r>
      <w:r>
        <w:rPr>
          <w:rFonts w:hint="eastAsia" w:ascii="仿宋" w:hAnsi="仿宋" w:eastAsia="仿宋" w:cs="仿宋"/>
          <w:bCs/>
          <w:sz w:val="28"/>
          <w:szCs w:val="28"/>
        </w:rPr>
        <w:t>生效。</w:t>
      </w:r>
    </w:p>
    <w:p w14:paraId="774415AC">
      <w:pPr>
        <w:spacing w:before="120" w:after="120" w:line="460" w:lineRule="exact"/>
        <w:ind w:firstLine="562" w:firstLineChars="200"/>
        <w:rPr>
          <w:rFonts w:hint="eastAsia" w:ascii="仿宋" w:hAnsi="仿宋" w:eastAsia="仿宋" w:cs="仿宋"/>
          <w:sz w:val="28"/>
          <w:szCs w:val="28"/>
        </w:rPr>
      </w:pPr>
      <w:bookmarkStart w:id="106" w:name="_Toc351203493"/>
      <w:r>
        <w:rPr>
          <w:rFonts w:hint="eastAsia" w:ascii="仿宋" w:hAnsi="仿宋" w:eastAsia="仿宋" w:cs="仿宋"/>
          <w:b/>
          <w:sz w:val="28"/>
          <w:szCs w:val="28"/>
        </w:rPr>
        <w:t>十二、合同份数</w:t>
      </w:r>
      <w:bookmarkEnd w:id="106"/>
    </w:p>
    <w:p w14:paraId="4FD561BC">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本合同一式拾份，其中：正本叁份，副本柒份，均具有同等法律效力。发包人执正本贰份，副本肆份，承包人执正本壹份，副本叁份。</w:t>
      </w:r>
    </w:p>
    <w:p w14:paraId="7CBB3F44">
      <w:pPr>
        <w:spacing w:line="460" w:lineRule="exact"/>
        <w:ind w:firstLine="560" w:firstLineChars="200"/>
        <w:rPr>
          <w:rFonts w:hint="eastAsia" w:ascii="仿宋" w:hAnsi="仿宋" w:eastAsia="仿宋" w:cs="仿宋"/>
          <w:bCs/>
          <w:sz w:val="28"/>
          <w:szCs w:val="28"/>
        </w:rPr>
      </w:pPr>
    </w:p>
    <w:p w14:paraId="32AA1D1F">
      <w:pPr>
        <w:spacing w:line="460" w:lineRule="exact"/>
        <w:rPr>
          <w:rFonts w:hint="eastAsia" w:ascii="仿宋" w:hAnsi="仿宋" w:eastAsia="仿宋" w:cs="仿宋"/>
          <w:bCs/>
          <w:sz w:val="28"/>
          <w:szCs w:val="28"/>
        </w:rPr>
      </w:pPr>
    </w:p>
    <w:p w14:paraId="2120F10D">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06432DF">
      <w:pPr>
        <w:spacing w:line="460" w:lineRule="exact"/>
        <w:ind w:firstLine="560" w:firstLineChars="200"/>
        <w:rPr>
          <w:rFonts w:hint="eastAsia" w:ascii="仿宋" w:hAnsi="仿宋" w:eastAsia="仿宋" w:cs="仿宋"/>
          <w:sz w:val="28"/>
          <w:szCs w:val="28"/>
          <w:u w:val="single"/>
        </w:rPr>
      </w:pPr>
    </w:p>
    <w:p w14:paraId="528103B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1C9AB2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E56B9BD">
      <w:pPr>
        <w:spacing w:line="460" w:lineRule="exact"/>
        <w:ind w:firstLine="560" w:firstLineChars="200"/>
        <w:rPr>
          <w:rFonts w:hint="eastAsia" w:ascii="仿宋" w:hAnsi="仿宋" w:eastAsia="仿宋" w:cs="仿宋"/>
          <w:sz w:val="28"/>
          <w:szCs w:val="28"/>
          <w:u w:val="single"/>
        </w:rPr>
      </w:pPr>
    </w:p>
    <w:p w14:paraId="70C7656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33B26A6C">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71C1C50">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3A03E230">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2BBDEF2">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3AD008D9">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02C0754">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1E1D5E06">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34E623A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4479ED0A">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5EB7900F">
      <w:pPr>
        <w:jc w:val="center"/>
        <w:rPr>
          <w:rFonts w:hint="eastAsia" w:ascii="仿宋" w:hAnsi="仿宋" w:eastAsia="仿宋" w:cs="仿宋"/>
          <w:b/>
          <w:bCs/>
          <w:sz w:val="36"/>
          <w:szCs w:val="36"/>
        </w:rPr>
      </w:pPr>
      <w:r>
        <w:rPr>
          <w:rFonts w:hint="eastAsia" w:ascii="仿宋" w:hAnsi="仿宋" w:eastAsia="仿宋" w:cs="仿宋"/>
          <w:b/>
          <w:bCs/>
          <w:sz w:val="36"/>
          <w:szCs w:val="36"/>
        </w:rPr>
        <w:t>第二部分合同条款</w:t>
      </w:r>
    </w:p>
    <w:p w14:paraId="3EF0F4CF">
      <w:pPr>
        <w:spacing w:before="120" w:after="120" w:line="460" w:lineRule="exact"/>
        <w:ind w:firstLine="562" w:firstLineChars="200"/>
        <w:rPr>
          <w:rFonts w:hint="eastAsia" w:ascii="仿宋" w:hAnsi="仿宋" w:eastAsia="仿宋" w:cs="仿宋"/>
          <w:b/>
          <w:sz w:val="28"/>
          <w:szCs w:val="28"/>
        </w:rPr>
      </w:pPr>
      <w:bookmarkStart w:id="107" w:name="_Toc351203633"/>
      <w:r>
        <w:rPr>
          <w:rFonts w:hint="eastAsia" w:ascii="仿宋" w:hAnsi="仿宋" w:eastAsia="仿宋" w:cs="仿宋"/>
          <w:b/>
          <w:sz w:val="28"/>
          <w:szCs w:val="28"/>
        </w:rPr>
        <w:t>1</w:t>
      </w:r>
      <w:bookmarkStart w:id="108" w:name="_Toc296503156"/>
      <w:bookmarkStart w:id="109" w:name="_Toc292559361"/>
      <w:bookmarkStart w:id="110" w:name="_Toc296890984"/>
      <w:bookmarkStart w:id="111" w:name="_Toc296347155"/>
      <w:bookmarkStart w:id="112" w:name="_Toc297120456"/>
      <w:bookmarkStart w:id="113" w:name="_Toc297048342"/>
      <w:bookmarkStart w:id="114" w:name="_Toc296346657"/>
      <w:bookmarkStart w:id="115" w:name="_Toc292559866"/>
      <w:bookmarkStart w:id="116" w:name="_Toc296944495"/>
      <w:bookmarkStart w:id="117" w:name="_Toc296891196"/>
      <w:r>
        <w:rPr>
          <w:rFonts w:hint="eastAsia" w:ascii="仿宋" w:hAnsi="仿宋" w:eastAsia="仿宋" w:cs="仿宋"/>
          <w:b/>
          <w:sz w:val="28"/>
          <w:szCs w:val="28"/>
        </w:rPr>
        <w:t>. 一般约定</w:t>
      </w:r>
      <w:bookmarkEnd w:id="107"/>
      <w:bookmarkEnd w:id="108"/>
      <w:bookmarkEnd w:id="109"/>
      <w:bookmarkEnd w:id="110"/>
      <w:bookmarkEnd w:id="111"/>
      <w:bookmarkEnd w:id="112"/>
      <w:bookmarkEnd w:id="113"/>
      <w:bookmarkEnd w:id="114"/>
      <w:bookmarkEnd w:id="115"/>
      <w:bookmarkEnd w:id="116"/>
      <w:bookmarkEnd w:id="117"/>
    </w:p>
    <w:p w14:paraId="5CDAFDD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合同当事人及其他相关方</w:t>
      </w:r>
    </w:p>
    <w:p w14:paraId="224C036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1.1.1监理人：</w:t>
      </w:r>
    </w:p>
    <w:p w14:paraId="774F59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1376FD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w:t>
      </w:r>
      <w:r>
        <w:rPr>
          <w:rFonts w:hint="eastAsia" w:ascii="仿宋" w:hAnsi="仿宋" w:eastAsia="仿宋" w:cs="仿宋"/>
          <w:sz w:val="28"/>
          <w:szCs w:val="28"/>
        </w:rPr>
        <w:t>；</w:t>
      </w:r>
    </w:p>
    <w:p w14:paraId="51E6156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221F59A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027987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 设计人：</w:t>
      </w:r>
    </w:p>
    <w:p w14:paraId="1E9FDF8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428176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  </w:t>
      </w:r>
      <w:r>
        <w:rPr>
          <w:rFonts w:hint="eastAsia" w:ascii="仿宋" w:hAnsi="仿宋" w:eastAsia="仿宋" w:cs="仿宋"/>
          <w:sz w:val="28"/>
          <w:szCs w:val="28"/>
        </w:rPr>
        <w:t>；</w:t>
      </w:r>
    </w:p>
    <w:p w14:paraId="4B3818E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3D99C4D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5DF18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1.2法律 </w:t>
      </w:r>
    </w:p>
    <w:p w14:paraId="01AC3888">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适用于合同的其他规范性文件：《中华人民共和国民法典》、</w:t>
      </w:r>
      <w:r>
        <w:rPr>
          <w:rFonts w:hint="eastAsia" w:ascii="仿宋" w:hAnsi="仿宋" w:eastAsia="仿宋" w:cs="仿宋"/>
          <w:sz w:val="28"/>
          <w:szCs w:val="28"/>
          <w:u w:val="single"/>
        </w:rPr>
        <w:t xml:space="preserve">《中华人民共和国建筑法》    </w:t>
      </w:r>
      <w:r>
        <w:rPr>
          <w:rFonts w:hint="eastAsia" w:ascii="仿宋" w:hAnsi="仿宋" w:eastAsia="仿宋" w:cs="仿宋"/>
          <w:sz w:val="28"/>
          <w:szCs w:val="28"/>
        </w:rPr>
        <w:t>。</w:t>
      </w:r>
    </w:p>
    <w:p w14:paraId="1BEEBEA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标准和规范</w:t>
      </w:r>
    </w:p>
    <w:p w14:paraId="260C7A4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1.3.1适用于工程的标准规范包括：</w:t>
      </w:r>
      <w:r>
        <w:rPr>
          <w:rFonts w:hint="eastAsia" w:ascii="仿宋" w:hAnsi="仿宋" w:eastAsia="仿宋" w:cs="仿宋"/>
          <w:sz w:val="28"/>
          <w:szCs w:val="28"/>
          <w:u w:val="single"/>
        </w:rPr>
        <w:t xml:space="preserve">执行国家、四川省现行技术规范、施工规范、质量标准及操作规定 </w:t>
      </w:r>
      <w:r>
        <w:rPr>
          <w:rFonts w:hint="eastAsia" w:ascii="仿宋" w:hAnsi="仿宋" w:eastAsia="仿宋" w:cs="仿宋"/>
          <w:sz w:val="28"/>
          <w:szCs w:val="28"/>
        </w:rPr>
        <w:t xml:space="preserve"> 。</w:t>
      </w:r>
    </w:p>
    <w:p w14:paraId="48AA2281">
      <w:pPr>
        <w:spacing w:line="460" w:lineRule="exact"/>
        <w:ind w:firstLine="560" w:firstLineChars="200"/>
        <w:rPr>
          <w:rFonts w:hint="eastAsia" w:ascii="仿宋" w:hAnsi="仿宋" w:eastAsia="仿宋" w:cs="仿宋"/>
          <w:kern w:val="0"/>
          <w:sz w:val="28"/>
          <w:szCs w:val="28"/>
          <w:u w:val="single"/>
        </w:rPr>
      </w:pPr>
      <w:r>
        <w:rPr>
          <w:rFonts w:hint="eastAsia" w:ascii="仿宋" w:hAnsi="仿宋" w:eastAsia="仿宋" w:cs="仿宋"/>
          <w:kern w:val="0"/>
          <w:sz w:val="28"/>
          <w:szCs w:val="28"/>
        </w:rPr>
        <w:t>1.3.2 发包人提供国外标准、规范的名称：</w:t>
      </w:r>
      <w:r>
        <w:rPr>
          <w:rFonts w:hint="eastAsia" w:ascii="仿宋" w:hAnsi="仿宋" w:eastAsia="仿宋" w:cs="仿宋"/>
          <w:kern w:val="0"/>
          <w:sz w:val="28"/>
          <w:szCs w:val="28"/>
          <w:u w:val="single"/>
        </w:rPr>
        <w:t>如果某项工程、工艺国内没有相应标准或规范，承包人应在该项工程、工艺或工作开始10天前书面报监理单位，并经发包人同意按监理单位的指示执行</w:t>
      </w:r>
      <w:r>
        <w:rPr>
          <w:rFonts w:hint="eastAsia" w:ascii="仿宋" w:hAnsi="仿宋" w:eastAsia="仿宋" w:cs="仿宋"/>
          <w:kern w:val="0"/>
          <w:sz w:val="28"/>
          <w:szCs w:val="28"/>
        </w:rPr>
        <w:t>；</w:t>
      </w:r>
    </w:p>
    <w:p w14:paraId="2ADE5627">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发包人提供国外标准、规范的份数：</w:t>
      </w:r>
      <w:r>
        <w:rPr>
          <w:rFonts w:hint="eastAsia" w:ascii="仿宋" w:hAnsi="仿宋" w:eastAsia="仿宋" w:cs="仿宋"/>
          <w:kern w:val="0"/>
          <w:sz w:val="28"/>
          <w:szCs w:val="28"/>
          <w:u w:val="single"/>
        </w:rPr>
        <w:t>发生时承包人按发包人要求提供</w:t>
      </w:r>
      <w:r>
        <w:rPr>
          <w:rFonts w:hint="eastAsia" w:ascii="仿宋" w:hAnsi="仿宋" w:eastAsia="仿宋" w:cs="仿宋"/>
          <w:kern w:val="0"/>
          <w:sz w:val="28"/>
          <w:szCs w:val="28"/>
        </w:rPr>
        <w:t>；</w:t>
      </w:r>
    </w:p>
    <w:p w14:paraId="76268EA6">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发包人提供国外标准、规范的名称：</w:t>
      </w:r>
      <w:r>
        <w:rPr>
          <w:rFonts w:hint="eastAsia" w:ascii="仿宋" w:hAnsi="仿宋" w:eastAsia="仿宋" w:cs="仿宋"/>
          <w:sz w:val="28"/>
          <w:szCs w:val="28"/>
          <w:u w:val="single"/>
        </w:rPr>
        <w:t>发生时承包人按发包人要求提供</w:t>
      </w:r>
      <w:r>
        <w:rPr>
          <w:rFonts w:hint="eastAsia" w:ascii="仿宋" w:hAnsi="仿宋" w:eastAsia="仿宋" w:cs="仿宋"/>
          <w:kern w:val="0"/>
          <w:sz w:val="28"/>
          <w:szCs w:val="28"/>
        </w:rPr>
        <w:t>。</w:t>
      </w:r>
    </w:p>
    <w:p w14:paraId="23203C8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1.3.3发包人对工程的技术标准和功能要求的特殊要求：。</w:t>
      </w:r>
    </w:p>
    <w:p w14:paraId="7BE977E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 合同文件构成</w:t>
      </w:r>
    </w:p>
    <w:p w14:paraId="68D539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1E1ADA9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060CE6B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w:t>
      </w:r>
    </w:p>
    <w:p w14:paraId="1AD12D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图纸和承包人文件</w:t>
      </w:r>
      <w:r>
        <w:rPr>
          <w:rFonts w:hint="eastAsia" w:ascii="仿宋" w:hAnsi="仿宋" w:eastAsia="仿宋" w:cs="仿宋"/>
          <w:sz w:val="28"/>
          <w:szCs w:val="28"/>
        </w:rPr>
        <w:tab/>
      </w:r>
    </w:p>
    <w:p w14:paraId="7429A3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1.5.1 图纸的提供</w:t>
      </w:r>
    </w:p>
    <w:p w14:paraId="52D4036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sz w:val="28"/>
          <w:szCs w:val="28"/>
          <w:u w:val="single"/>
        </w:rPr>
        <w:t>发包人与承包人签订合同协议7日内，承包人需要更多份数时，应自费复制</w:t>
      </w:r>
      <w:r>
        <w:rPr>
          <w:rFonts w:hint="eastAsia" w:ascii="仿宋" w:hAnsi="仿宋" w:eastAsia="仿宋" w:cs="仿宋"/>
          <w:sz w:val="28"/>
          <w:szCs w:val="28"/>
        </w:rPr>
        <w:t>；</w:t>
      </w:r>
    </w:p>
    <w:p w14:paraId="10CBA3E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sz w:val="28"/>
          <w:szCs w:val="28"/>
          <w:u w:val="single"/>
        </w:rPr>
        <w:t>三套（含两套做竣工图的图纸）</w:t>
      </w:r>
      <w:r>
        <w:rPr>
          <w:rFonts w:hint="eastAsia" w:ascii="仿宋" w:hAnsi="仿宋" w:eastAsia="仿宋" w:cs="仿宋"/>
          <w:sz w:val="28"/>
          <w:szCs w:val="28"/>
        </w:rPr>
        <w:t>。</w:t>
      </w:r>
    </w:p>
    <w:p w14:paraId="79294C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承包人文件</w:t>
      </w:r>
    </w:p>
    <w:p w14:paraId="2D880C7D">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需要由承包人提供的文件，包括：</w:t>
      </w:r>
      <w:r>
        <w:rPr>
          <w:rFonts w:hint="eastAsia" w:ascii="仿宋" w:hAnsi="仿宋" w:eastAsia="仿宋" w:cs="仿宋"/>
          <w:sz w:val="28"/>
          <w:szCs w:val="28"/>
          <w:u w:val="single"/>
        </w:rPr>
        <w:t>投标文件中已标价工程量清单、施工组织设计、进度计划（总进度、月进度、周进度）、以及与现场安全、质量、进度、资金等有关的文件  </w:t>
      </w:r>
      <w:r>
        <w:rPr>
          <w:rFonts w:hint="eastAsia" w:ascii="仿宋" w:hAnsi="仿宋" w:eastAsia="仿宋" w:cs="仿宋"/>
          <w:sz w:val="28"/>
          <w:szCs w:val="28"/>
        </w:rPr>
        <w:t>；</w:t>
      </w:r>
    </w:p>
    <w:p w14:paraId="1DCDBB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F5078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不少于三份 </w:t>
      </w:r>
      <w:r>
        <w:rPr>
          <w:rFonts w:hint="eastAsia" w:ascii="仿宋" w:hAnsi="仿宋" w:eastAsia="仿宋" w:cs="仿宋"/>
          <w:sz w:val="28"/>
          <w:szCs w:val="28"/>
        </w:rPr>
        <w:t>；</w:t>
      </w:r>
    </w:p>
    <w:p w14:paraId="587A3F0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AEF8E1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发包人审批承包人文件的期限：</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67F00E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现场图纸准备</w:t>
      </w:r>
    </w:p>
    <w:p w14:paraId="5F85C3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sz w:val="28"/>
          <w:szCs w:val="28"/>
          <w:u w:val="single"/>
        </w:rPr>
        <w:t xml:space="preserve">发生时承包人按发包人要求提供 </w:t>
      </w:r>
      <w:r>
        <w:rPr>
          <w:rFonts w:hint="eastAsia" w:ascii="仿宋" w:hAnsi="仿宋" w:eastAsia="仿宋" w:cs="仿宋"/>
          <w:sz w:val="28"/>
          <w:szCs w:val="28"/>
        </w:rPr>
        <w:t>。</w:t>
      </w:r>
    </w:p>
    <w:p w14:paraId="58CB524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联络</w:t>
      </w:r>
    </w:p>
    <w:p w14:paraId="58DC9BB8">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1.6.1发包人和承包人应当在</w:t>
      </w:r>
      <w:r>
        <w:rPr>
          <w:rFonts w:hint="eastAsia" w:ascii="仿宋" w:hAnsi="仿宋" w:eastAsia="仿宋" w:cs="仿宋"/>
          <w:sz w:val="28"/>
          <w:szCs w:val="28"/>
          <w:u w:val="single"/>
        </w:rPr>
        <w:t>7</w:t>
      </w:r>
      <w:r>
        <w:rPr>
          <w:rFonts w:hint="eastAsia" w:ascii="仿宋" w:hAnsi="仿宋" w:eastAsia="仿宋" w:cs="仿宋"/>
          <w:kern w:val="0"/>
          <w:sz w:val="28"/>
          <w:szCs w:val="28"/>
        </w:rPr>
        <w:t>天内将与合同有关的通知、批准、证明、证书、指示、指令、要求、请求、同意、意见、确定和决定等书面函件送达对方当事人。</w:t>
      </w:r>
    </w:p>
    <w:p w14:paraId="143EB29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知识产权</w:t>
      </w:r>
    </w:p>
    <w:p w14:paraId="297E59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发包人</w:t>
      </w:r>
      <w:r>
        <w:rPr>
          <w:rFonts w:hint="eastAsia" w:ascii="仿宋" w:hAnsi="仿宋" w:eastAsia="仿宋" w:cs="仿宋"/>
          <w:sz w:val="28"/>
          <w:szCs w:val="28"/>
        </w:rPr>
        <w:t>。</w:t>
      </w:r>
    </w:p>
    <w:p w14:paraId="4F510D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401A459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关于承包人为实施工程所编制文件的著作权的归属：</w:t>
      </w:r>
      <w:r>
        <w:rPr>
          <w:rFonts w:hint="eastAsia" w:ascii="仿宋" w:hAnsi="仿宋" w:eastAsia="仿宋" w:cs="仿宋"/>
          <w:sz w:val="28"/>
          <w:szCs w:val="28"/>
          <w:u w:val="single"/>
        </w:rPr>
        <w:t xml:space="preserve">发包人 </w:t>
      </w:r>
      <w:r>
        <w:rPr>
          <w:rFonts w:hint="eastAsia" w:ascii="仿宋" w:hAnsi="仿宋" w:eastAsia="仿宋" w:cs="仿宋"/>
          <w:sz w:val="28"/>
          <w:szCs w:val="28"/>
        </w:rPr>
        <w:t>。</w:t>
      </w:r>
    </w:p>
    <w:p w14:paraId="49C754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2975ADFF">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1.7.3 承包人在施工过程中所采用的专利、专有技术、技术秘密的使用费的承担方式：</w:t>
      </w:r>
      <w:r>
        <w:rPr>
          <w:rFonts w:hint="eastAsia" w:ascii="仿宋" w:hAnsi="仿宋" w:eastAsia="仿宋" w:cs="仿宋"/>
          <w:sz w:val="28"/>
          <w:szCs w:val="28"/>
          <w:u w:val="single"/>
        </w:rPr>
        <w:t>承包人承担</w:t>
      </w:r>
      <w:r>
        <w:rPr>
          <w:rFonts w:hint="eastAsia" w:ascii="仿宋" w:hAnsi="仿宋" w:eastAsia="仿宋" w:cs="仿宋"/>
          <w:kern w:val="0"/>
          <w:sz w:val="28"/>
          <w:szCs w:val="28"/>
        </w:rPr>
        <w:t>。</w:t>
      </w:r>
    </w:p>
    <w:p w14:paraId="14DA5753">
      <w:pPr>
        <w:spacing w:before="120" w:after="120" w:line="460" w:lineRule="exact"/>
        <w:ind w:firstLine="562" w:firstLineChars="200"/>
        <w:rPr>
          <w:rFonts w:hint="eastAsia" w:ascii="仿宋" w:hAnsi="仿宋" w:eastAsia="仿宋" w:cs="仿宋"/>
          <w:b/>
          <w:sz w:val="28"/>
          <w:szCs w:val="28"/>
        </w:rPr>
      </w:pPr>
      <w:bookmarkStart w:id="118" w:name="_Toc351203634"/>
      <w:r>
        <w:rPr>
          <w:rFonts w:hint="eastAsia" w:ascii="仿宋" w:hAnsi="仿宋" w:eastAsia="仿宋" w:cs="仿宋"/>
          <w:b/>
          <w:sz w:val="28"/>
          <w:szCs w:val="28"/>
        </w:rPr>
        <w:t>2</w:t>
      </w:r>
      <w:bookmarkStart w:id="119" w:name="_Toc297048343"/>
      <w:bookmarkStart w:id="120" w:name="_Toc296890985"/>
      <w:bookmarkStart w:id="121" w:name="_Toc292559867"/>
      <w:bookmarkStart w:id="122" w:name="_Toc296347156"/>
      <w:bookmarkStart w:id="123" w:name="_Toc296346658"/>
      <w:bookmarkStart w:id="124" w:name="_Toc297120457"/>
      <w:bookmarkStart w:id="125" w:name="_Toc292559362"/>
      <w:bookmarkStart w:id="126" w:name="_Toc296503157"/>
      <w:bookmarkStart w:id="127" w:name="_Toc296944496"/>
      <w:bookmarkStart w:id="128" w:name="_Toc296891197"/>
      <w:r>
        <w:rPr>
          <w:rFonts w:hint="eastAsia" w:ascii="仿宋" w:hAnsi="仿宋" w:eastAsia="仿宋" w:cs="仿宋"/>
          <w:b/>
          <w:sz w:val="28"/>
          <w:szCs w:val="28"/>
        </w:rPr>
        <w:t>. 发包人</w:t>
      </w:r>
      <w:bookmarkEnd w:id="118"/>
    </w:p>
    <w:bookmarkEnd w:id="119"/>
    <w:bookmarkEnd w:id="120"/>
    <w:bookmarkEnd w:id="121"/>
    <w:bookmarkEnd w:id="122"/>
    <w:bookmarkEnd w:id="123"/>
    <w:bookmarkEnd w:id="124"/>
    <w:bookmarkEnd w:id="125"/>
    <w:bookmarkEnd w:id="126"/>
    <w:bookmarkEnd w:id="127"/>
    <w:bookmarkEnd w:id="128"/>
    <w:p w14:paraId="4E9177C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发包人代表</w:t>
      </w:r>
    </w:p>
    <w:p w14:paraId="342409C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14:paraId="49D73C4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501C2B1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发包人对发包人代表的授权范围如下：</w:t>
      </w:r>
      <w:r>
        <w:rPr>
          <w:rFonts w:hint="eastAsia" w:ascii="仿宋" w:hAnsi="仿宋" w:eastAsia="仿宋" w:cs="仿宋"/>
          <w:sz w:val="28"/>
          <w:szCs w:val="28"/>
          <w:u w:val="single"/>
        </w:rPr>
        <w:t>实施本工程的组织管理工作</w:t>
      </w:r>
      <w:r>
        <w:rPr>
          <w:rFonts w:hint="eastAsia" w:ascii="仿宋" w:hAnsi="仿宋" w:eastAsia="仿宋" w:cs="仿宋"/>
          <w:sz w:val="28"/>
          <w:szCs w:val="28"/>
        </w:rPr>
        <w:t>。</w:t>
      </w:r>
    </w:p>
    <w:p w14:paraId="7BFEE17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发包人人员</w:t>
      </w:r>
    </w:p>
    <w:p w14:paraId="18874D5F">
      <w:pPr>
        <w:spacing w:line="46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发包人派驻施工现场人员：</w:t>
      </w:r>
      <w:r>
        <w:rPr>
          <w:rFonts w:hint="eastAsia" w:ascii="仿宋" w:hAnsi="仿宋" w:eastAsia="仿宋" w:cs="仿宋"/>
          <w:sz w:val="28"/>
          <w:szCs w:val="28"/>
          <w:u w:val="single"/>
        </w:rPr>
        <w:t></w:t>
      </w:r>
      <w:r>
        <w:rPr>
          <w:rFonts w:hint="eastAsia" w:ascii="仿宋" w:hAnsi="仿宋" w:eastAsia="仿宋" w:cs="仿宋"/>
          <w:sz w:val="28"/>
          <w:szCs w:val="28"/>
        </w:rPr>
        <w:t>。</w:t>
      </w:r>
    </w:p>
    <w:p w14:paraId="258C906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 施工现场、施工条件和基础资料的提供</w:t>
      </w:r>
    </w:p>
    <w:p w14:paraId="242F0A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2.3.1 提供施工现场</w:t>
      </w:r>
    </w:p>
    <w:p w14:paraId="7746F02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发包人将已具备施工条件的施工现场在开工前移交给承包方</w:t>
      </w:r>
      <w:r>
        <w:rPr>
          <w:rFonts w:hint="eastAsia" w:ascii="仿宋" w:hAnsi="仿宋" w:eastAsia="仿宋" w:cs="仿宋"/>
          <w:sz w:val="28"/>
          <w:szCs w:val="28"/>
        </w:rPr>
        <w:t>。</w:t>
      </w:r>
    </w:p>
    <w:p w14:paraId="438B588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2.3.2 提供施工条件</w:t>
      </w:r>
    </w:p>
    <w:p w14:paraId="51A25B92">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关于发包人应负责提供施工所需要的条件，包括：</w:t>
      </w:r>
      <w:r>
        <w:rPr>
          <w:rFonts w:hint="eastAsia" w:ascii="仿宋" w:hAnsi="仿宋" w:eastAsia="仿宋" w:cs="仿宋"/>
          <w:sz w:val="28"/>
          <w:szCs w:val="28"/>
          <w:u w:val="single"/>
        </w:rPr>
        <w:t>发包人负责在开工前提供施工用水、用电的接口,由施工单位自行接入施工现场，施工中发生的水电费用由承包人承担，水电费见本合同第12.6条。</w:t>
      </w:r>
    </w:p>
    <w:p w14:paraId="56C17655">
      <w:pPr>
        <w:spacing w:before="120" w:after="120" w:line="460" w:lineRule="exact"/>
        <w:ind w:firstLine="562" w:firstLineChars="200"/>
        <w:rPr>
          <w:rFonts w:hint="eastAsia" w:ascii="仿宋" w:hAnsi="仿宋" w:eastAsia="仿宋" w:cs="仿宋"/>
          <w:b/>
          <w:sz w:val="28"/>
          <w:szCs w:val="28"/>
        </w:rPr>
      </w:pPr>
      <w:bookmarkStart w:id="129" w:name="_Toc351203635"/>
      <w:r>
        <w:rPr>
          <w:rFonts w:hint="eastAsia" w:ascii="仿宋" w:hAnsi="仿宋" w:eastAsia="仿宋" w:cs="仿宋"/>
          <w:b/>
          <w:sz w:val="28"/>
          <w:szCs w:val="28"/>
        </w:rPr>
        <w:t>3</w:t>
      </w:r>
      <w:bookmarkStart w:id="130" w:name="_Toc296503158"/>
      <w:bookmarkStart w:id="131" w:name="_Toc292559363"/>
      <w:bookmarkStart w:id="132" w:name="_Toc296890986"/>
      <w:bookmarkStart w:id="133" w:name="_Toc297120458"/>
      <w:bookmarkStart w:id="134" w:name="_Toc296346659"/>
      <w:bookmarkStart w:id="135" w:name="_Toc297048344"/>
      <w:bookmarkStart w:id="136" w:name="_Toc296347157"/>
      <w:bookmarkStart w:id="137" w:name="_Toc292559868"/>
      <w:bookmarkStart w:id="138" w:name="_Toc296891198"/>
      <w:bookmarkStart w:id="139" w:name="_Toc296944497"/>
      <w:r>
        <w:rPr>
          <w:rFonts w:hint="eastAsia" w:ascii="仿宋" w:hAnsi="仿宋" w:eastAsia="仿宋" w:cs="仿宋"/>
          <w:b/>
          <w:sz w:val="28"/>
          <w:szCs w:val="28"/>
        </w:rPr>
        <w:t>. 承包人</w:t>
      </w:r>
      <w:bookmarkEnd w:id="129"/>
    </w:p>
    <w:bookmarkEnd w:id="130"/>
    <w:bookmarkEnd w:id="131"/>
    <w:bookmarkEnd w:id="132"/>
    <w:bookmarkEnd w:id="133"/>
    <w:bookmarkEnd w:id="134"/>
    <w:bookmarkEnd w:id="135"/>
    <w:bookmarkEnd w:id="136"/>
    <w:bookmarkEnd w:id="137"/>
    <w:bookmarkEnd w:id="138"/>
    <w:bookmarkEnd w:id="139"/>
    <w:p w14:paraId="21EC8F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14:paraId="41FFC96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（1）</w:t>
      </w:r>
      <w:r>
        <w:rPr>
          <w:rFonts w:hint="eastAsia" w:ascii="仿宋" w:hAnsi="仿宋" w:eastAsia="仿宋" w:cs="仿宋"/>
          <w:sz w:val="28"/>
          <w:szCs w:val="28"/>
        </w:rPr>
        <w:t>承包人提交的竣工资料的内容：</w:t>
      </w:r>
      <w:r>
        <w:rPr>
          <w:rFonts w:hint="eastAsia" w:ascii="仿宋" w:hAnsi="仿宋" w:eastAsia="仿宋" w:cs="仿宋"/>
          <w:sz w:val="28"/>
          <w:szCs w:val="28"/>
          <w:u w:val="single"/>
        </w:rPr>
        <w:t>施工方案、隐蔽验收资料、系统调试资料、竣工图等完成竣工结算审核的全部资料</w:t>
      </w:r>
      <w:r>
        <w:rPr>
          <w:rFonts w:hint="eastAsia" w:ascii="仿宋" w:hAnsi="仿宋" w:eastAsia="仿宋" w:cs="仿宋"/>
          <w:sz w:val="28"/>
          <w:szCs w:val="28"/>
        </w:rPr>
        <w:t>。</w:t>
      </w:r>
    </w:p>
    <w:p w14:paraId="41E049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贰套</w:t>
      </w:r>
      <w:r>
        <w:rPr>
          <w:rFonts w:hint="eastAsia" w:ascii="仿宋" w:hAnsi="仿宋" w:eastAsia="仿宋" w:cs="仿宋"/>
          <w:sz w:val="28"/>
          <w:szCs w:val="28"/>
        </w:rPr>
        <w:t>。</w:t>
      </w:r>
    </w:p>
    <w:p w14:paraId="7513A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sz w:val="28"/>
          <w:szCs w:val="28"/>
          <w:u w:val="single"/>
        </w:rPr>
        <w:t>承包人</w:t>
      </w:r>
      <w:r>
        <w:rPr>
          <w:rFonts w:hint="eastAsia" w:ascii="仿宋" w:hAnsi="仿宋" w:eastAsia="仿宋" w:cs="仿宋"/>
          <w:sz w:val="28"/>
          <w:szCs w:val="28"/>
        </w:rPr>
        <w:t>。</w:t>
      </w:r>
    </w:p>
    <w:p w14:paraId="7D7E164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sz w:val="28"/>
          <w:szCs w:val="28"/>
          <w:u w:val="single"/>
        </w:rPr>
        <w:t>工程竣工验收合格后</w:t>
      </w:r>
      <w:r>
        <w:rPr>
          <w:rFonts w:hint="eastAsia" w:ascii="仿宋" w:hAnsi="仿宋" w:eastAsia="仿宋" w:cs="仿宋"/>
          <w:sz w:val="28"/>
          <w:szCs w:val="28"/>
          <w:u w:val="single"/>
          <w:lang w:val="en-US" w:eastAsia="zh-CN"/>
        </w:rPr>
        <w:t>28</w:t>
      </w:r>
      <w:r>
        <w:rPr>
          <w:rFonts w:hint="eastAsia" w:ascii="仿宋" w:hAnsi="仿宋" w:eastAsia="仿宋" w:cs="仿宋"/>
          <w:sz w:val="28"/>
          <w:szCs w:val="28"/>
          <w:u w:val="single"/>
        </w:rPr>
        <w:t>日以内</w:t>
      </w:r>
      <w:r>
        <w:rPr>
          <w:rFonts w:hint="eastAsia" w:ascii="仿宋" w:hAnsi="仿宋" w:eastAsia="仿宋" w:cs="仿宋"/>
          <w:sz w:val="28"/>
          <w:szCs w:val="28"/>
        </w:rPr>
        <w:t>。</w:t>
      </w:r>
    </w:p>
    <w:p w14:paraId="0259F7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承包人提交的竣工资料形式要求：</w:t>
      </w:r>
      <w:r>
        <w:rPr>
          <w:rFonts w:hint="eastAsia" w:ascii="仿宋" w:hAnsi="仿宋" w:eastAsia="仿宋" w:cs="仿宋"/>
          <w:sz w:val="28"/>
          <w:szCs w:val="28"/>
          <w:u w:val="single"/>
        </w:rPr>
        <w:t>装订成册的纸质全套资料（竣工图和经济资料需提供电子版本）</w:t>
      </w:r>
      <w:r>
        <w:rPr>
          <w:rFonts w:hint="eastAsia" w:ascii="仿宋" w:hAnsi="仿宋" w:eastAsia="仿宋" w:cs="仿宋"/>
          <w:sz w:val="28"/>
          <w:szCs w:val="28"/>
        </w:rPr>
        <w:t>。</w:t>
      </w:r>
    </w:p>
    <w:p w14:paraId="2E2E26F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（2）承包人应履行的其他义务：</w:t>
      </w:r>
    </w:p>
    <w:p w14:paraId="03270E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1）应提供计划、报表的名称及完成时间：</w:t>
      </w:r>
    </w:p>
    <w:p w14:paraId="11A3C04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承包人进场</w:t>
      </w:r>
      <w:r>
        <w:rPr>
          <w:rFonts w:hint="eastAsia" w:ascii="仿宋" w:hAnsi="仿宋" w:eastAsia="仿宋" w:cs="仿宋"/>
          <w:sz w:val="28"/>
          <w:szCs w:val="28"/>
          <w:u w:val="single"/>
          <w:lang w:val="en-US" w:eastAsia="zh-CN"/>
        </w:rPr>
        <w:t>5</w:t>
      </w:r>
      <w:r>
        <w:rPr>
          <w:rFonts w:hint="eastAsia" w:ascii="仿宋" w:hAnsi="仿宋" w:eastAsia="仿宋" w:cs="仿宋"/>
          <w:sz w:val="28"/>
          <w:szCs w:val="28"/>
          <w:u w:val="single"/>
        </w:rPr>
        <w:t>个工作日内</w:t>
      </w:r>
      <w:r>
        <w:rPr>
          <w:rFonts w:hint="eastAsia" w:ascii="仿宋" w:hAnsi="仿宋" w:eastAsia="仿宋" w:cs="仿宋"/>
          <w:sz w:val="28"/>
          <w:szCs w:val="28"/>
        </w:rPr>
        <w:t>提供项目总进度计划，_</w:t>
      </w:r>
      <w:r>
        <w:rPr>
          <w:rFonts w:hint="eastAsia" w:ascii="仿宋" w:hAnsi="仿宋" w:eastAsia="仿宋" w:cs="仿宋"/>
          <w:sz w:val="28"/>
          <w:szCs w:val="28"/>
          <w:u w:val="single"/>
        </w:rPr>
        <w:t>每月    日</w:t>
      </w:r>
      <w:r>
        <w:rPr>
          <w:rFonts w:hint="eastAsia" w:ascii="仿宋" w:hAnsi="仿宋" w:eastAsia="仿宋" w:cs="仿宋"/>
          <w:sz w:val="28"/>
          <w:szCs w:val="28"/>
        </w:rPr>
        <w:t>前提供下月工程进度计划报表，一式三份，先送监理单位在4日内审定后，送发包方核定，发包方在5个工作日内审定后，自留一份，返回监理方一份，承包方一份。</w:t>
      </w:r>
    </w:p>
    <w:p w14:paraId="1D9432D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2）承担施工安全保卫工作及非夜间施工照明的责任和要求：</w:t>
      </w:r>
    </w:p>
    <w:p w14:paraId="56D430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根据发包方及总监理工程师批准的施工组织设计和工程的具体情况采取相应的防护措施并负责安全保卫，费用由承包人负责。</w:t>
      </w:r>
    </w:p>
    <w:p w14:paraId="5F89636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14:paraId="1A54B42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14:paraId="0BEE3A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施工场地周围地下管线和邻近建筑物、构筑物（含文物保护建筑）、古树名木的保护要求及费用承担：承包人按照有关规定做好保护工作，如有损坏，承包人应负责修复和赔偿，保护时所发生的费用由承包人承担。</w:t>
      </w:r>
    </w:p>
    <w:p w14:paraId="3550895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投标报价内，包干使用。</w:t>
      </w:r>
    </w:p>
    <w:p w14:paraId="608055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7）双方约定承包人应做的其他工作：</w:t>
      </w:r>
    </w:p>
    <w:p w14:paraId="6CAF31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①承包人对合同工程的管理：在工程施工期间，为加强管理和认真履行合同义务，承包人应按投标文件所报名单委派项目经理和项目技术负责人，应保证及时到位并常驻现场进行对本合同工程的管理，并保持其岗位的相对稳定。</w:t>
      </w:r>
    </w:p>
    <w:p w14:paraId="3447529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②承包人的职工：本合同签定后三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投标文件所报名单委派派驻现场的各类专业技术人员和质检人员。未经监理工程师的批准，这些人员不应无故不到位或被替换；若确实无法到位或需替换，需经监理工程师批准、建管单位审核后，用同等资质和经历的人员替换；</w:t>
      </w:r>
    </w:p>
    <w:p w14:paraId="4E6FA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③安全、保卫与环境保护</w:t>
      </w:r>
    </w:p>
    <w:p w14:paraId="47C620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在实施和完成本合同工程及其缺陷的修复的整个过程中，承包人应该：</w:t>
      </w:r>
    </w:p>
    <w:p w14:paraId="28DDC9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a、充分关注和保障所有在现场工作人员的安全，采取有效措施，使现场和合同工程的实施保持有条不紊，以免使上述人员的安全受到威胁。</w:t>
      </w:r>
    </w:p>
    <w:p w14:paraId="60EA6C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b、为了保护本合同工程免遭损坏，或为了现场附近和过往群众、车辆的安全与方便，在确有必要的时候和地方，或当监理工程师或有关主管部门要求时，应自费提供照明、警卫、护棚、警示标志等安全防护设施；</w:t>
      </w:r>
    </w:p>
    <w:p w14:paraId="7742BA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c、承包人应熟悉和遵守环境保护法，并切实执行技术规范中有关环境保护方面的要求和规定。</w:t>
      </w:r>
    </w:p>
    <w:p w14:paraId="0A8AE3D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④工程的照管与维护：</w:t>
      </w:r>
    </w:p>
    <w:p w14:paraId="4163311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14:paraId="03045EF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⑤弥补损失和损害的责任；</w:t>
      </w:r>
    </w:p>
    <w:p w14:paraId="00226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在承包人负责照管与维护期间，如果本合同工程或其组成部分等损失和损害，不论出于什么原因（不可抗力除外），承包人均应自费弥补，达到合同要求。</w:t>
      </w:r>
    </w:p>
    <w:p w14:paraId="18A7A20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⑥料场使用费：</w:t>
      </w:r>
    </w:p>
    <w:p w14:paraId="6A94F9A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除另有规定外，承包人应承担并支付为获得本合同工程所需的材料等所发生的料场使用费及其他开支或补偿费。</w:t>
      </w:r>
    </w:p>
    <w:p w14:paraId="2059E1F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⑦施工对邻近房产和群众的干扰：</w:t>
      </w:r>
    </w:p>
    <w:p w14:paraId="1AF79F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14:paraId="4C4C694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⑧配合管线单位施工：</w:t>
      </w:r>
    </w:p>
    <w:p w14:paraId="0546A2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在管线单位进行施工时，承包人应按照发包人的要求在发包人指定的时间、地点为管线单位提供足够的工作面，为管线单位施工提供方便。</w:t>
      </w:r>
    </w:p>
    <w:p w14:paraId="6754432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⑨竣工验收时的现场清理：</w:t>
      </w:r>
    </w:p>
    <w:p w14:paraId="4B2FF3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14:paraId="32AA09A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14:paraId="302348EE">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 xml:space="preserve">3.2.1 </w:t>
      </w:r>
      <w:r>
        <w:rPr>
          <w:rFonts w:hint="eastAsia" w:ascii="仿宋" w:hAnsi="仿宋" w:eastAsia="仿宋" w:cs="仿宋"/>
          <w:sz w:val="28"/>
          <w:szCs w:val="28"/>
        </w:rPr>
        <w:t>项目经理：</w:t>
      </w:r>
    </w:p>
    <w:p w14:paraId="47DA400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6896117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 </w:t>
      </w:r>
      <w:r>
        <w:rPr>
          <w:rFonts w:hint="eastAsia" w:ascii="仿宋" w:hAnsi="仿宋" w:eastAsia="仿宋" w:cs="仿宋"/>
          <w:sz w:val="28"/>
          <w:szCs w:val="28"/>
        </w:rPr>
        <w:t>；</w:t>
      </w:r>
    </w:p>
    <w:p w14:paraId="7DFC385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DFBC6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5BF8E99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sz w:val="28"/>
          <w:szCs w:val="28"/>
          <w:u w:val="single"/>
        </w:rPr>
        <w:t>进行本工程的施工组织管理工作</w:t>
      </w:r>
      <w:r>
        <w:rPr>
          <w:rFonts w:hint="eastAsia" w:ascii="仿宋" w:hAnsi="仿宋" w:eastAsia="仿宋" w:cs="仿宋"/>
          <w:sz w:val="28"/>
          <w:szCs w:val="28"/>
        </w:rPr>
        <w:t>。</w:t>
      </w:r>
    </w:p>
    <w:p w14:paraId="00D1F7BC">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关于项目经理每月在施工现场的时间要求：</w:t>
      </w:r>
      <w:r>
        <w:rPr>
          <w:rFonts w:hint="eastAsia" w:ascii="仿宋" w:hAnsi="仿宋" w:eastAsia="仿宋" w:cs="仿宋"/>
          <w:sz w:val="28"/>
          <w:szCs w:val="28"/>
          <w:u w:val="single"/>
        </w:rPr>
        <w:t>项目部主要人员（项目经理、项目技术负责人、质检负责人、安全检查人员、项目工长、内业管理员等）必须常驻现场（每月不少于22天），每少一天罚款200-2000元/人。同时发包人有权拒付工程款，并保留有权终止合同，且不得返还承包人履约保证金的权利。</w:t>
      </w:r>
      <w:r>
        <w:rPr>
          <w:rFonts w:hint="eastAsia" w:ascii="仿宋" w:hAnsi="仿宋" w:eastAsia="仿宋" w:cs="仿宋"/>
          <w:sz w:val="28"/>
          <w:szCs w:val="28"/>
        </w:rPr>
        <w:t>。</w:t>
      </w:r>
    </w:p>
    <w:p w14:paraId="540356F6">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kern w:val="0"/>
          <w:sz w:val="28"/>
          <w:szCs w:val="28"/>
        </w:rPr>
        <w:t>项目经理未经批准，擅自离开施工现场的违约责任：</w:t>
      </w:r>
      <w:r>
        <w:rPr>
          <w:rFonts w:hint="eastAsia" w:ascii="仿宋" w:hAnsi="仿宋" w:eastAsia="仿宋" w:cs="仿宋"/>
          <w:sz w:val="28"/>
          <w:szCs w:val="28"/>
          <w:u w:val="single"/>
        </w:rPr>
        <w:t>罚款2000元/次</w:t>
      </w:r>
      <w:r>
        <w:rPr>
          <w:rFonts w:hint="eastAsia" w:ascii="仿宋" w:hAnsi="仿宋" w:eastAsia="仿宋" w:cs="仿宋"/>
          <w:sz w:val="28"/>
          <w:szCs w:val="28"/>
        </w:rPr>
        <w:t>。</w:t>
      </w:r>
    </w:p>
    <w:p w14:paraId="66EA5F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工程照管与成品、半成品保护</w:t>
      </w:r>
    </w:p>
    <w:p w14:paraId="505EE9D4">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承包人负责照管工程及工程相关的材料、工程设备的起始时间：</w:t>
      </w:r>
      <w:r>
        <w:rPr>
          <w:rFonts w:hint="eastAsia" w:ascii="仿宋" w:hAnsi="仿宋" w:eastAsia="仿宋" w:cs="仿宋"/>
          <w:kern w:val="0"/>
          <w:sz w:val="28"/>
          <w:szCs w:val="28"/>
          <w:u w:val="single"/>
        </w:rPr>
        <w:t>从开工之日起至工程交付发包人使用止</w:t>
      </w:r>
      <w:r>
        <w:rPr>
          <w:rFonts w:hint="eastAsia" w:ascii="仿宋" w:hAnsi="仿宋" w:eastAsia="仿宋" w:cs="仿宋"/>
          <w:kern w:val="0"/>
          <w:sz w:val="28"/>
          <w:szCs w:val="28"/>
        </w:rPr>
        <w:t>。</w:t>
      </w:r>
    </w:p>
    <w:p w14:paraId="2307B84E">
      <w:pPr>
        <w:spacing w:before="120" w:after="120" w:line="460" w:lineRule="exact"/>
        <w:ind w:firstLine="562" w:firstLineChars="200"/>
        <w:jc w:val="left"/>
        <w:rPr>
          <w:rFonts w:hint="eastAsia" w:ascii="仿宋" w:hAnsi="仿宋" w:eastAsia="仿宋" w:cs="仿宋"/>
          <w:b/>
          <w:sz w:val="28"/>
          <w:szCs w:val="28"/>
        </w:rPr>
      </w:pPr>
      <w:bookmarkStart w:id="140" w:name="_Toc296346663"/>
      <w:bookmarkStart w:id="141" w:name="_Toc296891202"/>
      <w:bookmarkStart w:id="142" w:name="_Toc296347161"/>
      <w:bookmarkStart w:id="143" w:name="_Toc296890990"/>
      <w:bookmarkStart w:id="144" w:name="_Toc296503162"/>
      <w:bookmarkStart w:id="145" w:name="_Toc297048348"/>
      <w:bookmarkStart w:id="146" w:name="_Toc267251413"/>
      <w:bookmarkStart w:id="147" w:name="_Toc292559871"/>
      <w:bookmarkStart w:id="148" w:name="_Toc296944501"/>
      <w:bookmarkStart w:id="149" w:name="_Toc292559366"/>
      <w:bookmarkStart w:id="150" w:name="_Toc297120462"/>
      <w:r>
        <w:rPr>
          <w:rFonts w:hint="eastAsia" w:ascii="仿宋" w:hAnsi="仿宋" w:eastAsia="仿宋" w:cs="仿宋"/>
          <w:b/>
          <w:sz w:val="28"/>
          <w:szCs w:val="28"/>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rPr>
        <w:t>理人</w:t>
      </w:r>
    </w:p>
    <w:p w14:paraId="48B025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4.1监理人的一般规定</w:t>
      </w:r>
    </w:p>
    <w:p w14:paraId="6C71F8C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关于监理人的监理内容：</w:t>
      </w:r>
      <w:r>
        <w:rPr>
          <w:rFonts w:hint="eastAsia" w:ascii="仿宋" w:hAnsi="仿宋" w:eastAsia="仿宋" w:cs="仿宋"/>
          <w:sz w:val="28"/>
          <w:szCs w:val="28"/>
          <w:u w:val="single"/>
        </w:rPr>
        <w:t>承担工程质量、安全_、施工进度的监督（参与本工程全过程施工工程质量、安全生产的监督），包括后期签证、变更、结算审核等相关内容。</w:t>
      </w:r>
    </w:p>
    <w:p w14:paraId="5CD97F6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sz w:val="28"/>
          <w:szCs w:val="28"/>
          <w:u w:val="single"/>
        </w:rPr>
        <w:t>重大工程的计量、增加清单以外的工程项目、设计变更、单价调整等。</w:t>
      </w:r>
      <w:r>
        <w:rPr>
          <w:rFonts w:hint="eastAsia" w:ascii="仿宋" w:hAnsi="仿宋" w:eastAsia="仿宋" w:cs="仿宋"/>
          <w:sz w:val="28"/>
          <w:szCs w:val="28"/>
        </w:rPr>
        <w:t xml:space="preserve">。 </w:t>
      </w:r>
    </w:p>
    <w:p w14:paraId="2C1E262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14:paraId="72F5B5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总监理工程师：</w:t>
      </w:r>
    </w:p>
    <w:p w14:paraId="6D0A995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448B73E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u w:val="single"/>
        </w:rPr>
        <w:t> </w:t>
      </w:r>
      <w:r>
        <w:rPr>
          <w:rFonts w:hint="eastAsia" w:ascii="仿宋" w:hAnsi="仿宋" w:eastAsia="仿宋" w:cs="仿宋"/>
          <w:sz w:val="28"/>
          <w:szCs w:val="28"/>
        </w:rPr>
        <w:t>；</w:t>
      </w:r>
    </w:p>
    <w:p w14:paraId="6A3DC0B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u w:val="single"/>
        </w:rPr>
        <w:t></w:t>
      </w:r>
      <w:r>
        <w:rPr>
          <w:rFonts w:hint="eastAsia" w:ascii="仿宋" w:hAnsi="仿宋" w:eastAsia="仿宋" w:cs="仿宋"/>
          <w:sz w:val="28"/>
          <w:szCs w:val="28"/>
        </w:rPr>
        <w:t>；</w:t>
      </w:r>
    </w:p>
    <w:p w14:paraId="3555F1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66AEE61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 </w:t>
      </w:r>
      <w:r>
        <w:rPr>
          <w:rFonts w:hint="eastAsia" w:ascii="仿宋" w:hAnsi="仿宋" w:eastAsia="仿宋" w:cs="仿宋"/>
          <w:sz w:val="28"/>
          <w:szCs w:val="28"/>
        </w:rPr>
        <w:t>；</w:t>
      </w:r>
    </w:p>
    <w:p w14:paraId="0C75442B">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通信地址：</w:t>
      </w:r>
      <w:r>
        <w:rPr>
          <w:rFonts w:hint="eastAsia" w:ascii="仿宋" w:hAnsi="仿宋" w:eastAsia="仿宋" w:cs="仿宋"/>
          <w:sz w:val="28"/>
          <w:szCs w:val="28"/>
          <w:u w:val="single"/>
        </w:rPr>
        <w:t>   </w:t>
      </w:r>
      <w:r>
        <w:rPr>
          <w:rFonts w:hint="eastAsia" w:ascii="仿宋" w:hAnsi="仿宋" w:eastAsia="仿宋" w:cs="仿宋"/>
          <w:sz w:val="28"/>
          <w:szCs w:val="28"/>
        </w:rPr>
        <w:t>；关于监理人的其他约定：</w:t>
      </w:r>
      <w:r>
        <w:rPr>
          <w:rFonts w:hint="eastAsia" w:ascii="仿宋" w:hAnsi="仿宋" w:eastAsia="仿宋" w:cs="仿宋"/>
          <w:sz w:val="28"/>
          <w:szCs w:val="28"/>
          <w:u w:val="single"/>
        </w:rPr>
        <w:t>对工程施工过程中质量、进度、造价、安全生产、文明施工及质量缺陷进行全过程监理。</w:t>
      </w:r>
    </w:p>
    <w:p w14:paraId="236F7A6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 商定或确定</w:t>
      </w:r>
    </w:p>
    <w:p w14:paraId="58E74151">
      <w:pPr>
        <w:spacing w:line="460" w:lineRule="exact"/>
        <w:ind w:firstLine="560" w:firstLineChars="200"/>
        <w:rPr>
          <w:rFonts w:hint="eastAsia" w:ascii="仿宋" w:hAnsi="仿宋" w:eastAsia="仿宋" w:cs="仿宋"/>
          <w:sz w:val="28"/>
          <w:szCs w:val="28"/>
        </w:rPr>
      </w:pPr>
      <w:bookmarkStart w:id="151" w:name="_Toc267251418"/>
      <w:r>
        <w:rPr>
          <w:rFonts w:hint="eastAsia" w:ascii="仿宋" w:hAnsi="仿宋" w:eastAsia="仿宋" w:cs="仿宋"/>
          <w:sz w:val="28"/>
          <w:szCs w:val="28"/>
        </w:rPr>
        <w:t>在发包人和承包人不能通过协商达成一致意见时，发包人授权监理人对以下事项进行确定：</w:t>
      </w:r>
      <w:bookmarkStart w:id="152" w:name="_Toc351203637"/>
      <w:r>
        <w:rPr>
          <w:rFonts w:hint="eastAsia" w:ascii="仿宋" w:hAnsi="仿宋" w:eastAsia="仿宋" w:cs="仿宋"/>
          <w:sz w:val="28"/>
          <w:szCs w:val="28"/>
          <w:u w:val="single"/>
        </w:rPr>
        <w:t>发包人、监理人和承包人共同协商。</w:t>
      </w:r>
    </w:p>
    <w:p w14:paraId="5BDA1C7F">
      <w:pPr>
        <w:spacing w:before="120" w:after="120"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w:t>
      </w:r>
      <w:bookmarkEnd w:id="151"/>
      <w:bookmarkStart w:id="153" w:name="_Toc297048349"/>
      <w:bookmarkStart w:id="154" w:name="_Toc296890991"/>
      <w:bookmarkStart w:id="155" w:name="_Toc292559872"/>
      <w:bookmarkStart w:id="156" w:name="_Toc296944502"/>
      <w:bookmarkStart w:id="157" w:name="_Toc296346664"/>
      <w:bookmarkStart w:id="158" w:name="_Toc296347162"/>
      <w:bookmarkStart w:id="159" w:name="_Toc296891203"/>
      <w:bookmarkStart w:id="160" w:name="_Toc296503163"/>
      <w:bookmarkStart w:id="161" w:name="_Toc292559367"/>
      <w:bookmarkStart w:id="162" w:name="_Toc297120463"/>
      <w:r>
        <w:rPr>
          <w:rFonts w:hint="eastAsia" w:ascii="仿宋" w:hAnsi="仿宋" w:eastAsia="仿宋" w:cs="仿宋"/>
          <w:b/>
          <w:sz w:val="28"/>
          <w:szCs w:val="28"/>
        </w:rPr>
        <w:t>. 工程质量</w:t>
      </w:r>
      <w:bookmarkEnd w:id="152"/>
    </w:p>
    <w:p w14:paraId="12CF26B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14:paraId="26D4A49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特殊质量标准和要求：</w:t>
      </w:r>
      <w:r>
        <w:rPr>
          <w:rFonts w:hint="eastAsia" w:ascii="仿宋" w:hAnsi="仿宋" w:eastAsia="仿宋" w:cs="仿宋"/>
          <w:sz w:val="28"/>
          <w:szCs w:val="28"/>
          <w:u w:val="single"/>
        </w:rPr>
        <w:t>按现行质量验收合格标准执行</w:t>
      </w:r>
      <w:r>
        <w:rPr>
          <w:rFonts w:hint="eastAsia" w:ascii="仿宋" w:hAnsi="仿宋" w:eastAsia="仿宋" w:cs="仿宋"/>
          <w:sz w:val="28"/>
          <w:szCs w:val="28"/>
        </w:rPr>
        <w:t>。</w:t>
      </w:r>
    </w:p>
    <w:p w14:paraId="00B0415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前施工单位须提供第三方专业空气质量检测单位（须取得了中国计量认证（CMA）的资质认定）检测合格的报告（检测指标包括TVOC、甲醛、苯、氨、氡），检测要求按照GB50325-2010（2013版）执行，否则不予验收。</w:t>
      </w:r>
    </w:p>
    <w:p w14:paraId="4C9E490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5.2隐蔽工程检查</w:t>
      </w:r>
    </w:p>
    <w:p w14:paraId="3130C01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承包人提前通知监理人隐蔽工程检查的期限的约定：</w:t>
      </w:r>
      <w:r>
        <w:rPr>
          <w:rFonts w:hint="eastAsia" w:ascii="仿宋" w:hAnsi="仿宋" w:eastAsia="仿宋" w:cs="仿宋"/>
          <w:sz w:val="28"/>
          <w:szCs w:val="28"/>
          <w:u w:val="single"/>
        </w:rPr>
        <w:t>提前2天通知监理人和发包人</w:t>
      </w:r>
      <w:r>
        <w:rPr>
          <w:rFonts w:hint="eastAsia" w:ascii="仿宋" w:hAnsi="仿宋" w:eastAsia="仿宋" w:cs="仿宋"/>
          <w:sz w:val="28"/>
          <w:szCs w:val="28"/>
        </w:rPr>
        <w:t>。</w:t>
      </w:r>
    </w:p>
    <w:p w14:paraId="72743C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24</w:t>
      </w:r>
      <w:r>
        <w:rPr>
          <w:rFonts w:hint="eastAsia" w:ascii="仿宋" w:hAnsi="仿宋" w:eastAsia="仿宋" w:cs="仿宋"/>
          <w:sz w:val="28"/>
          <w:szCs w:val="28"/>
        </w:rPr>
        <w:t>小时提交书面延期要求。</w:t>
      </w:r>
    </w:p>
    <w:p w14:paraId="530407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24</w:t>
      </w:r>
      <w:r>
        <w:rPr>
          <w:rFonts w:hint="eastAsia" w:ascii="仿宋" w:hAnsi="仿宋" w:eastAsia="仿宋" w:cs="仿宋"/>
          <w:sz w:val="28"/>
          <w:szCs w:val="28"/>
        </w:rPr>
        <w:t>小时。</w:t>
      </w:r>
    </w:p>
    <w:p w14:paraId="12B63726">
      <w:pPr>
        <w:spacing w:before="120" w:after="120" w:line="460" w:lineRule="exact"/>
        <w:ind w:firstLine="562" w:firstLineChars="200"/>
        <w:jc w:val="left"/>
        <w:rPr>
          <w:rFonts w:hint="eastAsia" w:ascii="仿宋" w:hAnsi="仿宋" w:eastAsia="仿宋" w:cs="仿宋"/>
          <w:b/>
          <w:sz w:val="28"/>
          <w:szCs w:val="28"/>
        </w:rPr>
      </w:pPr>
      <w:bookmarkStart w:id="163" w:name="_Toc351203638"/>
      <w:r>
        <w:rPr>
          <w:rFonts w:hint="eastAsia" w:ascii="仿宋" w:hAnsi="仿宋" w:eastAsia="仿宋" w:cs="仿宋"/>
          <w:b/>
          <w:sz w:val="28"/>
          <w:szCs w:val="28"/>
        </w:rPr>
        <w:t>6. 安全文明施工与环境保护</w:t>
      </w:r>
      <w:bookmarkEnd w:id="163"/>
    </w:p>
    <w:p w14:paraId="662D2D10">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承包人应按照法律规定进行施工，开工前做好安全技术交底工作，施工过程中做好各项安全防护措施。</w:t>
      </w:r>
    </w:p>
    <w:p w14:paraId="3602580E">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承包人在工程施工期间，应当采取措施保持施工现场平整，物料堆放整齐。工程所在地有关政府行政管理部门有特殊要求的，按照其要求执行。</w:t>
      </w:r>
    </w:p>
    <w:p w14:paraId="2F6989BA">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7</w:t>
      </w:r>
      <w:bookmarkStart w:id="164" w:name="_Toc297123516"/>
      <w:bookmarkStart w:id="165" w:name="_Toc297216175"/>
      <w:bookmarkStart w:id="166" w:name="_Toc312677484"/>
      <w:bookmarkStart w:id="167" w:name="_Toc300934968"/>
      <w:bookmarkStart w:id="168" w:name="_Toc312678010"/>
      <w:bookmarkStart w:id="169" w:name="_Toc304295546"/>
      <w:bookmarkStart w:id="170" w:name="_Toc303539125"/>
      <w:r>
        <w:rPr>
          <w:rFonts w:hint="eastAsia" w:ascii="仿宋" w:hAnsi="仿宋" w:eastAsia="仿宋" w:cs="仿宋"/>
          <w:b/>
          <w:sz w:val="28"/>
          <w:szCs w:val="28"/>
        </w:rPr>
        <w:t>. 工期延误</w:t>
      </w:r>
    </w:p>
    <w:bookmarkEnd w:id="164"/>
    <w:bookmarkEnd w:id="165"/>
    <w:bookmarkEnd w:id="166"/>
    <w:bookmarkEnd w:id="167"/>
    <w:bookmarkEnd w:id="168"/>
    <w:bookmarkEnd w:id="169"/>
    <w:bookmarkEnd w:id="170"/>
    <w:p w14:paraId="37D76C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1 因发包人原因导致工期延误</w:t>
      </w:r>
    </w:p>
    <w:p w14:paraId="194A96A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工期顺延，合同价不改变。</w:t>
      </w:r>
    </w:p>
    <w:p w14:paraId="277F94D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w:t>
      </w:r>
      <w:bookmarkStart w:id="171" w:name="_Toc318581169"/>
      <w:bookmarkStart w:id="172" w:name="_Toc312677486"/>
      <w:bookmarkStart w:id="173" w:name="_Toc312678012"/>
      <w:bookmarkStart w:id="174" w:name="_Toc297216177"/>
      <w:bookmarkStart w:id="175" w:name="_Toc303539127"/>
      <w:bookmarkStart w:id="176" w:name="_Toc300934970"/>
      <w:bookmarkStart w:id="177" w:name="_Toc297123518"/>
      <w:bookmarkStart w:id="178" w:name="_Toc304295548"/>
      <w:r>
        <w:rPr>
          <w:rFonts w:hint="eastAsia" w:ascii="仿宋" w:hAnsi="仿宋" w:eastAsia="仿宋" w:cs="仿宋"/>
          <w:sz w:val="28"/>
          <w:szCs w:val="28"/>
        </w:rPr>
        <w:t>.2 因承包人原因导致工期延误</w:t>
      </w:r>
    </w:p>
    <w:bookmarkEnd w:id="171"/>
    <w:bookmarkEnd w:id="172"/>
    <w:bookmarkEnd w:id="173"/>
    <w:p w14:paraId="0714E38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w:t>
      </w:r>
      <w:bookmarkStart w:id="179" w:name="_Toc312678013"/>
      <w:bookmarkStart w:id="180" w:name="_Toc312677487"/>
      <w:bookmarkStart w:id="181"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sz w:val="28"/>
          <w:szCs w:val="28"/>
          <w:u w:val="single"/>
        </w:rPr>
        <w:t>工期每拖延1天支付合同结算金额的0.1%的违约金</w:t>
      </w:r>
      <w:r>
        <w:rPr>
          <w:rFonts w:hint="eastAsia" w:ascii="仿宋" w:hAnsi="仿宋" w:eastAsia="仿宋" w:cs="仿宋"/>
          <w:sz w:val="28"/>
          <w:szCs w:val="28"/>
        </w:rPr>
        <w:t>。</w:t>
      </w:r>
      <w:bookmarkEnd w:id="174"/>
      <w:bookmarkEnd w:id="175"/>
      <w:bookmarkEnd w:id="176"/>
      <w:bookmarkEnd w:id="177"/>
      <w:bookmarkEnd w:id="178"/>
      <w:bookmarkEnd w:id="179"/>
      <w:bookmarkEnd w:id="180"/>
    </w:p>
    <w:bookmarkEnd w:id="181"/>
    <w:p w14:paraId="75C111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82" w:name="_Toc318581171"/>
      <w:bookmarkStart w:id="183" w:name="_Toc312678014"/>
      <w:r>
        <w:rPr>
          <w:rFonts w:hint="eastAsia" w:ascii="仿宋" w:hAnsi="仿宋" w:eastAsia="仿宋" w:cs="仿宋"/>
          <w:sz w:val="28"/>
          <w:szCs w:val="28"/>
        </w:rPr>
        <w:t>期竣工违约金的上限：</w:t>
      </w:r>
      <w:r>
        <w:rPr>
          <w:rFonts w:hint="eastAsia" w:ascii="仿宋" w:hAnsi="仿宋" w:eastAsia="仿宋" w:cs="仿宋"/>
          <w:sz w:val="28"/>
          <w:szCs w:val="28"/>
          <w:u w:val="single"/>
        </w:rPr>
        <w:t>合同价款的10%</w:t>
      </w:r>
      <w:r>
        <w:rPr>
          <w:rFonts w:hint="eastAsia" w:ascii="仿宋" w:hAnsi="仿宋" w:eastAsia="仿宋" w:cs="仿宋"/>
          <w:sz w:val="28"/>
          <w:szCs w:val="28"/>
        </w:rPr>
        <w:t>。</w:t>
      </w:r>
    </w:p>
    <w:bookmarkEnd w:id="182"/>
    <w:bookmarkEnd w:id="183"/>
    <w:p w14:paraId="2FC185A7">
      <w:pPr>
        <w:spacing w:before="120" w:after="120" w:line="460" w:lineRule="exact"/>
        <w:ind w:firstLine="562" w:firstLineChars="200"/>
        <w:jc w:val="left"/>
        <w:rPr>
          <w:rFonts w:hint="eastAsia" w:ascii="仿宋" w:hAnsi="仿宋" w:eastAsia="仿宋" w:cs="仿宋"/>
          <w:b/>
          <w:sz w:val="28"/>
          <w:szCs w:val="28"/>
        </w:rPr>
      </w:pPr>
      <w:bookmarkStart w:id="184" w:name="_Toc351203640"/>
      <w:r>
        <w:rPr>
          <w:rFonts w:hint="eastAsia" w:ascii="仿宋" w:hAnsi="仿宋" w:eastAsia="仿宋" w:cs="仿宋"/>
          <w:b/>
          <w:sz w:val="28"/>
          <w:szCs w:val="28"/>
        </w:rPr>
        <w:t>8. 材料与设备</w:t>
      </w:r>
      <w:bookmarkEnd w:id="184"/>
    </w:p>
    <w:p w14:paraId="48E9458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8.1承包人采购材料与工程设备</w:t>
      </w:r>
    </w:p>
    <w:p w14:paraId="75A0A1DC">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承包人应按照设计和有关标准要求采购，并提供产品合格证明及出厂证明，对材料、工程设备质量负责。</w:t>
      </w:r>
    </w:p>
    <w:p w14:paraId="79DAAB63">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对于招标文件“材料、设备品牌/厂家参考表”表中的材料（设备），承包人在实施采购前，必须报发包人同意后才能进行采购。招标文件“材料、设备品牌/厂家参考表”表以外的主要材料（设备），承包人在实施采购前，必须报发包人、监理人同意后方可进行采购，以上两种情况中标所报单价均不调整。若有特殊原因需更换品牌，在采购前2个月报监理人及发包人，经监理人及发包人认可后方能采购。</w:t>
      </w:r>
      <w:r>
        <w:rPr>
          <w:rFonts w:hint="eastAsia" w:ascii="仿宋" w:hAnsi="仿宋" w:eastAsia="仿宋" w:cs="仿宋"/>
          <w:b/>
          <w:sz w:val="28"/>
          <w:szCs w:val="28"/>
          <w:u w:val="single"/>
        </w:rPr>
        <w:t>未经发包人进行质量认定的主要材料，不得用于本工程项目，若因此给发包人造成的损失则由承包人承担。</w:t>
      </w:r>
    </w:p>
    <w:p w14:paraId="1F8980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14:paraId="34DAB45E">
      <w:pPr>
        <w:spacing w:line="460" w:lineRule="exact"/>
        <w:ind w:firstLine="560" w:firstLineChars="200"/>
        <w:jc w:val="left"/>
        <w:rPr>
          <w:rFonts w:hint="eastAsia" w:ascii="仿宋" w:hAnsi="仿宋" w:eastAsia="仿宋" w:cs="仿宋"/>
          <w:kern w:val="0"/>
          <w:sz w:val="28"/>
          <w:szCs w:val="28"/>
          <w:u w:val="single"/>
        </w:rPr>
      </w:pPr>
      <w:bookmarkStart w:id="185" w:name="_Toc296890996"/>
      <w:bookmarkStart w:id="186" w:name="_Toc296944507"/>
      <w:bookmarkStart w:id="187" w:name="_Toc296346669"/>
      <w:bookmarkStart w:id="188" w:name="_Toc297120468"/>
      <w:bookmarkStart w:id="189" w:name="_Toc280868656"/>
      <w:bookmarkStart w:id="190" w:name="_Toc297216187"/>
      <w:bookmarkStart w:id="191" w:name="_Toc303539137"/>
      <w:bookmarkStart w:id="192" w:name="_Toc297123528"/>
      <w:bookmarkStart w:id="193" w:name="_Toc267251424"/>
      <w:bookmarkStart w:id="194" w:name="_Toc280868655"/>
      <w:bookmarkStart w:id="195" w:name="_Toc304295557"/>
      <w:bookmarkStart w:id="196" w:name="_Toc296347167"/>
      <w:bookmarkStart w:id="197" w:name="_Toc296503168"/>
      <w:bookmarkStart w:id="198" w:name="_Toc312678020"/>
      <w:bookmarkStart w:id="199" w:name="_Toc296891208"/>
      <w:bookmarkStart w:id="200" w:name="_Toc312677494"/>
      <w:bookmarkStart w:id="201" w:name="_Toc297048354"/>
      <w:bookmarkStart w:id="202" w:name="_Toc300934980"/>
      <w:bookmarkStart w:id="203" w:name="_Toc318581173"/>
      <w:r>
        <w:rPr>
          <w:rFonts w:hint="eastAsia" w:ascii="仿宋" w:hAnsi="仿宋" w:eastAsia="仿宋" w:cs="仿宋"/>
          <w:sz w:val="28"/>
          <w:szCs w:val="28"/>
        </w:rPr>
        <w:t>8.2 样品</w:t>
      </w:r>
    </w:p>
    <w:p w14:paraId="35789FC6">
      <w:pPr>
        <w:autoSpaceDE w:val="0"/>
        <w:autoSpaceDN w:val="0"/>
        <w:adjustRightInd w:val="0"/>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样品的报送与封存</w:t>
      </w:r>
    </w:p>
    <w:p w14:paraId="39DAFED1">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需要承包人报送样品的材料或工程设备，样品的种类、名称、规格、数量要求：</w:t>
      </w:r>
      <w:r>
        <w:rPr>
          <w:rFonts w:hint="eastAsia" w:ascii="仿宋" w:hAnsi="仿宋" w:eastAsia="仿宋" w:cs="仿宋"/>
          <w:sz w:val="28"/>
          <w:szCs w:val="28"/>
          <w:u w:val="single"/>
        </w:rPr>
        <w:t>材料在采购前应将样品送发包人，经发包人认可进行封样后方可进行采购，承包人投标时已将可能发生的费用自行充分考虑在报价中包干使用，不另行签证</w:t>
      </w:r>
      <w:r>
        <w:rPr>
          <w:rFonts w:hint="eastAsia" w:ascii="仿宋" w:hAnsi="仿宋" w:eastAsia="仿宋" w:cs="仿宋"/>
          <w:sz w:val="28"/>
          <w:szCs w:val="28"/>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7823E216">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04" w:name="_Toc304295566"/>
      <w:bookmarkStart w:id="205" w:name="_Toc296944532"/>
      <w:bookmarkStart w:id="206" w:name="_Toc296347192"/>
      <w:bookmarkStart w:id="207" w:name="_Toc297123540"/>
      <w:bookmarkStart w:id="208" w:name="_Toc297120493"/>
      <w:bookmarkStart w:id="209" w:name="_Toc296346694"/>
      <w:bookmarkStart w:id="210" w:name="_Toc292559903"/>
      <w:bookmarkStart w:id="211" w:name="_Toc297216199"/>
      <w:bookmarkStart w:id="212" w:name="_Toc292559398"/>
      <w:bookmarkStart w:id="213" w:name="_Toc296891233"/>
      <w:bookmarkStart w:id="214" w:name="_Toc297048379"/>
      <w:bookmarkStart w:id="215" w:name="_Toc300934989"/>
      <w:bookmarkStart w:id="216" w:name="_Toc351203642"/>
      <w:bookmarkStart w:id="217" w:name="_Toc296503193"/>
      <w:bookmarkStart w:id="218" w:name="_Toc303539146"/>
      <w:bookmarkStart w:id="219" w:name="_Toc296891021"/>
      <w:bookmarkStart w:id="220" w:name="_Toc312678025"/>
      <w:bookmarkStart w:id="221" w:name="_Toc312677499"/>
      <w:bookmarkStart w:id="222" w:name="_Toc267251437"/>
      <w:bookmarkStart w:id="223" w:name="_Toc267251440"/>
      <w:bookmarkStart w:id="224" w:name="_Toc267251435"/>
      <w:bookmarkStart w:id="225" w:name="_Toc267251439"/>
      <w:bookmarkStart w:id="226" w:name="_Toc267251433"/>
      <w:bookmarkStart w:id="227" w:name="_Toc267251441"/>
      <w:r>
        <w:rPr>
          <w:rFonts w:hint="eastAsia" w:ascii="仿宋" w:hAnsi="仿宋" w:eastAsia="仿宋" w:cs="仿宋"/>
          <w:b/>
          <w:sz w:val="28"/>
          <w:szCs w:val="28"/>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14:paraId="62D27F5A">
      <w:pPr>
        <w:spacing w:line="460" w:lineRule="exact"/>
        <w:ind w:firstLine="560" w:firstLineChars="200"/>
        <w:rPr>
          <w:rFonts w:hint="eastAsia" w:ascii="仿宋" w:hAnsi="仿宋" w:eastAsia="仿宋" w:cs="仿宋"/>
          <w:sz w:val="28"/>
          <w:szCs w:val="28"/>
        </w:rPr>
      </w:pPr>
      <w:bookmarkStart w:id="228" w:name="_Toc296891234"/>
      <w:bookmarkStart w:id="229" w:name="_Toc303539147"/>
      <w:bookmarkStart w:id="230" w:name="_Toc292559399"/>
      <w:bookmarkStart w:id="231" w:name="_Toc297048380"/>
      <w:bookmarkStart w:id="232" w:name="_Toc297216200"/>
      <w:bookmarkStart w:id="233" w:name="_Toc312677500"/>
      <w:bookmarkStart w:id="234" w:name="_Toc300934990"/>
      <w:bookmarkStart w:id="235" w:name="_Toc296944533"/>
      <w:bookmarkStart w:id="236" w:name="_Toc297123541"/>
      <w:bookmarkStart w:id="237" w:name="_Toc296346695"/>
      <w:bookmarkStart w:id="238" w:name="_Toc296891022"/>
      <w:bookmarkStart w:id="239" w:name="_Toc296503194"/>
      <w:bookmarkStart w:id="240" w:name="_Toc297120494"/>
      <w:bookmarkStart w:id="241" w:name="_Toc292559904"/>
      <w:bookmarkStart w:id="242" w:name="_Toc296347193"/>
      <w:bookmarkStart w:id="243" w:name="_Toc312678026"/>
      <w:bookmarkStart w:id="244" w:name="_Toc304295567"/>
      <w:r>
        <w:rPr>
          <w:rFonts w:hint="eastAsia" w:ascii="仿宋" w:hAnsi="仿宋" w:eastAsia="仿宋" w:cs="仿宋"/>
          <w:sz w:val="28"/>
          <w:szCs w:val="28"/>
        </w:rPr>
        <w:t>9.1变更的范围</w:t>
      </w:r>
    </w:p>
    <w:p w14:paraId="65137F59">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关于变更的范围的约定：</w:t>
      </w:r>
      <w:r>
        <w:rPr>
          <w:rFonts w:hint="eastAsia" w:ascii="仿宋" w:hAnsi="仿宋" w:eastAsia="仿宋" w:cs="仿宋"/>
          <w:sz w:val="28"/>
          <w:szCs w:val="28"/>
          <w:u w:val="single"/>
        </w:rPr>
        <w:t>由发包人确定。</w:t>
      </w:r>
    </w:p>
    <w:p w14:paraId="00D0D1F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变更估价</w:t>
      </w:r>
    </w:p>
    <w:p w14:paraId="10CF38F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变更估价原则:关于变更估价的约定按下列方法进行：</w:t>
      </w:r>
    </w:p>
    <w:p w14:paraId="63AC044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1）已标价工程量清单中已有适用于变更工程的价格，按已标价工程量清单中已有的价格变更合同价款；</w:t>
      </w:r>
    </w:p>
    <w:p w14:paraId="1667B66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2）已标价工程量清单中只有类似于变更工程的价格，可以参照类似价格变更合同价款。</w:t>
      </w:r>
    </w:p>
    <w:p w14:paraId="2D78E09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14:paraId="14C2A5D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3）已标价工程量清单中没有适用或类似于变更工程价格的，该项目需重新确定综合单价。</w:t>
      </w:r>
    </w:p>
    <w:p w14:paraId="3FF9AC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重新确定综合单价办法：按2020《四川省建设工程工程量清单计价定额》及相关配套文件组价后乘以投标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7DE2E559">
      <w:pPr>
        <w:spacing w:line="460" w:lineRule="exact"/>
        <w:ind w:firstLine="560" w:firstLineChars="200"/>
        <w:rPr>
          <w:rFonts w:hint="eastAsia" w:ascii="仿宋" w:hAnsi="仿宋" w:eastAsia="仿宋" w:cs="仿宋"/>
          <w:sz w:val="28"/>
          <w:szCs w:val="28"/>
        </w:rPr>
      </w:pPr>
      <w:bookmarkStart w:id="245" w:name="_Toc296503091"/>
      <w:bookmarkStart w:id="246" w:name="_Toc296346592"/>
      <w:bookmarkStart w:id="247" w:name="_Toc351203576"/>
      <w:bookmarkStart w:id="248" w:name="_Toc337558796"/>
      <w:r>
        <w:rPr>
          <w:rFonts w:hint="eastAsia" w:ascii="仿宋" w:hAnsi="仿宋" w:eastAsia="仿宋" w:cs="仿宋"/>
          <w:sz w:val="28"/>
          <w:szCs w:val="28"/>
        </w:rPr>
        <w:t>9.3计日工</w:t>
      </w:r>
      <w:bookmarkEnd w:id="245"/>
      <w:bookmarkEnd w:id="246"/>
      <w:bookmarkEnd w:id="247"/>
      <w:bookmarkEnd w:id="248"/>
    </w:p>
    <w:p w14:paraId="1488885A">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14:paraId="791B853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9.4暂列金</w:t>
      </w:r>
    </w:p>
    <w:p w14:paraId="236DA089">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暂列金属于发包人所有。只能按照监理人的指示并在发包人同意后使用，并对合同价格进行相应调整。</w:t>
      </w:r>
    </w:p>
    <w:p w14:paraId="21AADF54">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49" w:name="_Toc351203643"/>
      <w:r>
        <w:rPr>
          <w:rFonts w:hint="eastAsia" w:ascii="仿宋" w:hAnsi="仿宋" w:eastAsia="仿宋" w:cs="仿宋"/>
          <w:b/>
          <w:sz w:val="28"/>
          <w:szCs w:val="28"/>
        </w:rPr>
        <w:t>10. 价格调整</w:t>
      </w:r>
      <w:bookmarkEnd w:id="249"/>
    </w:p>
    <w:p w14:paraId="13877A0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1)新增材料价格确定采用造价信息进行价格调整。信息价中没有的材料由发包人组织认质认价确定。</w:t>
      </w:r>
    </w:p>
    <w:p w14:paraId="037BAC30">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a.圆钢（Φ10以内）、圆钢（Φ10以上）、螺纹钢HRB400、HRB400E，均以成都市《工程造价信息》中“市(区)县市场价格”中成都市的市场综合价作为施工当期信息价。</w:t>
      </w:r>
    </w:p>
    <w:p w14:paraId="4AE78BC9">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b.钢结构中钢材（Q345B，Q235B，Q235等）均按成都市《工程造价信息》 “市场价格”中成都市的市场价格中厚板（Q235（各种厚度））的信息价作为施工当期信息价。</w:t>
      </w:r>
    </w:p>
    <w:p w14:paraId="1B22D378">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c.安装工程中的钢材可调价材料范围中热镀锌钢管仅指管材，各种类型、用量、连接方式的管件应体现在相应清单项目中并包干使用不做调整，可调材料均按成都市《工程造价信息》“市场价格”中成都市的市场价格中相应材料的信息价作为施工当期信息价。</w:t>
      </w:r>
    </w:p>
    <w:p w14:paraId="7C1C17EB">
      <w:pPr>
        <w:spacing w:line="460" w:lineRule="exact"/>
        <w:ind w:firstLine="536" w:firstLineChars="200"/>
        <w:jc w:val="left"/>
        <w:rPr>
          <w:rFonts w:hint="eastAsia" w:ascii="仿宋" w:hAnsi="仿宋" w:eastAsia="仿宋" w:cs="仿宋"/>
          <w:sz w:val="28"/>
          <w:szCs w:val="28"/>
        </w:rPr>
      </w:pPr>
      <w:r>
        <w:rPr>
          <w:rFonts w:hint="eastAsia" w:ascii="仿宋" w:hAnsi="仿宋" w:eastAsia="仿宋" w:cs="仿宋"/>
          <w:spacing w:val="-6"/>
          <w:sz w:val="28"/>
          <w:szCs w:val="28"/>
        </w:rPr>
        <w:t>d.商品砼（所有强度等级）均按成都市《工程造价信息》“市场价格”中成都市的市场价格中相应砼标号的（碎石最大粒径20mm（包含三环路以内工地运输费））的信息价作为施工当期信息价。防水商品砼按成都市《工程造价信息》“市场价格”中成都市的市场价格中相应砼强度等级及抗渗等级商品砼的信息价作为施工当期信息价。</w:t>
      </w:r>
    </w:p>
    <w:p w14:paraId="032BA5C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2)可调材料价格调整:本项目无可调材料。</w:t>
      </w:r>
    </w:p>
    <w:bookmarkEnd w:id="222"/>
    <w:bookmarkEnd w:id="223"/>
    <w:bookmarkEnd w:id="224"/>
    <w:bookmarkEnd w:id="225"/>
    <w:bookmarkEnd w:id="226"/>
    <w:bookmarkEnd w:id="227"/>
    <w:p w14:paraId="3D49A49B">
      <w:pPr>
        <w:spacing w:before="120" w:after="120" w:line="460" w:lineRule="exact"/>
        <w:ind w:firstLine="562" w:firstLineChars="200"/>
        <w:jc w:val="left"/>
        <w:rPr>
          <w:rFonts w:hint="eastAsia" w:ascii="仿宋" w:hAnsi="仿宋" w:eastAsia="仿宋" w:cs="仿宋"/>
          <w:b/>
          <w:sz w:val="28"/>
          <w:szCs w:val="28"/>
        </w:rPr>
      </w:pPr>
      <w:bookmarkStart w:id="250" w:name="_Toc296891245"/>
      <w:bookmarkStart w:id="251" w:name="_Toc292559915"/>
      <w:bookmarkStart w:id="252" w:name="_Toc296891033"/>
      <w:bookmarkStart w:id="253" w:name="_Toc296347204"/>
      <w:bookmarkStart w:id="254" w:name="_Toc297120505"/>
      <w:bookmarkStart w:id="255" w:name="_Toc296346706"/>
      <w:bookmarkStart w:id="256" w:name="_Toc296944544"/>
      <w:bookmarkStart w:id="257" w:name="_Toc297048391"/>
      <w:bookmarkStart w:id="258" w:name="_Toc296503205"/>
      <w:bookmarkStart w:id="259" w:name="_Toc292559410"/>
      <w:bookmarkStart w:id="260" w:name="_Toc351203644"/>
      <w:bookmarkStart w:id="261" w:name="_Toc297123552"/>
      <w:bookmarkStart w:id="262" w:name="_Toc297216211"/>
      <w:bookmarkStart w:id="263" w:name="_Toc300935002"/>
      <w:bookmarkStart w:id="264" w:name="_Toc303539159"/>
      <w:bookmarkStart w:id="265" w:name="_Toc312678040"/>
      <w:bookmarkStart w:id="266" w:name="_Toc304295579"/>
      <w:r>
        <w:rPr>
          <w:rFonts w:hint="eastAsia" w:ascii="仿宋" w:hAnsi="仿宋" w:eastAsia="仿宋" w:cs="仿宋"/>
          <w:b/>
          <w:sz w:val="28"/>
          <w:szCs w:val="28"/>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rPr>
        <w:t>合同价格、计量与支付</w:t>
      </w:r>
      <w:bookmarkEnd w:id="260"/>
    </w:p>
    <w:bookmarkEnd w:id="261"/>
    <w:bookmarkEnd w:id="262"/>
    <w:bookmarkEnd w:id="263"/>
    <w:bookmarkEnd w:id="264"/>
    <w:bookmarkEnd w:id="265"/>
    <w:bookmarkEnd w:id="266"/>
    <w:p w14:paraId="087FC53E">
      <w:pPr>
        <w:spacing w:line="460" w:lineRule="exact"/>
        <w:ind w:firstLine="560" w:firstLineChars="200"/>
        <w:rPr>
          <w:rFonts w:hint="eastAsia" w:ascii="仿宋" w:hAnsi="仿宋" w:eastAsia="仿宋" w:cs="仿宋"/>
          <w:sz w:val="28"/>
          <w:szCs w:val="28"/>
        </w:rPr>
      </w:pPr>
      <w:bookmarkStart w:id="267" w:name="_Toc267251461"/>
      <w:bookmarkStart w:id="268" w:name="_Toc292559916"/>
      <w:bookmarkStart w:id="269" w:name="_Toc292559411"/>
      <w:bookmarkStart w:id="270" w:name="_Toc296347205"/>
      <w:bookmarkStart w:id="271" w:name="_Toc296503206"/>
      <w:bookmarkStart w:id="272" w:name="_Toc297120506"/>
      <w:bookmarkStart w:id="273" w:name="_Toc297048392"/>
      <w:bookmarkStart w:id="274" w:name="_Toc296346707"/>
      <w:bookmarkStart w:id="275" w:name="_Toc296944545"/>
      <w:bookmarkStart w:id="276" w:name="_Toc296891246"/>
      <w:bookmarkStart w:id="277" w:name="_Toc296891034"/>
      <w:bookmarkStart w:id="278" w:name="_Toc297216212"/>
      <w:bookmarkStart w:id="279" w:name="_Toc312678041"/>
      <w:bookmarkStart w:id="280" w:name="_Toc304295580"/>
      <w:bookmarkStart w:id="281" w:name="_Toc297123553"/>
      <w:bookmarkStart w:id="282" w:name="_Toc300935003"/>
      <w:bookmarkStart w:id="283" w:name="_Toc303539160"/>
      <w:r>
        <w:rPr>
          <w:rFonts w:hint="eastAsia" w:ascii="仿宋" w:hAnsi="仿宋" w:eastAsia="仿宋" w:cs="仿宋"/>
          <w:sz w:val="28"/>
          <w:szCs w:val="28"/>
        </w:rPr>
        <w:t>合</w:t>
      </w:r>
      <w:bookmarkEnd w:id="267"/>
      <w:bookmarkEnd w:id="268"/>
      <w:bookmarkEnd w:id="269"/>
      <w:r>
        <w:rPr>
          <w:rFonts w:hint="eastAsia" w:ascii="仿宋" w:hAnsi="仿宋" w:eastAsia="仿宋" w:cs="仿宋"/>
          <w:sz w:val="28"/>
          <w:szCs w:val="28"/>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rPr>
        <w:t>格形式</w:t>
      </w:r>
      <w:bookmarkEnd w:id="278"/>
      <w:bookmarkEnd w:id="279"/>
      <w:bookmarkEnd w:id="280"/>
      <w:bookmarkEnd w:id="281"/>
      <w:bookmarkEnd w:id="282"/>
      <w:bookmarkEnd w:id="283"/>
      <w:r>
        <w:rPr>
          <w:rFonts w:hint="eastAsia" w:ascii="仿宋" w:hAnsi="仿宋" w:eastAsia="仿宋" w:cs="仿宋"/>
          <w:sz w:val="28"/>
          <w:szCs w:val="28"/>
        </w:rPr>
        <w:t>:</w:t>
      </w:r>
      <w:r>
        <w:rPr>
          <w:rFonts w:hint="eastAsia" w:ascii="仿宋" w:hAnsi="仿宋" w:eastAsia="仿宋" w:cs="仿宋"/>
          <w:b/>
          <w:sz w:val="28"/>
          <w:szCs w:val="28"/>
        </w:rPr>
        <w:t xml:space="preserve"> (固定综合单价合同与固定总价合同二选一)</w:t>
      </w:r>
    </w:p>
    <w:p w14:paraId="42FA6E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（1）固定综合单价合同。</w:t>
      </w:r>
    </w:p>
    <w:p w14:paraId="6D22735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综合单价包含的风险范围：经业主和监理确认的重大设计变更引起的新增项目或发包人提供的工程量清单漏项项目的合同价款调整，工程量以实际为准。</w:t>
      </w:r>
    </w:p>
    <w:p w14:paraId="3A135D9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投标报价的价格执行，投标报价上没有的材料价格按招标人认可的价格执行，按工程审定最高限价计价原则编制新增项目单价后，按最高限价与投标报价总体水平同比例下浮确定新增项目单价(其中新增认质认价材料不下浮)。</w:t>
      </w:r>
    </w:p>
    <w:p w14:paraId="74F9629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r>
        <w:rPr>
          <w:rFonts w:hint="eastAsia" w:ascii="仿宋" w:hAnsi="仿宋" w:eastAsia="仿宋" w:cs="仿宋"/>
          <w:b/>
          <w:sz w:val="28"/>
          <w:szCs w:val="28"/>
        </w:rPr>
        <w:t>：①措施费：除安全施工费、文明施工费、临时设施费按文件执行外，模板费按投标报价单价执行，工程量按实计算；其余措施费包干使用，不再调整；</w:t>
      </w:r>
      <w:r>
        <w:rPr>
          <w:rFonts w:hint="eastAsia" w:ascii="仿宋" w:hAnsi="仿宋" w:eastAsia="仿宋" w:cs="仿宋"/>
          <w:sz w:val="28"/>
          <w:szCs w:val="28"/>
        </w:rPr>
        <w:t>②人工费、机械费按政策性文件规定执行，其中机械费的风险系数为±10%。；③实际完成的工程量与清单工程量无论有多大量差，综合单价不作调整；</w:t>
      </w:r>
    </w:p>
    <w:p w14:paraId="4872228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（2）固定总价合同。</w:t>
      </w:r>
    </w:p>
    <w:p w14:paraId="5F8E2CD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总价包含的风险范围：。</w:t>
      </w:r>
    </w:p>
    <w:p w14:paraId="088EEB7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w:t>
      </w:r>
    </w:p>
    <w:p w14:paraId="3132CB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p>
    <w:p w14:paraId="55CF308E">
      <w:pPr>
        <w:spacing w:line="460" w:lineRule="exact"/>
        <w:ind w:firstLine="562" w:firstLineChars="200"/>
        <w:rPr>
          <w:rFonts w:hint="eastAsia" w:ascii="仿宋" w:hAnsi="仿宋" w:eastAsia="仿宋" w:cs="仿宋"/>
          <w:b/>
          <w:sz w:val="28"/>
          <w:szCs w:val="28"/>
        </w:rPr>
      </w:pPr>
      <w:bookmarkStart w:id="284" w:name="_Toc312678042"/>
      <w:bookmarkStart w:id="285" w:name="_Toc300935004"/>
      <w:bookmarkStart w:id="286" w:name="_Toc297123554"/>
      <w:bookmarkStart w:id="287" w:name="_Toc303539161"/>
      <w:bookmarkStart w:id="288" w:name="_Toc297216213"/>
      <w:bookmarkStart w:id="289" w:name="_Toc304295581"/>
      <w:bookmarkStart w:id="290" w:name="_Toc296891035"/>
      <w:bookmarkStart w:id="291" w:name="_Toc296347206"/>
      <w:bookmarkStart w:id="292" w:name="_Toc297048393"/>
      <w:bookmarkStart w:id="293" w:name="_Toc296503207"/>
      <w:bookmarkStart w:id="294" w:name="_Toc296944546"/>
      <w:bookmarkStart w:id="295" w:name="_Toc296346708"/>
      <w:bookmarkStart w:id="296" w:name="_Toc292559412"/>
      <w:bookmarkStart w:id="297" w:name="_Toc296891247"/>
      <w:bookmarkStart w:id="298" w:name="_Toc292559917"/>
      <w:bookmarkStart w:id="299" w:name="_Toc297120507"/>
      <w:r>
        <w:rPr>
          <w:rFonts w:hint="eastAsia" w:ascii="仿宋" w:hAnsi="仿宋" w:eastAsia="仿宋" w:cs="仿宋"/>
          <w:b/>
          <w:sz w:val="28"/>
          <w:szCs w:val="28"/>
        </w:rPr>
        <w:t>12. 工程款</w:t>
      </w:r>
    </w:p>
    <w:p w14:paraId="45F50E3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12.1履约担保（如果有）</w:t>
      </w:r>
    </w:p>
    <w:p w14:paraId="0BB9B6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sz w:val="28"/>
          <w:szCs w:val="28"/>
          <w:u w:val="single"/>
        </w:rPr>
        <w:t>在签定合同前，按中标价的10％提交履约保证金（银行转账或银行保函）</w:t>
      </w:r>
      <w:r>
        <w:rPr>
          <w:rFonts w:hint="eastAsia" w:ascii="仿宋" w:hAnsi="仿宋" w:eastAsia="仿宋" w:cs="仿宋"/>
          <w:sz w:val="28"/>
          <w:szCs w:val="28"/>
        </w:rPr>
        <w:t>。</w:t>
      </w:r>
    </w:p>
    <w:p w14:paraId="4627F0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承包人提供履约担保的形式、金额及期限的：</w:t>
      </w:r>
      <w:r>
        <w:rPr>
          <w:rFonts w:hint="eastAsia" w:ascii="仿宋" w:hAnsi="仿宋" w:eastAsia="仿宋" w:cs="仿宋"/>
          <w:sz w:val="28"/>
          <w:szCs w:val="28"/>
          <w:u w:val="single"/>
        </w:rPr>
        <w:t>履约保证金/银行保函在工程竣工验收合格后无息退还。</w:t>
      </w:r>
    </w:p>
    <w:p w14:paraId="55F90B8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12.2 </w:t>
      </w:r>
      <w:r>
        <w:rPr>
          <w:rFonts w:hint="eastAsia" w:ascii="仿宋" w:hAnsi="仿宋" w:eastAsia="仿宋" w:cs="仿宋"/>
          <w:sz w:val="28"/>
          <w:szCs w:val="28"/>
          <w:lang w:eastAsia="zh-CN"/>
        </w:rPr>
        <w:t>安全生产措施费</w:t>
      </w:r>
      <w:r>
        <w:rPr>
          <w:rFonts w:hint="eastAsia" w:ascii="仿宋" w:hAnsi="仿宋" w:eastAsia="仿宋" w:cs="仿宋"/>
          <w:sz w:val="28"/>
          <w:szCs w:val="28"/>
        </w:rPr>
        <w:t>支付</w:t>
      </w:r>
    </w:p>
    <w:p w14:paraId="12292A38">
      <w:pPr>
        <w:pStyle w:val="8"/>
        <w:rPr>
          <w:rFonts w:hint="eastAsia" w:ascii="仿宋" w:hAnsi="仿宋" w:eastAsia="仿宋" w:cs="仿宋"/>
        </w:rPr>
      </w:pPr>
      <w:r>
        <w:rPr>
          <w:rFonts w:hint="eastAsia" w:ascii="仿宋" w:hAnsi="仿宋" w:eastAsia="仿宋" w:cs="仿宋"/>
          <w:sz w:val="28"/>
          <w:szCs w:val="28"/>
        </w:rPr>
        <w:t xml:space="preserve">    该项目</w:t>
      </w:r>
      <w:r>
        <w:rPr>
          <w:rFonts w:hint="eastAsia" w:ascii="仿宋" w:hAnsi="仿宋" w:eastAsia="仿宋" w:cs="仿宋"/>
          <w:sz w:val="28"/>
          <w:szCs w:val="28"/>
          <w:lang w:eastAsia="zh-CN"/>
        </w:rPr>
        <w:t>安全生产措施费</w:t>
      </w:r>
      <w:r>
        <w:rPr>
          <w:rFonts w:hint="eastAsia" w:ascii="仿宋" w:hAnsi="仿宋" w:eastAsia="仿宋" w:cs="仿宋"/>
          <w:sz w:val="28"/>
          <w:szCs w:val="28"/>
        </w:rPr>
        <w:t>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1F0D4B31">
      <w:pPr>
        <w:spacing w:line="460" w:lineRule="exact"/>
        <w:ind w:firstLine="560" w:firstLineChars="200"/>
        <w:rPr>
          <w:rFonts w:hint="eastAsia" w:ascii="仿宋" w:hAnsi="仿宋" w:eastAsia="仿宋" w:cs="仿宋"/>
          <w:b/>
          <w:sz w:val="28"/>
          <w:szCs w:val="28"/>
        </w:rPr>
      </w:pPr>
      <w:r>
        <w:rPr>
          <w:rFonts w:hint="eastAsia" w:ascii="仿宋" w:hAnsi="仿宋" w:eastAsia="仿宋" w:cs="仿宋"/>
          <w:kern w:val="0"/>
          <w:sz w:val="28"/>
          <w:szCs w:val="28"/>
        </w:rPr>
        <w:t>发包人应在开工后28天内预付</w:t>
      </w:r>
      <w:r>
        <w:rPr>
          <w:rFonts w:hint="eastAsia" w:ascii="仿宋" w:hAnsi="仿宋" w:eastAsia="仿宋" w:cs="仿宋"/>
          <w:kern w:val="0"/>
          <w:sz w:val="28"/>
          <w:szCs w:val="28"/>
          <w:lang w:eastAsia="zh-CN"/>
        </w:rPr>
        <w:t>安全生产措施费</w:t>
      </w:r>
      <w:r>
        <w:rPr>
          <w:rFonts w:hint="eastAsia" w:ascii="仿宋" w:hAnsi="仿宋" w:eastAsia="仿宋" w:cs="仿宋"/>
          <w:kern w:val="0"/>
          <w:sz w:val="28"/>
          <w:szCs w:val="28"/>
        </w:rPr>
        <w:t>基本费总额的50%，剩余50%基本费与进度款同期支付。结算时根据2020《四川省建设工程工程量清单计价定额》及《四川省建设工程安全文明施工措施费计价管理办法》的有关规定按实际完成工程量进行计价。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14:paraId="3FF7947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12.3 预付款的支付</w:t>
      </w:r>
    </w:p>
    <w:p w14:paraId="30AD89A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预付款支付比例或金额：</w:t>
      </w:r>
      <w:r>
        <w:rPr>
          <w:rFonts w:hint="eastAsia" w:ascii="仿宋" w:hAnsi="仿宋" w:eastAsia="仿宋" w:cs="仿宋"/>
          <w:sz w:val="28"/>
          <w:szCs w:val="28"/>
          <w:u w:val="single"/>
        </w:rPr>
        <w:t>按合同价（扣除招标人部分）的    %</w:t>
      </w:r>
      <w:r>
        <w:rPr>
          <w:rFonts w:hint="eastAsia" w:ascii="仿宋" w:hAnsi="仿宋" w:eastAsia="仿宋" w:cs="仿宋"/>
          <w:sz w:val="28"/>
          <w:szCs w:val="28"/>
        </w:rPr>
        <w:t>。</w:t>
      </w:r>
    </w:p>
    <w:p w14:paraId="0B9D0EA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预付款支付期限：</w:t>
      </w:r>
      <w:r>
        <w:rPr>
          <w:rFonts w:hint="eastAsia" w:ascii="仿宋" w:hAnsi="仿宋" w:eastAsia="仿宋" w:cs="仿宋"/>
          <w:sz w:val="28"/>
          <w:szCs w:val="28"/>
          <w:u w:val="single"/>
        </w:rPr>
        <w:t>开工      个工作日内</w:t>
      </w:r>
      <w:r>
        <w:rPr>
          <w:rFonts w:hint="eastAsia" w:ascii="仿宋" w:hAnsi="仿宋" w:eastAsia="仿宋" w:cs="仿宋"/>
          <w:sz w:val="28"/>
          <w:szCs w:val="28"/>
        </w:rPr>
        <w:t>。</w:t>
      </w:r>
    </w:p>
    <w:bookmarkEnd w:id="290"/>
    <w:bookmarkEnd w:id="291"/>
    <w:bookmarkEnd w:id="292"/>
    <w:bookmarkEnd w:id="293"/>
    <w:bookmarkEnd w:id="294"/>
    <w:bookmarkEnd w:id="295"/>
    <w:bookmarkEnd w:id="296"/>
    <w:bookmarkEnd w:id="297"/>
    <w:bookmarkEnd w:id="298"/>
    <w:bookmarkEnd w:id="299"/>
    <w:p w14:paraId="37BBC5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计量</w:t>
      </w:r>
    </w:p>
    <w:p w14:paraId="5757DFFE">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工程量计算规则：</w:t>
      </w:r>
      <w:r>
        <w:rPr>
          <w:rFonts w:hint="eastAsia" w:ascii="仿宋" w:hAnsi="仿宋" w:eastAsia="仿宋" w:cs="仿宋"/>
          <w:sz w:val="28"/>
          <w:szCs w:val="28"/>
          <w:u w:val="single"/>
        </w:rPr>
        <w:t>工程量清单中的工程量计算规则按工程量清单编制说明和2020《四川省建设工程工程量清单计价定额》的有关规定执行。</w:t>
      </w:r>
    </w:p>
    <w:p w14:paraId="5DA05707">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u w:val="single"/>
        </w:rPr>
        <w:t>按发包人规定的报表格式填报已完工程量月进度报表，并提交电子文档1份 。</w:t>
      </w:r>
    </w:p>
    <w:p w14:paraId="33FA2A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12.5工程款支付</w:t>
      </w:r>
    </w:p>
    <w:p w14:paraId="20DC9996">
      <w:pPr>
        <w:spacing w:line="460" w:lineRule="exact"/>
        <w:ind w:firstLine="562" w:firstLineChars="200"/>
        <w:jc w:val="left"/>
        <w:rPr>
          <w:rFonts w:hint="eastAsia" w:ascii="仿宋" w:hAnsi="仿宋" w:eastAsia="仿宋" w:cs="仿宋"/>
          <w:b/>
          <w:sz w:val="28"/>
          <w:szCs w:val="28"/>
          <w:u w:val="single"/>
          <w:lang w:val="en-US" w:eastAsia="zh-CN"/>
        </w:rPr>
      </w:pPr>
      <w:r>
        <w:rPr>
          <w:rFonts w:hint="eastAsia" w:ascii="仿宋" w:hAnsi="仿宋" w:eastAsia="仿宋" w:cs="仿宋"/>
          <w:b/>
          <w:sz w:val="28"/>
          <w:szCs w:val="28"/>
          <w:u w:val="single"/>
        </w:rPr>
        <w:t>……</w:t>
      </w:r>
      <w:r>
        <w:rPr>
          <w:rFonts w:hint="eastAsia" w:ascii="仿宋" w:hAnsi="仿宋" w:eastAsia="仿宋" w:cs="仿宋"/>
          <w:b/>
          <w:sz w:val="28"/>
          <w:szCs w:val="28"/>
          <w:u w:val="single"/>
          <w:lang w:val="en-US" w:eastAsia="zh-CN"/>
        </w:rPr>
        <w:t xml:space="preserve">                 </w:t>
      </w:r>
    </w:p>
    <w:p w14:paraId="367BB64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支付：</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；质</w:t>
      </w:r>
      <w:r>
        <w:rPr>
          <w:rFonts w:hint="eastAsia" w:ascii="仿宋" w:hAnsi="仿宋" w:eastAsia="仿宋" w:cs="仿宋"/>
          <w:sz w:val="28"/>
          <w:szCs w:val="28"/>
        </w:rPr>
        <w:t>保期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年，质保期满，经业主确认无质量问题后无息退还质量保证金。</w:t>
      </w:r>
    </w:p>
    <w:p w14:paraId="686BA8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w:t>
      </w:r>
      <w:r>
        <w:rPr>
          <w:rFonts w:hint="eastAsia" w:ascii="仿宋" w:hAnsi="仿宋" w:eastAsia="仿宋" w:cs="仿宋"/>
          <w:sz w:val="28"/>
          <w:szCs w:val="28"/>
          <w:lang w:val="en-US" w:eastAsia="zh-CN"/>
        </w:rPr>
        <w:t>/</w:t>
      </w:r>
      <w:r>
        <w:rPr>
          <w:rFonts w:hint="eastAsia" w:ascii="仿宋" w:hAnsi="仿宋" w:eastAsia="仿宋" w:cs="仿宋"/>
          <w:sz w:val="28"/>
          <w:szCs w:val="28"/>
        </w:rPr>
        <w:t>。</w:t>
      </w:r>
    </w:p>
    <w:p w14:paraId="462AE690">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质量保证金的退还：</w:t>
      </w:r>
      <w:r>
        <w:rPr>
          <w:rFonts w:hint="eastAsia" w:ascii="仿宋" w:hAnsi="仿宋" w:eastAsia="仿宋" w:cs="仿宋"/>
          <w:sz w:val="28"/>
          <w:szCs w:val="28"/>
        </w:rPr>
        <w:t>质保期满</w:t>
      </w:r>
      <w:r>
        <w:rPr>
          <w:rFonts w:hint="eastAsia" w:ascii="仿宋" w:hAnsi="仿宋" w:eastAsia="仿宋" w:cs="仿宋"/>
          <w:sz w:val="28"/>
          <w:szCs w:val="28"/>
          <w:lang w:val="zh-CN"/>
        </w:rPr>
        <w:t>后，承包人向发包人申请到期应返还承包人质量保证金，发包人在</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天内会同维护和使用部门、承包人按合同约定的内容核实承包是否完成缺陷责任，如无异议，发包人在核实后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天内将剩余质保金一次性无息支付承包人（其中防水质保金为质量保证金的20%，在质保期满后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日内无息退还）。</w:t>
      </w:r>
    </w:p>
    <w:p w14:paraId="0D15927B">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12.6 水电费</w:t>
      </w:r>
    </w:p>
    <w:p w14:paraId="77FA22FE">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rPr>
        <w:t>因发包人支付的水电费已包含在</w:t>
      </w:r>
      <w:r>
        <w:rPr>
          <w:rFonts w:hint="eastAsia" w:ascii="仿宋" w:hAnsi="仿宋" w:eastAsia="仿宋" w:cs="仿宋"/>
          <w:sz w:val="28"/>
          <w:szCs w:val="28"/>
          <w:lang w:val="en-US" w:eastAsia="zh-CN"/>
        </w:rPr>
        <w:t>合同总价</w:t>
      </w:r>
      <w:r>
        <w:rPr>
          <w:rFonts w:hint="eastAsia" w:ascii="仿宋" w:hAnsi="仿宋" w:eastAsia="仿宋" w:cs="仿宋"/>
          <w:sz w:val="28"/>
          <w:szCs w:val="28"/>
        </w:rPr>
        <w:t>中，承包人须在合同签订后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日内向发包人缴纳施工中使用的水电费，电费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元，水费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325CCD5C">
      <w:pPr>
        <w:spacing w:line="460" w:lineRule="exact"/>
        <w:ind w:firstLine="562" w:firstLineChars="200"/>
        <w:rPr>
          <w:rFonts w:hint="eastAsia" w:ascii="仿宋" w:hAnsi="仿宋" w:eastAsia="仿宋" w:cs="仿宋"/>
          <w:b/>
          <w:sz w:val="28"/>
          <w:szCs w:val="28"/>
        </w:rPr>
      </w:pPr>
      <w:bookmarkStart w:id="300" w:name="_Toc267251470"/>
      <w:bookmarkStart w:id="301" w:name="_Toc267251474"/>
      <w:bookmarkStart w:id="302" w:name="_Toc267251475"/>
      <w:bookmarkStart w:id="303" w:name="_Toc267251473"/>
      <w:bookmarkStart w:id="304" w:name="_Toc267251476"/>
      <w:bookmarkStart w:id="305" w:name="_Toc267251472"/>
      <w:bookmarkStart w:id="306" w:name="_Toc267251471"/>
      <w:bookmarkStart w:id="307" w:name="_Toc280868709"/>
      <w:r>
        <w:rPr>
          <w:rFonts w:hint="eastAsia" w:ascii="仿宋" w:hAnsi="仿宋" w:eastAsia="仿宋" w:cs="仿宋"/>
          <w:b/>
          <w:sz w:val="28"/>
          <w:szCs w:val="28"/>
        </w:rPr>
        <w:t>13. 竣工结算</w:t>
      </w:r>
    </w:p>
    <w:p w14:paraId="30F7EE2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13.1竣工结算审核</w:t>
      </w:r>
    </w:p>
    <w:p w14:paraId="75B7D5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发包人收到承包人合格的竣工结算及结算资料后即对工程结算进行审核，双方对审核结果确认后，已经确认的结算造价作为工程最终结算价款。结算依据包括但不限于以下内容：</w:t>
      </w:r>
    </w:p>
    <w:p w14:paraId="1D74E4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（1）施工合同（含补充合同）、协议书（含协议书附件）；</w:t>
      </w:r>
    </w:p>
    <w:p w14:paraId="19BF61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（2）招标文件（含补充文件、预算控制价）</w:t>
      </w:r>
    </w:p>
    <w:p w14:paraId="1DC2A9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（3）投标文件（含工程量清单报价表）；</w:t>
      </w:r>
    </w:p>
    <w:p w14:paraId="59A180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（4）承包人编制的结算书（加盖承包人公章和造价编制人员资格证章）；并经监理人、发包人审核；</w:t>
      </w:r>
    </w:p>
    <w:p w14:paraId="587320C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（5）工程竣工图纸及资料（经监理人、发包人盖章确认）；</w:t>
      </w:r>
    </w:p>
    <w:p w14:paraId="69D0875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（6）经审定的施工组织设计、施工方案；</w:t>
      </w:r>
    </w:p>
    <w:p w14:paraId="29FCD7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（7）设计变更单（需有编号）；</w:t>
      </w:r>
    </w:p>
    <w:p w14:paraId="4AE134D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（8）现场签证单（需有编号）；</w:t>
      </w:r>
    </w:p>
    <w:p w14:paraId="115C10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（9）技术核定单（需有编号，经监理人、发包人盖章确认）；</w:t>
      </w:r>
    </w:p>
    <w:p w14:paraId="705F65B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（10）工程原始地貌方格网（经监理人、发包人确认）；</w:t>
      </w:r>
    </w:p>
    <w:p w14:paraId="1BC4ED7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（11）双方确认的索赔事项及价款；</w:t>
      </w:r>
    </w:p>
    <w:p w14:paraId="43616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（12）材料（设备）核价单、进场验收单（需有编号）；</w:t>
      </w:r>
    </w:p>
    <w:p w14:paraId="2465C1F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（13）施工图纸会审纪要；</w:t>
      </w:r>
    </w:p>
    <w:p w14:paraId="2B8D378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（14）隐蔽工程验收记录；</w:t>
      </w:r>
    </w:p>
    <w:p w14:paraId="5D5D322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（15）施工企业取费证。</w:t>
      </w:r>
    </w:p>
    <w:p w14:paraId="46E679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（16）提供其他涉及工程价款的相关资料。</w:t>
      </w:r>
    </w:p>
    <w:p w14:paraId="7D36AB8B">
      <w:pPr>
        <w:spacing w:line="460" w:lineRule="exact"/>
        <w:ind w:firstLine="562" w:firstLineChars="200"/>
        <w:jc w:val="left"/>
        <w:rPr>
          <w:rFonts w:hint="eastAsia" w:ascii="仿宋" w:hAnsi="仿宋" w:eastAsia="仿宋" w:cs="仿宋"/>
          <w:b/>
          <w:sz w:val="28"/>
          <w:szCs w:val="28"/>
        </w:rPr>
      </w:pPr>
      <w:r>
        <w:rPr>
          <w:rFonts w:hint="eastAsia" w:ascii="仿宋" w:hAnsi="仿宋" w:eastAsia="仿宋" w:cs="仿宋"/>
          <w:b/>
          <w:sz w:val="28"/>
          <w:szCs w:val="28"/>
        </w:rPr>
        <w:t>特别条款:中标后或结算时若发现承包人有违背招标/采购文件要求的情况（如：投标工程量清单与分项报价汇总不一致或承包人在投标时对招标文件规定不能修改的内容作过修改等），发包人有权按最不利于承包人的方式处理。</w:t>
      </w:r>
    </w:p>
    <w:p w14:paraId="4E3DA98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shd w:val="clear" w:color="auto" w:fill="FFFFFF"/>
        </w:rPr>
        <w:t>13.2本项目工程竣工造价应接受政府审计或由发包方委托具备资质的中介组织实施竣工结算审核。工程竣工结算审核的效益审计费由发包人和承包人分别按以下约定支付：即审减率在工程竣工结算送审金额5%以内（含5%）的由发包人支付，审减率超过工程竣工结算送审金额5%的审计费由承包人支付（在结算工程款中扣除）；</w:t>
      </w:r>
    </w:p>
    <w:bookmarkEnd w:id="300"/>
    <w:bookmarkEnd w:id="301"/>
    <w:bookmarkEnd w:id="302"/>
    <w:bookmarkEnd w:id="303"/>
    <w:bookmarkEnd w:id="304"/>
    <w:bookmarkEnd w:id="305"/>
    <w:bookmarkEnd w:id="306"/>
    <w:bookmarkEnd w:id="307"/>
    <w:p w14:paraId="601A3781">
      <w:pPr>
        <w:spacing w:before="120" w:after="120" w:line="460" w:lineRule="exact"/>
        <w:ind w:firstLine="562" w:firstLineChars="200"/>
        <w:jc w:val="left"/>
        <w:rPr>
          <w:rFonts w:hint="eastAsia" w:ascii="仿宋" w:hAnsi="仿宋" w:eastAsia="仿宋" w:cs="仿宋"/>
          <w:b/>
          <w:sz w:val="28"/>
          <w:szCs w:val="28"/>
        </w:rPr>
      </w:pPr>
      <w:bookmarkStart w:id="308" w:name="_Toc351203647"/>
      <w:bookmarkStart w:id="309" w:name="_Toc267251483"/>
      <w:bookmarkStart w:id="310" w:name="_Toc267251485"/>
      <w:bookmarkStart w:id="311" w:name="_Toc267251486"/>
      <w:bookmarkStart w:id="312" w:name="_Toc267251489"/>
      <w:bookmarkStart w:id="313" w:name="_Toc267251490"/>
      <w:bookmarkStart w:id="314" w:name="_Toc267251488"/>
      <w:bookmarkStart w:id="315" w:name="_Toc267251497"/>
      <w:bookmarkStart w:id="316" w:name="_Toc267251503"/>
      <w:bookmarkStart w:id="317" w:name="_Toc267251499"/>
      <w:bookmarkStart w:id="318" w:name="_Toc267251491"/>
      <w:bookmarkStart w:id="319" w:name="_Toc267251501"/>
      <w:bookmarkStart w:id="320" w:name="_Toc267251502"/>
      <w:bookmarkStart w:id="321" w:name="_Toc267251498"/>
      <w:bookmarkStart w:id="322" w:name="_Toc267251492"/>
      <w:bookmarkStart w:id="323" w:name="_Toc267251493"/>
      <w:bookmarkStart w:id="324" w:name="_Toc267251496"/>
      <w:bookmarkStart w:id="325" w:name="_Toc267251495"/>
      <w:bookmarkStart w:id="326" w:name="_Toc267251494"/>
      <w:bookmarkStart w:id="327" w:name="_Toc267251507"/>
      <w:bookmarkStart w:id="328" w:name="_Toc267251504"/>
      <w:bookmarkStart w:id="329" w:name="_Toc267251506"/>
      <w:bookmarkStart w:id="330" w:name="_Toc267251508"/>
      <w:bookmarkStart w:id="331" w:name="_Toc267251511"/>
      <w:bookmarkStart w:id="332" w:name="_Toc267251514"/>
      <w:bookmarkStart w:id="333" w:name="_Toc267251509"/>
      <w:bookmarkStart w:id="334" w:name="_Toc267251510"/>
      <w:bookmarkStart w:id="335" w:name="_Toc267251515"/>
      <w:bookmarkStart w:id="336" w:name="_Toc267251513"/>
      <w:r>
        <w:rPr>
          <w:rFonts w:hint="eastAsia" w:ascii="仿宋" w:hAnsi="仿宋" w:eastAsia="仿宋" w:cs="仿宋"/>
          <w:b/>
          <w:sz w:val="28"/>
          <w:szCs w:val="28"/>
        </w:rPr>
        <w:t>14. 缺陷责任期与保修</w:t>
      </w:r>
      <w:bookmarkEnd w:id="308"/>
    </w:p>
    <w:p w14:paraId="11864B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14.1缺陷责任期</w:t>
      </w:r>
      <w:bookmarkEnd w:id="309"/>
      <w:r>
        <w:rPr>
          <w:rFonts w:hint="eastAsia" w:ascii="仿宋" w:hAnsi="仿宋" w:eastAsia="仿宋" w:cs="仿宋"/>
          <w:sz w:val="28"/>
          <w:szCs w:val="28"/>
          <w:u w:val="single"/>
          <w:lang w:val="en-US" w:eastAsia="zh-CN"/>
        </w:rPr>
        <w:t>12</w:t>
      </w:r>
      <w:r>
        <w:rPr>
          <w:rFonts w:hint="eastAsia" w:ascii="仿宋" w:hAnsi="仿宋" w:eastAsia="仿宋" w:cs="仿宋"/>
          <w:sz w:val="28"/>
          <w:szCs w:val="28"/>
          <w:u w:val="single"/>
        </w:rPr>
        <w:t>个月</w:t>
      </w:r>
      <w:r>
        <w:rPr>
          <w:rFonts w:hint="eastAsia" w:ascii="仿宋" w:hAnsi="仿宋" w:eastAsia="仿宋" w:cs="仿宋"/>
          <w:sz w:val="28"/>
          <w:szCs w:val="28"/>
        </w:rPr>
        <w:t>。</w:t>
      </w:r>
    </w:p>
    <w:p w14:paraId="650897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14.2保修</w:t>
      </w:r>
    </w:p>
    <w:bookmarkEnd w:id="310"/>
    <w:p w14:paraId="0D04164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工程保修期为：</w:t>
      </w:r>
      <w:r>
        <w:rPr>
          <w:rFonts w:hint="eastAsia" w:ascii="仿宋" w:hAnsi="仿宋" w:eastAsia="仿宋" w:cs="仿宋"/>
          <w:kern w:val="0"/>
          <w:sz w:val="28"/>
          <w:szCs w:val="28"/>
          <w:u w:val="single"/>
        </w:rPr>
        <w:t>工程质量保修范围、期限和责任（详见附件一《工程质量保修书》）</w:t>
      </w:r>
      <w:r>
        <w:rPr>
          <w:rFonts w:hint="eastAsia" w:ascii="仿宋" w:hAnsi="仿宋" w:eastAsia="仿宋" w:cs="仿宋"/>
          <w:kern w:val="0"/>
          <w:sz w:val="28"/>
          <w:szCs w:val="28"/>
        </w:rPr>
        <w:t>。</w:t>
      </w:r>
    </w:p>
    <w:bookmarkEnd w:id="311"/>
    <w:bookmarkEnd w:id="312"/>
    <w:bookmarkEnd w:id="313"/>
    <w:bookmarkEnd w:id="314"/>
    <w:p w14:paraId="1BF113F7">
      <w:pPr>
        <w:spacing w:line="460" w:lineRule="exact"/>
        <w:ind w:firstLine="562" w:firstLineChars="200"/>
        <w:jc w:val="left"/>
        <w:rPr>
          <w:rFonts w:hint="eastAsia" w:ascii="仿宋" w:hAnsi="仿宋" w:eastAsia="仿宋" w:cs="仿宋"/>
          <w:b/>
          <w:kern w:val="0"/>
          <w:sz w:val="28"/>
          <w:szCs w:val="28"/>
        </w:rPr>
      </w:pPr>
      <w:r>
        <w:rPr>
          <w:rFonts w:hint="eastAsia" w:ascii="仿宋" w:hAnsi="仿宋" w:eastAsia="仿宋" w:cs="仿宋"/>
          <w:b/>
          <w:kern w:val="0"/>
          <w:sz w:val="28"/>
          <w:szCs w:val="28"/>
        </w:rPr>
        <w:t>15.发包人违约</w:t>
      </w:r>
    </w:p>
    <w:p w14:paraId="44F270A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因发包人违反合同约定造成暂停施工的违约责任：须书面向发包方提出要求，承包方在发包方解决后无条件继续施工，工期顺延，合同价不做调整。</w:t>
      </w:r>
    </w:p>
    <w:p w14:paraId="2816FD02">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16.承包人违约</w:t>
      </w:r>
    </w:p>
    <w:p w14:paraId="1AC420D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16.1承包人违约的责任</w:t>
      </w:r>
    </w:p>
    <w:p w14:paraId="15B8EA4E">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承包人违约责任的承担方式和计算方法：</w:t>
      </w:r>
      <w:r>
        <w:rPr>
          <w:rFonts w:hint="eastAsia" w:ascii="仿宋" w:hAnsi="仿宋" w:eastAsia="仿宋" w:cs="仿宋"/>
          <w:bCs/>
          <w:sz w:val="28"/>
          <w:szCs w:val="28"/>
        </w:rPr>
        <w:t>工期每拖延1天支付合同结算金额的0.1%的违约金；承包人违法转包工程</w:t>
      </w:r>
      <w:r>
        <w:rPr>
          <w:rFonts w:hint="eastAsia" w:ascii="仿宋" w:hAnsi="仿宋" w:eastAsia="仿宋" w:cs="仿宋"/>
          <w:kern w:val="0"/>
          <w:sz w:val="28"/>
          <w:szCs w:val="28"/>
        </w:rPr>
        <w:t>，</w:t>
      </w:r>
      <w:r>
        <w:rPr>
          <w:rFonts w:hint="eastAsia" w:ascii="仿宋" w:hAnsi="仿宋" w:eastAsia="仿宋" w:cs="仿宋"/>
          <w:sz w:val="28"/>
          <w:szCs w:val="28"/>
        </w:rPr>
        <w:t>发包人有权拒付工程款，并保留终止合同</w:t>
      </w:r>
      <w:r>
        <w:rPr>
          <w:rFonts w:hint="eastAsia" w:ascii="仿宋" w:hAnsi="仿宋" w:eastAsia="仿宋" w:cs="仿宋"/>
          <w:kern w:val="0"/>
          <w:sz w:val="28"/>
          <w:szCs w:val="28"/>
        </w:rPr>
        <w:t>的权利</w:t>
      </w:r>
      <w:r>
        <w:rPr>
          <w:rFonts w:hint="eastAsia" w:ascii="仿宋" w:hAnsi="仿宋" w:eastAsia="仿宋" w:cs="仿宋"/>
          <w:sz w:val="28"/>
          <w:szCs w:val="28"/>
        </w:rPr>
        <w:t>，</w:t>
      </w:r>
      <w:r>
        <w:rPr>
          <w:rFonts w:hint="eastAsia" w:ascii="仿宋" w:hAnsi="仿宋" w:eastAsia="仿宋" w:cs="仿宋"/>
          <w:kern w:val="0"/>
          <w:sz w:val="28"/>
          <w:szCs w:val="28"/>
        </w:rPr>
        <w:t>承包人必须承担发包人因此而造成的所有损失。</w:t>
      </w:r>
    </w:p>
    <w:p w14:paraId="40D440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16.2 因承包人违约解除合同</w:t>
      </w:r>
    </w:p>
    <w:p w14:paraId="4D961FC0">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关于承包人违约解除合同的特别约定：剩余工程款不再支付，承包人必须承担发包人因此而造成的所有损失。</w:t>
      </w:r>
    </w:p>
    <w:bookmarkEnd w:id="315"/>
    <w:bookmarkEnd w:id="316"/>
    <w:bookmarkEnd w:id="317"/>
    <w:bookmarkEnd w:id="318"/>
    <w:bookmarkEnd w:id="319"/>
    <w:bookmarkEnd w:id="320"/>
    <w:bookmarkEnd w:id="321"/>
    <w:bookmarkEnd w:id="322"/>
    <w:bookmarkEnd w:id="323"/>
    <w:bookmarkEnd w:id="324"/>
    <w:bookmarkEnd w:id="325"/>
    <w:bookmarkEnd w:id="326"/>
    <w:p w14:paraId="2D2B6BF9">
      <w:pPr>
        <w:spacing w:before="120" w:after="120" w:line="460" w:lineRule="exact"/>
        <w:ind w:firstLine="560" w:firstLineChars="200"/>
        <w:jc w:val="left"/>
        <w:rPr>
          <w:rFonts w:hint="eastAsia" w:ascii="仿宋" w:hAnsi="仿宋" w:eastAsia="仿宋" w:cs="仿宋"/>
          <w:sz w:val="28"/>
          <w:szCs w:val="28"/>
        </w:rPr>
      </w:pPr>
      <w:bookmarkStart w:id="337" w:name="_Toc351203651"/>
      <w:r>
        <w:rPr>
          <w:rFonts w:hint="eastAsia" w:ascii="仿宋" w:hAnsi="仿宋" w:eastAsia="仿宋" w:cs="仿宋"/>
          <w:sz w:val="28"/>
          <w:szCs w:val="28"/>
        </w:rPr>
        <w:t>17. 争议解决</w:t>
      </w:r>
      <w:bookmarkEnd w:id="337"/>
    </w:p>
    <w:bookmarkEnd w:id="327"/>
    <w:bookmarkEnd w:id="328"/>
    <w:bookmarkEnd w:id="329"/>
    <w:bookmarkEnd w:id="330"/>
    <w:p w14:paraId="57223B6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因合同及合同有关事项发生的争议，向</w:t>
      </w:r>
      <w:r>
        <w:rPr>
          <w:rFonts w:hint="eastAsia" w:ascii="仿宋" w:hAnsi="仿宋" w:eastAsia="仿宋" w:cs="仿宋"/>
          <w:sz w:val="28"/>
          <w:szCs w:val="28"/>
          <w:u w:val="single"/>
        </w:rPr>
        <w:t xml:space="preserve">  成都市青羊区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人民法院起诉。</w:t>
      </w:r>
      <w:bookmarkEnd w:id="331"/>
      <w:bookmarkEnd w:id="332"/>
      <w:bookmarkEnd w:id="333"/>
      <w:bookmarkEnd w:id="334"/>
      <w:bookmarkEnd w:id="335"/>
      <w:bookmarkEnd w:id="336"/>
    </w:p>
    <w:p w14:paraId="0EB0FE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附件一：工程质量保修书</w:t>
      </w:r>
    </w:p>
    <w:p w14:paraId="0ADE3B8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附件二：廉洁合同</w:t>
      </w:r>
    </w:p>
    <w:p w14:paraId="085C9B56">
      <w:pPr>
        <w:spacing w:line="460" w:lineRule="exact"/>
        <w:rPr>
          <w:rFonts w:hint="eastAsia" w:ascii="仿宋" w:hAnsi="仿宋" w:eastAsia="仿宋" w:cs="仿宋"/>
          <w:sz w:val="28"/>
          <w:szCs w:val="28"/>
        </w:rPr>
      </w:pPr>
      <w:bookmarkStart w:id="338" w:name="_Toc351203652"/>
    </w:p>
    <w:p w14:paraId="5C351FDF">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1369159B">
      <w:pPr>
        <w:spacing w:line="460" w:lineRule="exact"/>
        <w:ind w:firstLine="560" w:firstLineChars="200"/>
        <w:rPr>
          <w:rFonts w:hint="eastAsia" w:ascii="仿宋" w:hAnsi="仿宋" w:eastAsia="仿宋" w:cs="仿宋"/>
          <w:sz w:val="28"/>
          <w:szCs w:val="28"/>
          <w:u w:val="single"/>
        </w:rPr>
      </w:pPr>
    </w:p>
    <w:p w14:paraId="22F4A768">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350B83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0FD6920">
      <w:pPr>
        <w:spacing w:line="460" w:lineRule="exact"/>
        <w:ind w:firstLine="560" w:firstLineChars="200"/>
        <w:rPr>
          <w:rFonts w:hint="eastAsia" w:ascii="仿宋" w:hAnsi="仿宋" w:eastAsia="仿宋" w:cs="仿宋"/>
          <w:sz w:val="28"/>
          <w:szCs w:val="28"/>
          <w:u w:val="single"/>
        </w:rPr>
      </w:pPr>
    </w:p>
    <w:p w14:paraId="5114D3A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70CF9541">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435CC2F6">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2297B15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DC3B205">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728EB10">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1C747750">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75E6D47">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573933F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8926A7F">
      <w:pPr>
        <w:widowControl/>
        <w:spacing w:line="360" w:lineRule="auto"/>
        <w:outlineLvl w:val="9"/>
        <w:rPr>
          <w:rFonts w:hint="eastAsia" w:ascii="仿宋" w:hAnsi="仿宋" w:eastAsia="仿宋" w:cs="仿宋"/>
          <w:b/>
          <w:sz w:val="36"/>
          <w:szCs w:val="36"/>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b/>
          <w:sz w:val="36"/>
          <w:szCs w:val="36"/>
        </w:rPr>
        <w:br w:type="page"/>
      </w:r>
    </w:p>
    <w:p w14:paraId="21C3FEAB">
      <w:pPr>
        <w:spacing w:line="360" w:lineRule="auto"/>
        <w:rPr>
          <w:rFonts w:hint="eastAsia" w:ascii="仿宋" w:hAnsi="仿宋" w:eastAsia="仿宋" w:cs="仿宋"/>
          <w:sz w:val="28"/>
          <w:szCs w:val="28"/>
          <w:u w:val="single"/>
        </w:rPr>
      </w:pPr>
      <w:r>
        <w:rPr>
          <w:rFonts w:hint="eastAsia" w:ascii="仿宋" w:hAnsi="仿宋" w:eastAsia="仿宋" w:cs="仿宋"/>
          <w:b/>
          <w:sz w:val="36"/>
          <w:szCs w:val="36"/>
        </w:rPr>
        <w:t>附件</w:t>
      </w:r>
      <w:bookmarkEnd w:id="338"/>
      <w:r>
        <w:rPr>
          <w:rFonts w:hint="eastAsia" w:ascii="仿宋" w:hAnsi="仿宋" w:eastAsia="仿宋" w:cs="仿宋"/>
          <w:b/>
          <w:sz w:val="36"/>
          <w:szCs w:val="36"/>
        </w:rPr>
        <w:t>一</w:t>
      </w:r>
    </w:p>
    <w:p w14:paraId="2E4F3B5B">
      <w:pPr>
        <w:spacing w:line="360" w:lineRule="auto"/>
        <w:jc w:val="center"/>
        <w:rPr>
          <w:rFonts w:hint="eastAsia" w:ascii="仿宋" w:hAnsi="仿宋" w:eastAsia="仿宋" w:cs="仿宋"/>
          <w:sz w:val="36"/>
          <w:szCs w:val="36"/>
        </w:rPr>
      </w:pPr>
      <w:r>
        <w:rPr>
          <w:rFonts w:hint="eastAsia" w:ascii="仿宋" w:hAnsi="仿宋" w:eastAsia="仿宋" w:cs="仿宋"/>
          <w:sz w:val="36"/>
          <w:szCs w:val="36"/>
        </w:rPr>
        <w:t>工程质量保修书</w:t>
      </w:r>
    </w:p>
    <w:p w14:paraId="4B784778">
      <w:pPr>
        <w:spacing w:line="360" w:lineRule="auto"/>
        <w:jc w:val="center"/>
        <w:rPr>
          <w:rFonts w:hint="eastAsia" w:ascii="仿宋" w:hAnsi="仿宋" w:eastAsia="仿宋" w:cs="仿宋"/>
          <w:sz w:val="36"/>
          <w:szCs w:val="36"/>
        </w:rPr>
      </w:pPr>
    </w:p>
    <w:p w14:paraId="0FF24D86">
      <w:pPr>
        <w:spacing w:line="360" w:lineRule="auto"/>
        <w:rPr>
          <w:rFonts w:hint="eastAsia" w:ascii="仿宋" w:hAnsi="仿宋" w:eastAsia="仿宋" w:cs="仿宋"/>
          <w:sz w:val="28"/>
          <w:szCs w:val="28"/>
        </w:rPr>
      </w:pPr>
      <w:r>
        <w:rPr>
          <w:rFonts w:hint="eastAsia" w:ascii="仿宋" w:hAnsi="仿宋" w:eastAsia="仿宋" w:cs="仿宋"/>
          <w:sz w:val="28"/>
          <w:szCs w:val="28"/>
        </w:rPr>
        <w:t>发包人（全称）：</w:t>
      </w:r>
      <w:r>
        <w:rPr>
          <w:rFonts w:hint="eastAsia" w:ascii="仿宋" w:hAnsi="仿宋" w:eastAsia="仿宋" w:cs="仿宋"/>
          <w:sz w:val="28"/>
          <w:szCs w:val="28"/>
          <w:u w:val="single"/>
        </w:rPr>
        <w:t>四川省人民医院</w:t>
      </w:r>
    </w:p>
    <w:p w14:paraId="48AB2FAF">
      <w:pPr>
        <w:spacing w:line="360" w:lineRule="auto"/>
        <w:rPr>
          <w:rFonts w:hint="eastAsia" w:ascii="仿宋" w:hAnsi="仿宋" w:eastAsia="仿宋" w:cs="仿宋"/>
          <w:sz w:val="28"/>
          <w:szCs w:val="28"/>
        </w:rPr>
      </w:pPr>
      <w:r>
        <w:rPr>
          <w:rFonts w:hint="eastAsia" w:ascii="仿宋" w:hAnsi="仿宋" w:eastAsia="仿宋" w:cs="仿宋"/>
          <w:sz w:val="28"/>
          <w:szCs w:val="28"/>
        </w:rPr>
        <w:t>承包人（全称）：</w:t>
      </w:r>
    </w:p>
    <w:p w14:paraId="58B6719B">
      <w:pPr>
        <w:spacing w:line="360" w:lineRule="auto"/>
        <w:rPr>
          <w:rFonts w:hint="eastAsia" w:ascii="仿宋" w:hAnsi="仿宋" w:eastAsia="仿宋" w:cs="仿宋"/>
          <w:sz w:val="28"/>
          <w:szCs w:val="28"/>
        </w:rPr>
      </w:pPr>
    </w:p>
    <w:p w14:paraId="367BD9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发包人和承包人根据《中华人民共和国建筑法》和《建设工程质量管理条例》，经协商一致就（工程全称）签订工程质量保修书。</w:t>
      </w:r>
    </w:p>
    <w:p w14:paraId="7E4F5EE7">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一、工程质量保修范围和内容</w:t>
      </w:r>
    </w:p>
    <w:p w14:paraId="6662B4C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承包人在质量保修期内，按照有关法律规定和合同约定，承担工程质量保修责任。</w:t>
      </w:r>
    </w:p>
    <w:p w14:paraId="5B22C03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62F53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2EC46B6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二、质量保修期</w:t>
      </w:r>
    </w:p>
    <w:p w14:paraId="5CC4C5C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根据《建设工程质量管理条例》及有关规定，工程的质量保修期如下：</w:t>
      </w:r>
    </w:p>
    <w:p w14:paraId="2B4ED1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1．地基基础工程和主体结构工程为设计文件规定的工程合理使用年限；</w:t>
      </w:r>
    </w:p>
    <w:p w14:paraId="284AEB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2．屋面防水工程、有防水要求的卫生间、房间和外墙面的防渗为</w:t>
      </w:r>
      <w:r>
        <w:rPr>
          <w:rFonts w:hint="eastAsia" w:ascii="仿宋" w:hAnsi="仿宋" w:eastAsia="仿宋" w:cs="仿宋"/>
          <w:sz w:val="28"/>
          <w:szCs w:val="28"/>
          <w:u w:val="single"/>
        </w:rPr>
        <w:t xml:space="preserve"> 5 </w:t>
      </w:r>
      <w:r>
        <w:rPr>
          <w:rFonts w:hint="eastAsia" w:ascii="仿宋" w:hAnsi="仿宋" w:eastAsia="仿宋" w:cs="仿宋"/>
          <w:sz w:val="28"/>
          <w:szCs w:val="28"/>
        </w:rPr>
        <w:t>年；</w:t>
      </w:r>
    </w:p>
    <w:p w14:paraId="6BF80D0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3．装修工程为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29370E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4．电气管线、给排水管道、设备安装工程为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1DD2FF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5．供热与供冷系统为</w:t>
      </w:r>
      <w:r>
        <w:rPr>
          <w:rFonts w:hint="eastAsia" w:ascii="仿宋" w:hAnsi="仿宋" w:eastAsia="仿宋" w:cs="仿宋"/>
          <w:sz w:val="28"/>
          <w:szCs w:val="28"/>
          <w:u w:val="single"/>
        </w:rPr>
        <w:t>2</w:t>
      </w:r>
      <w:r>
        <w:rPr>
          <w:rFonts w:hint="eastAsia" w:ascii="仿宋" w:hAnsi="仿宋" w:eastAsia="仿宋" w:cs="仿宋"/>
          <w:sz w:val="28"/>
          <w:szCs w:val="28"/>
        </w:rPr>
        <w:t>个采暖期、供冷期；</w:t>
      </w:r>
    </w:p>
    <w:p w14:paraId="14AD60E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6．住宅小区内的给排水设施、道路等配套工程为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30D8CA0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7．其他项目保修期限约定如下：</w:t>
      </w:r>
    </w:p>
    <w:p w14:paraId="05C420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31D5B76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质量保修期自工程竣工验收合格之日起计算。</w:t>
      </w:r>
    </w:p>
    <w:p w14:paraId="6F113E7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三、缺陷责任期</w:t>
      </w:r>
    </w:p>
    <w:p w14:paraId="1D6FEF0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工程缺陷责任期为</w:t>
      </w:r>
      <w:r>
        <w:rPr>
          <w:rFonts w:hint="eastAsia" w:ascii="仿宋" w:hAnsi="仿宋" w:eastAsia="仿宋" w:cs="仿宋"/>
          <w:sz w:val="28"/>
          <w:szCs w:val="28"/>
          <w:u w:val="single"/>
          <w:lang w:val="en-US" w:eastAsia="zh-CN"/>
        </w:rPr>
        <w:t>12</w:t>
      </w:r>
      <w:r>
        <w:rPr>
          <w:rFonts w:hint="eastAsia" w:ascii="仿宋" w:hAnsi="仿宋" w:eastAsia="仿宋" w:cs="仿宋"/>
          <w:sz w:val="28"/>
          <w:szCs w:val="28"/>
        </w:rPr>
        <w:t>个月，缺陷责任期自工程竣工验收合格之日起计算。单位工程先于全部工程进行验收，单位工程缺陷责任期自单位工程验收合格之日起算。</w:t>
      </w:r>
    </w:p>
    <w:p w14:paraId="4D66722D">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四、质量保修责任</w:t>
      </w:r>
      <w:r>
        <w:rPr>
          <w:rFonts w:hint="eastAsia" w:ascii="仿宋" w:hAnsi="仿宋" w:eastAsia="仿宋" w:cs="仿宋"/>
          <w:sz w:val="28"/>
          <w:szCs w:val="28"/>
        </w:rPr>
        <w:t>（</w:t>
      </w:r>
      <w:r>
        <w:rPr>
          <w:rFonts w:hint="eastAsia" w:ascii="仿宋" w:hAnsi="仿宋" w:eastAsia="仿宋" w:cs="仿宋"/>
          <w:b/>
          <w:sz w:val="28"/>
          <w:szCs w:val="28"/>
        </w:rPr>
        <w:t>由项目牵头人填写/添加内容</w:t>
      </w:r>
      <w:r>
        <w:rPr>
          <w:rFonts w:hint="eastAsia" w:ascii="仿宋" w:hAnsi="仿宋" w:eastAsia="仿宋" w:cs="仿宋"/>
          <w:sz w:val="28"/>
          <w:szCs w:val="28"/>
        </w:rPr>
        <w:t>）</w:t>
      </w:r>
    </w:p>
    <w:p w14:paraId="6E60A0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1．属于保修范围、内容的项目，承包人应当在接到保修通知之时起</w:t>
      </w:r>
      <w:r>
        <w:rPr>
          <w:rFonts w:hint="eastAsia" w:ascii="仿宋" w:hAnsi="仿宋" w:eastAsia="仿宋" w:cs="仿宋"/>
          <w:sz w:val="28"/>
          <w:szCs w:val="28"/>
          <w:lang w:val="en-US" w:eastAsia="zh-CN"/>
        </w:rPr>
        <w:t>XX</w:t>
      </w:r>
      <w:r>
        <w:rPr>
          <w:rFonts w:hint="eastAsia" w:ascii="仿宋" w:hAnsi="仿宋" w:eastAsia="仿宋" w:cs="仿宋"/>
          <w:sz w:val="28"/>
          <w:szCs w:val="28"/>
        </w:rPr>
        <w:t>小时内派人保修。</w:t>
      </w:r>
    </w:p>
    <w:p w14:paraId="6291884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2．发生紧急事故需抢修的，承包人在接到事故通知后，应当在</w:t>
      </w:r>
      <w:r>
        <w:rPr>
          <w:rFonts w:hint="eastAsia" w:ascii="仿宋" w:hAnsi="仿宋" w:eastAsia="仿宋" w:cs="仿宋"/>
          <w:sz w:val="28"/>
          <w:szCs w:val="28"/>
          <w:lang w:val="en-US" w:eastAsia="zh-CN"/>
        </w:rPr>
        <w:t>XX</w:t>
      </w:r>
      <w:r>
        <w:rPr>
          <w:rFonts w:hint="eastAsia" w:ascii="仿宋" w:hAnsi="仿宋" w:eastAsia="仿宋" w:cs="仿宋"/>
          <w:sz w:val="28"/>
          <w:szCs w:val="28"/>
        </w:rPr>
        <w:t>小时内到达事故现场抢修。</w:t>
      </w:r>
    </w:p>
    <w:p w14:paraId="29A4CA0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3．对于涉及结构安全的质量问题，应当立即向当地建设行政主管部门和有关部门报告，采取安全防范措施，并由原设计人或者具有相应资质等级的设计人提出质量保修方案，承包人实施质量保修。</w:t>
      </w:r>
    </w:p>
    <w:p w14:paraId="06CD28A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4．质量保修完成后，由发包人组织验收。</w:t>
      </w:r>
    </w:p>
    <w:p w14:paraId="36479D8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五、保修费用</w:t>
      </w:r>
    </w:p>
    <w:p w14:paraId="4E0DA7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保修费用由造成质量缺陷的责任方承担。</w:t>
      </w:r>
    </w:p>
    <w:p w14:paraId="72814F10">
      <w:pPr>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sz w:val="28"/>
          <w:szCs w:val="28"/>
        </w:rPr>
        <w:t>六、双方约定的其他工程质量保修事项</w:t>
      </w:r>
      <w:r>
        <w:rPr>
          <w:rFonts w:hint="eastAsia" w:ascii="仿宋" w:hAnsi="仿宋" w:eastAsia="仿宋" w:cs="仿宋"/>
          <w:sz w:val="28"/>
          <w:szCs w:val="28"/>
          <w:u w:val="single"/>
        </w:rPr>
        <w:t>：承包人不在约定期限内派人进行质量保修，发包人可以委托他人修理，发生的费用从质量保修金中扣除。</w:t>
      </w:r>
    </w:p>
    <w:p w14:paraId="42A16C4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工程质量保修书由发包人、承包人在工程竣工验收前共同签署，作为施工合同附件，其有效期限至保修期满。</w:t>
      </w:r>
    </w:p>
    <w:p w14:paraId="054CC422">
      <w:pPr>
        <w:spacing w:line="360" w:lineRule="auto"/>
        <w:ind w:firstLine="420"/>
        <w:rPr>
          <w:rFonts w:hint="eastAsia" w:ascii="仿宋" w:hAnsi="仿宋" w:eastAsia="仿宋" w:cs="仿宋"/>
          <w:sz w:val="28"/>
          <w:szCs w:val="28"/>
        </w:rPr>
      </w:pPr>
    </w:p>
    <w:p w14:paraId="28D0DE20">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rPr>
        <w:t>四川省人民医院</w:t>
      </w:r>
      <w:r>
        <w:rPr>
          <w:rFonts w:hint="eastAsia" w:ascii="仿宋" w:hAnsi="仿宋" w:eastAsia="仿宋" w:cs="仿宋"/>
          <w:kern w:val="10"/>
          <w:sz w:val="28"/>
          <w:szCs w:val="28"/>
          <w:lang w:val="en-US" w:eastAsia="zh-CN"/>
        </w:rPr>
        <w:t xml:space="preserve">   </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6EA28978">
      <w:pPr>
        <w:spacing w:line="460" w:lineRule="exact"/>
        <w:ind w:firstLine="560" w:firstLineChars="200"/>
        <w:rPr>
          <w:rFonts w:hint="eastAsia" w:ascii="仿宋" w:hAnsi="仿宋" w:eastAsia="仿宋" w:cs="仿宋"/>
          <w:sz w:val="28"/>
          <w:szCs w:val="28"/>
          <w:u w:val="single"/>
        </w:rPr>
      </w:pPr>
    </w:p>
    <w:p w14:paraId="7AB52092">
      <w:pPr>
        <w:spacing w:line="460" w:lineRule="exact"/>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法定代表人或其委托代理人：</w:t>
      </w:r>
    </w:p>
    <w:p w14:paraId="5AB051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0E4BE785">
      <w:pPr>
        <w:spacing w:line="460" w:lineRule="exact"/>
        <w:ind w:firstLine="560" w:firstLineChars="200"/>
        <w:rPr>
          <w:rFonts w:hint="eastAsia" w:ascii="仿宋" w:hAnsi="仿宋" w:eastAsia="仿宋" w:cs="仿宋"/>
          <w:sz w:val="28"/>
          <w:szCs w:val="28"/>
          <w:u w:val="single"/>
        </w:rPr>
      </w:pPr>
    </w:p>
    <w:p w14:paraId="2D231789">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2C07AA9F">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105B20FE">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5D4B2B23">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0493DB8">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676735E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5F9AF0E">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2C445B50">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p>
    <w:p w14:paraId="49E4E815">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3DD7D86">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2B241C8">
      <w:pPr>
        <w:rPr>
          <w:rFonts w:hint="eastAsia" w:ascii="仿宋" w:hAnsi="仿宋" w:eastAsia="仿宋" w:cs="仿宋"/>
          <w:b/>
          <w:sz w:val="36"/>
          <w:szCs w:val="36"/>
        </w:rPr>
      </w:pPr>
      <w:r>
        <w:rPr>
          <w:rFonts w:hint="eastAsia" w:ascii="仿宋" w:hAnsi="仿宋" w:eastAsia="仿宋" w:cs="仿宋"/>
          <w:b/>
          <w:sz w:val="36"/>
          <w:szCs w:val="36"/>
        </w:rPr>
        <w:br w:type="page"/>
      </w:r>
    </w:p>
    <w:p w14:paraId="2703A5E8">
      <w:pPr>
        <w:spacing w:line="360" w:lineRule="auto"/>
        <w:jc w:val="left"/>
        <w:rPr>
          <w:rFonts w:hint="eastAsia" w:ascii="仿宋" w:hAnsi="仿宋" w:eastAsia="仿宋" w:cs="仿宋"/>
          <w:b/>
          <w:sz w:val="36"/>
          <w:szCs w:val="36"/>
        </w:rPr>
      </w:pPr>
      <w:r>
        <w:rPr>
          <w:rFonts w:hint="eastAsia" w:ascii="仿宋" w:hAnsi="仿宋" w:eastAsia="仿宋" w:cs="仿宋"/>
          <w:b/>
          <w:sz w:val="36"/>
          <w:szCs w:val="36"/>
        </w:rPr>
        <w:t>附件二</w:t>
      </w:r>
    </w:p>
    <w:p w14:paraId="0CD3702C">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廉洁合同</w:t>
      </w:r>
    </w:p>
    <w:p w14:paraId="6CF6A534">
      <w:pPr>
        <w:spacing w:line="360" w:lineRule="auto"/>
        <w:ind w:firstLine="562" w:firstLineChars="200"/>
        <w:jc w:val="center"/>
        <w:rPr>
          <w:rFonts w:hint="eastAsia" w:ascii="仿宋" w:hAnsi="仿宋" w:eastAsia="仿宋" w:cs="仿宋"/>
          <w:b/>
          <w:sz w:val="28"/>
          <w:szCs w:val="28"/>
        </w:rPr>
      </w:pPr>
    </w:p>
    <w:p w14:paraId="1C79846D">
      <w:pPr>
        <w:spacing w:line="360" w:lineRule="auto"/>
        <w:rPr>
          <w:rFonts w:hint="eastAsia" w:ascii="仿宋" w:hAnsi="仿宋" w:eastAsia="仿宋" w:cs="仿宋"/>
          <w:sz w:val="28"/>
          <w:szCs w:val="28"/>
        </w:rPr>
      </w:pPr>
      <w:r>
        <w:rPr>
          <w:rFonts w:hint="eastAsia" w:ascii="仿宋" w:hAnsi="仿宋" w:eastAsia="仿宋" w:cs="仿宋"/>
          <w:sz w:val="28"/>
          <w:szCs w:val="28"/>
        </w:rPr>
        <w:t>工程项目名称：</w:t>
      </w:r>
    </w:p>
    <w:p w14:paraId="0B3F90AD">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发包人（甲方）：四川省人民医院 </w:t>
      </w:r>
    </w:p>
    <w:p w14:paraId="2B042135">
      <w:pPr>
        <w:spacing w:line="360" w:lineRule="auto"/>
        <w:rPr>
          <w:rFonts w:hint="eastAsia" w:ascii="仿宋" w:hAnsi="仿宋" w:eastAsia="仿宋" w:cs="仿宋"/>
          <w:sz w:val="28"/>
          <w:szCs w:val="28"/>
          <w:u w:val="single"/>
        </w:rPr>
      </w:pPr>
      <w:r>
        <w:rPr>
          <w:rFonts w:hint="eastAsia" w:ascii="仿宋" w:hAnsi="仿宋" w:eastAsia="仿宋" w:cs="仿宋"/>
          <w:sz w:val="28"/>
          <w:szCs w:val="28"/>
        </w:rPr>
        <w:t>承包人（乙方）：</w:t>
      </w:r>
    </w:p>
    <w:p w14:paraId="5C2DA188">
      <w:pPr>
        <w:spacing w:line="360" w:lineRule="auto"/>
        <w:rPr>
          <w:rFonts w:hint="eastAsia" w:ascii="仿宋" w:hAnsi="仿宋" w:eastAsia="仿宋" w:cs="仿宋"/>
          <w:sz w:val="28"/>
          <w:szCs w:val="28"/>
        </w:rPr>
      </w:pPr>
    </w:p>
    <w:p w14:paraId="5EBDCCA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14:paraId="263DE56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第一条  双方的权利和义务</w:t>
      </w:r>
    </w:p>
    <w:p w14:paraId="767345C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（一）严格遵守党和国家有关法律法规及上级相关各项规定。</w:t>
      </w:r>
    </w:p>
    <w:p w14:paraId="3EE3324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（二）严格执行合同文件，自觉按合同办事。</w:t>
      </w:r>
    </w:p>
    <w:p w14:paraId="749E82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（三）双方的业务活动坚持公开、公正、诚信、透明的原则（除法律认定的商业秘密和合同文件另有规定之外），不得损害国家和集体的利益，不得违反工程建设管理的各种规章制度。</w:t>
      </w:r>
    </w:p>
    <w:p w14:paraId="05550E2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（四）建立健全廉洁制度，开展廉洁教育，建立廉洁告示牌，公布举报电话，监督并认真查处违法违纪行为。</w:t>
      </w:r>
    </w:p>
    <w:p w14:paraId="4FD699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（五）发现对方在业务活动中有违反廉洁规定的行为，有及时提醒对方纠正的义务，有举报并要求告之处理结果的权利。</w:t>
      </w:r>
    </w:p>
    <w:p w14:paraId="41DA5E7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第二条  甲方的义务</w:t>
      </w:r>
    </w:p>
    <w:p w14:paraId="749EE74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14:paraId="634FF40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（二）甲方工作人员不得参加乙方安排的外出旅游和超标准的宴请、健身及娱乐活动，不得接受乙方提供的通讯、交通工具和高档办公用品。</w:t>
      </w:r>
    </w:p>
    <w:p w14:paraId="5C4F84D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（三）甲方及其工作人员不得要求或者接受乙方为其住房装修、婚丧嫁娶活动、配偶子女的工作安排以及出国出境等提供方便。</w:t>
      </w:r>
    </w:p>
    <w:p w14:paraId="14C6F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（四）甲方工作人员的配偶、子女不得从事与甲方工程有关的材料设备供应、工程分包、劳务等经济活动。</w:t>
      </w:r>
    </w:p>
    <w:p w14:paraId="32F127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（五）甲方及其工作人员不得以任何理由向乙方推荐分包单位，不得要求乙方购买合同规定外的材料和设备。</w:t>
      </w:r>
    </w:p>
    <w:p w14:paraId="67A95D2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（六）甲方工作人员不得弄虚作假为乙方谋取利益。</w:t>
      </w:r>
    </w:p>
    <w:p w14:paraId="282989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（七）甲方及其工作人员在业务中难以拒收的钱、卡、物等，必须按有关规定登记上交甲方相关纪检部门。</w:t>
      </w:r>
    </w:p>
    <w:p w14:paraId="37294EB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（八）甲方及其工作人员在业务中难以拒收的钱、卡、物等，必须按有关规定登记上交相关纪检部门。</w:t>
      </w:r>
    </w:p>
    <w:p w14:paraId="2F9C2A9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第三条  乙方义务</w:t>
      </w:r>
    </w:p>
    <w:p w14:paraId="5D0C0E4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14:paraId="0B037A5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（二）乙方不得以任何理由安排甲方工作人员外出旅游和参加超标准的宴请、健身及娱乐活动。</w:t>
      </w:r>
    </w:p>
    <w:p w14:paraId="3F865EB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（三）乙方不得为甲方个人购置或提供通讯工具、交通工具和高档办公用品。</w:t>
      </w:r>
    </w:p>
    <w:p w14:paraId="7C9C025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（四）乙方与甲方发生业务往来过程中，不得有弄虚作假、以次充好、虚结虚算等违反诚信原则的行为。</w:t>
      </w:r>
    </w:p>
    <w:p w14:paraId="7604638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第四条  违约责任</w:t>
      </w:r>
    </w:p>
    <w:p w14:paraId="1CDE864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14:paraId="2253F9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14:paraId="1A8B45BA">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第五条</w:t>
      </w:r>
      <w:r>
        <w:rPr>
          <w:rFonts w:hint="eastAsia" w:ascii="仿宋" w:hAnsi="仿宋" w:eastAsia="仿宋" w:cs="仿宋"/>
          <w:sz w:val="28"/>
          <w:szCs w:val="28"/>
        </w:rPr>
        <w:t xml:space="preserve">  本合同作为三方签订的经济合同的组成部分，与经济合同具有同等法律效力，由三方或三方上级单位的纪检监察部门负责监督和检查。</w:t>
      </w:r>
    </w:p>
    <w:p w14:paraId="69FBA3A4">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 xml:space="preserve">第六条 </w:t>
      </w:r>
      <w:r>
        <w:rPr>
          <w:rFonts w:hint="eastAsia" w:ascii="仿宋" w:hAnsi="仿宋" w:eastAsia="仿宋" w:cs="仿宋"/>
          <w:sz w:val="28"/>
          <w:szCs w:val="28"/>
        </w:rPr>
        <w:t xml:space="preserve"> 本合同份数、有效期与经济主体合同一致。</w:t>
      </w:r>
    </w:p>
    <w:p w14:paraId="25F0F9E6">
      <w:pPr>
        <w:spacing w:line="360" w:lineRule="auto"/>
        <w:rPr>
          <w:rFonts w:hint="eastAsia" w:ascii="仿宋" w:hAnsi="仿宋" w:eastAsia="仿宋" w:cs="仿宋"/>
          <w:sz w:val="28"/>
          <w:szCs w:val="28"/>
          <w:u w:val="single"/>
        </w:rPr>
      </w:pPr>
    </w:p>
    <w:p w14:paraId="2A0D4315">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50FD1CD">
      <w:pPr>
        <w:spacing w:line="460" w:lineRule="exact"/>
        <w:ind w:firstLine="560" w:firstLineChars="200"/>
        <w:rPr>
          <w:rFonts w:hint="eastAsia" w:ascii="仿宋" w:hAnsi="仿宋" w:eastAsia="仿宋" w:cs="仿宋"/>
          <w:sz w:val="28"/>
          <w:szCs w:val="28"/>
          <w:u w:val="single"/>
        </w:rPr>
      </w:pPr>
    </w:p>
    <w:p w14:paraId="47F9311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2A49B7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ADE6672">
      <w:pPr>
        <w:spacing w:line="460" w:lineRule="exact"/>
        <w:ind w:firstLine="560" w:firstLineChars="200"/>
        <w:rPr>
          <w:rFonts w:hint="eastAsia" w:ascii="仿宋" w:hAnsi="仿宋" w:eastAsia="仿宋" w:cs="仿宋"/>
          <w:sz w:val="28"/>
          <w:szCs w:val="28"/>
          <w:u w:val="single"/>
        </w:rPr>
      </w:pPr>
    </w:p>
    <w:p w14:paraId="512AB294">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4B6BF5D6">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749D9778">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C5DCFCC">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620F96A">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404875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38936A17">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FFCC0BE">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F2A534B">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02C1D443">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2953D5B8">
      <w:pPr>
        <w:rPr>
          <w:rFonts w:hint="eastAsia" w:ascii="宋体" w:hAnsi="宋体" w:eastAsia="宋体" w:cs="宋体"/>
          <w:b/>
          <w:bCs/>
          <w:sz w:val="44"/>
          <w:szCs w:val="52"/>
          <w:highlight w:val="none"/>
          <w:lang w:val="en-US" w:eastAsia="zh-CN"/>
        </w:rPr>
      </w:pPr>
      <w:r>
        <w:rPr>
          <w:rFonts w:hint="eastAsia" w:ascii="宋体" w:hAnsi="宋体" w:eastAsia="宋体" w:cs="宋体"/>
          <w:b/>
          <w:bCs/>
          <w:sz w:val="44"/>
          <w:szCs w:val="52"/>
          <w:highlight w:val="none"/>
          <w:lang w:val="en-US" w:eastAsia="zh-CN"/>
        </w:rPr>
        <w:br w:type="page"/>
      </w:r>
    </w:p>
    <w:p w14:paraId="0C9FEE64">
      <w:pPr>
        <w:jc w:val="left"/>
        <w:rPr>
          <w:rFonts w:hint="eastAsia" w:ascii="宋体" w:hAnsi="宋体" w:eastAsia="宋体" w:cs="宋体"/>
          <w:b/>
          <w:bCs/>
          <w:sz w:val="44"/>
          <w:szCs w:val="52"/>
          <w:highlight w:val="none"/>
          <w:lang w:val="en-US" w:eastAsia="zh-CN"/>
        </w:rPr>
      </w:pP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ADCDFC26-05CB-436E-9D65-5BAC4814282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12054B3-FD61-4B58-A04B-43A5BA19C05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733CFF3-B5E5-4AB5-BAB2-FE846D23317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5AD8878-8E87-4C7C-8FE8-9F464D6AECF5}"/>
  </w:font>
  <w:font w:name="Segoe UI Symbol">
    <w:panose1 w:val="020B0502040204020203"/>
    <w:charset w:val="00"/>
    <w:family w:val="swiss"/>
    <w:pitch w:val="default"/>
    <w:sig w:usb0="800001E3" w:usb1="1200FFEF" w:usb2="00040000" w:usb3="04000000" w:csb0="00000001" w:csb1="40000000"/>
    <w:embedRegular r:id="rId5" w:fontKey="{F7892761-B735-49DF-8510-0A22FC3BAA6C}"/>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2"/>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1CB">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9DF849B">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661B4F4"/>
    <w:multiLevelType w:val="singleLevel"/>
    <w:tmpl w:val="A661B4F4"/>
    <w:lvl w:ilvl="0" w:tentative="0">
      <w:start w:val="1"/>
      <w:numFmt w:val="chineseCounting"/>
      <w:suff w:val="nothing"/>
      <w:lvlText w:val="%1、"/>
      <w:lvlJc w:val="left"/>
      <w:pPr>
        <w:ind w:left="-482"/>
      </w:pPr>
      <w:rPr>
        <w:rFonts w:hint="eastAsia"/>
        <w:b/>
        <w:bCs/>
      </w:rPr>
    </w:lvl>
  </w:abstractNum>
  <w:abstractNum w:abstractNumId="3">
    <w:nsid w:val="AC53E092"/>
    <w:multiLevelType w:val="singleLevel"/>
    <w:tmpl w:val="AC53E092"/>
    <w:lvl w:ilvl="0" w:tentative="0">
      <w:start w:val="12"/>
      <w:numFmt w:val="decimal"/>
      <w:suff w:val="nothing"/>
      <w:lvlText w:val="（%1）"/>
      <w:lvlJc w:val="left"/>
    </w:lvl>
  </w:abstractNum>
  <w:abstractNum w:abstractNumId="4">
    <w:nsid w:val="CEC2DFDA"/>
    <w:multiLevelType w:val="singleLevel"/>
    <w:tmpl w:val="CEC2DFDA"/>
    <w:lvl w:ilvl="0" w:tentative="0">
      <w:start w:val="1"/>
      <w:numFmt w:val="decimal"/>
      <w:suff w:val="nothing"/>
      <w:lvlText w:val="（%1）"/>
      <w:lvlJc w:val="left"/>
    </w:lvl>
  </w:abstractNum>
  <w:abstractNum w:abstractNumId="5">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6">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7">
    <w:nsid w:val="FCA5E3A8"/>
    <w:multiLevelType w:val="singleLevel"/>
    <w:tmpl w:val="FCA5E3A8"/>
    <w:lvl w:ilvl="0" w:tentative="0">
      <w:start w:val="1"/>
      <w:numFmt w:val="decimal"/>
      <w:suff w:val="nothing"/>
      <w:lvlText w:val="（%1）"/>
      <w:lvlJc w:val="left"/>
      <w:pPr>
        <w:ind w:left="-210"/>
      </w:pPr>
    </w:lvl>
  </w:abstractNum>
  <w:abstractNum w:abstractNumId="8">
    <w:nsid w:val="0EBC0864"/>
    <w:multiLevelType w:val="singleLevel"/>
    <w:tmpl w:val="0EBC0864"/>
    <w:lvl w:ilvl="0" w:tentative="0">
      <w:start w:val="1"/>
      <w:numFmt w:val="decimal"/>
      <w:lvlText w:val="(%1)"/>
      <w:lvlJc w:val="left"/>
      <w:pPr>
        <w:ind w:left="425" w:hanging="425"/>
      </w:pPr>
      <w:rPr>
        <w:rFonts w:hint="default"/>
        <w:b w:val="0"/>
        <w:bCs w:val="0"/>
      </w:rPr>
    </w:lvl>
  </w:abstractNum>
  <w:abstractNum w:abstractNumId="9">
    <w:nsid w:val="114C434A"/>
    <w:multiLevelType w:val="singleLevel"/>
    <w:tmpl w:val="114C434A"/>
    <w:lvl w:ilvl="0" w:tentative="0">
      <w:start w:val="1"/>
      <w:numFmt w:val="decimal"/>
      <w:lvlText w:val="%1."/>
      <w:lvlJc w:val="left"/>
      <w:pPr>
        <w:tabs>
          <w:tab w:val="left" w:pos="312"/>
        </w:tabs>
      </w:pPr>
    </w:lvl>
  </w:abstractNum>
  <w:abstractNum w:abstractNumId="10">
    <w:nsid w:val="17B3C4F8"/>
    <w:multiLevelType w:val="singleLevel"/>
    <w:tmpl w:val="17B3C4F8"/>
    <w:lvl w:ilvl="0" w:tentative="0">
      <w:start w:val="4"/>
      <w:numFmt w:val="decimal"/>
      <w:lvlText w:val="%1."/>
      <w:lvlJc w:val="left"/>
      <w:pPr>
        <w:tabs>
          <w:tab w:val="left" w:pos="312"/>
        </w:tabs>
        <w:ind w:left="-482"/>
      </w:pPr>
    </w:lvl>
  </w:abstractNum>
  <w:abstractNum w:abstractNumId="11">
    <w:nsid w:val="1F712D09"/>
    <w:multiLevelType w:val="singleLevel"/>
    <w:tmpl w:val="1F712D09"/>
    <w:lvl w:ilvl="0" w:tentative="0">
      <w:start w:val="1"/>
      <w:numFmt w:val="decimal"/>
      <w:lvlText w:val="(%1)"/>
      <w:lvlJc w:val="left"/>
      <w:pPr>
        <w:ind w:left="218" w:hanging="425"/>
      </w:pPr>
      <w:rPr>
        <w:rFonts w:hint="default"/>
      </w:rPr>
    </w:lvl>
  </w:abstractNum>
  <w:abstractNum w:abstractNumId="12">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3A69C7D9"/>
    <w:multiLevelType w:val="singleLevel"/>
    <w:tmpl w:val="3A69C7D9"/>
    <w:lvl w:ilvl="0" w:tentative="0">
      <w:start w:val="1"/>
      <w:numFmt w:val="decimal"/>
      <w:lvlText w:val="(%1)"/>
      <w:lvlJc w:val="left"/>
      <w:pPr>
        <w:ind w:left="425" w:hanging="425"/>
      </w:pPr>
      <w:rPr>
        <w:rFonts w:hint="default"/>
      </w:rPr>
    </w:lvl>
  </w:abstractNum>
  <w:abstractNum w:abstractNumId="14">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5">
    <w:nsid w:val="4A2AFA2E"/>
    <w:multiLevelType w:val="singleLevel"/>
    <w:tmpl w:val="4A2AFA2E"/>
    <w:lvl w:ilvl="0" w:tentative="0">
      <w:start w:val="1"/>
      <w:numFmt w:val="decimal"/>
      <w:lvlText w:val="%1."/>
      <w:lvlJc w:val="left"/>
      <w:pPr>
        <w:tabs>
          <w:tab w:val="left" w:pos="312"/>
        </w:tabs>
      </w:pPr>
    </w:lvl>
  </w:abstractNum>
  <w:abstractNum w:abstractNumId="16">
    <w:nsid w:val="4DA2C505"/>
    <w:multiLevelType w:val="singleLevel"/>
    <w:tmpl w:val="4DA2C505"/>
    <w:lvl w:ilvl="0" w:tentative="0">
      <w:start w:val="1"/>
      <w:numFmt w:val="decimal"/>
      <w:lvlText w:val="%1."/>
      <w:lvlJc w:val="left"/>
      <w:pPr>
        <w:tabs>
          <w:tab w:val="left" w:pos="312"/>
        </w:tabs>
      </w:pPr>
    </w:lvl>
  </w:abstractNum>
  <w:abstractNum w:abstractNumId="1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8">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6"/>
  </w:num>
  <w:num w:numId="3">
    <w:abstractNumId w:val="14"/>
  </w:num>
  <w:num w:numId="4">
    <w:abstractNumId w:val="18"/>
  </w:num>
  <w:num w:numId="5">
    <w:abstractNumId w:val="11"/>
  </w:num>
  <w:num w:numId="6">
    <w:abstractNumId w:val="17"/>
  </w:num>
  <w:num w:numId="7">
    <w:abstractNumId w:val="13"/>
  </w:num>
  <w:num w:numId="8">
    <w:abstractNumId w:val="5"/>
  </w:num>
  <w:num w:numId="9">
    <w:abstractNumId w:val="1"/>
  </w:num>
  <w:num w:numId="10">
    <w:abstractNumId w:val="0"/>
  </w:num>
  <w:num w:numId="11">
    <w:abstractNumId w:val="7"/>
  </w:num>
  <w:num w:numId="12">
    <w:abstractNumId w:val="2"/>
  </w:num>
  <w:num w:numId="13">
    <w:abstractNumId w:val="8"/>
  </w:num>
  <w:num w:numId="14">
    <w:abstractNumId w:val="15"/>
  </w:num>
  <w:num w:numId="15">
    <w:abstractNumId w:val="4"/>
  </w:num>
  <w:num w:numId="16">
    <w:abstractNumId w:val="10"/>
  </w:num>
  <w:num w:numId="17">
    <w:abstractNumId w:val="3"/>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64AE1"/>
    <w:rsid w:val="00D74E06"/>
    <w:rsid w:val="00DE5670"/>
    <w:rsid w:val="00DF3B6A"/>
    <w:rsid w:val="00E2603E"/>
    <w:rsid w:val="00E535EF"/>
    <w:rsid w:val="00E71156"/>
    <w:rsid w:val="00E769CD"/>
    <w:rsid w:val="00EA700B"/>
    <w:rsid w:val="00EF1292"/>
    <w:rsid w:val="00F3202A"/>
    <w:rsid w:val="00F523A1"/>
    <w:rsid w:val="00F676AD"/>
    <w:rsid w:val="00F90C3B"/>
    <w:rsid w:val="00FF60E3"/>
    <w:rsid w:val="01BD17FD"/>
    <w:rsid w:val="02141A12"/>
    <w:rsid w:val="032B1BE2"/>
    <w:rsid w:val="04BC244D"/>
    <w:rsid w:val="05015EA4"/>
    <w:rsid w:val="058C78B0"/>
    <w:rsid w:val="05E13064"/>
    <w:rsid w:val="06635A4F"/>
    <w:rsid w:val="078A573C"/>
    <w:rsid w:val="080C0DE8"/>
    <w:rsid w:val="083E4D1A"/>
    <w:rsid w:val="08DD7BF1"/>
    <w:rsid w:val="093A3733"/>
    <w:rsid w:val="094A004E"/>
    <w:rsid w:val="0B0D79F0"/>
    <w:rsid w:val="0B4508AE"/>
    <w:rsid w:val="0BCE6B3B"/>
    <w:rsid w:val="0C41127C"/>
    <w:rsid w:val="0C8C7AEC"/>
    <w:rsid w:val="0CF161C9"/>
    <w:rsid w:val="0D3D7C96"/>
    <w:rsid w:val="0DA10224"/>
    <w:rsid w:val="0DBA12E6"/>
    <w:rsid w:val="0E0B7FF0"/>
    <w:rsid w:val="0E1E68C5"/>
    <w:rsid w:val="0E60253E"/>
    <w:rsid w:val="0E8A0CB9"/>
    <w:rsid w:val="0F904004"/>
    <w:rsid w:val="105254E4"/>
    <w:rsid w:val="108F6A5A"/>
    <w:rsid w:val="10A73DA4"/>
    <w:rsid w:val="117A5014"/>
    <w:rsid w:val="11F70DB3"/>
    <w:rsid w:val="127F05A0"/>
    <w:rsid w:val="136D78F8"/>
    <w:rsid w:val="13AF3C78"/>
    <w:rsid w:val="15CC4977"/>
    <w:rsid w:val="1601026E"/>
    <w:rsid w:val="162A4F7D"/>
    <w:rsid w:val="16A82A66"/>
    <w:rsid w:val="16A9014A"/>
    <w:rsid w:val="17571954"/>
    <w:rsid w:val="18316649"/>
    <w:rsid w:val="18BF3C55"/>
    <w:rsid w:val="18DE232D"/>
    <w:rsid w:val="18E60004"/>
    <w:rsid w:val="1994787E"/>
    <w:rsid w:val="1AB64BE3"/>
    <w:rsid w:val="1AF264E1"/>
    <w:rsid w:val="1BCC54CD"/>
    <w:rsid w:val="1C297D63"/>
    <w:rsid w:val="1C5F3784"/>
    <w:rsid w:val="1D134793"/>
    <w:rsid w:val="1D4672A6"/>
    <w:rsid w:val="1D81597C"/>
    <w:rsid w:val="1DBA49EB"/>
    <w:rsid w:val="1DD000AF"/>
    <w:rsid w:val="1E09745A"/>
    <w:rsid w:val="1E0D5462"/>
    <w:rsid w:val="1E176351"/>
    <w:rsid w:val="1EA336D1"/>
    <w:rsid w:val="20390790"/>
    <w:rsid w:val="20C718F8"/>
    <w:rsid w:val="211C60E8"/>
    <w:rsid w:val="21454A89"/>
    <w:rsid w:val="21690F5F"/>
    <w:rsid w:val="21F04849"/>
    <w:rsid w:val="228201CD"/>
    <w:rsid w:val="22935D1D"/>
    <w:rsid w:val="23166B67"/>
    <w:rsid w:val="23AE6D9F"/>
    <w:rsid w:val="23D4489F"/>
    <w:rsid w:val="23FF5593"/>
    <w:rsid w:val="241430A6"/>
    <w:rsid w:val="24EF4C36"/>
    <w:rsid w:val="25875AFA"/>
    <w:rsid w:val="258B7398"/>
    <w:rsid w:val="25A04CC3"/>
    <w:rsid w:val="25BC17DF"/>
    <w:rsid w:val="262001B9"/>
    <w:rsid w:val="264A7253"/>
    <w:rsid w:val="26EA61A1"/>
    <w:rsid w:val="270F224B"/>
    <w:rsid w:val="27B87AF9"/>
    <w:rsid w:val="27E25625"/>
    <w:rsid w:val="27E80EA9"/>
    <w:rsid w:val="280414A1"/>
    <w:rsid w:val="28570368"/>
    <w:rsid w:val="297D3F94"/>
    <w:rsid w:val="29C5318E"/>
    <w:rsid w:val="2AC5334C"/>
    <w:rsid w:val="2B502F98"/>
    <w:rsid w:val="2C9A0A9E"/>
    <w:rsid w:val="2DA70D65"/>
    <w:rsid w:val="2DEF70F4"/>
    <w:rsid w:val="2E560813"/>
    <w:rsid w:val="2E5E0360"/>
    <w:rsid w:val="309C39C3"/>
    <w:rsid w:val="31593BBA"/>
    <w:rsid w:val="3248347F"/>
    <w:rsid w:val="32F83B93"/>
    <w:rsid w:val="33553A1D"/>
    <w:rsid w:val="3427766B"/>
    <w:rsid w:val="343706EB"/>
    <w:rsid w:val="348E45F6"/>
    <w:rsid w:val="351A08D0"/>
    <w:rsid w:val="36334CE5"/>
    <w:rsid w:val="364A5485"/>
    <w:rsid w:val="3659722A"/>
    <w:rsid w:val="377F2AD5"/>
    <w:rsid w:val="379A3E49"/>
    <w:rsid w:val="387539FB"/>
    <w:rsid w:val="38A547BD"/>
    <w:rsid w:val="3A4E0C27"/>
    <w:rsid w:val="3A551407"/>
    <w:rsid w:val="3ADB44C6"/>
    <w:rsid w:val="3B033C36"/>
    <w:rsid w:val="3D976E29"/>
    <w:rsid w:val="3DA05553"/>
    <w:rsid w:val="3E5D4E8E"/>
    <w:rsid w:val="3F622C0F"/>
    <w:rsid w:val="3F8213B4"/>
    <w:rsid w:val="3FE25336"/>
    <w:rsid w:val="401311CF"/>
    <w:rsid w:val="4063568E"/>
    <w:rsid w:val="40B82419"/>
    <w:rsid w:val="40F938F8"/>
    <w:rsid w:val="41076015"/>
    <w:rsid w:val="42075FF8"/>
    <w:rsid w:val="42842020"/>
    <w:rsid w:val="42A82814"/>
    <w:rsid w:val="44374882"/>
    <w:rsid w:val="462836BC"/>
    <w:rsid w:val="46741DBA"/>
    <w:rsid w:val="468567BB"/>
    <w:rsid w:val="4782487D"/>
    <w:rsid w:val="478D3956"/>
    <w:rsid w:val="478F466E"/>
    <w:rsid w:val="4B31068E"/>
    <w:rsid w:val="4BA55220"/>
    <w:rsid w:val="4BAD0151"/>
    <w:rsid w:val="4BF46A37"/>
    <w:rsid w:val="4C184E09"/>
    <w:rsid w:val="4C8F75A2"/>
    <w:rsid w:val="4DAD4403"/>
    <w:rsid w:val="4E8C008E"/>
    <w:rsid w:val="4F3A2892"/>
    <w:rsid w:val="4FEF758C"/>
    <w:rsid w:val="505521CD"/>
    <w:rsid w:val="50771A9C"/>
    <w:rsid w:val="50AC6291"/>
    <w:rsid w:val="516A7EFA"/>
    <w:rsid w:val="51C47F6D"/>
    <w:rsid w:val="5455382C"/>
    <w:rsid w:val="54E0475B"/>
    <w:rsid w:val="54ED6E78"/>
    <w:rsid w:val="577E025B"/>
    <w:rsid w:val="578C2978"/>
    <w:rsid w:val="57B905EB"/>
    <w:rsid w:val="58A837E2"/>
    <w:rsid w:val="58B33511"/>
    <w:rsid w:val="58D674BE"/>
    <w:rsid w:val="58EE70CA"/>
    <w:rsid w:val="59886B03"/>
    <w:rsid w:val="5B250363"/>
    <w:rsid w:val="5B6854AA"/>
    <w:rsid w:val="5B8322E4"/>
    <w:rsid w:val="5BD65851"/>
    <w:rsid w:val="5C766531"/>
    <w:rsid w:val="5C922CA1"/>
    <w:rsid w:val="5D0A3490"/>
    <w:rsid w:val="5D7E0D39"/>
    <w:rsid w:val="5DDE2E36"/>
    <w:rsid w:val="5E9D3F29"/>
    <w:rsid w:val="5F0B4429"/>
    <w:rsid w:val="5F3C2ED6"/>
    <w:rsid w:val="5F5A18F2"/>
    <w:rsid w:val="60327E35"/>
    <w:rsid w:val="60384CD1"/>
    <w:rsid w:val="604E0522"/>
    <w:rsid w:val="60655808"/>
    <w:rsid w:val="60B91E33"/>
    <w:rsid w:val="60F86CEE"/>
    <w:rsid w:val="63A9427A"/>
    <w:rsid w:val="63D462B1"/>
    <w:rsid w:val="641A3596"/>
    <w:rsid w:val="646F08D5"/>
    <w:rsid w:val="64D96647"/>
    <w:rsid w:val="655B51E5"/>
    <w:rsid w:val="65E40ADA"/>
    <w:rsid w:val="662B5A52"/>
    <w:rsid w:val="66330B86"/>
    <w:rsid w:val="66CE7AD7"/>
    <w:rsid w:val="66DC0AFB"/>
    <w:rsid w:val="66E22203"/>
    <w:rsid w:val="673B1B2B"/>
    <w:rsid w:val="678371C8"/>
    <w:rsid w:val="67A9391C"/>
    <w:rsid w:val="68AA6162"/>
    <w:rsid w:val="68B812C9"/>
    <w:rsid w:val="69755475"/>
    <w:rsid w:val="69D50CF4"/>
    <w:rsid w:val="6A241853"/>
    <w:rsid w:val="6A537326"/>
    <w:rsid w:val="6AAD0176"/>
    <w:rsid w:val="6B594F43"/>
    <w:rsid w:val="6BED39B7"/>
    <w:rsid w:val="6C150D37"/>
    <w:rsid w:val="6C487AFD"/>
    <w:rsid w:val="6C492215"/>
    <w:rsid w:val="6CB24363"/>
    <w:rsid w:val="6D12088D"/>
    <w:rsid w:val="6D855A48"/>
    <w:rsid w:val="6EA93466"/>
    <w:rsid w:val="6FCF0795"/>
    <w:rsid w:val="70537344"/>
    <w:rsid w:val="71381023"/>
    <w:rsid w:val="71696852"/>
    <w:rsid w:val="719743F9"/>
    <w:rsid w:val="72576F0C"/>
    <w:rsid w:val="72914E8F"/>
    <w:rsid w:val="73714961"/>
    <w:rsid w:val="74E27C24"/>
    <w:rsid w:val="75483F2B"/>
    <w:rsid w:val="754D1D92"/>
    <w:rsid w:val="758350A9"/>
    <w:rsid w:val="76522B87"/>
    <w:rsid w:val="777728A5"/>
    <w:rsid w:val="78404F59"/>
    <w:rsid w:val="78702585"/>
    <w:rsid w:val="789E0306"/>
    <w:rsid w:val="79687E1D"/>
    <w:rsid w:val="7A0B5527"/>
    <w:rsid w:val="7A266805"/>
    <w:rsid w:val="7AF466B6"/>
    <w:rsid w:val="7B3F7C92"/>
    <w:rsid w:val="7B560FD7"/>
    <w:rsid w:val="7B5F74F8"/>
    <w:rsid w:val="7B690630"/>
    <w:rsid w:val="7BAF448F"/>
    <w:rsid w:val="7BF5648F"/>
    <w:rsid w:val="7C5123F4"/>
    <w:rsid w:val="7D040AB6"/>
    <w:rsid w:val="7D4119E6"/>
    <w:rsid w:val="7DAF162B"/>
    <w:rsid w:val="7DB303AF"/>
    <w:rsid w:val="7DC42B41"/>
    <w:rsid w:val="7DD30A52"/>
    <w:rsid w:val="7F56028B"/>
    <w:rsid w:val="7FC1552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qFormat/>
    <w:uiPriority w:val="0"/>
    <w:pPr>
      <w:keepNext/>
      <w:keepLines/>
      <w:spacing w:before="280" w:after="290" w:line="372" w:lineRule="auto"/>
      <w:outlineLvl w:val="3"/>
    </w:pPr>
    <w:rPr>
      <w:rFonts w:ascii="Arial" w:hAnsi="Arial" w:eastAsia="黑体"/>
      <w:b/>
      <w:sz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7"/>
    <w:qFormat/>
    <w:uiPriority w:val="0"/>
    <w:pPr>
      <w:jc w:val="left"/>
    </w:pPr>
  </w:style>
  <w:style w:type="paragraph" w:styleId="8">
    <w:name w:val="Body Text"/>
    <w:basedOn w:val="1"/>
    <w:next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2"/>
    <w:qFormat/>
    <w:uiPriority w:val="0"/>
    <w:pPr>
      <w:spacing w:after="120" w:line="480" w:lineRule="auto"/>
      <w:ind w:left="420" w:leftChars="200"/>
    </w:pPr>
    <w:rPr>
      <w:szCs w:val="20"/>
    </w:rPr>
  </w:style>
  <w:style w:type="paragraph" w:styleId="11">
    <w:name w:val="Balloon Text"/>
    <w:basedOn w:val="1"/>
    <w:link w:val="39"/>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38"/>
    <w:qFormat/>
    <w:uiPriority w:val="0"/>
    <w:rPr>
      <w:b/>
      <w:bCs/>
    </w:rPr>
  </w:style>
  <w:style w:type="paragraph" w:styleId="17">
    <w:name w:val="Body Text First Indent"/>
    <w:basedOn w:val="8"/>
    <w:link w:val="33"/>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annotation reference"/>
    <w:basedOn w:val="21"/>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10"/>
    <w:qFormat/>
    <w:uiPriority w:val="0"/>
    <w:rPr>
      <w:szCs w:val="20"/>
    </w:rPr>
  </w:style>
  <w:style w:type="character" w:customStyle="1" w:styleId="33">
    <w:name w:val="Body Text First Indent Char"/>
    <w:link w:val="17"/>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8"/>
    <w:qFormat/>
    <w:uiPriority w:val="99"/>
    <w:rPr>
      <w:rFonts w:ascii="宋体" w:hAnsi="Times New Roman"/>
      <w:kern w:val="0"/>
      <w:sz w:val="21"/>
      <w:szCs w:val="24"/>
    </w:rPr>
  </w:style>
  <w:style w:type="character" w:customStyle="1" w:styleId="37">
    <w:name w:val="Comment Text Char"/>
    <w:basedOn w:val="21"/>
    <w:link w:val="7"/>
    <w:qFormat/>
    <w:uiPriority w:val="0"/>
    <w:rPr>
      <w:kern w:val="2"/>
      <w:sz w:val="21"/>
      <w:szCs w:val="22"/>
    </w:rPr>
  </w:style>
  <w:style w:type="character" w:customStyle="1" w:styleId="38">
    <w:name w:val="Comment Subject Char"/>
    <w:basedOn w:val="37"/>
    <w:link w:val="16"/>
    <w:qFormat/>
    <w:uiPriority w:val="0"/>
    <w:rPr>
      <w:b/>
      <w:bCs/>
      <w:kern w:val="2"/>
      <w:sz w:val="21"/>
      <w:szCs w:val="22"/>
    </w:rPr>
  </w:style>
  <w:style w:type="character" w:customStyle="1" w:styleId="39">
    <w:name w:val="Balloon Text Char"/>
    <w:basedOn w:val="21"/>
    <w:link w:val="11"/>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table" w:customStyle="1" w:styleId="41">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1425</Words>
  <Characters>1548</Characters>
  <Lines>72</Lines>
  <Paragraphs>20</Paragraphs>
  <TotalTime>7</TotalTime>
  <ScaleCrop>false</ScaleCrop>
  <LinksUpToDate>false</LinksUpToDate>
  <CharactersWithSpaces>1626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dcterms:modified xsi:type="dcterms:W3CDTF">2026-09-20T07:07:47Z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2AD7E1B829884E158C156671CF6D8CAC_13</vt:lpwstr>
  </property>
  <property fmtid="{D5CDD505-2E9C-101B-9397-08002B2CF9AE}" pid="4" name="KSOTemplateDocerSaveRecord">
    <vt:lpwstr>eyJoZGlkIjoiOTkyMTAwNWNkOWQxN2M2ZGU0YTllNDJiNjQ2ZjgyNjkiLCJ1c2VySWQiOiIzNjM4OTIzNDkifQ==</vt:lpwstr>
  </property>
</Properties>
</file>