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四川省人民医院多院区结算一体化项目-临床医学检验中心样本采集及转运系统采购项目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3240"/>
      <w:bookmarkStart w:id="1" w:name="_Toc471310326"/>
      <w:bookmarkStart w:id="2" w:name="_Toc62832406"/>
      <w:bookmarkStart w:id="3" w:name="_Toc1907"/>
      <w:bookmarkStart w:id="4" w:name="_Toc21919"/>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四川省人民医院多院区结算一体化项目-临床医学检验中心样本采集及转运系统采购项目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6674" w:type="dxa"/>
            <w:vAlign w:val="center"/>
          </w:tcPr>
          <w:p w14:paraId="2EC76405">
            <w:pPr>
              <w:spacing w:line="360" w:lineRule="auto"/>
              <w:ind w:left="210" w:leftChars="100"/>
              <w:rPr>
                <w:rFonts w:hint="eastAsia" w:ascii="仿宋" w:hAnsi="仿宋" w:eastAsia="仿宋" w:cs="仿宋"/>
                <w:b w:val="0"/>
                <w:bCs w:val="0"/>
                <w:sz w:val="22"/>
                <w:lang w:eastAsia="zh-CN"/>
              </w:rPr>
            </w:pPr>
            <w:r>
              <w:rPr>
                <w:rFonts w:hint="eastAsia" w:ascii="仿宋" w:hAnsi="仿宋" w:eastAsia="仿宋" w:cs="仿宋"/>
                <w:b w:val="0"/>
                <w:bCs w:val="0"/>
                <w:sz w:val="22"/>
                <w:lang w:eastAsia="zh-CN"/>
              </w:rPr>
              <w:t>CGZX-YXX20260758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采购需求</w:t>
            </w:r>
          </w:p>
        </w:tc>
        <w:tc>
          <w:tcPr>
            <w:tcW w:w="6674" w:type="dxa"/>
            <w:vAlign w:val="center"/>
          </w:tcPr>
          <w:p w14:paraId="5985B011">
            <w:pPr>
              <w:spacing w:line="360" w:lineRule="auto"/>
              <w:ind w:left="210" w:leftChars="100"/>
              <w:rPr>
                <w:rFonts w:hint="eastAsia" w:ascii="仿宋" w:hAnsi="仿宋" w:eastAsia="仿宋" w:cs="仿宋"/>
                <w:b w:val="0"/>
                <w:bCs w:val="0"/>
                <w:sz w:val="22"/>
              </w:rPr>
            </w:pPr>
            <w:r>
              <w:rPr>
                <w:rFonts w:hint="eastAsia" w:ascii="仿宋" w:hAnsi="仿宋" w:eastAsia="仿宋" w:cs="仿宋"/>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315万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 90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FD8E3EE">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hd w:val="clear"/>
              <w:spacing w:line="360" w:lineRule="auto"/>
              <w:ind w:left="210" w:leftChars="100"/>
              <w:rPr>
                <w:rFonts w:hint="eastAsia" w:ascii="仿宋" w:hAnsi="仿宋" w:eastAsia="仿宋" w:cs="仿宋"/>
                <w:color w:val="auto"/>
                <w:sz w:val="22"/>
                <w:szCs w:val="22"/>
                <w:highlight w:val="none"/>
                <w:u w:val="none"/>
              </w:rPr>
            </w:pPr>
            <w:r>
              <w:rPr>
                <w:rFonts w:hint="eastAsia" w:ascii="仿宋" w:hAnsi="仿宋" w:eastAsia="仿宋" w:cs="仿宋"/>
                <w:sz w:val="22"/>
                <w:szCs w:val="22"/>
                <w:u w:val="none"/>
              </w:rPr>
              <w:t>（2）归</w:t>
            </w:r>
            <w:r>
              <w:rPr>
                <w:rFonts w:hint="eastAsia" w:ascii="仿宋" w:hAnsi="仿宋" w:eastAsia="仿宋" w:cs="仿宋"/>
                <w:color w:val="auto"/>
                <w:sz w:val="22"/>
                <w:szCs w:val="22"/>
                <w:u w:val="none"/>
              </w:rPr>
              <w:t>口部</w:t>
            </w:r>
            <w:r>
              <w:rPr>
                <w:rFonts w:hint="eastAsia" w:ascii="仿宋" w:hAnsi="仿宋" w:eastAsia="仿宋" w:cs="仿宋"/>
                <w:color w:val="auto"/>
                <w:sz w:val="22"/>
                <w:szCs w:val="22"/>
                <w:highlight w:val="none"/>
                <w:u w:val="none"/>
              </w:rPr>
              <w:t>门：</w:t>
            </w:r>
            <w:r>
              <w:rPr>
                <w:rFonts w:hint="eastAsia" w:ascii="仿宋" w:hAnsi="仿宋" w:eastAsia="仿宋" w:cs="仿宋"/>
                <w:color w:val="auto"/>
                <w:sz w:val="22"/>
                <w:szCs w:val="22"/>
                <w:highlight w:val="none"/>
                <w:u w:val="none"/>
                <w:lang w:val="en-US" w:eastAsia="zh-CN"/>
              </w:rPr>
              <w:t>医学信息中心</w:t>
            </w:r>
          </w:p>
          <w:p w14:paraId="677B508E">
            <w:pPr>
              <w:shd w:val="clear"/>
              <w:spacing w:line="360" w:lineRule="auto"/>
              <w:ind w:left="210" w:leftChars="100"/>
              <w:rPr>
                <w:rFonts w:hint="eastAsia" w:ascii="仿宋" w:hAnsi="仿宋" w:eastAsia="仿宋" w:cs="仿宋"/>
                <w:color w:val="auto"/>
                <w:sz w:val="22"/>
                <w:szCs w:val="22"/>
                <w:highlight w:val="none"/>
                <w:u w:val="none"/>
                <w:lang w:val="en-US" w:eastAsia="zh-CN"/>
              </w:rPr>
            </w:pPr>
            <w:r>
              <w:rPr>
                <w:rFonts w:hint="eastAsia" w:ascii="仿宋" w:hAnsi="仿宋" w:eastAsia="仿宋" w:cs="仿宋"/>
                <w:color w:val="auto"/>
                <w:sz w:val="22"/>
                <w:szCs w:val="22"/>
                <w:highlight w:val="none"/>
                <w:u w:val="none"/>
              </w:rPr>
              <w:t>联系方式：</w:t>
            </w:r>
            <w:r>
              <w:rPr>
                <w:rFonts w:hint="eastAsia" w:ascii="仿宋" w:hAnsi="仿宋" w:eastAsia="仿宋" w:cs="仿宋"/>
                <w:color w:val="auto"/>
                <w:sz w:val="22"/>
                <w:szCs w:val="22"/>
                <w:highlight w:val="none"/>
                <w:u w:val="none"/>
                <w:lang w:val="en-US" w:eastAsia="zh-CN"/>
              </w:rPr>
              <w:t>刘</w:t>
            </w:r>
            <w:r>
              <w:rPr>
                <w:rFonts w:hint="eastAsia" w:ascii="仿宋" w:hAnsi="仿宋" w:eastAsia="仿宋" w:cs="仿宋"/>
                <w:color w:val="auto"/>
                <w:sz w:val="22"/>
                <w:szCs w:val="22"/>
                <w:highlight w:val="none"/>
                <w:u w:val="none"/>
                <w:shd w:val="clear"/>
              </w:rPr>
              <w:t>老师</w:t>
            </w:r>
            <w:r>
              <w:rPr>
                <w:rFonts w:hint="eastAsia" w:ascii="仿宋" w:hAnsi="仿宋" w:eastAsia="仿宋" w:cs="仿宋"/>
                <w:color w:val="auto"/>
                <w:sz w:val="22"/>
                <w:szCs w:val="22"/>
                <w:highlight w:val="none"/>
                <w:u w:val="none"/>
                <w:shd w:val="clear"/>
                <w:lang w:val="en-US" w:eastAsia="zh-CN"/>
              </w:rPr>
              <w:t xml:space="preserve"> </w:t>
            </w:r>
            <w:r>
              <w:rPr>
                <w:rFonts w:hint="eastAsia" w:ascii="仿宋" w:hAnsi="仿宋" w:eastAsia="仿宋" w:cs="仿宋"/>
                <w:color w:val="auto"/>
                <w:sz w:val="22"/>
                <w:szCs w:val="22"/>
                <w:highlight w:val="none"/>
                <w:u w:val="none"/>
                <w:shd w:val="clear"/>
              </w:rPr>
              <w:t>028</w:t>
            </w:r>
            <w:r>
              <w:rPr>
                <w:rFonts w:hint="eastAsia" w:ascii="仿宋" w:hAnsi="仿宋" w:eastAsia="仿宋" w:cs="仿宋"/>
                <w:color w:val="auto"/>
                <w:sz w:val="22"/>
                <w:szCs w:val="22"/>
                <w:highlight w:val="none"/>
                <w:u w:val="none"/>
              </w:rPr>
              <w:t>-</w:t>
            </w:r>
            <w:r>
              <w:rPr>
                <w:rFonts w:hint="eastAsia" w:ascii="仿宋" w:hAnsi="仿宋" w:eastAsia="仿宋" w:cs="仿宋"/>
                <w:color w:val="auto"/>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2805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266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w:t>
      </w:r>
      <w:r>
        <w:rPr>
          <w:rFonts w:hint="eastAsia" w:ascii="仿宋" w:hAnsi="仿宋" w:eastAsia="仿宋" w:cs="仿宋"/>
          <w:sz w:val="24"/>
          <w:szCs w:val="24"/>
          <w:highlight w:val="none"/>
          <w:lang w:val="en-US" w:eastAsia="zh-CN"/>
        </w:rPr>
        <w:t>名供应商采购临床医学检验中心样本采集及转运系统。</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02"/>
        <w:gridCol w:w="2925"/>
        <w:gridCol w:w="1274"/>
        <w:gridCol w:w="1219"/>
        <w:gridCol w:w="1945"/>
        <w:gridCol w:w="1765"/>
      </w:tblGrid>
      <w:tr w14:paraId="1CF1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42D8C0B3">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2926" w:type="dxa"/>
            <w:shd w:val="clear" w:color="auto" w:fill="auto"/>
            <w:tcMar>
              <w:top w:w="0" w:type="dxa"/>
              <w:left w:w="105" w:type="dxa"/>
              <w:bottom w:w="0" w:type="dxa"/>
              <w:right w:w="105" w:type="dxa"/>
            </w:tcMar>
            <w:vAlign w:val="top"/>
          </w:tcPr>
          <w:p w14:paraId="50B53E0F">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品名</w:t>
            </w:r>
          </w:p>
        </w:tc>
        <w:tc>
          <w:tcPr>
            <w:tcW w:w="1274" w:type="dxa"/>
            <w:shd w:val="clear" w:color="auto" w:fill="auto"/>
            <w:tcMar>
              <w:top w:w="0" w:type="dxa"/>
              <w:left w:w="105" w:type="dxa"/>
              <w:bottom w:w="0" w:type="dxa"/>
              <w:right w:w="105" w:type="dxa"/>
            </w:tcMar>
            <w:vAlign w:val="top"/>
          </w:tcPr>
          <w:p w14:paraId="1755228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数量</w:t>
            </w:r>
          </w:p>
        </w:tc>
        <w:tc>
          <w:tcPr>
            <w:tcW w:w="1219" w:type="dxa"/>
            <w:shd w:val="clear" w:color="auto" w:fill="auto"/>
            <w:tcMar>
              <w:top w:w="0" w:type="dxa"/>
              <w:left w:w="105" w:type="dxa"/>
              <w:bottom w:w="0" w:type="dxa"/>
              <w:right w:w="105" w:type="dxa"/>
            </w:tcMar>
            <w:vAlign w:val="top"/>
          </w:tcPr>
          <w:p w14:paraId="49C035EA">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单位</w:t>
            </w:r>
          </w:p>
        </w:tc>
        <w:tc>
          <w:tcPr>
            <w:tcW w:w="1945" w:type="dxa"/>
            <w:shd w:val="clear" w:color="auto" w:fill="auto"/>
            <w:tcMar>
              <w:top w:w="0" w:type="dxa"/>
              <w:left w:w="105" w:type="dxa"/>
              <w:bottom w:w="0" w:type="dxa"/>
              <w:right w:w="105" w:type="dxa"/>
            </w:tcMar>
            <w:vAlign w:val="top"/>
          </w:tcPr>
          <w:p w14:paraId="2B6A60DC">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限高单价（元）</w:t>
            </w:r>
          </w:p>
        </w:tc>
        <w:tc>
          <w:tcPr>
            <w:tcW w:w="1765" w:type="dxa"/>
            <w:shd w:val="clear" w:color="auto" w:fill="auto"/>
            <w:tcMar>
              <w:top w:w="0" w:type="dxa"/>
              <w:left w:w="105" w:type="dxa"/>
              <w:bottom w:w="0" w:type="dxa"/>
              <w:right w:w="105" w:type="dxa"/>
            </w:tcMar>
            <w:vAlign w:val="top"/>
          </w:tcPr>
          <w:p w14:paraId="48C3BA45">
            <w:pPr>
              <w:pStyle w:val="14"/>
              <w:keepNext w:val="0"/>
              <w:keepLines w:val="0"/>
              <w:widowControl/>
              <w:suppressLineNumbers w:val="0"/>
              <w:autoSpaceDE w:val="0"/>
              <w:autoSpaceDN/>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分项限高总价</w:t>
            </w:r>
          </w:p>
        </w:tc>
      </w:tr>
      <w:tr w14:paraId="7FF2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4F89A19E">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2926" w:type="dxa"/>
            <w:shd w:val="clear" w:color="auto" w:fill="auto"/>
            <w:tcMar>
              <w:top w:w="0" w:type="dxa"/>
              <w:left w:w="105" w:type="dxa"/>
              <w:bottom w:w="0" w:type="dxa"/>
              <w:right w:w="105" w:type="dxa"/>
            </w:tcMar>
            <w:vAlign w:val="top"/>
          </w:tcPr>
          <w:p w14:paraId="7FF1686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智能采血排号叫号设备</w:t>
            </w:r>
          </w:p>
        </w:tc>
        <w:tc>
          <w:tcPr>
            <w:tcW w:w="1274" w:type="dxa"/>
            <w:shd w:val="clear" w:color="auto" w:fill="auto"/>
            <w:tcMar>
              <w:top w:w="0" w:type="dxa"/>
              <w:left w:w="105" w:type="dxa"/>
              <w:bottom w:w="0" w:type="dxa"/>
              <w:right w:w="105" w:type="dxa"/>
            </w:tcMar>
            <w:vAlign w:val="top"/>
          </w:tcPr>
          <w:p w14:paraId="086DBAB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8</w:t>
            </w:r>
          </w:p>
        </w:tc>
        <w:tc>
          <w:tcPr>
            <w:tcW w:w="1219" w:type="dxa"/>
            <w:shd w:val="clear" w:color="auto" w:fill="auto"/>
            <w:tcMar>
              <w:top w:w="0" w:type="dxa"/>
              <w:left w:w="105" w:type="dxa"/>
              <w:bottom w:w="0" w:type="dxa"/>
              <w:right w:w="105" w:type="dxa"/>
            </w:tcMar>
            <w:vAlign w:val="top"/>
          </w:tcPr>
          <w:p w14:paraId="054A048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945" w:type="dxa"/>
            <w:shd w:val="clear" w:color="auto" w:fill="auto"/>
            <w:tcMar>
              <w:top w:w="0" w:type="dxa"/>
              <w:left w:w="105" w:type="dxa"/>
              <w:bottom w:w="0" w:type="dxa"/>
              <w:right w:w="105" w:type="dxa"/>
            </w:tcMar>
            <w:vAlign w:val="top"/>
          </w:tcPr>
          <w:p w14:paraId="3EC2E49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2500</w:t>
            </w:r>
          </w:p>
        </w:tc>
        <w:tc>
          <w:tcPr>
            <w:tcW w:w="1765" w:type="dxa"/>
            <w:shd w:val="clear" w:color="auto" w:fill="auto"/>
            <w:tcMar>
              <w:top w:w="0" w:type="dxa"/>
              <w:left w:w="105" w:type="dxa"/>
              <w:bottom w:w="0" w:type="dxa"/>
              <w:right w:w="105" w:type="dxa"/>
            </w:tcMar>
            <w:vAlign w:val="center"/>
          </w:tcPr>
          <w:p w14:paraId="7DF14E5A">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20000</w:t>
            </w:r>
          </w:p>
        </w:tc>
      </w:tr>
      <w:tr w14:paraId="6F18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5D2D5F3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2</w:t>
            </w:r>
          </w:p>
        </w:tc>
        <w:tc>
          <w:tcPr>
            <w:tcW w:w="2926" w:type="dxa"/>
            <w:shd w:val="clear" w:color="auto" w:fill="auto"/>
            <w:tcMar>
              <w:top w:w="0" w:type="dxa"/>
              <w:left w:w="105" w:type="dxa"/>
              <w:bottom w:w="0" w:type="dxa"/>
              <w:right w:w="105" w:type="dxa"/>
            </w:tcMar>
            <w:vAlign w:val="top"/>
          </w:tcPr>
          <w:p w14:paraId="4D60241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全自动智能双通道贴标仪</w:t>
            </w:r>
          </w:p>
        </w:tc>
        <w:tc>
          <w:tcPr>
            <w:tcW w:w="1274" w:type="dxa"/>
            <w:shd w:val="clear" w:color="auto" w:fill="auto"/>
            <w:tcMar>
              <w:top w:w="0" w:type="dxa"/>
              <w:left w:w="105" w:type="dxa"/>
              <w:bottom w:w="0" w:type="dxa"/>
              <w:right w:w="105" w:type="dxa"/>
            </w:tcMar>
            <w:vAlign w:val="top"/>
          </w:tcPr>
          <w:p w14:paraId="48291FA4">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10</w:t>
            </w:r>
          </w:p>
        </w:tc>
        <w:tc>
          <w:tcPr>
            <w:tcW w:w="1219" w:type="dxa"/>
            <w:shd w:val="clear" w:color="auto" w:fill="auto"/>
            <w:tcMar>
              <w:top w:w="0" w:type="dxa"/>
              <w:left w:w="105" w:type="dxa"/>
              <w:bottom w:w="0" w:type="dxa"/>
              <w:right w:w="105" w:type="dxa"/>
            </w:tcMar>
            <w:vAlign w:val="top"/>
          </w:tcPr>
          <w:p w14:paraId="317FCFA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945" w:type="dxa"/>
            <w:shd w:val="clear" w:color="auto" w:fill="auto"/>
            <w:tcMar>
              <w:top w:w="0" w:type="dxa"/>
              <w:left w:w="105" w:type="dxa"/>
              <w:bottom w:w="0" w:type="dxa"/>
              <w:right w:w="105" w:type="dxa"/>
            </w:tcMar>
            <w:vAlign w:val="top"/>
          </w:tcPr>
          <w:p w14:paraId="66F7D73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80000</w:t>
            </w:r>
          </w:p>
        </w:tc>
        <w:tc>
          <w:tcPr>
            <w:tcW w:w="1765" w:type="dxa"/>
            <w:shd w:val="clear" w:color="auto" w:fill="auto"/>
            <w:tcMar>
              <w:top w:w="0" w:type="dxa"/>
              <w:left w:w="105" w:type="dxa"/>
              <w:bottom w:w="0" w:type="dxa"/>
              <w:right w:w="105" w:type="dxa"/>
            </w:tcMar>
            <w:vAlign w:val="center"/>
          </w:tcPr>
          <w:p w14:paraId="1AC58850">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800000</w:t>
            </w:r>
          </w:p>
        </w:tc>
      </w:tr>
      <w:tr w14:paraId="31B9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5E76BAF9">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3</w:t>
            </w:r>
          </w:p>
        </w:tc>
        <w:tc>
          <w:tcPr>
            <w:tcW w:w="2926" w:type="dxa"/>
            <w:shd w:val="clear" w:color="auto" w:fill="auto"/>
            <w:tcMar>
              <w:top w:w="0" w:type="dxa"/>
              <w:left w:w="105" w:type="dxa"/>
              <w:bottom w:w="0" w:type="dxa"/>
              <w:right w:w="105" w:type="dxa"/>
            </w:tcMar>
            <w:vAlign w:val="top"/>
          </w:tcPr>
          <w:p w14:paraId="783B16C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采血管自动分拣机</w:t>
            </w:r>
          </w:p>
        </w:tc>
        <w:tc>
          <w:tcPr>
            <w:tcW w:w="1274" w:type="dxa"/>
            <w:shd w:val="clear" w:color="auto" w:fill="auto"/>
            <w:tcMar>
              <w:top w:w="0" w:type="dxa"/>
              <w:left w:w="105" w:type="dxa"/>
              <w:bottom w:w="0" w:type="dxa"/>
              <w:right w:w="105" w:type="dxa"/>
            </w:tcMar>
            <w:vAlign w:val="top"/>
          </w:tcPr>
          <w:p w14:paraId="798283C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4</w:t>
            </w:r>
          </w:p>
        </w:tc>
        <w:tc>
          <w:tcPr>
            <w:tcW w:w="1219" w:type="dxa"/>
            <w:shd w:val="clear" w:color="auto" w:fill="auto"/>
            <w:tcMar>
              <w:top w:w="0" w:type="dxa"/>
              <w:left w:w="105" w:type="dxa"/>
              <w:bottom w:w="0" w:type="dxa"/>
              <w:right w:w="105" w:type="dxa"/>
            </w:tcMar>
            <w:vAlign w:val="top"/>
          </w:tcPr>
          <w:p w14:paraId="0ED3B4C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945" w:type="dxa"/>
            <w:shd w:val="clear" w:color="auto" w:fill="auto"/>
            <w:tcMar>
              <w:top w:w="0" w:type="dxa"/>
              <w:left w:w="105" w:type="dxa"/>
              <w:bottom w:w="0" w:type="dxa"/>
              <w:right w:w="105" w:type="dxa"/>
            </w:tcMar>
            <w:vAlign w:val="top"/>
          </w:tcPr>
          <w:p w14:paraId="626379D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100000</w:t>
            </w:r>
          </w:p>
        </w:tc>
        <w:tc>
          <w:tcPr>
            <w:tcW w:w="1765" w:type="dxa"/>
            <w:shd w:val="clear" w:color="auto" w:fill="auto"/>
            <w:tcMar>
              <w:top w:w="0" w:type="dxa"/>
              <w:left w:w="105" w:type="dxa"/>
              <w:bottom w:w="0" w:type="dxa"/>
              <w:right w:w="105" w:type="dxa"/>
            </w:tcMar>
            <w:vAlign w:val="center"/>
          </w:tcPr>
          <w:p w14:paraId="7288EE4C">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400000</w:t>
            </w:r>
          </w:p>
        </w:tc>
      </w:tr>
      <w:tr w14:paraId="18A8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03" w:type="dxa"/>
            <w:shd w:val="clear" w:color="auto" w:fill="auto"/>
            <w:tcMar>
              <w:top w:w="0" w:type="dxa"/>
              <w:left w:w="105" w:type="dxa"/>
              <w:bottom w:w="0" w:type="dxa"/>
              <w:right w:w="105" w:type="dxa"/>
            </w:tcMar>
            <w:vAlign w:val="top"/>
          </w:tcPr>
          <w:p w14:paraId="34B0697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4</w:t>
            </w:r>
          </w:p>
        </w:tc>
        <w:tc>
          <w:tcPr>
            <w:tcW w:w="2926" w:type="dxa"/>
            <w:shd w:val="clear" w:color="auto" w:fill="auto"/>
            <w:tcMar>
              <w:top w:w="0" w:type="dxa"/>
              <w:left w:w="105" w:type="dxa"/>
              <w:bottom w:w="0" w:type="dxa"/>
              <w:right w:w="105" w:type="dxa"/>
            </w:tcMar>
            <w:vAlign w:val="top"/>
          </w:tcPr>
          <w:p w14:paraId="78A437D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标本转运机器人</w:t>
            </w:r>
          </w:p>
        </w:tc>
        <w:tc>
          <w:tcPr>
            <w:tcW w:w="1274" w:type="dxa"/>
            <w:shd w:val="clear" w:color="auto" w:fill="auto"/>
            <w:tcMar>
              <w:top w:w="0" w:type="dxa"/>
              <w:left w:w="105" w:type="dxa"/>
              <w:bottom w:w="0" w:type="dxa"/>
              <w:right w:w="105" w:type="dxa"/>
            </w:tcMar>
            <w:vAlign w:val="top"/>
          </w:tcPr>
          <w:p w14:paraId="7CFE116C">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8</w:t>
            </w:r>
          </w:p>
        </w:tc>
        <w:tc>
          <w:tcPr>
            <w:tcW w:w="1219" w:type="dxa"/>
            <w:shd w:val="clear" w:color="auto" w:fill="auto"/>
            <w:tcMar>
              <w:top w:w="0" w:type="dxa"/>
              <w:left w:w="105" w:type="dxa"/>
              <w:bottom w:w="0" w:type="dxa"/>
              <w:right w:w="105" w:type="dxa"/>
            </w:tcMar>
            <w:vAlign w:val="top"/>
          </w:tcPr>
          <w:p w14:paraId="75530A1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945" w:type="dxa"/>
            <w:shd w:val="clear" w:color="auto" w:fill="auto"/>
            <w:tcMar>
              <w:top w:w="0" w:type="dxa"/>
              <w:left w:w="105" w:type="dxa"/>
              <w:bottom w:w="0" w:type="dxa"/>
              <w:right w:w="105" w:type="dxa"/>
            </w:tcMar>
            <w:vAlign w:val="top"/>
          </w:tcPr>
          <w:p w14:paraId="358FE92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30000</w:t>
            </w:r>
          </w:p>
        </w:tc>
        <w:tc>
          <w:tcPr>
            <w:tcW w:w="1765" w:type="dxa"/>
            <w:shd w:val="clear" w:color="auto" w:fill="auto"/>
            <w:tcMar>
              <w:top w:w="0" w:type="dxa"/>
              <w:left w:w="105" w:type="dxa"/>
              <w:bottom w:w="0" w:type="dxa"/>
              <w:right w:w="105" w:type="dxa"/>
            </w:tcMar>
            <w:vAlign w:val="center"/>
          </w:tcPr>
          <w:p w14:paraId="32AB1A36">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240000</w:t>
            </w:r>
          </w:p>
        </w:tc>
      </w:tr>
      <w:tr w14:paraId="77F3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2B69FDB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5</w:t>
            </w:r>
          </w:p>
        </w:tc>
        <w:tc>
          <w:tcPr>
            <w:tcW w:w="2926" w:type="dxa"/>
            <w:shd w:val="clear" w:color="auto" w:fill="auto"/>
            <w:tcMar>
              <w:top w:w="0" w:type="dxa"/>
              <w:left w:w="105" w:type="dxa"/>
              <w:bottom w:w="0" w:type="dxa"/>
              <w:right w:w="105" w:type="dxa"/>
            </w:tcMar>
            <w:vAlign w:val="top"/>
          </w:tcPr>
          <w:p w14:paraId="3CBC2A0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轨道物流转运设备</w:t>
            </w:r>
          </w:p>
        </w:tc>
        <w:tc>
          <w:tcPr>
            <w:tcW w:w="1274" w:type="dxa"/>
            <w:shd w:val="clear" w:color="auto" w:fill="auto"/>
            <w:tcMar>
              <w:top w:w="0" w:type="dxa"/>
              <w:left w:w="105" w:type="dxa"/>
              <w:bottom w:w="0" w:type="dxa"/>
              <w:right w:w="105" w:type="dxa"/>
            </w:tcMar>
            <w:vAlign w:val="top"/>
          </w:tcPr>
          <w:p w14:paraId="70E62578">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1219" w:type="dxa"/>
            <w:shd w:val="clear" w:color="auto" w:fill="auto"/>
            <w:tcMar>
              <w:top w:w="0" w:type="dxa"/>
              <w:left w:w="105" w:type="dxa"/>
              <w:bottom w:w="0" w:type="dxa"/>
              <w:right w:w="105" w:type="dxa"/>
            </w:tcMar>
            <w:vAlign w:val="top"/>
          </w:tcPr>
          <w:p w14:paraId="40E995E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945" w:type="dxa"/>
            <w:shd w:val="clear" w:color="auto" w:fill="auto"/>
            <w:tcMar>
              <w:top w:w="0" w:type="dxa"/>
              <w:left w:w="105" w:type="dxa"/>
              <w:bottom w:w="0" w:type="dxa"/>
              <w:right w:w="105" w:type="dxa"/>
            </w:tcMar>
            <w:vAlign w:val="top"/>
          </w:tcPr>
          <w:p w14:paraId="21EE637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1500000</w:t>
            </w:r>
          </w:p>
        </w:tc>
        <w:tc>
          <w:tcPr>
            <w:tcW w:w="1765" w:type="dxa"/>
            <w:shd w:val="clear" w:color="auto" w:fill="auto"/>
            <w:tcMar>
              <w:top w:w="0" w:type="dxa"/>
              <w:left w:w="105" w:type="dxa"/>
              <w:bottom w:w="0" w:type="dxa"/>
              <w:right w:w="105" w:type="dxa"/>
            </w:tcMar>
            <w:vAlign w:val="center"/>
          </w:tcPr>
          <w:p w14:paraId="5EA254F2">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1500000</w:t>
            </w:r>
          </w:p>
        </w:tc>
      </w:tr>
      <w:tr w14:paraId="127A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7146033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6</w:t>
            </w:r>
          </w:p>
        </w:tc>
        <w:tc>
          <w:tcPr>
            <w:tcW w:w="2926" w:type="dxa"/>
            <w:shd w:val="clear" w:color="auto" w:fill="auto"/>
            <w:tcMar>
              <w:top w:w="0" w:type="dxa"/>
              <w:left w:w="105" w:type="dxa"/>
              <w:bottom w:w="0" w:type="dxa"/>
              <w:right w:w="105" w:type="dxa"/>
            </w:tcMar>
            <w:vAlign w:val="top"/>
          </w:tcPr>
          <w:p w14:paraId="7979A2C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尿管自动取管设备</w:t>
            </w:r>
          </w:p>
        </w:tc>
        <w:tc>
          <w:tcPr>
            <w:tcW w:w="1274" w:type="dxa"/>
            <w:shd w:val="clear" w:color="auto" w:fill="auto"/>
            <w:tcMar>
              <w:top w:w="0" w:type="dxa"/>
              <w:left w:w="105" w:type="dxa"/>
              <w:bottom w:w="0" w:type="dxa"/>
              <w:right w:w="105" w:type="dxa"/>
            </w:tcMar>
            <w:vAlign w:val="top"/>
          </w:tcPr>
          <w:p w14:paraId="4A426131">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3</w:t>
            </w:r>
          </w:p>
        </w:tc>
        <w:tc>
          <w:tcPr>
            <w:tcW w:w="1219" w:type="dxa"/>
            <w:shd w:val="clear" w:color="auto" w:fill="auto"/>
            <w:tcMar>
              <w:top w:w="0" w:type="dxa"/>
              <w:left w:w="105" w:type="dxa"/>
              <w:bottom w:w="0" w:type="dxa"/>
              <w:right w:w="105" w:type="dxa"/>
            </w:tcMar>
            <w:vAlign w:val="top"/>
          </w:tcPr>
          <w:p w14:paraId="00E26D3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945" w:type="dxa"/>
            <w:shd w:val="clear" w:color="auto" w:fill="auto"/>
            <w:tcMar>
              <w:top w:w="0" w:type="dxa"/>
              <w:left w:w="105" w:type="dxa"/>
              <w:bottom w:w="0" w:type="dxa"/>
              <w:right w:w="105" w:type="dxa"/>
            </w:tcMar>
            <w:vAlign w:val="top"/>
          </w:tcPr>
          <w:p w14:paraId="1A8E93B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60000</w:t>
            </w:r>
          </w:p>
        </w:tc>
        <w:tc>
          <w:tcPr>
            <w:tcW w:w="1765" w:type="dxa"/>
            <w:shd w:val="clear" w:color="auto" w:fill="auto"/>
            <w:tcMar>
              <w:top w:w="0" w:type="dxa"/>
              <w:left w:w="105" w:type="dxa"/>
              <w:bottom w:w="0" w:type="dxa"/>
              <w:right w:w="105" w:type="dxa"/>
            </w:tcMar>
            <w:vAlign w:val="center"/>
          </w:tcPr>
          <w:p w14:paraId="5321371F">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180000</w:t>
            </w:r>
          </w:p>
        </w:tc>
      </w:tr>
      <w:tr w14:paraId="0E0C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3" w:type="dxa"/>
            <w:shd w:val="clear" w:color="auto" w:fill="auto"/>
            <w:tcMar>
              <w:top w:w="0" w:type="dxa"/>
              <w:left w:w="105" w:type="dxa"/>
              <w:bottom w:w="0" w:type="dxa"/>
              <w:right w:w="105" w:type="dxa"/>
            </w:tcMar>
            <w:vAlign w:val="top"/>
          </w:tcPr>
          <w:p w14:paraId="45295A7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7</w:t>
            </w:r>
          </w:p>
        </w:tc>
        <w:tc>
          <w:tcPr>
            <w:tcW w:w="2926" w:type="dxa"/>
            <w:shd w:val="clear" w:color="auto" w:fill="auto"/>
            <w:tcMar>
              <w:top w:w="0" w:type="dxa"/>
              <w:left w:w="105" w:type="dxa"/>
              <w:bottom w:w="0" w:type="dxa"/>
              <w:right w:w="105" w:type="dxa"/>
            </w:tcMar>
            <w:vAlign w:val="top"/>
          </w:tcPr>
          <w:p w14:paraId="23C9AF5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智能采血排号叫号软件</w:t>
            </w:r>
          </w:p>
        </w:tc>
        <w:tc>
          <w:tcPr>
            <w:tcW w:w="1274" w:type="dxa"/>
            <w:shd w:val="clear" w:color="auto" w:fill="auto"/>
            <w:tcMar>
              <w:top w:w="0" w:type="dxa"/>
              <w:left w:w="105" w:type="dxa"/>
              <w:bottom w:w="0" w:type="dxa"/>
              <w:right w:w="105" w:type="dxa"/>
            </w:tcMar>
            <w:vAlign w:val="top"/>
          </w:tcPr>
          <w:p w14:paraId="1093A36F">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1219" w:type="dxa"/>
            <w:shd w:val="clear" w:color="auto" w:fill="auto"/>
            <w:tcMar>
              <w:top w:w="0" w:type="dxa"/>
              <w:left w:w="105" w:type="dxa"/>
              <w:bottom w:w="0" w:type="dxa"/>
              <w:right w:w="105" w:type="dxa"/>
            </w:tcMar>
            <w:vAlign w:val="top"/>
          </w:tcPr>
          <w:p w14:paraId="111EEE5E">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945" w:type="dxa"/>
            <w:shd w:val="clear" w:color="auto" w:fill="auto"/>
            <w:tcMar>
              <w:top w:w="0" w:type="dxa"/>
              <w:left w:w="105" w:type="dxa"/>
              <w:bottom w:w="0" w:type="dxa"/>
              <w:right w:w="105" w:type="dxa"/>
            </w:tcMar>
            <w:vAlign w:val="top"/>
          </w:tcPr>
          <w:p w14:paraId="390C3F9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10000</w:t>
            </w:r>
          </w:p>
        </w:tc>
        <w:tc>
          <w:tcPr>
            <w:tcW w:w="1765" w:type="dxa"/>
            <w:shd w:val="clear" w:color="auto" w:fill="auto"/>
            <w:tcMar>
              <w:top w:w="0" w:type="dxa"/>
              <w:left w:w="105" w:type="dxa"/>
              <w:bottom w:w="0" w:type="dxa"/>
              <w:right w:w="105" w:type="dxa"/>
            </w:tcMar>
            <w:vAlign w:val="center"/>
          </w:tcPr>
          <w:p w14:paraId="5C9722B6">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3E1C9F9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本项目所需接口由以下第三方厂商提供，由此产生的接口费用(含设备、包装、运输、安装、调试、税费、可能产生的相关费用等)包含在本次采购费用中，采购人不承担除成交金额以外的任何费用。与东软集团股份有限公司产生的接口费不收取。</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3213"/>
        <w:gridCol w:w="5906"/>
      </w:tblGrid>
      <w:tr w14:paraId="3647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2E37EB47">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3213" w:type="dxa"/>
            <w:shd w:val="clear" w:color="auto" w:fill="auto"/>
            <w:tcMar>
              <w:top w:w="0" w:type="dxa"/>
              <w:left w:w="105" w:type="dxa"/>
              <w:bottom w:w="0" w:type="dxa"/>
              <w:right w:w="105" w:type="dxa"/>
            </w:tcMar>
            <w:vAlign w:val="top"/>
          </w:tcPr>
          <w:p w14:paraId="40B4802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软硬件</w:t>
            </w:r>
          </w:p>
        </w:tc>
        <w:tc>
          <w:tcPr>
            <w:tcW w:w="5905" w:type="dxa"/>
            <w:shd w:val="clear" w:color="auto" w:fill="auto"/>
            <w:tcMar>
              <w:top w:w="0" w:type="dxa"/>
              <w:left w:w="105" w:type="dxa"/>
              <w:bottom w:w="0" w:type="dxa"/>
              <w:right w:w="105" w:type="dxa"/>
            </w:tcMar>
            <w:vAlign w:val="top"/>
          </w:tcPr>
          <w:p w14:paraId="794D9F5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生产厂商（全称）</w:t>
            </w:r>
          </w:p>
        </w:tc>
      </w:tr>
      <w:tr w14:paraId="7058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2F84147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3213" w:type="dxa"/>
            <w:shd w:val="clear" w:color="auto" w:fill="auto"/>
            <w:tcMar>
              <w:top w:w="0" w:type="dxa"/>
              <w:left w:w="105" w:type="dxa"/>
              <w:bottom w:w="0" w:type="dxa"/>
              <w:right w:w="105" w:type="dxa"/>
            </w:tcMar>
            <w:vAlign w:val="top"/>
          </w:tcPr>
          <w:p w14:paraId="47132C9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HIS系统</w:t>
            </w:r>
          </w:p>
        </w:tc>
        <w:tc>
          <w:tcPr>
            <w:tcW w:w="5905" w:type="dxa"/>
            <w:shd w:val="clear" w:color="auto" w:fill="auto"/>
            <w:tcMar>
              <w:top w:w="0" w:type="dxa"/>
              <w:left w:w="105" w:type="dxa"/>
              <w:bottom w:w="0" w:type="dxa"/>
              <w:right w:w="105" w:type="dxa"/>
            </w:tcMar>
            <w:vAlign w:val="top"/>
          </w:tcPr>
          <w:p w14:paraId="3B5F732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东软股份有限公司</w:t>
            </w:r>
          </w:p>
        </w:tc>
      </w:tr>
      <w:tr w14:paraId="6EF4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3C35CC7D">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2</w:t>
            </w:r>
          </w:p>
        </w:tc>
        <w:tc>
          <w:tcPr>
            <w:tcW w:w="3213" w:type="dxa"/>
            <w:shd w:val="clear" w:color="auto" w:fill="auto"/>
            <w:tcMar>
              <w:top w:w="0" w:type="dxa"/>
              <w:left w:w="105" w:type="dxa"/>
              <w:bottom w:w="0" w:type="dxa"/>
              <w:right w:w="105" w:type="dxa"/>
            </w:tcMar>
            <w:vAlign w:val="top"/>
          </w:tcPr>
          <w:p w14:paraId="45F1809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LIS系统</w:t>
            </w:r>
          </w:p>
        </w:tc>
        <w:tc>
          <w:tcPr>
            <w:tcW w:w="5905" w:type="dxa"/>
            <w:shd w:val="clear" w:color="auto" w:fill="auto"/>
            <w:tcMar>
              <w:top w:w="0" w:type="dxa"/>
              <w:left w:w="105" w:type="dxa"/>
              <w:bottom w:w="0" w:type="dxa"/>
              <w:right w:w="105" w:type="dxa"/>
            </w:tcMar>
            <w:vAlign w:val="top"/>
          </w:tcPr>
          <w:p w14:paraId="67F1871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东软股份有限公司</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p w14:paraId="41171A1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1.1软件功能要求</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58"/>
        <w:gridCol w:w="1532"/>
        <w:gridCol w:w="7254"/>
      </w:tblGrid>
      <w:tr w14:paraId="54EC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37" w:type="pct"/>
            <w:shd w:val="clear" w:color="auto" w:fill="auto"/>
            <w:tcMar>
              <w:top w:w="0" w:type="dxa"/>
              <w:left w:w="105" w:type="dxa"/>
              <w:bottom w:w="0" w:type="dxa"/>
              <w:right w:w="105" w:type="dxa"/>
            </w:tcMar>
            <w:vAlign w:val="top"/>
          </w:tcPr>
          <w:p w14:paraId="17194E33">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778" w:type="pct"/>
            <w:shd w:val="clear" w:color="auto" w:fill="auto"/>
            <w:tcMar>
              <w:top w:w="0" w:type="dxa"/>
              <w:left w:w="105" w:type="dxa"/>
              <w:bottom w:w="0" w:type="dxa"/>
              <w:right w:w="105" w:type="dxa"/>
            </w:tcMar>
            <w:vAlign w:val="top"/>
          </w:tcPr>
          <w:p w14:paraId="62E28A4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系统</w:t>
            </w:r>
          </w:p>
        </w:tc>
        <w:tc>
          <w:tcPr>
            <w:tcW w:w="3683" w:type="pct"/>
            <w:shd w:val="clear" w:color="auto" w:fill="auto"/>
            <w:tcMar>
              <w:top w:w="0" w:type="dxa"/>
              <w:left w:w="105" w:type="dxa"/>
              <w:bottom w:w="0" w:type="dxa"/>
              <w:right w:w="105" w:type="dxa"/>
            </w:tcMar>
            <w:vAlign w:val="top"/>
          </w:tcPr>
          <w:p w14:paraId="038E8DF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34B7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37" w:type="pct"/>
            <w:shd w:val="clear" w:color="auto" w:fill="auto"/>
            <w:tcMar>
              <w:top w:w="0" w:type="dxa"/>
              <w:left w:w="105" w:type="dxa"/>
              <w:bottom w:w="0" w:type="dxa"/>
              <w:right w:w="105" w:type="dxa"/>
            </w:tcMar>
            <w:vAlign w:val="center"/>
          </w:tcPr>
          <w:p w14:paraId="139E36C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778" w:type="pct"/>
            <w:shd w:val="clear" w:color="auto" w:fill="auto"/>
            <w:tcMar>
              <w:top w:w="0" w:type="dxa"/>
              <w:left w:w="105" w:type="dxa"/>
              <w:bottom w:w="0" w:type="dxa"/>
              <w:right w:w="105" w:type="dxa"/>
            </w:tcMar>
            <w:vAlign w:val="center"/>
          </w:tcPr>
          <w:p w14:paraId="1F6976D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智能采血排号叫号软件</w:t>
            </w:r>
          </w:p>
        </w:tc>
        <w:tc>
          <w:tcPr>
            <w:tcW w:w="3683" w:type="pct"/>
            <w:shd w:val="clear" w:color="auto" w:fill="auto"/>
            <w:tcMar>
              <w:top w:w="0" w:type="dxa"/>
              <w:left w:w="105" w:type="dxa"/>
              <w:bottom w:w="0" w:type="dxa"/>
              <w:right w:w="105" w:type="dxa"/>
            </w:tcMar>
            <w:vAlign w:val="top"/>
          </w:tcPr>
          <w:p w14:paraId="34A93E9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1.软件支持与</w:t>
            </w:r>
            <w:r>
              <w:rPr>
                <w:rFonts w:hint="eastAsia" w:ascii="仿宋" w:hAnsi="仿宋" w:eastAsia="仿宋" w:cs="仿宋"/>
                <w:sz w:val="24"/>
                <w:szCs w:val="24"/>
                <w:lang w:eastAsia="zh-CN"/>
              </w:rPr>
              <w:t>采购人</w:t>
            </w:r>
            <w:r>
              <w:rPr>
                <w:rFonts w:hint="eastAsia" w:ascii="仿宋" w:hAnsi="仿宋" w:eastAsia="仿宋" w:cs="仿宋"/>
                <w:sz w:val="24"/>
                <w:szCs w:val="24"/>
              </w:rPr>
              <w:t>HIS、LIS信息系统无缝对接，接口数据互通、排队呼叫显示管理、设备管理等。</w:t>
            </w:r>
          </w:p>
          <w:p w14:paraId="6D76EA2D">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2.支持集成智能排队叫号系统，实现自动获取排队叫号信息。</w:t>
            </w:r>
          </w:p>
          <w:p w14:paraId="03455E5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3.应急终端功能：在信息系统宕机等应急情况下，可一键切换到传统人工排号，人工排号系统和</w:t>
            </w:r>
            <w:r>
              <w:rPr>
                <w:rFonts w:hint="eastAsia" w:ascii="仿宋" w:hAnsi="仿宋" w:eastAsia="仿宋" w:cs="仿宋"/>
                <w:sz w:val="24"/>
                <w:szCs w:val="24"/>
                <w:lang w:eastAsia="zh-CN"/>
              </w:rPr>
              <w:t>采购人</w:t>
            </w:r>
            <w:r>
              <w:rPr>
                <w:rFonts w:hint="eastAsia" w:ascii="仿宋" w:hAnsi="仿宋" w:eastAsia="仿宋" w:cs="仿宋"/>
                <w:sz w:val="24"/>
                <w:szCs w:val="24"/>
              </w:rPr>
              <w:t>应急HIS/LIS系统对接，作为备份。</w:t>
            </w:r>
          </w:p>
          <w:p w14:paraId="5626116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4.优先设置：可在系统界面设置急诊优先功能，特殊人群优先功能，可根据用户需要设置优先级别以及优先规则。</w:t>
            </w:r>
          </w:p>
          <w:p w14:paraId="7A1795E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5.取号设置：可在系统界面设置采血项目取号周期，如法定节假日可采血项目限制等；如遇检验仪器故障，部分检验项目检测暂停，可现场修改应急取号规则，并在取号屏告知患者。</w:t>
            </w:r>
          </w:p>
          <w:p w14:paraId="00995FD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6.窗口设置：根据现场实际情况，窗口操作界面可随时切换成儿童或者成年人窗口，无需工程师修改代码。</w:t>
            </w:r>
          </w:p>
          <w:p w14:paraId="2F143AA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7.叫号显示：可显示就诊叫号患者、预叫号患者、过号患者及其他提示信息。</w:t>
            </w:r>
          </w:p>
          <w:p w14:paraId="7657052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8.重复呼叫：具备过号患者提示界面，并具备重新呼叫功能；</w:t>
            </w:r>
          </w:p>
          <w:p w14:paraId="0A06E71D">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9.特殊项目设置：糖耐量等需多次采血的项目能多次智能叫号。如半小时、一小时、两小时后自动呼叫，无需工程师修改代码。</w:t>
            </w:r>
          </w:p>
          <w:p w14:paraId="342332C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10.登记功能：具备采血台工作人员登记管理功能，可根据工作量灵活调节采血台开放数量。</w:t>
            </w:r>
          </w:p>
          <w:p w14:paraId="026A3ED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▲11.查询统计功能：可查询患者采样时间、采样项目，各采血人员采血工作量，以及患者平均等待时间。</w:t>
            </w:r>
          </w:p>
          <w:p w14:paraId="6E42E119">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▲12.采血记录：记录标本的详细采样信息，包括患者识别信息、采血人员、采血窗口、采血时间（扫描试管条码自动记录采血时间），满足临床实验室质量管理规范要求。</w:t>
            </w:r>
          </w:p>
          <w:p w14:paraId="7C1FBF5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★13.排号界面显示检验项目、开单医生、开单时间信息，患者可自行选择项目。</w:t>
            </w:r>
          </w:p>
        </w:tc>
      </w:tr>
    </w:tbl>
    <w:p w14:paraId="409AB74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1.2硬件参数要求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15"/>
        <w:gridCol w:w="842"/>
        <w:gridCol w:w="8491"/>
      </w:tblGrid>
      <w:tr w14:paraId="474BD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top"/>
          </w:tcPr>
          <w:p w14:paraId="51776CD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530" w:type="dxa"/>
            <w:shd w:val="clear" w:color="auto" w:fill="auto"/>
            <w:tcMar>
              <w:top w:w="0" w:type="dxa"/>
              <w:left w:w="105" w:type="dxa"/>
              <w:bottom w:w="0" w:type="dxa"/>
              <w:right w:w="105" w:type="dxa"/>
            </w:tcMar>
            <w:vAlign w:val="top"/>
          </w:tcPr>
          <w:p w14:paraId="75CD6B4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硬件</w:t>
            </w:r>
          </w:p>
        </w:tc>
        <w:tc>
          <w:tcPr>
            <w:tcW w:w="6345" w:type="dxa"/>
            <w:shd w:val="clear" w:color="auto" w:fill="auto"/>
            <w:tcMar>
              <w:top w:w="0" w:type="dxa"/>
              <w:left w:w="105" w:type="dxa"/>
              <w:bottom w:w="0" w:type="dxa"/>
              <w:right w:w="105" w:type="dxa"/>
            </w:tcMar>
            <w:vAlign w:val="top"/>
          </w:tcPr>
          <w:p w14:paraId="53941DD0">
            <w:pPr>
              <w:pStyle w:val="14"/>
              <w:keepNext w:val="0"/>
              <w:keepLines w:val="0"/>
              <w:pageBreakBefore w:val="0"/>
              <w:widowControl/>
              <w:suppressLineNumbers w:val="0"/>
              <w:kinsoku/>
              <w:wordWrap/>
              <w:overflowPunct/>
              <w:topLinePunct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68F4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7D8E19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30" w:type="dxa"/>
            <w:shd w:val="clear" w:color="auto" w:fill="auto"/>
            <w:tcMar>
              <w:top w:w="0" w:type="dxa"/>
              <w:left w:w="105" w:type="dxa"/>
              <w:bottom w:w="0" w:type="dxa"/>
              <w:right w:w="105" w:type="dxa"/>
            </w:tcMar>
            <w:vAlign w:val="center"/>
          </w:tcPr>
          <w:p w14:paraId="701A4A40">
            <w:pPr>
              <w:pStyle w:val="14"/>
              <w:keepNext w:val="0"/>
              <w:keepLines w:val="0"/>
              <w:pageBreakBefore w:val="0"/>
              <w:widowControl/>
              <w:suppressLineNumbers w:val="0"/>
              <w:kinsoku/>
              <w:wordWrap/>
              <w:overflowPunct/>
              <w:topLinePunct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智能采血排号叫号设备</w:t>
            </w:r>
          </w:p>
        </w:tc>
        <w:tc>
          <w:tcPr>
            <w:tcW w:w="6345" w:type="dxa"/>
            <w:shd w:val="clear" w:color="auto" w:fill="auto"/>
            <w:tcMar>
              <w:top w:w="0" w:type="dxa"/>
              <w:left w:w="105" w:type="dxa"/>
              <w:bottom w:w="0" w:type="dxa"/>
              <w:right w:w="105" w:type="dxa"/>
            </w:tcMar>
            <w:vAlign w:val="top"/>
          </w:tcPr>
          <w:p w14:paraId="1E979D3E">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1.自助排号设备：支持</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使用的登记介质(如条形码、医保卡、身份证、电子健康卡等)进行登记。</w:t>
            </w:r>
          </w:p>
          <w:p w14:paraId="7D21BF3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2.自助排号设备需具备≥19</w:t>
            </w:r>
            <w:r>
              <w:rPr>
                <w:rFonts w:hint="eastAsia" w:ascii="仿宋" w:hAnsi="仿宋" w:eastAsia="仿宋" w:cs="仿宋"/>
                <w:sz w:val="24"/>
                <w:szCs w:val="24"/>
                <w:highlight w:val="none"/>
                <w:lang w:eastAsia="zh-CN"/>
              </w:rPr>
              <w:t>英寸</w:t>
            </w:r>
            <w:r>
              <w:rPr>
                <w:rFonts w:hint="eastAsia" w:ascii="仿宋" w:hAnsi="仿宋" w:eastAsia="仿宋" w:cs="仿宋"/>
                <w:sz w:val="24"/>
                <w:szCs w:val="24"/>
                <w:highlight w:val="none"/>
              </w:rPr>
              <w:t>红外触摸屏，立式机柜，金属钢板机构。</w:t>
            </w:r>
          </w:p>
          <w:p w14:paraId="0A28D4C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3.自助排号设备打印机，可自动切纸/定位 ，缺纸检测速度≥150mm/s。  </w:t>
            </w:r>
          </w:p>
          <w:p w14:paraId="626FFFE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4.自助排号设备扫码器可全向扫描，识别窗口≥50×40mm。</w:t>
            </w:r>
          </w:p>
          <w:p w14:paraId="74B19E02">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5.叫号大屏幕最低配置要求：分辨率</w:t>
            </w:r>
            <w:r>
              <w:rPr>
                <w:rFonts w:hint="eastAsia" w:ascii="仿宋" w:hAnsi="仿宋" w:eastAsia="仿宋" w:cs="仿宋"/>
                <w:bCs/>
                <w:sz w:val="24"/>
                <w:szCs w:val="24"/>
                <w:lang w:val="en-US" w:eastAsia="zh-CN"/>
              </w:rPr>
              <w:t>≥</w:t>
            </w:r>
            <w:r>
              <w:rPr>
                <w:rFonts w:hint="eastAsia" w:ascii="仿宋" w:hAnsi="仿宋" w:eastAsia="仿宋" w:cs="仿宋"/>
                <w:sz w:val="24"/>
                <w:szCs w:val="24"/>
                <w:highlight w:val="none"/>
              </w:rPr>
              <w:t>1366*768、4核处理器、内存1GBRAM、内存8G。</w:t>
            </w:r>
          </w:p>
        </w:tc>
      </w:tr>
      <w:tr w14:paraId="58CF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F0DE9C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30" w:type="dxa"/>
            <w:shd w:val="clear" w:color="auto" w:fill="auto"/>
            <w:tcMar>
              <w:top w:w="0" w:type="dxa"/>
              <w:left w:w="105" w:type="dxa"/>
              <w:bottom w:w="0" w:type="dxa"/>
              <w:right w:w="105" w:type="dxa"/>
            </w:tcMar>
            <w:vAlign w:val="center"/>
          </w:tcPr>
          <w:p w14:paraId="1133072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全自动智能双通道贴标仪</w:t>
            </w:r>
          </w:p>
        </w:tc>
        <w:tc>
          <w:tcPr>
            <w:tcW w:w="0" w:type="auto"/>
            <w:shd w:val="clear" w:color="auto" w:fill="auto"/>
            <w:tcMar>
              <w:top w:w="0" w:type="dxa"/>
              <w:left w:w="105" w:type="dxa"/>
              <w:bottom w:w="0" w:type="dxa"/>
              <w:right w:w="105" w:type="dxa"/>
            </w:tcMar>
            <w:vAlign w:val="top"/>
          </w:tcPr>
          <w:p w14:paraId="67F340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1.贴标仪粘贴标签时具有智能寻边功能：标签不遮盖采血管刻度线及采血视窗。</w:t>
            </w:r>
          </w:p>
          <w:p w14:paraId="000BD13E">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▲2.贴标仪搭载2个贴标打印机、2个副打印机（内置打印机，用作备用条码打印）。左右双打印模块独立出管，单边故障时，剩余一个打印模块可以继续打印采血管供两边使用，故障不停机。</w:t>
            </w:r>
          </w:p>
          <w:p w14:paraId="3347CBF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★3.可以同时装载≥10种不同种类的采血管，每仓位容量≥150只，装载总容量≥1500只（设备左右两边均可进行装载试管，提供实物照片）。</w:t>
            </w:r>
          </w:p>
          <w:p w14:paraId="1A76568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▲4.真空采血管贴标速度：出管速度≤3秒/支。</w:t>
            </w:r>
          </w:p>
          <w:p w14:paraId="51F3431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★5.采血管装载方式：采用整板无序倾倒进样，方便快速装载，装载时不停机。</w:t>
            </w:r>
          </w:p>
          <w:p w14:paraId="15A644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6.标签粘贴：支持每种试管设定不同的标签粘贴位置高度，以适应不同品牌类型检验设备的要求，可通过设备的软件界面随时进行便捷的灵活调整、设定。</w:t>
            </w:r>
          </w:p>
          <w:p w14:paraId="3A697A0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7.打印方式：支持热敏打印；支持0、90、180、270度旋转、线、面、框、黑白反转、网格打印、连续打印、文字补正、外字登录；可精确调整字符或条码的位置方向等；</w:t>
            </w:r>
          </w:p>
          <w:p w14:paraId="45F12B2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8.设备接口：支持RS232、USB、网络接口等；支持多台设备可联机成流水线。 </w:t>
            </w:r>
          </w:p>
          <w:p w14:paraId="4B4A1D93">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9.配套多功能采血桌，采用落地柜式设计，上方是一个完整平面（非曲面或者阶梯平面），可摆放采血物品，节约空间。</w:t>
            </w:r>
          </w:p>
          <w:p w14:paraId="4236D1B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▲10.采血窗口显示屏：分为内外屏，≥15</w:t>
            </w:r>
            <w:r>
              <w:rPr>
                <w:rFonts w:hint="eastAsia" w:ascii="仿宋" w:hAnsi="仿宋" w:eastAsia="仿宋" w:cs="仿宋"/>
                <w:sz w:val="24"/>
                <w:szCs w:val="24"/>
                <w:highlight w:val="none"/>
                <w:lang w:eastAsia="zh-CN"/>
              </w:rPr>
              <w:t>英寸</w:t>
            </w:r>
            <w:r>
              <w:rPr>
                <w:rFonts w:hint="eastAsia" w:ascii="仿宋" w:hAnsi="仿宋" w:eastAsia="仿宋" w:cs="仿宋"/>
                <w:sz w:val="24"/>
                <w:szCs w:val="24"/>
                <w:highlight w:val="none"/>
              </w:rPr>
              <w:t>，内外屏可独立显示内容。</w:t>
            </w:r>
          </w:p>
          <w:p w14:paraId="0DD8C05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pacing w:val="0"/>
                <w:sz w:val="24"/>
                <w:szCs w:val="24"/>
                <w:highlight w:val="none"/>
              </w:rPr>
              <w:t>★11.负责根据采购人要求，对安装场地进行设计</w:t>
            </w:r>
            <w:r>
              <w:rPr>
                <w:rFonts w:hint="eastAsia" w:ascii="仿宋" w:hAnsi="仿宋" w:eastAsia="仿宋" w:cs="仿宋"/>
                <w:spacing w:val="15"/>
                <w:sz w:val="24"/>
                <w:szCs w:val="24"/>
                <w:highlight w:val="none"/>
              </w:rPr>
              <w:t>和施工改造</w:t>
            </w:r>
            <w:r>
              <w:rPr>
                <w:rFonts w:hint="eastAsia" w:ascii="仿宋" w:hAnsi="仿宋" w:eastAsia="仿宋" w:cs="仿宋"/>
                <w:spacing w:val="0"/>
                <w:sz w:val="24"/>
                <w:szCs w:val="24"/>
                <w:highlight w:val="none"/>
              </w:rPr>
              <w:t>。</w:t>
            </w:r>
          </w:p>
        </w:tc>
      </w:tr>
      <w:tr w14:paraId="622B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BED16B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3</w:t>
            </w:r>
          </w:p>
        </w:tc>
        <w:tc>
          <w:tcPr>
            <w:tcW w:w="1530" w:type="dxa"/>
            <w:shd w:val="clear" w:color="auto" w:fill="auto"/>
            <w:tcMar>
              <w:top w:w="0" w:type="dxa"/>
              <w:left w:w="105" w:type="dxa"/>
              <w:bottom w:w="0" w:type="dxa"/>
              <w:right w:w="105" w:type="dxa"/>
            </w:tcMar>
            <w:vAlign w:val="center"/>
          </w:tcPr>
          <w:p w14:paraId="3C248D4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采血管自动分拣机</w:t>
            </w:r>
          </w:p>
        </w:tc>
        <w:tc>
          <w:tcPr>
            <w:tcW w:w="6345" w:type="dxa"/>
            <w:shd w:val="clear" w:color="auto" w:fill="auto"/>
            <w:tcMar>
              <w:top w:w="0" w:type="dxa"/>
              <w:left w:w="105" w:type="dxa"/>
              <w:bottom w:w="0" w:type="dxa"/>
              <w:right w:w="105" w:type="dxa"/>
            </w:tcMar>
            <w:vAlign w:val="top"/>
          </w:tcPr>
          <w:p w14:paraId="7538793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1.输入仓支持轨道自动输入和/或试管集中倒入，输出仓满未及时清空时暂停分拣并发出警示，避免错误输出。</w:t>
            </w:r>
          </w:p>
          <w:p w14:paraId="2E97D9B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0"/>
                <w:sz w:val="24"/>
                <w:szCs w:val="24"/>
              </w:rPr>
              <w:t>★</w:t>
            </w:r>
            <w:r>
              <w:rPr>
                <w:rFonts w:hint="eastAsia" w:ascii="仿宋" w:hAnsi="仿宋" w:eastAsia="仿宋" w:cs="仿宋"/>
                <w:sz w:val="24"/>
                <w:szCs w:val="24"/>
              </w:rPr>
              <w:t>2.单台支持分拣速度≥2400支/小时，配备≥4台。</w:t>
            </w:r>
          </w:p>
          <w:p w14:paraId="35F3AD6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▲3.条码扫描方式：上升推板过程中滚动扫描、双扫描器垂直扫描，提升扫描效率，同时杜绝卡管。</w:t>
            </w:r>
          </w:p>
          <w:p w14:paraId="7956358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▲4.输出仓数量≥16仓，容量≥360管/仓，输入仓≥500管且可扩展容量（</w:t>
            </w:r>
            <w:r>
              <w:rPr>
                <w:rFonts w:hint="eastAsia" w:ascii="仿宋" w:hAnsi="仿宋" w:eastAsia="仿宋" w:cs="仿宋"/>
                <w:b/>
                <w:bCs/>
                <w:sz w:val="24"/>
                <w:szCs w:val="24"/>
                <w:lang w:val="en-US" w:eastAsia="zh-CN"/>
              </w:rPr>
              <w:t>提供国家认可的第三方检测机构出具的具有CNAS或CMA标识的检测报告影印件并加盖供应商公章。</w:t>
            </w:r>
            <w:r>
              <w:rPr>
                <w:rFonts w:hint="eastAsia" w:ascii="仿宋" w:hAnsi="仿宋" w:eastAsia="仿宋" w:cs="仿宋"/>
                <w:b/>
                <w:bCs/>
                <w:sz w:val="24"/>
                <w:szCs w:val="24"/>
              </w:rPr>
              <w:t>）</w:t>
            </w:r>
            <w:r>
              <w:rPr>
                <w:rFonts w:hint="eastAsia" w:ascii="仿宋" w:hAnsi="仿宋" w:eastAsia="仿宋" w:cs="仿宋"/>
                <w:sz w:val="24"/>
                <w:szCs w:val="24"/>
              </w:rPr>
              <w:t>。</w:t>
            </w:r>
          </w:p>
          <w:p w14:paraId="570107C2">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0"/>
                <w:sz w:val="24"/>
                <w:szCs w:val="24"/>
              </w:rPr>
              <w:t>★</w:t>
            </w:r>
            <w:r>
              <w:rPr>
                <w:rFonts w:hint="eastAsia" w:ascii="仿宋" w:hAnsi="仿宋" w:eastAsia="仿宋" w:cs="仿宋"/>
                <w:sz w:val="24"/>
                <w:szCs w:val="24"/>
              </w:rPr>
              <w:t>5.分拣优先级：按条形码包含的多个医嘱编码进行分类分优先级分拣。</w:t>
            </w:r>
          </w:p>
          <w:p w14:paraId="4CE2319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6.兼容各种规格采血管（塑料管、玻璃管）；同时支持不同规格标本管混放分拣。</w:t>
            </w:r>
          </w:p>
          <w:p w14:paraId="6EE0A72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7.输出仓：提篮一体化设计方便取样，所有提篮把手位置距地面高度≥0.5米。</w:t>
            </w:r>
          </w:p>
          <w:p w14:paraId="11329EE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▲8.物流对接方式：无缝对接轨道物流转运设备，实现分拣输出标本的自动转运。</w:t>
            </w:r>
          </w:p>
        </w:tc>
      </w:tr>
      <w:tr w14:paraId="7931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447119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4</w:t>
            </w:r>
          </w:p>
        </w:tc>
        <w:tc>
          <w:tcPr>
            <w:tcW w:w="1530" w:type="dxa"/>
            <w:shd w:val="clear" w:color="auto" w:fill="auto"/>
            <w:tcMar>
              <w:top w:w="0" w:type="dxa"/>
              <w:left w:w="105" w:type="dxa"/>
              <w:bottom w:w="0" w:type="dxa"/>
              <w:right w:w="105" w:type="dxa"/>
            </w:tcMar>
            <w:vAlign w:val="center"/>
          </w:tcPr>
          <w:p w14:paraId="15D46C6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标本转运机器人</w:t>
            </w:r>
          </w:p>
        </w:tc>
        <w:tc>
          <w:tcPr>
            <w:tcW w:w="6345" w:type="dxa"/>
            <w:shd w:val="clear" w:color="auto" w:fill="auto"/>
            <w:tcMar>
              <w:top w:w="0" w:type="dxa"/>
              <w:left w:w="105" w:type="dxa"/>
              <w:bottom w:w="0" w:type="dxa"/>
              <w:right w:w="105" w:type="dxa"/>
            </w:tcMar>
            <w:vAlign w:val="top"/>
          </w:tcPr>
          <w:p w14:paraId="1B6336A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生物安全：标本仓采用全封闭结构设计，分层布局；可适配多规格检验标本管及标准标本运送箱，满足各类检验标本转运需求；机身外壳采用医用级抗菌材质，标本仓内部组件可拆卸、易清洗，整体可耐受酒精、含氯消毒剂等医院常规消毒剂擦拭消毒。</w:t>
            </w:r>
          </w:p>
          <w:p w14:paraId="6DEA07E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2.导航避障：具备自主导航及全方位避障功能；机身配备防撞缓冲层及物理一键急停按钮，运行过程中具备语音提示功能；内置故障自诊断及远程运维模块，异常情况可实时报警，支持远程操控功能。</w:t>
            </w:r>
          </w:p>
          <w:p w14:paraId="0A3D9C6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▲3.载重与运行效率：额定载重≥10kg；最大行驶速度 0.5-1.2m/s，速度可调节；支持自主乘梯及门禁系统联动功能，电梯预约响应时间≤3s。</w:t>
            </w:r>
          </w:p>
          <w:p w14:paraId="7027A11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4.续航与补能：满电状态下连续续航时间≥8h，满足</w:t>
            </w:r>
            <w:r>
              <w:rPr>
                <w:rFonts w:hint="eastAsia" w:ascii="仿宋" w:hAnsi="仿宋" w:eastAsia="仿宋" w:cs="仿宋"/>
                <w:sz w:val="24"/>
                <w:szCs w:val="24"/>
                <w:lang w:eastAsia="zh-CN"/>
              </w:rPr>
              <w:t>采购人</w:t>
            </w:r>
            <w:r>
              <w:rPr>
                <w:rFonts w:hint="eastAsia" w:ascii="仿宋" w:hAnsi="仿宋" w:eastAsia="仿宋" w:cs="仿宋"/>
                <w:sz w:val="24"/>
                <w:szCs w:val="24"/>
              </w:rPr>
              <w:t>全天连续作业需求；低电量（剩余电量≤20%）时可自主返回充电桩充电，支持 24 小时不间断标本转运，适配检验科高频次标本配送场景。</w:t>
            </w:r>
          </w:p>
          <w:p w14:paraId="357FCE8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5.标本仓权限管理：标本仓开启具备多重加密验证功能，支持密码、NFC、磁卡等多种授权开启方式，保障标本转运安全。</w:t>
            </w:r>
          </w:p>
          <w:p w14:paraId="175B32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6.系统调度：可根据预设规则及实际转运需求，实现机器人位置自动调配，保障转运效率与流程合规性。</w:t>
            </w:r>
          </w:p>
        </w:tc>
      </w:tr>
      <w:tr w14:paraId="16AE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575" w:hRule="atLeast"/>
        </w:trPr>
        <w:tc>
          <w:tcPr>
            <w:tcW w:w="630" w:type="dxa"/>
            <w:shd w:val="clear" w:color="auto" w:fill="auto"/>
            <w:tcMar>
              <w:top w:w="0" w:type="dxa"/>
              <w:left w:w="105" w:type="dxa"/>
              <w:bottom w:w="0" w:type="dxa"/>
              <w:right w:w="105" w:type="dxa"/>
            </w:tcMar>
            <w:vAlign w:val="center"/>
          </w:tcPr>
          <w:p w14:paraId="0115134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5</w:t>
            </w:r>
          </w:p>
        </w:tc>
        <w:tc>
          <w:tcPr>
            <w:tcW w:w="1530" w:type="dxa"/>
            <w:shd w:val="clear" w:color="auto" w:fill="auto"/>
            <w:tcMar>
              <w:top w:w="0" w:type="dxa"/>
              <w:left w:w="105" w:type="dxa"/>
              <w:bottom w:w="0" w:type="dxa"/>
              <w:right w:w="105" w:type="dxa"/>
            </w:tcMar>
            <w:vAlign w:val="center"/>
          </w:tcPr>
          <w:p w14:paraId="4861306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轨道物流转运设备</w:t>
            </w:r>
          </w:p>
        </w:tc>
        <w:tc>
          <w:tcPr>
            <w:tcW w:w="6345" w:type="dxa"/>
            <w:shd w:val="clear" w:color="auto" w:fill="auto"/>
            <w:tcMar>
              <w:top w:w="0" w:type="dxa"/>
              <w:left w:w="105" w:type="dxa"/>
              <w:bottom w:w="0" w:type="dxa"/>
              <w:right w:w="105" w:type="dxa"/>
            </w:tcMar>
            <w:vAlign w:val="top"/>
          </w:tcPr>
          <w:p w14:paraId="2EE425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▲1.轨道配置要求：轨道总长度300-400米，可实现往返循环传输。</w:t>
            </w:r>
          </w:p>
          <w:p w14:paraId="00EF30B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▲2.物流系统由发送站、物流小车、运输轨道、换轨站、接收站及附件组合而成，发送站点位5-8个，接收站点位10-15个。</w:t>
            </w:r>
          </w:p>
          <w:p w14:paraId="7977317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★3.与采血窗口配套的分拣系统实现自动无缝对接，不需人工装填标本，小车可自动进入分拣机内自动装载和倾倒标本。</w:t>
            </w:r>
          </w:p>
          <w:p w14:paraId="1E12B1E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4.物流小车发送站可通过显示屏对小车位移路线等进行实时规划调整。</w:t>
            </w:r>
          </w:p>
          <w:p w14:paraId="4699ED1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5.可根据轨道传输距离及空间跨度，增加防火门设计（钢质材料门框、门扇骨架及门板和防火五金配件制成），具有耐火性能的单、双开门。</w:t>
            </w:r>
          </w:p>
          <w:p w14:paraId="7BC2BB4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★6.物流小车装载量：≥100管/车；物流系统单向运输标本≥2500管/小时，小车车门自动打开和关闭，无需人工操作。</w:t>
            </w:r>
          </w:p>
          <w:p w14:paraId="233ECB3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7.紧急情况发生时，可以急停小车运行，断电时自动锁定防止坠落。</w:t>
            </w:r>
          </w:p>
          <w:p w14:paraId="3401D0F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15"/>
                <w:sz w:val="24"/>
                <w:szCs w:val="24"/>
              </w:rPr>
              <w:t>8.可自动连接实验室检测流水线（倾倒进样）。</w:t>
            </w:r>
          </w:p>
          <w:p w14:paraId="4C1B53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15"/>
                <w:sz w:val="24"/>
                <w:szCs w:val="24"/>
              </w:rPr>
              <w:t>★9.自动进出分拣机，无需人工干预式全自动化。</w:t>
            </w:r>
          </w:p>
          <w:p w14:paraId="74CF930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★10.负责根据采购人要求，对安装场地进行设计和施工改造。</w:t>
            </w:r>
          </w:p>
        </w:tc>
      </w:tr>
      <w:tr w14:paraId="08A3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25E1C5B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6</w:t>
            </w:r>
          </w:p>
        </w:tc>
        <w:tc>
          <w:tcPr>
            <w:tcW w:w="1530" w:type="dxa"/>
            <w:shd w:val="clear" w:color="auto" w:fill="auto"/>
            <w:tcMar>
              <w:top w:w="0" w:type="dxa"/>
              <w:left w:w="105" w:type="dxa"/>
              <w:bottom w:w="0" w:type="dxa"/>
              <w:right w:w="105" w:type="dxa"/>
            </w:tcMar>
            <w:vAlign w:val="center"/>
          </w:tcPr>
          <w:p w14:paraId="7A4ABC8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尿管自动取管设备</w:t>
            </w:r>
          </w:p>
        </w:tc>
        <w:tc>
          <w:tcPr>
            <w:tcW w:w="6345" w:type="dxa"/>
            <w:shd w:val="clear" w:color="auto" w:fill="auto"/>
            <w:tcMar>
              <w:top w:w="0" w:type="dxa"/>
              <w:left w:w="105" w:type="dxa"/>
              <w:bottom w:w="0" w:type="dxa"/>
              <w:right w:w="105" w:type="dxa"/>
            </w:tcMar>
            <w:vAlign w:val="top"/>
          </w:tcPr>
          <w:p w14:paraId="15B081A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1.工作原理：智能尿管管理系统通过连接</w:t>
            </w:r>
            <w:r>
              <w:rPr>
                <w:rFonts w:hint="eastAsia" w:ascii="仿宋" w:hAnsi="仿宋" w:eastAsia="仿宋" w:cs="仿宋"/>
                <w:sz w:val="24"/>
                <w:szCs w:val="24"/>
                <w:lang w:eastAsia="zh-CN"/>
              </w:rPr>
              <w:t>采购人</w:t>
            </w:r>
            <w:r>
              <w:rPr>
                <w:rFonts w:hint="eastAsia" w:ascii="仿宋" w:hAnsi="仿宋" w:eastAsia="仿宋" w:cs="仿宋"/>
                <w:sz w:val="24"/>
                <w:szCs w:val="24"/>
              </w:rPr>
              <w:t>信息平台，根据患者信息自动生成相应的条形码标签，并自动将标签精确地粘贴于尿管上。</w:t>
            </w:r>
          </w:p>
          <w:p w14:paraId="7C99F4A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2.加管方式：无序倒入尿管；可以不停机随时加载。</w:t>
            </w:r>
          </w:p>
          <w:p w14:paraId="045D660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▲3.加管仓位：双独立仓位，支持两个规格尿管，每个仓尿管≥300支，总容量≥600支。</w:t>
            </w:r>
          </w:p>
          <w:p w14:paraId="7B465CF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4.可同时放两种不同规格尿管同时使用，可兼容多种规格尿管</w:t>
            </w:r>
          </w:p>
          <w:p w14:paraId="03939E2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 加管方式：倾倒式进样，上下两个进样口</w:t>
            </w:r>
          </w:p>
          <w:p w14:paraId="081ED58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▲6.选管方式：推板将尿管滚动推上，机械手抓取尿管直接垂直放入打印机内贴标，中途机械手不离开尿管，稳定可靠。</w:t>
            </w:r>
          </w:p>
          <w:p w14:paraId="5C9B2B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★7.耗材尿管开放，尿管支持常用的尿管型号尺寸。</w:t>
            </w:r>
          </w:p>
          <w:p w14:paraId="6F8F780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8.支持扫条形码，刷卡，刷身份证，手动输入等多种模式。</w:t>
            </w:r>
          </w:p>
          <w:p w14:paraId="37F12C4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9.处理速度：≤3秒/支。</w:t>
            </w:r>
          </w:p>
          <w:p w14:paraId="62250C8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10.打印试管标签，标签的粘贴位置可根据尿管尺寸进行调整。</w:t>
            </w:r>
          </w:p>
          <w:p w14:paraId="56A016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11.尿管标签上可打印自定义刻度线。</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7"/>
        <w:gridCol w:w="1699"/>
        <w:gridCol w:w="6224"/>
        <w:gridCol w:w="1318"/>
      </w:tblGrid>
      <w:tr w14:paraId="48B6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top"/>
          </w:tcPr>
          <w:p w14:paraId="2E46D0B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470" w:type="dxa"/>
            <w:shd w:val="clear" w:color="auto" w:fill="auto"/>
            <w:tcMar>
              <w:top w:w="0" w:type="dxa"/>
              <w:left w:w="105" w:type="dxa"/>
              <w:bottom w:w="0" w:type="dxa"/>
              <w:right w:w="105" w:type="dxa"/>
            </w:tcMar>
            <w:vAlign w:val="top"/>
          </w:tcPr>
          <w:p w14:paraId="51A67D1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5385" w:type="dxa"/>
            <w:shd w:val="clear" w:color="auto" w:fill="auto"/>
            <w:tcMar>
              <w:top w:w="0" w:type="dxa"/>
              <w:left w:w="105" w:type="dxa"/>
              <w:bottom w:w="0" w:type="dxa"/>
              <w:right w:w="105" w:type="dxa"/>
            </w:tcMar>
            <w:vAlign w:val="top"/>
          </w:tcPr>
          <w:p w14:paraId="151026E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140" w:type="dxa"/>
            <w:shd w:val="clear" w:color="auto" w:fill="auto"/>
            <w:tcMar>
              <w:top w:w="0" w:type="dxa"/>
              <w:left w:w="105" w:type="dxa"/>
              <w:bottom w:w="0" w:type="dxa"/>
              <w:right w:w="105" w:type="dxa"/>
            </w:tcMar>
            <w:vAlign w:val="top"/>
          </w:tcPr>
          <w:p w14:paraId="60BCBA7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服务时间</w:t>
            </w:r>
          </w:p>
        </w:tc>
      </w:tr>
      <w:tr w14:paraId="310B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228FF41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470" w:type="dxa"/>
            <w:shd w:val="clear" w:color="auto" w:fill="auto"/>
            <w:tcMar>
              <w:top w:w="0" w:type="dxa"/>
              <w:left w:w="105" w:type="dxa"/>
              <w:bottom w:w="0" w:type="dxa"/>
              <w:right w:w="105" w:type="dxa"/>
            </w:tcMar>
            <w:vAlign w:val="center"/>
          </w:tcPr>
          <w:p w14:paraId="1595B99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5385" w:type="dxa"/>
            <w:shd w:val="clear" w:color="auto" w:fill="auto"/>
            <w:tcMar>
              <w:top w:w="0" w:type="dxa"/>
              <w:left w:w="105" w:type="dxa"/>
              <w:bottom w:w="0" w:type="dxa"/>
              <w:right w:w="105" w:type="dxa"/>
            </w:tcMar>
            <w:vAlign w:val="top"/>
          </w:tcPr>
          <w:p w14:paraId="73519ABC">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1E0FACAE">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1、稳定性：</w:t>
            </w:r>
            <w:r>
              <w:rPr>
                <w:rFonts w:hint="eastAsia" w:ascii="仿宋" w:hAnsi="仿宋" w:eastAsia="仿宋" w:cs="仿宋"/>
                <w:sz w:val="24"/>
                <w:szCs w:val="24"/>
              </w:rPr>
              <w:t>服务期内需保障系统稳定，不无故出现崩溃或宕机现象</w:t>
            </w:r>
            <w:r>
              <w:rPr>
                <w:rFonts w:hint="eastAsia" w:ascii="仿宋" w:hAnsi="仿宋" w:eastAsia="仿宋" w:cs="仿宋"/>
                <w:sz w:val="24"/>
                <w:szCs w:val="24"/>
                <w:lang w:eastAsia="zh-CN"/>
              </w:rPr>
              <w:t>；</w:t>
            </w:r>
          </w:p>
          <w:p w14:paraId="6AC9323F">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2、安全性：</w:t>
            </w:r>
            <w:r>
              <w:rPr>
                <w:rFonts w:hint="eastAsia" w:ascii="仿宋" w:hAnsi="仿宋" w:eastAsia="仿宋" w:cs="仿宋"/>
                <w:sz w:val="24"/>
                <w:szCs w:val="24"/>
              </w:rPr>
              <w:t>具备完善的安全防护机制，做好数据备份，具备应急处置方案</w:t>
            </w:r>
            <w:r>
              <w:rPr>
                <w:rFonts w:hint="eastAsia" w:ascii="仿宋" w:hAnsi="仿宋" w:eastAsia="仿宋" w:cs="仿宋"/>
                <w:sz w:val="24"/>
                <w:szCs w:val="24"/>
                <w:lang w:eastAsia="zh-CN"/>
              </w:rPr>
              <w:t>；</w:t>
            </w:r>
          </w:p>
          <w:p w14:paraId="7D1B19E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3、数据质量：</w:t>
            </w:r>
            <w:r>
              <w:rPr>
                <w:rFonts w:hint="eastAsia" w:ascii="仿宋" w:hAnsi="仿宋" w:eastAsia="仿宋" w:cs="仿宋"/>
                <w:sz w:val="24"/>
                <w:szCs w:val="24"/>
              </w:rPr>
              <w:t>5个工作日内对数据质量问题进行原因查找和反馈，15个工作日内对数据质量问题进行数据清洗；</w:t>
            </w:r>
          </w:p>
          <w:p w14:paraId="10DA8AC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6B63FEAF">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5、备件供应：</w:t>
            </w:r>
            <w:r>
              <w:rPr>
                <w:rFonts w:hint="eastAsia" w:ascii="仿宋" w:hAnsi="仿宋" w:eastAsia="仿宋" w:cs="仿宋"/>
                <w:sz w:val="24"/>
                <w:szCs w:val="24"/>
              </w:rPr>
              <w:t>服务期内设备故障并经排查，明确2小时内无法恢复，应当在4小时内提供相同类型和性能的可用机器恢复业务工作，直至故障排除；</w:t>
            </w:r>
          </w:p>
          <w:p w14:paraId="7F7DA73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6、定期巡检：</w:t>
            </w:r>
            <w:r>
              <w:rPr>
                <w:rFonts w:hint="eastAsia" w:ascii="仿宋" w:hAnsi="仿宋" w:eastAsia="仿宋" w:cs="仿宋"/>
                <w:sz w:val="24"/>
                <w:szCs w:val="24"/>
              </w:rPr>
              <w:t>服务期内每月提供至少1次软硬件服务期巡检报告；</w:t>
            </w:r>
          </w:p>
          <w:p w14:paraId="72FD14AA">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7、培训服务：</w:t>
            </w:r>
            <w:r>
              <w:rPr>
                <w:rFonts w:hint="eastAsia" w:ascii="仿宋" w:hAnsi="仿宋" w:eastAsia="仿宋" w:cs="仿宋"/>
                <w:sz w:val="24"/>
                <w:szCs w:val="24"/>
              </w:rPr>
              <w:t>每年提供≥2次培训服务，并提交培训方案和签到表；</w:t>
            </w:r>
          </w:p>
          <w:p w14:paraId="2A25F7E3">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8、文档服务：</w:t>
            </w:r>
            <w:r>
              <w:rPr>
                <w:rFonts w:hint="eastAsia" w:ascii="仿宋" w:hAnsi="仿宋" w:eastAsia="仿宋" w:cs="仿宋"/>
                <w:sz w:val="24"/>
                <w:szCs w:val="24"/>
              </w:rPr>
              <w:t>上线运行之日提交本次采购内容的操作手册、服务器信息、业务数据库表结构，若采购内容的相关文档发生变化，需在 30 日内提供最新文档。服务期满后需提交本次采购内容的运维记录签字扫描版本</w:t>
            </w:r>
            <w:r>
              <w:rPr>
                <w:rFonts w:hint="eastAsia" w:ascii="仿宋" w:hAnsi="仿宋" w:eastAsia="仿宋" w:cs="仿宋"/>
                <w:sz w:val="24"/>
                <w:szCs w:val="24"/>
                <w:lang w:eastAsia="zh-CN"/>
              </w:rPr>
              <w:t>；</w:t>
            </w:r>
          </w:p>
          <w:p w14:paraId="2426393D">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b/>
                <w:bCs/>
                <w:sz w:val="24"/>
                <w:szCs w:val="24"/>
              </w:rPr>
              <w:t>9、</w:t>
            </w:r>
            <w:r>
              <w:rPr>
                <w:rStyle w:val="21"/>
                <w:rFonts w:hint="eastAsia" w:ascii="仿宋" w:hAnsi="仿宋" w:eastAsia="仿宋" w:cs="仿宋"/>
                <w:sz w:val="24"/>
                <w:szCs w:val="24"/>
              </w:rPr>
              <w:t>人员服务：</w:t>
            </w:r>
            <w:r>
              <w:rPr>
                <w:rFonts w:hint="eastAsia" w:ascii="仿宋" w:hAnsi="仿宋" w:eastAsia="仿宋" w:cs="仿宋"/>
                <w:sz w:val="24"/>
                <w:szCs w:val="24"/>
              </w:rPr>
              <w:t>1人驻场</w:t>
            </w:r>
            <w:bookmarkStart w:id="97" w:name="_GoBack"/>
            <w:bookmarkEnd w:id="97"/>
            <w:r>
              <w:rPr>
                <w:rFonts w:hint="eastAsia" w:ascii="仿宋" w:hAnsi="仿宋" w:eastAsia="仿宋" w:cs="仿宋"/>
                <w:sz w:val="24"/>
                <w:szCs w:val="24"/>
                <w:lang w:eastAsia="zh-CN"/>
              </w:rPr>
              <w:t>。</w:t>
            </w:r>
            <w:r>
              <w:rPr>
                <w:rFonts w:hint="eastAsia" w:ascii="仿宋" w:hAnsi="仿宋" w:eastAsia="仿宋" w:cs="仿宋"/>
                <w:sz w:val="24"/>
                <w:szCs w:val="24"/>
              </w:rPr>
              <w:t>驻场人员纳入</w:t>
            </w:r>
            <w:r>
              <w:rPr>
                <w:rFonts w:hint="eastAsia" w:ascii="仿宋" w:hAnsi="仿宋" w:eastAsia="仿宋" w:cs="仿宋"/>
                <w:sz w:val="24"/>
                <w:szCs w:val="24"/>
                <w:lang w:eastAsia="zh-CN"/>
              </w:rPr>
              <w:t>采购人</w:t>
            </w:r>
            <w:r>
              <w:rPr>
                <w:rFonts w:hint="eastAsia" w:ascii="仿宋" w:hAnsi="仿宋" w:eastAsia="仿宋" w:cs="仿宋"/>
                <w:sz w:val="24"/>
                <w:szCs w:val="24"/>
              </w:rPr>
              <w:t>统一管理；工作时间：工作日8:00-17:30,法定节假日按照</w:t>
            </w:r>
            <w:r>
              <w:rPr>
                <w:rFonts w:hint="eastAsia" w:ascii="仿宋" w:hAnsi="仿宋" w:eastAsia="仿宋" w:cs="仿宋"/>
                <w:sz w:val="24"/>
                <w:szCs w:val="24"/>
                <w:lang w:eastAsia="zh-CN"/>
              </w:rPr>
              <w:t>采购人</w:t>
            </w:r>
            <w:r>
              <w:rPr>
                <w:rFonts w:hint="eastAsia" w:ascii="仿宋" w:hAnsi="仿宋" w:eastAsia="仿宋" w:cs="仿宋"/>
                <w:sz w:val="24"/>
                <w:szCs w:val="24"/>
              </w:rPr>
              <w:t>统一放假时间，节假日期间安排人员远程值班,人员轮转、变动须提前通知采购人</w:t>
            </w:r>
            <w:r>
              <w:rPr>
                <w:rFonts w:hint="eastAsia" w:ascii="仿宋" w:hAnsi="仿宋" w:eastAsia="仿宋" w:cs="仿宋"/>
                <w:sz w:val="24"/>
                <w:szCs w:val="24"/>
                <w:lang w:eastAsia="zh-CN"/>
              </w:rPr>
              <w:t>。</w:t>
            </w:r>
          </w:p>
        </w:tc>
        <w:tc>
          <w:tcPr>
            <w:tcW w:w="1140" w:type="dxa"/>
            <w:vMerge w:val="restart"/>
            <w:shd w:val="clear" w:color="auto" w:fill="auto"/>
            <w:tcMar>
              <w:top w:w="0" w:type="dxa"/>
              <w:left w:w="105" w:type="dxa"/>
              <w:bottom w:w="0" w:type="dxa"/>
              <w:right w:w="105" w:type="dxa"/>
            </w:tcMar>
            <w:vAlign w:val="center"/>
          </w:tcPr>
          <w:p w14:paraId="34FDA81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u w:val="none"/>
              </w:rPr>
              <w:t>验收合格之日起，提供不低于5年</w:t>
            </w:r>
          </w:p>
        </w:tc>
      </w:tr>
      <w:tr w14:paraId="2D60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2CF4BD8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470" w:type="dxa"/>
            <w:shd w:val="clear" w:color="auto" w:fill="auto"/>
            <w:tcMar>
              <w:top w:w="0" w:type="dxa"/>
              <w:left w:w="105" w:type="dxa"/>
              <w:bottom w:w="0" w:type="dxa"/>
              <w:right w:w="105" w:type="dxa"/>
            </w:tcMar>
            <w:vAlign w:val="center"/>
          </w:tcPr>
          <w:p w14:paraId="040CA00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质保服务</w:t>
            </w:r>
          </w:p>
        </w:tc>
        <w:tc>
          <w:tcPr>
            <w:tcW w:w="5385" w:type="dxa"/>
            <w:shd w:val="clear" w:color="auto" w:fill="auto"/>
            <w:tcMar>
              <w:top w:w="0" w:type="dxa"/>
              <w:left w:w="105" w:type="dxa"/>
              <w:bottom w:w="0" w:type="dxa"/>
              <w:right w:w="105" w:type="dxa"/>
            </w:tcMar>
            <w:vAlign w:val="top"/>
          </w:tcPr>
          <w:p w14:paraId="2079842C">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本项目所包含</w:t>
            </w:r>
            <w:r>
              <w:rPr>
                <w:rStyle w:val="21"/>
                <w:rFonts w:hint="eastAsia" w:ascii="仿宋" w:hAnsi="仿宋" w:eastAsia="仿宋" w:cs="仿宋"/>
                <w:sz w:val="24"/>
                <w:szCs w:val="24"/>
              </w:rPr>
              <w:t>软硬件</w:t>
            </w:r>
            <w:r>
              <w:rPr>
                <w:rFonts w:hint="eastAsia" w:ascii="仿宋" w:hAnsi="仿宋" w:eastAsia="仿宋" w:cs="仿宋"/>
                <w:sz w:val="24"/>
                <w:szCs w:val="24"/>
              </w:rPr>
              <w:t>提供保修服务，保证</w:t>
            </w:r>
            <w:r>
              <w:rPr>
                <w:rStyle w:val="21"/>
                <w:rFonts w:hint="eastAsia" w:ascii="仿宋" w:hAnsi="仿宋" w:eastAsia="仿宋" w:cs="仿宋"/>
                <w:sz w:val="24"/>
                <w:szCs w:val="24"/>
              </w:rPr>
              <w:t>软硬件</w:t>
            </w:r>
            <w:r>
              <w:rPr>
                <w:rFonts w:hint="eastAsia" w:ascii="仿宋" w:hAnsi="仿宋" w:eastAsia="仿宋" w:cs="仿宋"/>
                <w:sz w:val="24"/>
                <w:szCs w:val="24"/>
              </w:rPr>
              <w:t>功能正常运行。</w:t>
            </w:r>
          </w:p>
        </w:tc>
        <w:tc>
          <w:tcPr>
            <w:tcW w:w="1140" w:type="dxa"/>
            <w:vMerge w:val="continue"/>
            <w:shd w:val="clear" w:color="auto" w:fill="auto"/>
            <w:tcMar>
              <w:top w:w="0" w:type="dxa"/>
              <w:left w:w="105" w:type="dxa"/>
              <w:bottom w:w="0" w:type="dxa"/>
              <w:right w:w="105" w:type="dxa"/>
            </w:tcMar>
            <w:vAlign w:val="center"/>
          </w:tcPr>
          <w:p w14:paraId="158F1C5A">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1.实施时间：合同生效后，需在5个工作日内开始实施。</w:t>
      </w:r>
    </w:p>
    <w:p w14:paraId="0D9291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50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3.试运行期：试运行期为实施结束后90日，试运行期间，如发现软件有缺陷，或性能和质量不符合本项目。须对相关问题进行修改和更正，同时试运行期时限按照上述修改、更正，试运行期进行相应顺延。</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4</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总价包干，第一次付款：合同签订生效且项目验收通过后，供应商 5 日内向采购人提供合法有效票据及其他相关请款资料，采购人接到接到上述票据及资料以后的90日内，向供应商支付本次合同金额的 80%。第二次付款：服务期满后，供应商 5 日内向采购人提供合法有效票据及其他相关请款资料，采购人接到供应商请款资料以后的90日内，向供应商支付合同总价20%扣减考核金额后的金额。</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（6）履约验收时间：供应商实现本项目软硬件功能上线并完成试运行，满足验收条件后，采购人在30个工作日内组织验收。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39544BC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4D113A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7.知识产权归属：由采购人、供应商双方共同开发的项目：采购人、供应商双方共同研发的该系统软件产品，知识产权归采购人、供应商双方共同拥有，软件所有数据归采购人所有。</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从合同签订生效之日起，采购人每月按照四川省人民医院供应商考核指标对供应商行为进行评价考核，考核结果关联最终付款金额和履约保证金（如有履约保证金）</w:t>
      </w:r>
      <w:r>
        <w:rPr>
          <w:rFonts w:hint="eastAsia" w:ascii="仿宋" w:hAnsi="仿宋" w:eastAsia="仿宋" w:cs="仿宋"/>
          <w:sz w:val="24"/>
          <w:szCs w:val="24"/>
          <w:lang w:val="en-US" w:eastAsia="zh-CN"/>
        </w:rPr>
        <w:t>，考核详见附件：《供应商考核》</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成交供应商应当与本项目相关的第三方（如涉及）保持有效的沟通，明确项目的具体要求和功能等方面的细节。采购人负责组织、监督和验收，以确保项目的顺利完成。</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如涉及因本项目开发的系统原因造成采购人的经济损失，由成交供应商负责向采购人进行赔偿。</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7C2C3EF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5757A73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供应商需提供针对本项目编制的项目实施方案，包括①项目实施计划、②系统对接方案、③硬件配送方案、④软硬件安装方案、⑤质量保障措施、⑥应急响应措施、⑦售后服务方案。</w:t>
      </w:r>
    </w:p>
    <w:p w14:paraId="557964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5F8062D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供应商提供2023年1月1日（含）以来样本采集及转运系统类似项目的业绩证明。</w:t>
      </w:r>
    </w:p>
    <w:p w14:paraId="4C229AE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1"/>
        <w:gridCol w:w="1855"/>
        <w:gridCol w:w="485"/>
        <w:gridCol w:w="3346"/>
        <w:gridCol w:w="2098"/>
        <w:gridCol w:w="833"/>
      </w:tblGrid>
      <w:tr w14:paraId="4360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5E9838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36"/>
                <w:szCs w:val="36"/>
              </w:rPr>
              <w:t>供应商月考核表</w:t>
            </w:r>
          </w:p>
        </w:tc>
      </w:tr>
      <w:tr w14:paraId="638C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15674E2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025" w:type="dxa"/>
            <w:gridSpan w:val="2"/>
            <w:shd w:val="clear" w:color="auto" w:fill="auto"/>
            <w:tcMar>
              <w:top w:w="0" w:type="dxa"/>
              <w:left w:w="105" w:type="dxa"/>
              <w:bottom w:w="0" w:type="dxa"/>
              <w:right w:w="105" w:type="dxa"/>
            </w:tcMar>
            <w:vAlign w:val="center"/>
          </w:tcPr>
          <w:p w14:paraId="14B5A781">
            <w:pPr>
              <w:keepNext w:val="0"/>
              <w:keepLines w:val="0"/>
              <w:widowControl/>
              <w:suppressLineNumbers w:val="0"/>
              <w:spacing w:line="240" w:lineRule="auto"/>
              <w:jc w:val="left"/>
              <w:rPr>
                <w:rFonts w:hint="eastAsia" w:ascii="仿宋" w:hAnsi="仿宋" w:eastAsia="仿宋" w:cs="仿宋"/>
                <w:sz w:val="24"/>
                <w:szCs w:val="24"/>
              </w:rPr>
            </w:pPr>
          </w:p>
        </w:tc>
        <w:tc>
          <w:tcPr>
            <w:tcW w:w="2895" w:type="dxa"/>
            <w:shd w:val="clear" w:color="auto" w:fill="auto"/>
            <w:tcMar>
              <w:top w:w="0" w:type="dxa"/>
              <w:left w:w="105" w:type="dxa"/>
              <w:bottom w:w="0" w:type="dxa"/>
              <w:right w:w="105" w:type="dxa"/>
            </w:tcMar>
            <w:vAlign w:val="center"/>
          </w:tcPr>
          <w:p w14:paraId="7A8873F9">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服务（系统）</w:t>
            </w:r>
          </w:p>
        </w:tc>
        <w:tc>
          <w:tcPr>
            <w:tcW w:w="2535" w:type="dxa"/>
            <w:gridSpan w:val="2"/>
            <w:shd w:val="clear" w:color="auto" w:fill="auto"/>
            <w:tcMar>
              <w:top w:w="0" w:type="dxa"/>
              <w:left w:w="105" w:type="dxa"/>
              <w:bottom w:w="0" w:type="dxa"/>
              <w:right w:w="105" w:type="dxa"/>
            </w:tcMar>
            <w:vAlign w:val="top"/>
          </w:tcPr>
          <w:p w14:paraId="1AE37FF8">
            <w:pPr>
              <w:keepNext w:val="0"/>
              <w:keepLines w:val="0"/>
              <w:widowControl/>
              <w:suppressLineNumbers w:val="0"/>
              <w:spacing w:line="240" w:lineRule="auto"/>
              <w:jc w:val="left"/>
              <w:rPr>
                <w:rFonts w:hint="eastAsia" w:ascii="仿宋" w:hAnsi="仿宋" w:eastAsia="仿宋" w:cs="仿宋"/>
                <w:sz w:val="24"/>
                <w:szCs w:val="24"/>
              </w:rPr>
            </w:pPr>
          </w:p>
        </w:tc>
      </w:tr>
      <w:tr w14:paraId="595F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585F163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供应商考核指标</w:t>
            </w:r>
          </w:p>
        </w:tc>
      </w:tr>
      <w:tr w14:paraId="4B0E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78A77DD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605" w:type="dxa"/>
            <w:shd w:val="clear" w:color="auto" w:fill="auto"/>
            <w:tcMar>
              <w:top w:w="0" w:type="dxa"/>
              <w:left w:w="105" w:type="dxa"/>
              <w:bottom w:w="0" w:type="dxa"/>
              <w:right w:w="105" w:type="dxa"/>
            </w:tcMar>
            <w:vAlign w:val="center"/>
          </w:tcPr>
          <w:p w14:paraId="2C984FD9">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130" w:type="dxa"/>
            <w:gridSpan w:val="3"/>
            <w:shd w:val="clear" w:color="auto" w:fill="auto"/>
            <w:tcMar>
              <w:top w:w="0" w:type="dxa"/>
              <w:left w:w="105" w:type="dxa"/>
              <w:bottom w:w="0" w:type="dxa"/>
              <w:right w:w="105" w:type="dxa"/>
            </w:tcMar>
            <w:vAlign w:val="center"/>
          </w:tcPr>
          <w:p w14:paraId="37E60BCC">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720" w:type="dxa"/>
            <w:shd w:val="clear" w:color="auto" w:fill="auto"/>
            <w:tcMar>
              <w:top w:w="0" w:type="dxa"/>
              <w:left w:w="105" w:type="dxa"/>
              <w:bottom w:w="0" w:type="dxa"/>
              <w:right w:w="105" w:type="dxa"/>
            </w:tcMar>
            <w:vAlign w:val="center"/>
          </w:tcPr>
          <w:p w14:paraId="03931A8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10DF1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restart"/>
            <w:shd w:val="clear" w:color="auto" w:fill="auto"/>
            <w:tcMar>
              <w:top w:w="0" w:type="dxa"/>
              <w:left w:w="105" w:type="dxa"/>
              <w:bottom w:w="0" w:type="dxa"/>
              <w:right w:w="105" w:type="dxa"/>
            </w:tcMar>
            <w:vAlign w:val="center"/>
          </w:tcPr>
          <w:p w14:paraId="2B4D77FA">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513266BA">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量评价</w:t>
            </w:r>
          </w:p>
        </w:tc>
        <w:tc>
          <w:tcPr>
            <w:tcW w:w="1605" w:type="dxa"/>
            <w:shd w:val="clear" w:color="auto" w:fill="auto"/>
            <w:tcMar>
              <w:top w:w="0" w:type="dxa"/>
              <w:left w:w="105" w:type="dxa"/>
              <w:bottom w:w="0" w:type="dxa"/>
              <w:right w:w="105" w:type="dxa"/>
            </w:tcMar>
            <w:vAlign w:val="center"/>
          </w:tcPr>
          <w:p w14:paraId="2091EC5F">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130" w:type="dxa"/>
            <w:gridSpan w:val="3"/>
            <w:shd w:val="clear" w:color="auto" w:fill="auto"/>
            <w:tcMar>
              <w:top w:w="0" w:type="dxa"/>
              <w:left w:w="105" w:type="dxa"/>
              <w:bottom w:w="0" w:type="dxa"/>
              <w:right w:w="105" w:type="dxa"/>
            </w:tcMar>
            <w:vAlign w:val="center"/>
          </w:tcPr>
          <w:p w14:paraId="0DC7DCE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720" w:type="dxa"/>
            <w:shd w:val="clear" w:color="auto" w:fill="auto"/>
            <w:tcMar>
              <w:top w:w="0" w:type="dxa"/>
              <w:left w:w="105" w:type="dxa"/>
              <w:bottom w:w="0" w:type="dxa"/>
              <w:right w:w="105" w:type="dxa"/>
            </w:tcMar>
            <w:vAlign w:val="top"/>
          </w:tcPr>
          <w:p w14:paraId="34C526AD">
            <w:pPr>
              <w:keepNext w:val="0"/>
              <w:keepLines w:val="0"/>
              <w:widowControl/>
              <w:suppressLineNumbers w:val="0"/>
              <w:spacing w:line="240" w:lineRule="auto"/>
              <w:jc w:val="left"/>
              <w:rPr>
                <w:rFonts w:hint="eastAsia" w:ascii="仿宋" w:hAnsi="仿宋" w:eastAsia="仿宋" w:cs="仿宋"/>
                <w:sz w:val="24"/>
                <w:szCs w:val="24"/>
              </w:rPr>
            </w:pPr>
          </w:p>
        </w:tc>
      </w:tr>
      <w:tr w14:paraId="193C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2F755160">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472F34C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130" w:type="dxa"/>
            <w:gridSpan w:val="3"/>
            <w:shd w:val="clear" w:color="auto" w:fill="auto"/>
            <w:tcMar>
              <w:top w:w="0" w:type="dxa"/>
              <w:left w:w="105" w:type="dxa"/>
              <w:bottom w:w="0" w:type="dxa"/>
              <w:right w:w="105" w:type="dxa"/>
            </w:tcMar>
            <w:vAlign w:val="center"/>
          </w:tcPr>
          <w:p w14:paraId="67A3628A">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20" w:type="dxa"/>
            <w:shd w:val="clear" w:color="auto" w:fill="auto"/>
            <w:tcMar>
              <w:top w:w="0" w:type="dxa"/>
              <w:left w:w="105" w:type="dxa"/>
              <w:bottom w:w="0" w:type="dxa"/>
              <w:right w:w="105" w:type="dxa"/>
            </w:tcMar>
            <w:vAlign w:val="top"/>
          </w:tcPr>
          <w:p w14:paraId="7BDF6086">
            <w:pPr>
              <w:keepNext w:val="0"/>
              <w:keepLines w:val="0"/>
              <w:widowControl/>
              <w:suppressLineNumbers w:val="0"/>
              <w:spacing w:line="240" w:lineRule="auto"/>
              <w:jc w:val="left"/>
              <w:rPr>
                <w:rFonts w:hint="eastAsia" w:ascii="仿宋" w:hAnsi="仿宋" w:eastAsia="仿宋" w:cs="仿宋"/>
                <w:sz w:val="24"/>
                <w:szCs w:val="24"/>
              </w:rPr>
            </w:pPr>
          </w:p>
        </w:tc>
      </w:tr>
      <w:tr w14:paraId="2838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4FF4E648">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577B212">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130" w:type="dxa"/>
            <w:gridSpan w:val="3"/>
            <w:shd w:val="clear" w:color="auto" w:fill="auto"/>
            <w:tcMar>
              <w:top w:w="0" w:type="dxa"/>
              <w:left w:w="105" w:type="dxa"/>
              <w:bottom w:w="0" w:type="dxa"/>
              <w:right w:w="105" w:type="dxa"/>
            </w:tcMar>
            <w:vAlign w:val="center"/>
          </w:tcPr>
          <w:p w14:paraId="63C29231">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20" w:type="dxa"/>
            <w:shd w:val="clear" w:color="auto" w:fill="auto"/>
            <w:tcMar>
              <w:top w:w="0" w:type="dxa"/>
              <w:left w:w="105" w:type="dxa"/>
              <w:bottom w:w="0" w:type="dxa"/>
              <w:right w:w="105" w:type="dxa"/>
            </w:tcMar>
            <w:vAlign w:val="top"/>
          </w:tcPr>
          <w:p w14:paraId="1111832E">
            <w:pPr>
              <w:keepNext w:val="0"/>
              <w:keepLines w:val="0"/>
              <w:widowControl/>
              <w:suppressLineNumbers w:val="0"/>
              <w:spacing w:line="240" w:lineRule="auto"/>
              <w:jc w:val="left"/>
              <w:rPr>
                <w:rFonts w:hint="eastAsia" w:ascii="仿宋" w:hAnsi="仿宋" w:eastAsia="仿宋" w:cs="仿宋"/>
                <w:sz w:val="24"/>
                <w:szCs w:val="24"/>
              </w:rPr>
            </w:pPr>
          </w:p>
        </w:tc>
      </w:tr>
      <w:tr w14:paraId="2A3A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65" w:type="dxa"/>
            <w:vMerge w:val="restart"/>
            <w:shd w:val="clear" w:color="auto" w:fill="auto"/>
            <w:tcMar>
              <w:top w:w="0" w:type="dxa"/>
              <w:left w:w="105" w:type="dxa"/>
              <w:bottom w:w="0" w:type="dxa"/>
              <w:right w:w="105" w:type="dxa"/>
            </w:tcMar>
            <w:vAlign w:val="center"/>
          </w:tcPr>
          <w:p w14:paraId="351200FC">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2BE17D90">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605" w:type="dxa"/>
            <w:shd w:val="clear" w:color="auto" w:fill="auto"/>
            <w:tcMar>
              <w:top w:w="0" w:type="dxa"/>
              <w:left w:w="105" w:type="dxa"/>
              <w:bottom w:w="0" w:type="dxa"/>
              <w:right w:w="105" w:type="dxa"/>
            </w:tcMar>
            <w:vAlign w:val="center"/>
          </w:tcPr>
          <w:p w14:paraId="4D22AD1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130" w:type="dxa"/>
            <w:gridSpan w:val="3"/>
            <w:shd w:val="clear" w:color="auto" w:fill="auto"/>
            <w:tcMar>
              <w:top w:w="0" w:type="dxa"/>
              <w:left w:w="105" w:type="dxa"/>
              <w:bottom w:w="0" w:type="dxa"/>
              <w:right w:w="105" w:type="dxa"/>
            </w:tcMar>
            <w:vAlign w:val="center"/>
          </w:tcPr>
          <w:p w14:paraId="24978A1E">
            <w:pPr>
              <w:pStyle w:val="14"/>
              <w:keepNext w:val="0"/>
              <w:keepLines w:val="0"/>
              <w:widowControl/>
              <w:suppressLineNumbers w:val="0"/>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720" w:type="dxa"/>
            <w:shd w:val="clear" w:color="auto" w:fill="auto"/>
            <w:tcMar>
              <w:top w:w="0" w:type="dxa"/>
              <w:left w:w="105" w:type="dxa"/>
              <w:bottom w:w="0" w:type="dxa"/>
              <w:right w:w="105" w:type="dxa"/>
            </w:tcMar>
            <w:vAlign w:val="top"/>
          </w:tcPr>
          <w:p w14:paraId="1E908DEE">
            <w:pPr>
              <w:keepNext w:val="0"/>
              <w:keepLines w:val="0"/>
              <w:widowControl/>
              <w:suppressLineNumbers w:val="0"/>
              <w:spacing w:line="240" w:lineRule="auto"/>
              <w:jc w:val="left"/>
              <w:rPr>
                <w:rFonts w:hint="eastAsia" w:ascii="仿宋" w:hAnsi="仿宋" w:eastAsia="仿宋" w:cs="仿宋"/>
                <w:sz w:val="24"/>
                <w:szCs w:val="24"/>
              </w:rPr>
            </w:pPr>
          </w:p>
        </w:tc>
      </w:tr>
      <w:tr w14:paraId="6FB8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320171FD">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597573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130" w:type="dxa"/>
            <w:gridSpan w:val="3"/>
            <w:shd w:val="clear" w:color="auto" w:fill="auto"/>
            <w:tcMar>
              <w:top w:w="0" w:type="dxa"/>
              <w:left w:w="105" w:type="dxa"/>
              <w:bottom w:w="0" w:type="dxa"/>
              <w:right w:w="105" w:type="dxa"/>
            </w:tcMar>
            <w:vAlign w:val="center"/>
          </w:tcPr>
          <w:p w14:paraId="0F3D45A3">
            <w:pPr>
              <w:pStyle w:val="14"/>
              <w:keepNext w:val="0"/>
              <w:keepLines w:val="0"/>
              <w:widowControl/>
              <w:suppressLineNumbers w:val="0"/>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720" w:type="dxa"/>
            <w:shd w:val="clear" w:color="auto" w:fill="auto"/>
            <w:tcMar>
              <w:top w:w="0" w:type="dxa"/>
              <w:left w:w="105" w:type="dxa"/>
              <w:bottom w:w="0" w:type="dxa"/>
              <w:right w:w="105" w:type="dxa"/>
            </w:tcMar>
            <w:vAlign w:val="top"/>
          </w:tcPr>
          <w:p w14:paraId="2BE9FEA1">
            <w:pPr>
              <w:keepNext w:val="0"/>
              <w:keepLines w:val="0"/>
              <w:widowControl/>
              <w:suppressLineNumbers w:val="0"/>
              <w:spacing w:line="240" w:lineRule="auto"/>
              <w:jc w:val="left"/>
              <w:rPr>
                <w:rFonts w:hint="eastAsia" w:ascii="仿宋" w:hAnsi="仿宋" w:eastAsia="仿宋" w:cs="仿宋"/>
                <w:sz w:val="24"/>
                <w:szCs w:val="24"/>
              </w:rPr>
            </w:pPr>
          </w:p>
        </w:tc>
      </w:tr>
      <w:tr w14:paraId="0C14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62C31940">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ED69DF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38F2138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(本条指标仅涉及提供硬件设备的供应商)</w:t>
            </w:r>
          </w:p>
        </w:tc>
        <w:tc>
          <w:tcPr>
            <w:tcW w:w="5130" w:type="dxa"/>
            <w:gridSpan w:val="3"/>
            <w:shd w:val="clear" w:color="auto" w:fill="auto"/>
            <w:tcMar>
              <w:top w:w="0" w:type="dxa"/>
              <w:left w:w="105" w:type="dxa"/>
              <w:bottom w:w="0" w:type="dxa"/>
              <w:right w:w="105" w:type="dxa"/>
            </w:tcMar>
            <w:vAlign w:val="center"/>
          </w:tcPr>
          <w:p w14:paraId="6B8356F0">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20" w:type="dxa"/>
            <w:shd w:val="clear" w:color="auto" w:fill="auto"/>
            <w:tcMar>
              <w:top w:w="0" w:type="dxa"/>
              <w:left w:w="105" w:type="dxa"/>
              <w:bottom w:w="0" w:type="dxa"/>
              <w:right w:w="105" w:type="dxa"/>
            </w:tcMar>
            <w:vAlign w:val="top"/>
          </w:tcPr>
          <w:p w14:paraId="1C50D7A0">
            <w:pPr>
              <w:keepNext w:val="0"/>
              <w:keepLines w:val="0"/>
              <w:widowControl/>
              <w:suppressLineNumbers w:val="0"/>
              <w:spacing w:line="240" w:lineRule="auto"/>
              <w:jc w:val="left"/>
              <w:rPr>
                <w:rFonts w:hint="eastAsia" w:ascii="仿宋" w:hAnsi="仿宋" w:eastAsia="仿宋" w:cs="仿宋"/>
                <w:sz w:val="24"/>
                <w:szCs w:val="24"/>
              </w:rPr>
            </w:pPr>
          </w:p>
        </w:tc>
      </w:tr>
      <w:tr w14:paraId="691E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398604F5">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20915E4F">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130" w:type="dxa"/>
            <w:gridSpan w:val="3"/>
            <w:shd w:val="clear" w:color="auto" w:fill="auto"/>
            <w:tcMar>
              <w:top w:w="0" w:type="dxa"/>
              <w:left w:w="105" w:type="dxa"/>
              <w:bottom w:w="0" w:type="dxa"/>
              <w:right w:w="105" w:type="dxa"/>
            </w:tcMar>
            <w:vAlign w:val="center"/>
          </w:tcPr>
          <w:p w14:paraId="4D923F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720" w:type="dxa"/>
            <w:shd w:val="clear" w:color="auto" w:fill="auto"/>
            <w:tcMar>
              <w:top w:w="0" w:type="dxa"/>
              <w:left w:w="105" w:type="dxa"/>
              <w:bottom w:w="0" w:type="dxa"/>
              <w:right w:w="105" w:type="dxa"/>
            </w:tcMar>
            <w:vAlign w:val="top"/>
          </w:tcPr>
          <w:p w14:paraId="02AFC59B">
            <w:pPr>
              <w:keepNext w:val="0"/>
              <w:keepLines w:val="0"/>
              <w:widowControl/>
              <w:suppressLineNumbers w:val="0"/>
              <w:spacing w:line="240" w:lineRule="auto"/>
              <w:jc w:val="left"/>
              <w:rPr>
                <w:rFonts w:hint="eastAsia" w:ascii="仿宋" w:hAnsi="仿宋" w:eastAsia="仿宋" w:cs="仿宋"/>
                <w:sz w:val="24"/>
                <w:szCs w:val="24"/>
              </w:rPr>
            </w:pPr>
          </w:p>
        </w:tc>
      </w:tr>
      <w:tr w14:paraId="2059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4659C011">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14945AB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130" w:type="dxa"/>
            <w:gridSpan w:val="3"/>
            <w:shd w:val="clear" w:color="auto" w:fill="auto"/>
            <w:tcMar>
              <w:top w:w="0" w:type="dxa"/>
              <w:left w:w="105" w:type="dxa"/>
              <w:bottom w:w="0" w:type="dxa"/>
              <w:right w:w="105" w:type="dxa"/>
            </w:tcMar>
            <w:vAlign w:val="center"/>
          </w:tcPr>
          <w:p w14:paraId="69A7139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20" w:type="dxa"/>
            <w:shd w:val="clear" w:color="auto" w:fill="auto"/>
            <w:tcMar>
              <w:top w:w="0" w:type="dxa"/>
              <w:left w:w="105" w:type="dxa"/>
              <w:bottom w:w="0" w:type="dxa"/>
              <w:right w:w="105" w:type="dxa"/>
            </w:tcMar>
            <w:vAlign w:val="top"/>
          </w:tcPr>
          <w:p w14:paraId="23CB9C11">
            <w:pPr>
              <w:keepNext w:val="0"/>
              <w:keepLines w:val="0"/>
              <w:widowControl/>
              <w:suppressLineNumbers w:val="0"/>
              <w:spacing w:line="240" w:lineRule="auto"/>
              <w:jc w:val="left"/>
              <w:rPr>
                <w:rFonts w:hint="eastAsia" w:ascii="仿宋" w:hAnsi="仿宋" w:eastAsia="仿宋" w:cs="仿宋"/>
                <w:sz w:val="24"/>
                <w:szCs w:val="24"/>
              </w:rPr>
            </w:pPr>
          </w:p>
        </w:tc>
      </w:tr>
      <w:tr w14:paraId="2815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57660213">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DF616C7">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130" w:type="dxa"/>
            <w:gridSpan w:val="3"/>
            <w:shd w:val="clear" w:color="auto" w:fill="auto"/>
            <w:tcMar>
              <w:top w:w="0" w:type="dxa"/>
              <w:left w:w="105" w:type="dxa"/>
              <w:bottom w:w="0" w:type="dxa"/>
              <w:right w:w="105" w:type="dxa"/>
            </w:tcMar>
            <w:vAlign w:val="center"/>
          </w:tcPr>
          <w:p w14:paraId="6FBDB40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20" w:type="dxa"/>
            <w:shd w:val="clear" w:color="auto" w:fill="auto"/>
            <w:tcMar>
              <w:top w:w="0" w:type="dxa"/>
              <w:left w:w="105" w:type="dxa"/>
              <w:bottom w:w="0" w:type="dxa"/>
              <w:right w:w="105" w:type="dxa"/>
            </w:tcMar>
            <w:vAlign w:val="top"/>
          </w:tcPr>
          <w:p w14:paraId="5BE4339C">
            <w:pPr>
              <w:keepNext w:val="0"/>
              <w:keepLines w:val="0"/>
              <w:widowControl/>
              <w:suppressLineNumbers w:val="0"/>
              <w:spacing w:line="240" w:lineRule="auto"/>
              <w:jc w:val="left"/>
              <w:rPr>
                <w:rFonts w:hint="eastAsia" w:ascii="仿宋" w:hAnsi="仿宋" w:eastAsia="仿宋" w:cs="仿宋"/>
                <w:sz w:val="24"/>
                <w:szCs w:val="24"/>
              </w:rPr>
            </w:pPr>
          </w:p>
        </w:tc>
      </w:tr>
      <w:tr w14:paraId="6634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restart"/>
            <w:shd w:val="clear" w:color="auto" w:fill="auto"/>
            <w:tcMar>
              <w:top w:w="0" w:type="dxa"/>
              <w:left w:w="105" w:type="dxa"/>
              <w:bottom w:w="0" w:type="dxa"/>
              <w:right w:w="105" w:type="dxa"/>
            </w:tcMar>
            <w:vAlign w:val="center"/>
          </w:tcPr>
          <w:p w14:paraId="4FC6CDC6">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2774016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605" w:type="dxa"/>
            <w:shd w:val="clear" w:color="auto" w:fill="auto"/>
            <w:tcMar>
              <w:top w:w="0" w:type="dxa"/>
              <w:left w:w="105" w:type="dxa"/>
              <w:bottom w:w="0" w:type="dxa"/>
              <w:right w:w="105" w:type="dxa"/>
            </w:tcMar>
            <w:vAlign w:val="center"/>
          </w:tcPr>
          <w:p w14:paraId="3CEA2D2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130" w:type="dxa"/>
            <w:gridSpan w:val="3"/>
            <w:shd w:val="clear" w:color="auto" w:fill="auto"/>
            <w:tcMar>
              <w:top w:w="0" w:type="dxa"/>
              <w:left w:w="105" w:type="dxa"/>
              <w:bottom w:w="0" w:type="dxa"/>
              <w:right w:w="105" w:type="dxa"/>
            </w:tcMar>
            <w:vAlign w:val="center"/>
          </w:tcPr>
          <w:p w14:paraId="6006DBEB">
            <w:pPr>
              <w:pStyle w:val="14"/>
              <w:keepNext w:val="0"/>
              <w:keepLines w:val="0"/>
              <w:widowControl/>
              <w:suppressLineNumbers w:val="0"/>
              <w:spacing w:after="195" w:afterAutospacing="0" w:line="240" w:lineRule="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720" w:type="dxa"/>
            <w:shd w:val="clear" w:color="auto" w:fill="auto"/>
            <w:tcMar>
              <w:top w:w="0" w:type="dxa"/>
              <w:left w:w="105" w:type="dxa"/>
              <w:bottom w:w="0" w:type="dxa"/>
              <w:right w:w="105" w:type="dxa"/>
            </w:tcMar>
            <w:vAlign w:val="center"/>
          </w:tcPr>
          <w:p w14:paraId="4B88FBA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0CA9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1B16482F">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2962A75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130" w:type="dxa"/>
            <w:gridSpan w:val="3"/>
            <w:shd w:val="clear" w:color="auto" w:fill="auto"/>
            <w:tcMar>
              <w:top w:w="0" w:type="dxa"/>
              <w:left w:w="105" w:type="dxa"/>
              <w:bottom w:w="0" w:type="dxa"/>
              <w:right w:w="105" w:type="dxa"/>
            </w:tcMar>
            <w:vAlign w:val="center"/>
          </w:tcPr>
          <w:p w14:paraId="1D75DC7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720" w:type="dxa"/>
            <w:shd w:val="clear" w:color="auto" w:fill="auto"/>
            <w:tcMar>
              <w:top w:w="0" w:type="dxa"/>
              <w:left w:w="105" w:type="dxa"/>
              <w:bottom w:w="0" w:type="dxa"/>
              <w:right w:w="105" w:type="dxa"/>
            </w:tcMar>
            <w:vAlign w:val="center"/>
          </w:tcPr>
          <w:p w14:paraId="293A4D11">
            <w:pPr>
              <w:keepNext w:val="0"/>
              <w:keepLines w:val="0"/>
              <w:widowControl/>
              <w:suppressLineNumbers w:val="0"/>
              <w:spacing w:line="240" w:lineRule="auto"/>
              <w:jc w:val="left"/>
              <w:rPr>
                <w:rFonts w:hint="eastAsia" w:ascii="仿宋" w:hAnsi="仿宋" w:eastAsia="仿宋" w:cs="仿宋"/>
                <w:sz w:val="24"/>
                <w:szCs w:val="24"/>
              </w:rPr>
            </w:pPr>
          </w:p>
        </w:tc>
      </w:tr>
      <w:tr w14:paraId="618E1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654D4753">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61C55CEA">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130" w:type="dxa"/>
            <w:gridSpan w:val="3"/>
            <w:shd w:val="clear" w:color="auto" w:fill="auto"/>
            <w:tcMar>
              <w:top w:w="0" w:type="dxa"/>
              <w:left w:w="105" w:type="dxa"/>
              <w:bottom w:w="0" w:type="dxa"/>
              <w:right w:w="105" w:type="dxa"/>
            </w:tcMar>
            <w:vAlign w:val="center"/>
          </w:tcPr>
          <w:p w14:paraId="3C51D6D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720" w:type="dxa"/>
            <w:shd w:val="clear" w:color="auto" w:fill="auto"/>
            <w:tcMar>
              <w:top w:w="0" w:type="dxa"/>
              <w:left w:w="105" w:type="dxa"/>
              <w:bottom w:w="0" w:type="dxa"/>
              <w:right w:w="105" w:type="dxa"/>
            </w:tcMar>
            <w:vAlign w:val="center"/>
          </w:tcPr>
          <w:p w14:paraId="39F1DE1E">
            <w:pPr>
              <w:keepNext w:val="0"/>
              <w:keepLines w:val="0"/>
              <w:widowControl/>
              <w:suppressLineNumbers w:val="0"/>
              <w:spacing w:line="240" w:lineRule="auto"/>
              <w:jc w:val="left"/>
              <w:rPr>
                <w:rFonts w:hint="eastAsia" w:ascii="仿宋" w:hAnsi="仿宋" w:eastAsia="仿宋" w:cs="仿宋"/>
                <w:sz w:val="24"/>
                <w:szCs w:val="24"/>
              </w:rPr>
            </w:pPr>
          </w:p>
        </w:tc>
      </w:tr>
      <w:tr w14:paraId="1D0A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21E95CB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月度考</w:t>
            </w:r>
          </w:p>
          <w:p w14:paraId="084513B1">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核情况</w:t>
            </w:r>
          </w:p>
        </w:tc>
        <w:tc>
          <w:tcPr>
            <w:tcW w:w="7455" w:type="dxa"/>
            <w:gridSpan w:val="5"/>
            <w:shd w:val="clear" w:color="auto" w:fill="auto"/>
            <w:tcMar>
              <w:top w:w="0" w:type="dxa"/>
              <w:left w:w="105" w:type="dxa"/>
              <w:bottom w:w="0" w:type="dxa"/>
              <w:right w:w="105" w:type="dxa"/>
            </w:tcMar>
            <w:vAlign w:val="center"/>
          </w:tcPr>
          <w:p w14:paraId="414B590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[本条填写扣分值]</w:t>
            </w:r>
          </w:p>
        </w:tc>
      </w:tr>
      <w:tr w14:paraId="674E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449A2B9F">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55" w:type="dxa"/>
            <w:gridSpan w:val="5"/>
            <w:shd w:val="clear" w:color="auto" w:fill="auto"/>
            <w:tcMar>
              <w:top w:w="0" w:type="dxa"/>
              <w:left w:w="105" w:type="dxa"/>
              <w:bottom w:w="0" w:type="dxa"/>
              <w:right w:w="105" w:type="dxa"/>
            </w:tcMar>
            <w:vAlign w:val="center"/>
          </w:tcPr>
          <w:p w14:paraId="392E0E0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w:t>
            </w:r>
          </w:p>
          <w:p w14:paraId="6E0E0FC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4FABA13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w:t>
      </w:r>
    </w:p>
    <w:p w14:paraId="771E213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1A29E05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4E90FA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1）平均扣分=服务期汇总考核扣分之和÷服务期内考核次数；</w:t>
      </w:r>
    </w:p>
    <w:p w14:paraId="169792A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4641CFE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w:t>
      </w:r>
      <w:r>
        <w:rPr>
          <w:rFonts w:hint="eastAsia" w:ascii="仿宋" w:hAnsi="仿宋" w:eastAsia="仿宋" w:cs="仿宋"/>
          <w:sz w:val="24"/>
          <w:szCs w:val="24"/>
          <w:lang w:eastAsia="zh-CN"/>
        </w:rPr>
        <w:t>合同总价</w:t>
      </w:r>
      <w:r>
        <w:rPr>
          <w:rFonts w:hint="eastAsia" w:ascii="仿宋" w:hAnsi="仿宋" w:eastAsia="仿宋" w:cs="仿宋"/>
          <w:sz w:val="24"/>
          <w:szCs w:val="24"/>
        </w:rPr>
        <w:t>5%费用，扣完为止；</w:t>
      </w:r>
    </w:p>
    <w:p w14:paraId="59D9EE0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w:t>
      </w:r>
      <w:r>
        <w:rPr>
          <w:rFonts w:hint="eastAsia" w:ascii="仿宋" w:hAnsi="仿宋" w:eastAsia="仿宋" w:cs="仿宋"/>
          <w:sz w:val="24"/>
          <w:szCs w:val="24"/>
          <w:lang w:eastAsia="zh-CN"/>
        </w:rPr>
        <w:t>合同总价</w:t>
      </w:r>
      <w:r>
        <w:rPr>
          <w:rFonts w:hint="eastAsia" w:ascii="仿宋" w:hAnsi="仿宋" w:eastAsia="仿宋" w:cs="仿宋"/>
          <w:sz w:val="24"/>
          <w:szCs w:val="24"/>
        </w:rPr>
        <w:t>10%费用，扣完为止；</w:t>
      </w:r>
    </w:p>
    <w:p w14:paraId="5F4F182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）10分&lt;平均扣分，视为不合格，终止合同，合同待支付金额不予支付，履约保证金（如有履约保证金）不予退还；</w:t>
      </w:r>
    </w:p>
    <w:p w14:paraId="686DD47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1326CD6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”的条款为实质性要求，不满足将被作为无效响应处理。“▲”为代表重点参数</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13768"/>
      <w:bookmarkStart w:id="18" w:name="_Toc28789"/>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4899" w:type="dxa"/>
            <w:tcBorders>
              <w:top w:val="single" w:color="auto" w:sz="4" w:space="0"/>
              <w:left w:val="single" w:color="auto" w:sz="4" w:space="0"/>
              <w:bottom w:val="single" w:color="auto" w:sz="4" w:space="0"/>
              <w:right w:val="single" w:color="auto" w:sz="4" w:space="0"/>
            </w:tcBorders>
            <w:vAlign w:val="center"/>
          </w:tcPr>
          <w:p w14:paraId="47877147">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带“★”的为实质性要求，不允许有负偏离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不作为评审要求</w:t>
            </w:r>
            <w:r>
              <w:rPr>
                <w:rFonts w:hint="eastAsia" w:ascii="仿宋" w:hAnsi="仿宋" w:eastAsia="仿宋" w:cs="仿宋"/>
                <w:sz w:val="24"/>
                <w:szCs w:val="24"/>
                <w:highlight w:val="none"/>
              </w:rPr>
              <w:t>；带“▲”的条款为</w:t>
            </w: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“★”“▲”的为</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p>
          <w:p w14:paraId="1D1F15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供应商响应文件</w:t>
            </w:r>
            <w:r>
              <w:rPr>
                <w:rFonts w:hint="eastAsia" w:ascii="仿宋" w:hAnsi="仿宋" w:eastAsia="仿宋" w:cs="仿宋"/>
                <w:sz w:val="24"/>
                <w:szCs w:val="24"/>
                <w:highlight w:val="none"/>
              </w:rPr>
              <w:t>完全符合</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zh-CN" w:eastAsia="zh-CN"/>
              </w:rPr>
              <w:t xml:space="preserve">第四章 </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1.技术要求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40</w:t>
            </w:r>
            <w:r>
              <w:rPr>
                <w:rFonts w:hint="eastAsia" w:ascii="仿宋" w:hAnsi="仿宋" w:eastAsia="仿宋" w:cs="仿宋"/>
                <w:sz w:val="24"/>
                <w:szCs w:val="24"/>
                <w:highlight w:val="none"/>
              </w:rPr>
              <w:t>分。</w:t>
            </w:r>
          </w:p>
          <w:p w14:paraId="2AA2DCEF">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5930FED6">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响应得分=（供应商满足重要技术参数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的数量÷重要技术参数</w:t>
            </w:r>
            <w:r>
              <w:rPr>
                <w:rFonts w:hint="eastAsia" w:ascii="仿宋" w:hAnsi="仿宋" w:eastAsia="仿宋" w:cs="仿宋"/>
                <w:sz w:val="24"/>
                <w:szCs w:val="24"/>
                <w:highlight w:val="none"/>
              </w:rPr>
              <w:t>条</w:t>
            </w:r>
            <w:r>
              <w:rPr>
                <w:rFonts w:hint="eastAsia" w:ascii="仿宋" w:hAnsi="仿宋" w:eastAsia="仿宋" w:cs="仿宋"/>
                <w:sz w:val="24"/>
                <w:szCs w:val="24"/>
                <w:highlight w:val="none"/>
                <w:lang w:val="en-US" w:eastAsia="zh-CN"/>
              </w:rPr>
              <w:t>款的总数量）×30分。</w:t>
            </w:r>
          </w:p>
          <w:p w14:paraId="246FF958">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367F2F2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响应得分=（供应商满足</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的数量÷</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总数量）×</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分。</w:t>
            </w:r>
          </w:p>
          <w:p w14:paraId="414C0CCE">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注：①得分保留小数点后两位小数，四舍五入。</w:t>
            </w:r>
          </w:p>
          <w:p w14:paraId="6A7FD7B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②以“1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3......”标识为一项。</w:t>
            </w:r>
          </w:p>
          <w:p w14:paraId="25B0B04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项目实施方案14%</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14分</w:t>
            </w:r>
          </w:p>
        </w:tc>
        <w:tc>
          <w:tcPr>
            <w:tcW w:w="4899" w:type="dxa"/>
            <w:tcBorders>
              <w:top w:val="single" w:color="auto" w:sz="4" w:space="0"/>
              <w:left w:val="single" w:color="auto" w:sz="4" w:space="0"/>
              <w:bottom w:val="single" w:color="auto" w:sz="4" w:space="0"/>
              <w:right w:val="single" w:color="auto" w:sz="4" w:space="0"/>
            </w:tcBorders>
            <w:vAlign w:val="center"/>
          </w:tcPr>
          <w:p w14:paraId="75D259A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硬件配送方案、</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软硬件安装方案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⑤质量保障措施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⑥应急响应</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措施、⑦售后服务方案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128BFBC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16分</w:t>
            </w:r>
          </w:p>
        </w:tc>
        <w:tc>
          <w:tcPr>
            <w:tcW w:w="4899" w:type="dxa"/>
            <w:tcBorders>
              <w:top w:val="single" w:color="auto" w:sz="4" w:space="0"/>
              <w:left w:val="single" w:color="auto" w:sz="4" w:space="0"/>
              <w:bottom w:val="single" w:color="auto" w:sz="4" w:space="0"/>
              <w:right w:val="single" w:color="auto" w:sz="4" w:space="0"/>
            </w:tcBorders>
            <w:vAlign w:val="center"/>
          </w:tcPr>
          <w:p w14:paraId="0919C82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2023年1月1日（含）以来样本采集及转运系统类似</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3A023E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3778F639">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2827"/>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6482"/>
      <w:bookmarkStart w:id="52" w:name="_Toc14829"/>
      <w:bookmarkStart w:id="53" w:name="_Toc11352"/>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22676"/>
      <w:bookmarkStart w:id="58" w:name="_Toc17857"/>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5638"/>
      <w:bookmarkStart w:id="70" w:name="_Toc20589"/>
      <w:bookmarkStart w:id="71" w:name="_Toc27661"/>
      <w:bookmarkStart w:id="72" w:name="_Toc11351"/>
      <w:bookmarkStart w:id="73" w:name="_Toc12015"/>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23967"/>
      <w:bookmarkStart w:id="77" w:name="_Toc2041"/>
      <w:bookmarkStart w:id="78" w:name="_Toc16435"/>
      <w:bookmarkStart w:id="79" w:name="_Toc1074"/>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21082"/>
      <w:bookmarkStart w:id="83" w:name="_Toc24806"/>
      <w:bookmarkStart w:id="84" w:name="_Toc28634"/>
      <w:bookmarkStart w:id="85" w:name="_Toc1369"/>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8"/>
        <w:gridCol w:w="1113"/>
        <w:gridCol w:w="1472"/>
        <w:gridCol w:w="1185"/>
        <w:gridCol w:w="1154"/>
        <w:gridCol w:w="1208"/>
        <w:gridCol w:w="1349"/>
        <w:gridCol w:w="1435"/>
      </w:tblGrid>
      <w:tr w14:paraId="790F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17A2EF30">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序号</w:t>
            </w:r>
          </w:p>
        </w:tc>
        <w:tc>
          <w:tcPr>
            <w:tcW w:w="1340" w:type="pct"/>
            <w:gridSpan w:val="2"/>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zh-TW" w:eastAsia="zh-TW"/>
              </w:rPr>
            </w:pPr>
            <w:r>
              <w:rPr>
                <w:rStyle w:val="21"/>
                <w:rFonts w:hint="eastAsia" w:ascii="仿宋" w:hAnsi="仿宋" w:eastAsia="仿宋" w:cs="仿宋"/>
                <w:sz w:val="24"/>
                <w:szCs w:val="24"/>
                <w:highlight w:val="none"/>
              </w:rPr>
              <w:t>品名</w:t>
            </w:r>
          </w:p>
        </w:tc>
        <w:tc>
          <w:tcPr>
            <w:tcW w:w="614"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数量</w:t>
            </w:r>
          </w:p>
        </w:tc>
        <w:tc>
          <w:tcPr>
            <w:tcW w:w="598"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单位</w:t>
            </w:r>
          </w:p>
        </w:tc>
        <w:tc>
          <w:tcPr>
            <w:tcW w:w="626"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lang w:val="en-US" w:eastAsia="zh-CN"/>
              </w:rPr>
              <w:t>单价</w:t>
            </w:r>
            <w:r>
              <w:rPr>
                <w:rStyle w:val="21"/>
                <w:rFonts w:hint="eastAsia" w:ascii="仿宋" w:hAnsi="仿宋" w:eastAsia="仿宋" w:cs="仿宋"/>
                <w:sz w:val="24"/>
                <w:szCs w:val="24"/>
                <w:highlight w:val="none"/>
              </w:rPr>
              <w:t>（元）</w:t>
            </w:r>
          </w:p>
        </w:tc>
        <w:tc>
          <w:tcPr>
            <w:tcW w:w="699"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分项总价（元）</w:t>
            </w:r>
          </w:p>
        </w:tc>
        <w:tc>
          <w:tcPr>
            <w:tcW w:w="741" w:type="pct"/>
            <w:vAlign w:val="center"/>
          </w:tcPr>
          <w:p w14:paraId="040CACF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服务期</w:t>
            </w:r>
          </w:p>
        </w:tc>
      </w:tr>
      <w:tr w14:paraId="649A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340" w:type="pct"/>
            <w:gridSpan w:val="2"/>
            <w:vAlign w:val="top"/>
          </w:tcPr>
          <w:p w14:paraId="0ACA9CE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智能采血排号叫号设备</w:t>
            </w:r>
          </w:p>
        </w:tc>
        <w:tc>
          <w:tcPr>
            <w:tcW w:w="614" w:type="pct"/>
            <w:vAlign w:val="top"/>
          </w:tcPr>
          <w:p w14:paraId="7F83E5F2">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8</w:t>
            </w:r>
          </w:p>
        </w:tc>
        <w:tc>
          <w:tcPr>
            <w:tcW w:w="598" w:type="pct"/>
            <w:vAlign w:val="top"/>
          </w:tcPr>
          <w:p w14:paraId="65B2C2A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restart"/>
            <w:vAlign w:val="center"/>
          </w:tcPr>
          <w:p w14:paraId="3926486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4CD8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55B478A3">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340" w:type="pct"/>
            <w:gridSpan w:val="2"/>
            <w:vAlign w:val="top"/>
          </w:tcPr>
          <w:p w14:paraId="70EC0C5A">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全自动智能双通道贴标仪</w:t>
            </w:r>
          </w:p>
        </w:tc>
        <w:tc>
          <w:tcPr>
            <w:tcW w:w="614" w:type="pct"/>
            <w:vAlign w:val="top"/>
          </w:tcPr>
          <w:p w14:paraId="340B8A0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10</w:t>
            </w:r>
          </w:p>
        </w:tc>
        <w:tc>
          <w:tcPr>
            <w:tcW w:w="598" w:type="pct"/>
            <w:vAlign w:val="top"/>
          </w:tcPr>
          <w:p w14:paraId="391EE17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FB52DD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775BDE5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1E0C2B7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A96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105F71AC">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40" w:type="pct"/>
            <w:gridSpan w:val="2"/>
            <w:vAlign w:val="top"/>
          </w:tcPr>
          <w:p w14:paraId="7BE6821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采血管自动分拣机</w:t>
            </w:r>
          </w:p>
        </w:tc>
        <w:tc>
          <w:tcPr>
            <w:tcW w:w="614" w:type="pct"/>
            <w:vAlign w:val="top"/>
          </w:tcPr>
          <w:p w14:paraId="31864F0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4</w:t>
            </w:r>
          </w:p>
        </w:tc>
        <w:tc>
          <w:tcPr>
            <w:tcW w:w="598" w:type="pct"/>
            <w:vAlign w:val="top"/>
          </w:tcPr>
          <w:p w14:paraId="79BBB278">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06604B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37EB619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EB0EA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6697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435166EA">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340" w:type="pct"/>
            <w:gridSpan w:val="2"/>
            <w:vAlign w:val="top"/>
          </w:tcPr>
          <w:p w14:paraId="76CCDFC5">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标本转运机器人</w:t>
            </w:r>
          </w:p>
        </w:tc>
        <w:tc>
          <w:tcPr>
            <w:tcW w:w="614" w:type="pct"/>
            <w:vAlign w:val="top"/>
          </w:tcPr>
          <w:p w14:paraId="5B03DBA7">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8</w:t>
            </w:r>
          </w:p>
        </w:tc>
        <w:tc>
          <w:tcPr>
            <w:tcW w:w="598" w:type="pct"/>
            <w:vAlign w:val="top"/>
          </w:tcPr>
          <w:p w14:paraId="155F55C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AD7B66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0FAA157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2AAF808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02B7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2FB72F07">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340" w:type="pct"/>
            <w:gridSpan w:val="2"/>
            <w:vAlign w:val="top"/>
          </w:tcPr>
          <w:p w14:paraId="5C7BA51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轨道物流转运设备</w:t>
            </w:r>
          </w:p>
        </w:tc>
        <w:tc>
          <w:tcPr>
            <w:tcW w:w="614" w:type="pct"/>
            <w:vAlign w:val="top"/>
          </w:tcPr>
          <w:p w14:paraId="3C82CAC4">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w:t>
            </w:r>
          </w:p>
        </w:tc>
        <w:tc>
          <w:tcPr>
            <w:tcW w:w="598" w:type="pct"/>
            <w:vAlign w:val="top"/>
          </w:tcPr>
          <w:p w14:paraId="44A1D74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套</w:t>
            </w:r>
          </w:p>
        </w:tc>
        <w:tc>
          <w:tcPr>
            <w:tcW w:w="626" w:type="pct"/>
            <w:vAlign w:val="center"/>
          </w:tcPr>
          <w:p w14:paraId="21DFE24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29F2582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FE00EB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9F1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520DAD53">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1340" w:type="pct"/>
            <w:gridSpan w:val="2"/>
            <w:vAlign w:val="top"/>
          </w:tcPr>
          <w:p w14:paraId="65FDC1E7">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尿管自动取管设备</w:t>
            </w:r>
          </w:p>
        </w:tc>
        <w:tc>
          <w:tcPr>
            <w:tcW w:w="614" w:type="pct"/>
            <w:vAlign w:val="top"/>
          </w:tcPr>
          <w:p w14:paraId="313E73BA">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3</w:t>
            </w:r>
          </w:p>
        </w:tc>
        <w:tc>
          <w:tcPr>
            <w:tcW w:w="598" w:type="pct"/>
            <w:vAlign w:val="top"/>
          </w:tcPr>
          <w:p w14:paraId="0596109F">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7435C35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5C552B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8C8B10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314B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770808E0">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1340" w:type="pct"/>
            <w:gridSpan w:val="2"/>
            <w:vAlign w:val="top"/>
          </w:tcPr>
          <w:p w14:paraId="22831D4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智能采血排号叫号软件</w:t>
            </w:r>
          </w:p>
        </w:tc>
        <w:tc>
          <w:tcPr>
            <w:tcW w:w="614" w:type="pct"/>
            <w:vAlign w:val="top"/>
          </w:tcPr>
          <w:p w14:paraId="1D0C050E">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w:t>
            </w:r>
          </w:p>
        </w:tc>
        <w:tc>
          <w:tcPr>
            <w:tcW w:w="598" w:type="pct"/>
            <w:vAlign w:val="top"/>
          </w:tcPr>
          <w:p w14:paraId="34462E09">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套</w:t>
            </w:r>
          </w:p>
        </w:tc>
        <w:tc>
          <w:tcPr>
            <w:tcW w:w="626" w:type="pct"/>
            <w:vAlign w:val="center"/>
          </w:tcPr>
          <w:p w14:paraId="41FD9E5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74B68AA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7BB6080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58B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55"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4044" w:type="pct"/>
            <w:gridSpan w:val="6"/>
            <w:vAlign w:val="center"/>
          </w:tcPr>
          <w:p w14:paraId="157303A1">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52EDEF6A">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2903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D67F61A">
      <w:pPr>
        <w:pStyle w:val="41"/>
        <w:spacing w:line="360" w:lineRule="auto"/>
        <w:rPr>
          <w:rFonts w:ascii="方正小标宋_GBK" w:hAnsi="方正小标宋_GBK" w:eastAsia="方正小标宋_GBK" w:cs="方正小标宋_GBK"/>
          <w:b w:val="0"/>
          <w:bCs/>
          <w:kern w:val="0"/>
          <w:sz w:val="44"/>
          <w:szCs w:val="44"/>
          <w:lang w:bidi="ar"/>
        </w:rPr>
      </w:pPr>
      <w:r>
        <w:rPr>
          <w:rFonts w:hint="eastAsia" w:ascii="方正小标宋_GBK" w:hAnsi="方正小标宋_GBK" w:eastAsia="方正小标宋_GBK" w:cs="方正小标宋_GBK"/>
          <w:b w:val="0"/>
          <w:bCs/>
          <w:kern w:val="0"/>
          <w:sz w:val="44"/>
          <w:szCs w:val="44"/>
          <w:lang w:bidi="ar"/>
        </w:rPr>
        <w:t>合同</w:t>
      </w: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460"/>
        <w:gridCol w:w="1026"/>
        <w:gridCol w:w="191"/>
        <w:gridCol w:w="660"/>
        <w:gridCol w:w="1340"/>
        <w:gridCol w:w="731"/>
        <w:gridCol w:w="1217"/>
        <w:gridCol w:w="1217"/>
        <w:gridCol w:w="1095"/>
        <w:gridCol w:w="911"/>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521" w:type="pct"/>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432" w:type="pct"/>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680" w:type="pct"/>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371" w:type="pct"/>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618" w:type="pct"/>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618" w:type="pct"/>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556" w:type="pct"/>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457" w:type="pct"/>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432" w:type="pct"/>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680" w:type="pct"/>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371" w:type="pct"/>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618" w:type="pct"/>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618" w:type="pct"/>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556" w:type="pct"/>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457" w:type="pct"/>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741" w:type="pct"/>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4258" w:type="pct"/>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741" w:type="pct"/>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618" w:type="pct"/>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3640" w:type="pct"/>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
    <w:p w14:paraId="252A229B">
      <w:pPr>
        <w:spacing w:line="360" w:lineRule="auto"/>
        <w:outlineLvl w:val="0"/>
        <w:rPr>
          <w:b/>
          <w:bCs/>
          <w:sz w:val="24"/>
          <w:szCs w:val="24"/>
        </w:rPr>
      </w:pPr>
    </w:p>
    <w:p w14:paraId="5C7E5053">
      <w:pPr>
        <w:spacing w:line="360" w:lineRule="auto"/>
        <w:outlineLvl w:val="0"/>
        <w:rPr>
          <w:b/>
          <w:bCs/>
          <w:sz w:val="24"/>
          <w:szCs w:val="24"/>
        </w:rPr>
        <w:sectPr>
          <w:footerReference r:id="rId7" w:type="default"/>
          <w:type w:val="continuous"/>
          <w:pgSz w:w="11906" w:h="16838"/>
          <w:pgMar w:top="851" w:right="1134" w:bottom="851" w:left="1134" w:header="0" w:footer="567" w:gutter="0"/>
          <w:pgNumType w:fmt="decimal" w:start="1"/>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03E580AD">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D307C38-446A-4952-98BD-66BFFCF83A7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FDEC712-ACB5-4A63-ADEC-AE21B301E8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1F5B433-449A-4F1F-8934-4117C8D549A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01500F8-CD91-4214-B254-BDE4EAD4799A}"/>
  </w:font>
  <w:font w:name="Segoe UI Symbol">
    <w:panose1 w:val="020B0502040204020203"/>
    <w:charset w:val="00"/>
    <w:family w:val="swiss"/>
    <w:pitch w:val="default"/>
    <w:sig w:usb0="800001E3" w:usb1="1200FFEF" w:usb2="00040000" w:usb3="04000000" w:csb0="00000001" w:csb1="40000000"/>
    <w:embedRegular r:id="rId5" w:fontKey="{302F0E0A-2D0E-4CEE-B33E-A78036436D89}"/>
  </w:font>
  <w:font w:name="方正小标宋_GBK">
    <w:panose1 w:val="03000509000000000000"/>
    <w:charset w:val="86"/>
    <w:family w:val="script"/>
    <w:pitch w:val="default"/>
    <w:sig w:usb0="00000001" w:usb1="080E0000" w:usb2="00000000" w:usb3="00000000" w:csb0="00040000" w:csb1="00000000"/>
    <w:embedRegular r:id="rId6" w:fontKey="{8791640A-6FB2-4513-B654-E82E204E2CB1}"/>
  </w:font>
  <w:font w:name="Tahoma">
    <w:panose1 w:val="020B0604030504040204"/>
    <w:charset w:val="00"/>
    <w:family w:val="swiss"/>
    <w:pitch w:val="default"/>
    <w:sig w:usb0="E1002EFF" w:usb1="C000605B" w:usb2="00000029" w:usb3="00000000" w:csb0="200101FF" w:csb1="20280000"/>
    <w:embedRegular r:id="rId7" w:fontKey="{2B46AAA2-945A-4C2A-8943-67636B833D05}"/>
  </w:font>
  <w:font w:name="华文中宋">
    <w:panose1 w:val="02010600040101010101"/>
    <w:charset w:val="86"/>
    <w:family w:val="auto"/>
    <w:pitch w:val="default"/>
    <w:sig w:usb0="00000287" w:usb1="080F0000" w:usb2="00000000" w:usb3="00000000" w:csb0="0004009F" w:csb1="DFD70000"/>
    <w:embedRegular r:id="rId8" w:fontKey="{DAF3A9C4-4B70-4EAF-89C2-DB1C51031B56}"/>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F8D6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8F8D6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A164DC">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A164DC">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7753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4B91"/>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96C4E"/>
    <w:rsid w:val="041F679F"/>
    <w:rsid w:val="04BC1856"/>
    <w:rsid w:val="05571F68"/>
    <w:rsid w:val="058C78B0"/>
    <w:rsid w:val="05E13064"/>
    <w:rsid w:val="05E51322"/>
    <w:rsid w:val="05FD48BE"/>
    <w:rsid w:val="0648365F"/>
    <w:rsid w:val="06897EFF"/>
    <w:rsid w:val="076444C8"/>
    <w:rsid w:val="078A573C"/>
    <w:rsid w:val="081B3F39"/>
    <w:rsid w:val="082425D6"/>
    <w:rsid w:val="083251D0"/>
    <w:rsid w:val="08326375"/>
    <w:rsid w:val="0837398B"/>
    <w:rsid w:val="083A1BBD"/>
    <w:rsid w:val="083D1B91"/>
    <w:rsid w:val="08745B19"/>
    <w:rsid w:val="08EE39BE"/>
    <w:rsid w:val="093A3733"/>
    <w:rsid w:val="0A220AAD"/>
    <w:rsid w:val="0A5151D8"/>
    <w:rsid w:val="0A726EFC"/>
    <w:rsid w:val="0B4508AE"/>
    <w:rsid w:val="0C120997"/>
    <w:rsid w:val="0C774C9E"/>
    <w:rsid w:val="0C965124"/>
    <w:rsid w:val="0CF161C9"/>
    <w:rsid w:val="0D26294C"/>
    <w:rsid w:val="0D5C636E"/>
    <w:rsid w:val="0D7D4536"/>
    <w:rsid w:val="0DF742E8"/>
    <w:rsid w:val="0E0B7FF0"/>
    <w:rsid w:val="0E364E11"/>
    <w:rsid w:val="0E5B6625"/>
    <w:rsid w:val="0EAC0356"/>
    <w:rsid w:val="0EAC189D"/>
    <w:rsid w:val="0F5D2ECD"/>
    <w:rsid w:val="0F665DD1"/>
    <w:rsid w:val="0FAC5576"/>
    <w:rsid w:val="0FC14BAE"/>
    <w:rsid w:val="101A497B"/>
    <w:rsid w:val="10432B4B"/>
    <w:rsid w:val="10A15B58"/>
    <w:rsid w:val="110E1F50"/>
    <w:rsid w:val="117A5014"/>
    <w:rsid w:val="127F05A0"/>
    <w:rsid w:val="1299771C"/>
    <w:rsid w:val="12A61E39"/>
    <w:rsid w:val="12BC165D"/>
    <w:rsid w:val="12CF28E7"/>
    <w:rsid w:val="130A5001"/>
    <w:rsid w:val="136D78F8"/>
    <w:rsid w:val="13806B2E"/>
    <w:rsid w:val="13AC16D1"/>
    <w:rsid w:val="13EB044B"/>
    <w:rsid w:val="14221993"/>
    <w:rsid w:val="144B0EEA"/>
    <w:rsid w:val="148D166A"/>
    <w:rsid w:val="14A32AD4"/>
    <w:rsid w:val="15316332"/>
    <w:rsid w:val="15567E5A"/>
    <w:rsid w:val="157B3C84"/>
    <w:rsid w:val="15CC4977"/>
    <w:rsid w:val="16077093"/>
    <w:rsid w:val="162A4F7D"/>
    <w:rsid w:val="16A82A66"/>
    <w:rsid w:val="16BF796D"/>
    <w:rsid w:val="16DE614F"/>
    <w:rsid w:val="17233056"/>
    <w:rsid w:val="17826121"/>
    <w:rsid w:val="17BB757F"/>
    <w:rsid w:val="18316649"/>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B83620"/>
    <w:rsid w:val="1EC023AD"/>
    <w:rsid w:val="1ECD615C"/>
    <w:rsid w:val="1FE21EC2"/>
    <w:rsid w:val="1FF95C9E"/>
    <w:rsid w:val="20062169"/>
    <w:rsid w:val="209239FD"/>
    <w:rsid w:val="20CF13CE"/>
    <w:rsid w:val="215D225D"/>
    <w:rsid w:val="21B53E47"/>
    <w:rsid w:val="22935D1D"/>
    <w:rsid w:val="230E7CB2"/>
    <w:rsid w:val="23616034"/>
    <w:rsid w:val="2393373D"/>
    <w:rsid w:val="23B24AE2"/>
    <w:rsid w:val="23D4489F"/>
    <w:rsid w:val="23D83E1C"/>
    <w:rsid w:val="24466FD8"/>
    <w:rsid w:val="24727DCD"/>
    <w:rsid w:val="25186BC6"/>
    <w:rsid w:val="252B6033"/>
    <w:rsid w:val="25537BFE"/>
    <w:rsid w:val="25C12DBA"/>
    <w:rsid w:val="25F95EEC"/>
    <w:rsid w:val="2606275A"/>
    <w:rsid w:val="262001B9"/>
    <w:rsid w:val="264F486A"/>
    <w:rsid w:val="26630315"/>
    <w:rsid w:val="270F26A5"/>
    <w:rsid w:val="271635BC"/>
    <w:rsid w:val="27B87AF9"/>
    <w:rsid w:val="27DA0163"/>
    <w:rsid w:val="27E80EA9"/>
    <w:rsid w:val="280414A1"/>
    <w:rsid w:val="28570368"/>
    <w:rsid w:val="28A27020"/>
    <w:rsid w:val="28E14F1E"/>
    <w:rsid w:val="29C5318E"/>
    <w:rsid w:val="2A142F93"/>
    <w:rsid w:val="2A81391B"/>
    <w:rsid w:val="2B004385"/>
    <w:rsid w:val="2B502F98"/>
    <w:rsid w:val="2BE05F64"/>
    <w:rsid w:val="2C9A0A9E"/>
    <w:rsid w:val="2CA42CDA"/>
    <w:rsid w:val="2D2F2FAF"/>
    <w:rsid w:val="2DA6481B"/>
    <w:rsid w:val="2DA70D65"/>
    <w:rsid w:val="2DBC4548"/>
    <w:rsid w:val="2E3D31FA"/>
    <w:rsid w:val="2E5D564A"/>
    <w:rsid w:val="2E693FEF"/>
    <w:rsid w:val="2E9C2616"/>
    <w:rsid w:val="2F575E37"/>
    <w:rsid w:val="2FEF6776"/>
    <w:rsid w:val="2FFB511A"/>
    <w:rsid w:val="30136908"/>
    <w:rsid w:val="305331A8"/>
    <w:rsid w:val="30E31FB7"/>
    <w:rsid w:val="31322DBE"/>
    <w:rsid w:val="32165D3B"/>
    <w:rsid w:val="325356E2"/>
    <w:rsid w:val="32963820"/>
    <w:rsid w:val="332B5D17"/>
    <w:rsid w:val="333F7A14"/>
    <w:rsid w:val="33E16813"/>
    <w:rsid w:val="33EF31E8"/>
    <w:rsid w:val="33F22CD8"/>
    <w:rsid w:val="3427766B"/>
    <w:rsid w:val="343706EB"/>
    <w:rsid w:val="34713BFD"/>
    <w:rsid w:val="34830DA6"/>
    <w:rsid w:val="34E97C37"/>
    <w:rsid w:val="351A08D0"/>
    <w:rsid w:val="35805CB0"/>
    <w:rsid w:val="35A26038"/>
    <w:rsid w:val="35A3178F"/>
    <w:rsid w:val="35A41DB0"/>
    <w:rsid w:val="35BC70FA"/>
    <w:rsid w:val="36334CE5"/>
    <w:rsid w:val="36A13B91"/>
    <w:rsid w:val="3701395E"/>
    <w:rsid w:val="37920A5A"/>
    <w:rsid w:val="37B855F7"/>
    <w:rsid w:val="37BE35FD"/>
    <w:rsid w:val="380A6843"/>
    <w:rsid w:val="382B5F8F"/>
    <w:rsid w:val="38FB262F"/>
    <w:rsid w:val="391E6AEA"/>
    <w:rsid w:val="393671C3"/>
    <w:rsid w:val="3A3F1B1E"/>
    <w:rsid w:val="3A551407"/>
    <w:rsid w:val="3B033C36"/>
    <w:rsid w:val="3B3D0CDD"/>
    <w:rsid w:val="3B9C7486"/>
    <w:rsid w:val="3C333E8E"/>
    <w:rsid w:val="3C8A61A4"/>
    <w:rsid w:val="3CB90F2D"/>
    <w:rsid w:val="3CE05DC4"/>
    <w:rsid w:val="3CEE6201"/>
    <w:rsid w:val="3D385C00"/>
    <w:rsid w:val="3DBF7BA4"/>
    <w:rsid w:val="3E491BE5"/>
    <w:rsid w:val="3E57579A"/>
    <w:rsid w:val="3E5D4E8E"/>
    <w:rsid w:val="3EF618CF"/>
    <w:rsid w:val="3F0D09C6"/>
    <w:rsid w:val="3F7755AE"/>
    <w:rsid w:val="3FA93075"/>
    <w:rsid w:val="3FE25336"/>
    <w:rsid w:val="40073668"/>
    <w:rsid w:val="40362C79"/>
    <w:rsid w:val="40866C82"/>
    <w:rsid w:val="40C31C84"/>
    <w:rsid w:val="40D2705F"/>
    <w:rsid w:val="41076015"/>
    <w:rsid w:val="41790595"/>
    <w:rsid w:val="42075FF8"/>
    <w:rsid w:val="422C3859"/>
    <w:rsid w:val="42842020"/>
    <w:rsid w:val="42876CE2"/>
    <w:rsid w:val="432C4D74"/>
    <w:rsid w:val="44150A49"/>
    <w:rsid w:val="444340B2"/>
    <w:rsid w:val="44E81B7F"/>
    <w:rsid w:val="4513485D"/>
    <w:rsid w:val="459040FF"/>
    <w:rsid w:val="45D4607F"/>
    <w:rsid w:val="464078D3"/>
    <w:rsid w:val="468567BB"/>
    <w:rsid w:val="468E7A41"/>
    <w:rsid w:val="4734568A"/>
    <w:rsid w:val="476060E7"/>
    <w:rsid w:val="4782487D"/>
    <w:rsid w:val="47B42327"/>
    <w:rsid w:val="47B71E17"/>
    <w:rsid w:val="48EB7FCA"/>
    <w:rsid w:val="4913307D"/>
    <w:rsid w:val="49521DF7"/>
    <w:rsid w:val="49A10689"/>
    <w:rsid w:val="49D56585"/>
    <w:rsid w:val="49FC25C6"/>
    <w:rsid w:val="4A3D2AA8"/>
    <w:rsid w:val="4A475610"/>
    <w:rsid w:val="4ABD5996"/>
    <w:rsid w:val="4B31068E"/>
    <w:rsid w:val="4B410375"/>
    <w:rsid w:val="4BA55220"/>
    <w:rsid w:val="4BAD0151"/>
    <w:rsid w:val="4BCA036B"/>
    <w:rsid w:val="4BF453E8"/>
    <w:rsid w:val="4C147660"/>
    <w:rsid w:val="4C184E09"/>
    <w:rsid w:val="4C2757BD"/>
    <w:rsid w:val="4C7E73A7"/>
    <w:rsid w:val="4C8F75A2"/>
    <w:rsid w:val="4D471547"/>
    <w:rsid w:val="4DAD4403"/>
    <w:rsid w:val="4DFA480C"/>
    <w:rsid w:val="4E0336C0"/>
    <w:rsid w:val="4E6F0D56"/>
    <w:rsid w:val="4E7D7917"/>
    <w:rsid w:val="4E8C008E"/>
    <w:rsid w:val="4E9B1B4B"/>
    <w:rsid w:val="4EA312FE"/>
    <w:rsid w:val="4EDC5ADC"/>
    <w:rsid w:val="4EE002CE"/>
    <w:rsid w:val="4FEF758C"/>
    <w:rsid w:val="501A6E72"/>
    <w:rsid w:val="501C4F0D"/>
    <w:rsid w:val="50201D6B"/>
    <w:rsid w:val="5032028D"/>
    <w:rsid w:val="503A2AB3"/>
    <w:rsid w:val="50771A9C"/>
    <w:rsid w:val="51412E90"/>
    <w:rsid w:val="51C47F6D"/>
    <w:rsid w:val="52B256B5"/>
    <w:rsid w:val="52FB52AE"/>
    <w:rsid w:val="530556EE"/>
    <w:rsid w:val="54063F0A"/>
    <w:rsid w:val="5455382C"/>
    <w:rsid w:val="547F7727"/>
    <w:rsid w:val="55342CF9"/>
    <w:rsid w:val="554674F7"/>
    <w:rsid w:val="560662B2"/>
    <w:rsid w:val="56E0374D"/>
    <w:rsid w:val="56E878F7"/>
    <w:rsid w:val="58711B6E"/>
    <w:rsid w:val="589C07F4"/>
    <w:rsid w:val="59357973"/>
    <w:rsid w:val="59965D30"/>
    <w:rsid w:val="59AD307A"/>
    <w:rsid w:val="59D32AE1"/>
    <w:rsid w:val="5A3727CC"/>
    <w:rsid w:val="5A6307F6"/>
    <w:rsid w:val="5A663955"/>
    <w:rsid w:val="5A955FE8"/>
    <w:rsid w:val="5AA47FD9"/>
    <w:rsid w:val="5BA529F7"/>
    <w:rsid w:val="5C205D85"/>
    <w:rsid w:val="5C6043D4"/>
    <w:rsid w:val="5C62014C"/>
    <w:rsid w:val="5C9F6BCD"/>
    <w:rsid w:val="5D0A3490"/>
    <w:rsid w:val="5D7E0D39"/>
    <w:rsid w:val="5DB100D6"/>
    <w:rsid w:val="5DC7717B"/>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0121B5"/>
    <w:rsid w:val="6220263B"/>
    <w:rsid w:val="63A9427A"/>
    <w:rsid w:val="63D462B1"/>
    <w:rsid w:val="63E678B4"/>
    <w:rsid w:val="63FF44D2"/>
    <w:rsid w:val="641A3596"/>
    <w:rsid w:val="643B7181"/>
    <w:rsid w:val="64C00105"/>
    <w:rsid w:val="64C36D7E"/>
    <w:rsid w:val="64D96647"/>
    <w:rsid w:val="64F90F01"/>
    <w:rsid w:val="653D52B2"/>
    <w:rsid w:val="655B51E5"/>
    <w:rsid w:val="65E40ADA"/>
    <w:rsid w:val="65E63B9C"/>
    <w:rsid w:val="65FA7647"/>
    <w:rsid w:val="66066C28"/>
    <w:rsid w:val="66330B86"/>
    <w:rsid w:val="66952ECC"/>
    <w:rsid w:val="66E22203"/>
    <w:rsid w:val="677B6565"/>
    <w:rsid w:val="67AB0BF9"/>
    <w:rsid w:val="67E91721"/>
    <w:rsid w:val="68B812C9"/>
    <w:rsid w:val="68EE56A8"/>
    <w:rsid w:val="69073C2A"/>
    <w:rsid w:val="693E784B"/>
    <w:rsid w:val="694A4441"/>
    <w:rsid w:val="698536CB"/>
    <w:rsid w:val="69D50CF4"/>
    <w:rsid w:val="69D73D89"/>
    <w:rsid w:val="69FF522C"/>
    <w:rsid w:val="6A535578"/>
    <w:rsid w:val="6AE34B4E"/>
    <w:rsid w:val="6B8C01BB"/>
    <w:rsid w:val="6BBB1173"/>
    <w:rsid w:val="6C487AFD"/>
    <w:rsid w:val="6C8664BC"/>
    <w:rsid w:val="6CB24363"/>
    <w:rsid w:val="6D3E7C18"/>
    <w:rsid w:val="6DBB3A8B"/>
    <w:rsid w:val="6E721F63"/>
    <w:rsid w:val="6E736A82"/>
    <w:rsid w:val="6EA93466"/>
    <w:rsid w:val="6EBE56B6"/>
    <w:rsid w:val="6EFF37D8"/>
    <w:rsid w:val="6F146151"/>
    <w:rsid w:val="6F276F27"/>
    <w:rsid w:val="6F7D4948"/>
    <w:rsid w:val="6F960C48"/>
    <w:rsid w:val="6FCF0795"/>
    <w:rsid w:val="6FE70C3C"/>
    <w:rsid w:val="700560CB"/>
    <w:rsid w:val="701D465E"/>
    <w:rsid w:val="70643A4D"/>
    <w:rsid w:val="70C90342"/>
    <w:rsid w:val="70F10A19"/>
    <w:rsid w:val="71381023"/>
    <w:rsid w:val="72B1108D"/>
    <w:rsid w:val="72B8066E"/>
    <w:rsid w:val="72F773E8"/>
    <w:rsid w:val="732B6917"/>
    <w:rsid w:val="735465E8"/>
    <w:rsid w:val="73714961"/>
    <w:rsid w:val="73893DB8"/>
    <w:rsid w:val="74060F7A"/>
    <w:rsid w:val="7419053B"/>
    <w:rsid w:val="74D27DA9"/>
    <w:rsid w:val="74D925D0"/>
    <w:rsid w:val="754825D6"/>
    <w:rsid w:val="754D1D92"/>
    <w:rsid w:val="75676A2A"/>
    <w:rsid w:val="75740EEC"/>
    <w:rsid w:val="758350A9"/>
    <w:rsid w:val="759A405B"/>
    <w:rsid w:val="75AB44BA"/>
    <w:rsid w:val="75DE488F"/>
    <w:rsid w:val="762D3121"/>
    <w:rsid w:val="76C53359"/>
    <w:rsid w:val="76EE55AC"/>
    <w:rsid w:val="76F31C74"/>
    <w:rsid w:val="773521BD"/>
    <w:rsid w:val="77BE6726"/>
    <w:rsid w:val="77EE068E"/>
    <w:rsid w:val="78362761"/>
    <w:rsid w:val="78412EB3"/>
    <w:rsid w:val="784F55D0"/>
    <w:rsid w:val="7863107C"/>
    <w:rsid w:val="788B412F"/>
    <w:rsid w:val="78AA2807"/>
    <w:rsid w:val="79687E1D"/>
    <w:rsid w:val="79E91FC8"/>
    <w:rsid w:val="79F3642F"/>
    <w:rsid w:val="7ACF29F8"/>
    <w:rsid w:val="7B560FD7"/>
    <w:rsid w:val="7B5F74F8"/>
    <w:rsid w:val="7B690630"/>
    <w:rsid w:val="7B7B24B8"/>
    <w:rsid w:val="7BC01667"/>
    <w:rsid w:val="7BD0027A"/>
    <w:rsid w:val="7C5123F4"/>
    <w:rsid w:val="7C7E6FA2"/>
    <w:rsid w:val="7D040AB6"/>
    <w:rsid w:val="7D4119E6"/>
    <w:rsid w:val="7DAF162B"/>
    <w:rsid w:val="7DB303AF"/>
    <w:rsid w:val="7DC42B41"/>
    <w:rsid w:val="7DEB7B49"/>
    <w:rsid w:val="7E5971A9"/>
    <w:rsid w:val="7EFE7EFE"/>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1336</Words>
  <Characters>1417</Characters>
  <Lines>72</Lines>
  <Paragraphs>20</Paragraphs>
  <TotalTime>10</TotalTime>
  <ScaleCrop>false</ScaleCrop>
  <LinksUpToDate>false</LinksUpToDate>
  <CharactersWithSpaces>1481</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2026-05-29T06:36:35Z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