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四川省人民医院结石红外光谱自动分析系统（高致死性重症疾病诊疗康复一体化高质量数据集建设项目）采购项目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7" w:name="_GoBack"/>
      <w:bookmarkEnd w:id="117"/>
    </w:p>
    <w:p>
      <w:pPr>
        <w:pStyle w:val="2"/>
        <w:rPr>
          <w:rFonts w:ascii="Times New Roman" w:hAnsi="Times New Roman" w:cs="Times New Roman"/>
        </w:rPr>
      </w:pPr>
      <w:bookmarkStart w:id="0" w:name="_Toc21919"/>
      <w:bookmarkStart w:id="1" w:name="_Toc3240"/>
      <w:bookmarkStart w:id="2" w:name="_Toc62832406"/>
      <w:bookmarkStart w:id="3" w:name="_Toc20358"/>
      <w:bookmarkStart w:id="4" w:name="_Toc1907"/>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四川省人民医院结石红外光谱自动分析系统（高致死性重症疾病诊疗康复一体化高质量数据集建设项目）采购项目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w:t>
            </w:r>
            <w:r>
              <w:rPr>
                <w:rFonts w:hint="eastAsia" w:ascii="Times New Roman" w:hAnsi="Times New Roman" w:eastAsia="仿宋" w:cs="Times New Roman"/>
                <w:sz w:val="22"/>
              </w:rPr>
              <w:t>YXZ20261541</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u w:val="single"/>
                <w:lang w:val="en-US" w:eastAsia="zh-CN"/>
              </w:rPr>
              <w:t>480000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通过资格、符合性审查且满足谈判文件全部实质性要求的供应商达到3家以上（含3家），若合格供应商只有2家，且谈判文件没有不合理条款，同时采购程序亦符合规定的，仍可以继续开展采购活动。谈判小组按照评审因素进行评分，得分最高的供应商为成交供应商。若得分相同则报价最低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3255</w:t>
            </w:r>
            <w:r>
              <w:rPr>
                <w:rFonts w:hint="eastAsia" w:ascii="Times New Roman" w:hAnsi="Times New Roman" w:eastAsia="仿宋" w:cs="Times New Roman"/>
                <w:sz w:val="22"/>
                <w:szCs w:val="22"/>
                <w:lang w:val="zh-CN"/>
              </w:rPr>
              <w:t>）并将合同初稿发送至sbc3214@vip.163.com。</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3218"/>
        <w:gridCol w:w="5597"/>
        <w:gridCol w:w="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1013" w:hRule="atLeast"/>
          <w:tblHeader/>
          <w:jc w:val="center"/>
        </w:trPr>
        <w:tc>
          <w:tcPr>
            <w:tcW w:w="51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3325" w:hRule="atLeast"/>
          <w:jc w:val="center"/>
        </w:trPr>
        <w:tc>
          <w:tcPr>
            <w:tcW w:w="514"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0"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5069" w:hRule="atLeast"/>
          <w:jc w:val="center"/>
        </w:trPr>
        <w:tc>
          <w:tcPr>
            <w:tcW w:w="514"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0"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1596" w:hRule="atLeast"/>
          <w:jc w:val="center"/>
        </w:trPr>
        <w:tc>
          <w:tcPr>
            <w:tcW w:w="514"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0"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882" w:hRule="atLeast"/>
          <w:jc w:val="center"/>
        </w:trPr>
        <w:tc>
          <w:tcPr>
            <w:tcW w:w="514"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0"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882" w:hRule="atLeast"/>
          <w:jc w:val="center"/>
        </w:trPr>
        <w:tc>
          <w:tcPr>
            <w:tcW w:w="514"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0"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750" w:hRule="atLeast"/>
          <w:jc w:val="center"/>
        </w:trPr>
        <w:tc>
          <w:tcPr>
            <w:tcW w:w="514"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0"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750" w:hRule="atLeast"/>
          <w:jc w:val="center"/>
        </w:trPr>
        <w:tc>
          <w:tcPr>
            <w:tcW w:w="514"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0"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390" w:hRule="atLeast"/>
          <w:jc w:val="center"/>
        </w:trPr>
        <w:tc>
          <w:tcPr>
            <w:tcW w:w="514"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0"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390" w:hRule="atLeast"/>
          <w:jc w:val="center"/>
        </w:trPr>
        <w:tc>
          <w:tcPr>
            <w:tcW w:w="514" w:type="pct"/>
            <w:shd w:val="clear" w:color="auto" w:fill="auto"/>
            <w:vAlign w:val="center"/>
          </w:tcPr>
          <w:p>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0" w:type="pct"/>
            <w:shd w:val="clear" w:color="auto" w:fill="auto"/>
            <w:vAlign w:val="center"/>
          </w:tcPr>
          <w:p>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1034" w:hRule="atLeast"/>
          <w:jc w:val="center"/>
        </w:trPr>
        <w:tc>
          <w:tcPr>
            <w:tcW w:w="514" w:type="pct"/>
            <w:shd w:val="clear" w:color="auto" w:fill="auto"/>
            <w:vAlign w:val="center"/>
          </w:tcPr>
          <w:p>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0" w:type="pct"/>
            <w:shd w:val="clear" w:color="auto" w:fill="auto"/>
            <w:vAlign w:val="center"/>
          </w:tcPr>
          <w:p>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本项目拟采用谈判采购的方式采购结石红外光谱自动分析系统。</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387"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176" w:type="dxa"/>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结石红外光谱自动分析系统（高致死性重症疾病诊疗康复一体化高质量数据集建设项目）</w:t>
            </w:r>
          </w:p>
        </w:tc>
        <w:tc>
          <w:tcPr>
            <w:tcW w:w="994" w:type="dxa"/>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811" w:type="dxa"/>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1070" w:type="dxa"/>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48</w:t>
            </w:r>
          </w:p>
        </w:tc>
        <w:tc>
          <w:tcPr>
            <w:tcW w:w="1170" w:type="dxa"/>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48</w:t>
            </w:r>
          </w:p>
        </w:tc>
        <w:tc>
          <w:tcPr>
            <w:tcW w:w="1170" w:type="dxa"/>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1721" w:type="dxa"/>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1、用途：用于泌尿系结石成分的分析，根据结石成分自动提供相应的预防措施和检测报告。</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▲2、原理：采用ATR全反射红外光谱自动分析法。</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▲3、100%τ线噪声在：</w:t>
      </w:r>
      <w:r>
        <w:rPr>
          <w:rFonts w:hint="default" w:ascii="Times New Roman" w:hAnsi="Times New Roman" w:eastAsia="仿宋" w:cs="Times New Roman"/>
          <w:sz w:val="24"/>
          <w:szCs w:val="24"/>
        </w:rPr>
        <w:t>4100</w:t>
      </w:r>
      <w:r>
        <w:rPr>
          <w:rFonts w:hint="eastAsia" w:ascii="Times New Roman" w:hAnsi="Times New Roman" w:eastAsia="仿宋" w:cs="Times New Roman"/>
          <w:sz w:val="24"/>
          <w:szCs w:val="24"/>
        </w:rPr>
        <w:t>cm-1</w:t>
      </w:r>
      <w:r>
        <w:rPr>
          <w:rFonts w:hint="default" w:ascii="Times New Roman" w:hAnsi="Times New Roman" w:eastAsia="仿宋" w:cs="Times New Roman"/>
          <w:sz w:val="24"/>
          <w:szCs w:val="24"/>
        </w:rPr>
        <w:t xml:space="preserve"> </w:t>
      </w:r>
      <w:r>
        <w:rPr>
          <w:rFonts w:hint="eastAsia" w:ascii="Times New Roman" w:hAnsi="Times New Roman" w:eastAsia="仿宋" w:cs="Times New Roman"/>
          <w:sz w:val="24"/>
          <w:szCs w:val="24"/>
        </w:rPr>
        <w:t>～</w:t>
      </w:r>
      <w:r>
        <w:rPr>
          <w:rFonts w:hint="default" w:ascii="Times New Roman" w:hAnsi="Times New Roman" w:eastAsia="仿宋" w:cs="Times New Roman"/>
          <w:sz w:val="24"/>
          <w:szCs w:val="24"/>
        </w:rPr>
        <w:t>4000</w:t>
      </w:r>
      <w:r>
        <w:rPr>
          <w:rFonts w:hint="eastAsia" w:ascii="Times New Roman" w:hAnsi="Times New Roman" w:eastAsia="仿宋" w:cs="Times New Roman"/>
          <w:sz w:val="24"/>
          <w:szCs w:val="24"/>
        </w:rPr>
        <w:t xml:space="preserve"> cm-1</w:t>
      </w:r>
      <w:r>
        <w:rPr>
          <w:rFonts w:hint="default" w:ascii="Times New Roman" w:hAnsi="Times New Roman" w:eastAsia="仿宋" w:cs="Times New Roman"/>
          <w:sz w:val="24"/>
          <w:szCs w:val="24"/>
        </w:rPr>
        <w:t xml:space="preserve"> （RMS≤1:10000</w:t>
      </w:r>
      <w:r>
        <w:rPr>
          <w:rFonts w:hint="eastAsia" w:ascii="Times New Roman" w:hAnsi="Times New Roman" w:eastAsia="仿宋" w:cs="Times New Roman"/>
          <w:sz w:val="24"/>
          <w:szCs w:val="24"/>
        </w:rPr>
        <w:t>）范围内（提供CMA检测报告证明）</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4、光谱拓展范围满足：4000 cm-1～400 cm-1</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▲5、本地光谱能量分布：4000 cm-1处能量值≥最高点能量值的30%（提供CMA检测报告证明）</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6、分辨率：≤2 cm-1（提供CMA检测报告证明）</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▲7、</w:t>
      </w:r>
      <w:r>
        <w:rPr>
          <w:rFonts w:hint="default" w:ascii="Times New Roman" w:hAnsi="Times New Roman" w:eastAsia="仿宋" w:cs="Times New Roman"/>
          <w:sz w:val="24"/>
          <w:szCs w:val="24"/>
        </w:rPr>
        <w:t>100%τ</w:t>
      </w:r>
      <w:r>
        <w:rPr>
          <w:rFonts w:hint="eastAsia" w:ascii="Times New Roman" w:hAnsi="Times New Roman" w:eastAsia="仿宋" w:cs="Times New Roman"/>
          <w:sz w:val="24"/>
          <w:szCs w:val="24"/>
        </w:rPr>
        <w:t>线倾斜在：</w:t>
      </w:r>
      <w:r>
        <w:rPr>
          <w:rFonts w:hint="default" w:ascii="Times New Roman" w:hAnsi="Times New Roman" w:eastAsia="仿宋" w:cs="Times New Roman"/>
          <w:sz w:val="24"/>
          <w:szCs w:val="24"/>
        </w:rPr>
        <w:t>2200cm-1-1900 cm-1</w:t>
      </w:r>
      <w:r>
        <w:rPr>
          <w:rFonts w:hint="eastAsia" w:ascii="Times New Roman" w:hAnsi="Times New Roman" w:eastAsia="仿宋" w:cs="Times New Roman"/>
          <w:sz w:val="24"/>
          <w:szCs w:val="24"/>
        </w:rPr>
        <w:t>（</w:t>
      </w:r>
      <w:r>
        <w:rPr>
          <w:rFonts w:hint="default" w:ascii="Times New Roman" w:hAnsi="Times New Roman" w:eastAsia="仿宋" w:cs="Times New Roman"/>
          <w:sz w:val="24"/>
          <w:szCs w:val="24"/>
        </w:rPr>
        <w:t>99.5-100.5%τ</w:t>
      </w:r>
      <w:r>
        <w:rPr>
          <w:rFonts w:hint="eastAsia" w:ascii="Times New Roman" w:hAnsi="Times New Roman" w:eastAsia="仿宋" w:cs="Times New Roman"/>
          <w:sz w:val="24"/>
          <w:szCs w:val="24"/>
        </w:rPr>
        <w:t>）范围内（提供CMA检测报告证明）</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▲8、波数准确度：≤1 </w:t>
      </w:r>
      <w:r>
        <w:rPr>
          <w:rFonts w:hint="default" w:ascii="Times New Roman" w:hAnsi="Times New Roman" w:eastAsia="仿宋" w:cs="Times New Roman"/>
          <w:sz w:val="24"/>
          <w:szCs w:val="24"/>
        </w:rPr>
        <w:t>cm-1</w:t>
      </w:r>
      <w:r>
        <w:rPr>
          <w:rFonts w:hint="eastAsia" w:ascii="Times New Roman" w:hAnsi="Times New Roman" w:eastAsia="仿宋" w:cs="Times New Roman"/>
          <w:sz w:val="24"/>
          <w:szCs w:val="24"/>
        </w:rPr>
        <w:t>。（提供CMA检测报告证明）</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9、波数重复性：≤0.2 </w:t>
      </w:r>
      <w:r>
        <w:rPr>
          <w:rFonts w:hint="default" w:ascii="Times New Roman" w:hAnsi="Times New Roman" w:eastAsia="仿宋" w:cs="Times New Roman"/>
          <w:sz w:val="24"/>
          <w:szCs w:val="24"/>
        </w:rPr>
        <w:t>cm-1</w:t>
      </w:r>
      <w:r>
        <w:rPr>
          <w:rFonts w:hint="eastAsia" w:ascii="Times New Roman" w:hAnsi="Times New Roman" w:eastAsia="仿宋" w:cs="Times New Roman"/>
          <w:sz w:val="24"/>
          <w:szCs w:val="24"/>
        </w:rPr>
        <w:t>。</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10、光源：陶瓷空冷红外光源</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▲11、激光器：半导体激光器</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▲12、可对结石的表面和断层成分分布进行≥2点检测。</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13、具备自检功能，可自动生成自检评估报告。</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▲14、无需预处理（无需样本烘干脱水、研磨压片），可即时检测。</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15、具备远程升级数据库功能。</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▲16、具备维护调试保养可视窗口。（提供实物照片证明）</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▲17、主机、ATR部件、输出设备采用分体化设计。</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▲18、标本需要量：≤5cm的标本均可原样上机检测。</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▲19、无需化学试剂，检测完成后结石样品可回收再利用。</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rPr>
        <w:t>20、开机到检测完成输出报告所需时间≤2分钟。</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★21、配置要求：主机1台、ATR部件1套、专用工作站1套、电子防潮箱1台、温控烤箱1台。</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w:t>
      </w:r>
      <w:r>
        <w:rPr>
          <w:rFonts w:hint="eastAsia" w:ascii="仿宋" w:hAnsi="仿宋" w:eastAsia="仿宋" w:cs="仿宋"/>
          <w:color w:val="000000" w:themeColor="text1"/>
          <w:sz w:val="24"/>
          <w:szCs w:val="24"/>
          <w:lang w:val="en-US" w:eastAsia="zh-CN"/>
          <w14:textFill>
            <w14:solidFill>
              <w14:schemeClr w14:val="tx1"/>
            </w14:solidFill>
          </w14:textFill>
        </w:rPr>
        <w:t>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w:t>
      </w:r>
      <w:r>
        <w:rPr>
          <w:rFonts w:hint="eastAsia" w:ascii="仿宋" w:hAnsi="仿宋" w:eastAsia="仿宋" w:cs="仿宋"/>
          <w:color w:val="000000" w:themeColor="text1"/>
          <w:sz w:val="24"/>
          <w:szCs w:val="24"/>
          <w:lang w:val="en-US" w:eastAsia="zh-CN"/>
          <w14:textFill>
            <w14:solidFill>
              <w14:schemeClr w14:val="tx1"/>
            </w14:solidFill>
          </w14:textFill>
        </w:rPr>
        <w:t>四川省人民医院（青羊院区）</w:t>
      </w:r>
      <w:r>
        <w:rPr>
          <w:rFonts w:hint="eastAsia" w:ascii="仿宋" w:hAnsi="仿宋" w:eastAsia="仿宋" w:cs="仿宋"/>
          <w:color w:val="000000" w:themeColor="text1"/>
          <w:sz w:val="24"/>
          <w:szCs w:val="24"/>
          <w14:textFill>
            <w14:solidFill>
              <w14:schemeClr w14:val="tx1"/>
            </w14:solidFill>
          </w14:textFill>
        </w:rPr>
        <w:t>。</w:t>
      </w:r>
    </w:p>
    <w:p>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（2）如在质保期内出现质量问题，供应商须在接到通知后2小时内响应，24小时内到场维修，并承担相关费用。</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（3）如设备在质保期内因同一故障经供应商两次维修仍不能达到合同约定的技术要求及国家法律法规规定的质量标准，采购人有权要求供应商更换全新设备或退货，并追究供应商违约责任。</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（4）质保期内，设备因自身故障导致的停机率不应超过5%（一年按365天计算），否则供应商应就超出部分（供应商已提供备用机并保障采购人正常使用的时间，不计算为停机时间）按天数向采购人赔偿经济损失。</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（5）质保期内，如设备因维修无法使用，供应商应根据采购人需要向采购人提供备用设备。</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（6）供应商须指派专人负责与采购人联系售后服务事宜。</w:t>
      </w:r>
    </w:p>
    <w:p>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w:t>
      </w:r>
      <w:r>
        <w:rPr>
          <w:rFonts w:hint="eastAsia" w:ascii="仿宋" w:hAnsi="仿宋" w:eastAsia="仿宋" w:cs="仿宋"/>
          <w:color w:val="000000" w:themeColor="text1"/>
          <w:sz w:val="24"/>
          <w:szCs w:val="24"/>
          <w:lang w:val="en-US" w:eastAsia="zh-CN"/>
          <w14:textFill>
            <w14:solidFill>
              <w14:schemeClr w14:val="tx1"/>
            </w14:solidFill>
          </w14:textFill>
        </w:rPr>
        <w:t>投标人须在投标文件中单独提供配置清单（不同产品分别提供，格式详见投标文件格式），采购人将以此为依据进行验收。 技术参数中采购人的实质性配置要求★包含的内容须在分项报价明细表中报价（技术参数第21条 配置要求：主机1台、ATR部件1套、专用工作站1套、电子防潮箱1台、温控烤箱1台。），除此之外，若涉及设备正常运行所需的其他配置内容，投标人在配置清单中列明涉及的产品名称、型号（若有）、数量即可，投标人可根据投标产品实际情况确定是否单独报价</w:t>
      </w:r>
    </w:p>
    <w:p>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6.供应商提供的产品的生产日期与到货日期时间间隔不超过6个月，供应商提供承诺函，格式自拟。</w:t>
      </w:r>
    </w:p>
    <w:p>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（1）验收主体：采购人</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（2）验收组织方式:自行验收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（3）验收程序:一次性验收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（4）验收方式：现场整体验收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（5）履约验收内容：按照基于本项目采购需求编制的采购文件要求及供应商响应文件情况，由供应商向采购人交付的全部内容。</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（6）履约验收时间：供应商完成本项目涉及的所有设备的安装、调试并具备验收条件后，于5日内通知采购人验收，采购人接供应商通知后10日内组织验收。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(7)是否邀请本项目的其他供应商：否。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(8)是否邀请专家：否。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(9)是否邀请服务对象：否。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(10)是否邀请第三方检测机构：否。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(11)验收标准：</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1）国家相关法律法规、行业标准、技术规范。</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2）基于本项目采购需求编制的采购文件相关技术、服务要求、供应商响应文件相关响应内容。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3）产品生产厂家出具的产品说明书、技术白皮书、医疗器械注册证或备案凭证等官方技术资料（如涉及）。</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5）按照《财政部关于进一步加强政府采购需求和履约验收管理的指导意见》（财库〔2016〕205号）的要求进行验收。（如本项目不涉及政府采购，将参照此条款）</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6）其它标准：无</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（12）履约验收其它事项：无</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Times New Roman" w:hAnsi="Times New Roman" w:eastAsia="仿宋" w:cs="Times New Roman"/>
          <w:sz w:val="24"/>
          <w:szCs w:val="24"/>
          <w:lang w:val="en-US" w:eastAsia="zh-CN"/>
        </w:rPr>
        <w:t>9.</w:t>
      </w:r>
      <w:r>
        <w:rPr>
          <w:rFonts w:hint="eastAsia" w:ascii="仿宋" w:hAnsi="仿宋" w:eastAsia="仿宋" w:cs="仿宋"/>
          <w:b w:val="0"/>
          <w:kern w:val="2"/>
          <w:sz w:val="24"/>
          <w:szCs w:val="24"/>
          <w:vertAlign w:val="baseline"/>
          <w:lang w:val="en-US" w:eastAsia="zh-CN"/>
        </w:rPr>
        <w:t>质保期：验收合格后不低于5年。响应的质保期不得超过响应产品的官方技术文件中写明的最长使用寿命（不包括易损附件的使用寿命），否则，视为虚假响应，供应商须承担相应后果。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default" w:ascii="Times New Roman" w:hAnsi="Times New Roman" w:eastAsia="仿宋" w:cs="Times New Roman"/>
          <w:sz w:val="24"/>
          <w:szCs w:val="24"/>
          <w:lang w:val="en-US" w:eastAsia="zh-CN"/>
        </w:rPr>
      </w:pPr>
      <w:r>
        <w:rPr>
          <w:rFonts w:hint="eastAsia" w:ascii="仿宋" w:hAnsi="仿宋" w:eastAsia="仿宋" w:cs="仿宋"/>
          <w:b w:val="0"/>
          <w:kern w:val="2"/>
          <w:sz w:val="24"/>
          <w:szCs w:val="24"/>
          <w:vertAlign w:val="baseline"/>
          <w:lang w:val="en-US" w:eastAsia="zh-CN"/>
        </w:rPr>
        <w:t>10质保范围：含整机所有部件（质保期内涉及维修、产品更换、人工费用等一切费用包含在本项目报价中）</w:t>
      </w:r>
    </w:p>
    <w:p>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b w:val="0"/>
          <w:kern w:val="2"/>
          <w:sz w:val="24"/>
          <w:szCs w:val="24"/>
          <w:vertAlign w:val="baseline"/>
          <w:lang w:val="en-US" w:eastAsia="zh-CN" w:bidi="ar"/>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w:t>
      </w:r>
      <w:r>
        <w:rPr>
          <w:rFonts w:hint="eastAsia" w:ascii="仿宋" w:hAnsi="仿宋" w:eastAsia="仿宋" w:cs="仿宋"/>
          <w:sz w:val="24"/>
          <w:szCs w:val="24"/>
        </w:rPr>
        <w:t>。</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kern w:val="2"/>
          <w:sz w:val="24"/>
          <w:szCs w:val="24"/>
          <w:lang w:val="en-US" w:eastAsia="zh-CN"/>
        </w:rPr>
        <w:t>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报财政部门依法处理</w:t>
      </w:r>
      <w:r>
        <w:rPr>
          <w:rFonts w:hint="eastAsia" w:ascii="仿宋" w:hAnsi="仿宋" w:eastAsia="仿宋" w:cs="仿宋"/>
          <w:sz w:val="24"/>
          <w:szCs w:val="24"/>
        </w:rPr>
        <w:t>。</w:t>
      </w:r>
    </w:p>
    <w:p>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pPr>
              <w:wordWrap w:val="0"/>
              <w:rPr>
                <w:rFonts w:ascii="仿宋" w:hAnsi="仿宋" w:eastAsia="仿宋" w:cs="仿宋"/>
                <w:sz w:val="24"/>
              </w:rPr>
            </w:pPr>
            <w:r>
              <w:rPr>
                <w:rFonts w:hint="eastAsia" w:ascii="仿宋" w:hAnsi="仿宋" w:eastAsia="仿宋" w:cs="仿宋"/>
                <w:sz w:val="24"/>
              </w:rPr>
              <w:t>以供应商提供的响应报价为准。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22</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36</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9" w:name="_Toc28171"/>
      <w:bookmarkStart w:id="20" w:name="_Toc3094"/>
      <w:bookmarkStart w:id="21" w:name="_Toc22827"/>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29819"/>
      <w:bookmarkStart w:id="23" w:name="_Toc5913"/>
      <w:bookmarkStart w:id="24" w:name="_Toc4960"/>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30609"/>
      <w:bookmarkStart w:id="26" w:name="_Toc9428"/>
      <w:bookmarkStart w:id="27" w:name="_Toc19851"/>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32352"/>
      <w:bookmarkStart w:id="29" w:name="_Toc9041"/>
      <w:bookmarkStart w:id="30" w:name="_Toc1544"/>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1472"/>
      <w:bookmarkStart w:id="32" w:name="_Toc24097"/>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32749"/>
      <w:bookmarkStart w:id="34" w:name="_Toc24859"/>
      <w:bookmarkStart w:id="35" w:name="_Toc17163"/>
      <w:bookmarkStart w:id="36" w:name="_Toc1690"/>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17905"/>
      <w:bookmarkStart w:id="38" w:name="_Toc24123"/>
      <w:bookmarkStart w:id="39" w:name="_Toc3558"/>
      <w:bookmarkStart w:id="40" w:name="_Toc6803"/>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27135"/>
      <w:bookmarkStart w:id="42" w:name="_Toc2989"/>
      <w:bookmarkStart w:id="43" w:name="_Toc27526"/>
      <w:bookmarkStart w:id="44" w:name="_Toc5996"/>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5056"/>
      <w:bookmarkStart w:id="46" w:name="_Toc2031"/>
      <w:bookmarkStart w:id="47" w:name="_Toc7233"/>
      <w:bookmarkStart w:id="48" w:name="_Toc19987"/>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3023"/>
      <w:bookmarkStart w:id="50" w:name="_Toc21519"/>
      <w:bookmarkStart w:id="51" w:name="_Toc14829"/>
      <w:bookmarkStart w:id="52" w:name="_Toc16029"/>
      <w:bookmarkStart w:id="53" w:name="_Toc11352"/>
      <w:bookmarkStart w:id="54" w:name="_Toc6482"/>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9"/>
      <w:bookmarkEnd w:id="50"/>
      <w:bookmarkEnd w:id="51"/>
      <w:bookmarkEnd w:id="52"/>
      <w:bookmarkEnd w:id="53"/>
      <w:bookmarkEnd w:id="54"/>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4305"/>
      <w:bookmarkStart w:id="56" w:name="_Toc30971"/>
      <w:bookmarkStart w:id="57" w:name="_Toc17857"/>
      <w:bookmarkStart w:id="58" w:name="_Toc31838"/>
      <w:bookmarkStart w:id="59" w:name="_Toc22676"/>
      <w:r>
        <w:rPr>
          <w:rFonts w:ascii="Times New Roman" w:hAnsi="Times New Roman" w:cs="Times New Roman"/>
        </w:rPr>
        <w:br w:type="page"/>
      </w:r>
    </w:p>
    <w:p>
      <w:pPr>
        <w:pStyle w:val="3"/>
        <w:ind w:firstLine="0"/>
      </w:pPr>
      <w:r>
        <w:t>具有独立承担民事责任的能力</w:t>
      </w:r>
      <w:bookmarkEnd w:id="55"/>
      <w:bookmarkEnd w:id="56"/>
      <w:bookmarkEnd w:id="57"/>
      <w:bookmarkEnd w:id="58"/>
      <w:bookmarkEnd w:id="59"/>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0" w:name="_Toc27186"/>
      <w:bookmarkStart w:id="61" w:name="_Toc15613"/>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25357"/>
      <w:bookmarkStart w:id="64" w:name="_Toc13706"/>
      <w:bookmarkStart w:id="65" w:name="_Toc13904"/>
    </w:p>
    <w:p>
      <w:pPr>
        <w:pStyle w:val="3"/>
        <w:ind w:firstLine="0"/>
        <w:rPr>
          <w:szCs w:val="32"/>
        </w:rPr>
      </w:pPr>
      <w:bookmarkStart w:id="66" w:name="_Toc23146"/>
      <w:bookmarkStart w:id="67" w:name="_Toc15508"/>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8" w:name="_Toc11351"/>
      <w:bookmarkStart w:id="69" w:name="_Toc12015"/>
      <w:bookmarkStart w:id="70" w:name="_Toc27661"/>
      <w:bookmarkStart w:id="71" w:name="_Toc25638"/>
      <w:bookmarkStart w:id="72" w:name="_Toc15526"/>
      <w:bookmarkStart w:id="73" w:name="_Toc20589"/>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4" w:name="_Toc26969"/>
      <w:bookmarkStart w:id="75" w:name="_Toc1074"/>
      <w:bookmarkStart w:id="76" w:name="_Toc2041"/>
      <w:bookmarkStart w:id="77" w:name="_Toc23967"/>
      <w:bookmarkStart w:id="78" w:name="_Toc12967"/>
      <w:bookmarkStart w:id="79" w:name="_Toc16435"/>
      <w:r>
        <w:rPr>
          <w:rStyle w:val="40"/>
          <w:b/>
        </w:rPr>
        <w:t>采购需求偏离表</w:t>
      </w:r>
      <w:bookmarkEnd w:id="74"/>
      <w:bookmarkEnd w:id="75"/>
      <w:bookmarkEnd w:id="76"/>
      <w:bookmarkEnd w:id="77"/>
      <w:bookmarkEnd w:id="78"/>
      <w:bookmarkEnd w:id="79"/>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0" w:name="_Toc21082"/>
      <w:bookmarkStart w:id="81" w:name="_Toc26839"/>
      <w:bookmarkStart w:id="82" w:name="_Toc28634"/>
      <w:bookmarkStart w:id="83" w:name="_Toc1369"/>
      <w:bookmarkStart w:id="84" w:name="_Toc31686"/>
      <w:bookmarkStart w:id="85" w:name="_Toc24806"/>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32605"/>
      <w:bookmarkStart w:id="87" w:name="_Toc24494"/>
      <w:bookmarkStart w:id="88" w:name="_Toc3871"/>
    </w:p>
    <w:p>
      <w:pPr>
        <w:pStyle w:val="3"/>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bookmarkStart w:id="90" w:name="_Toc30002"/>
      <w:bookmarkStart w:id="91" w:name="_Toc14685"/>
      <w:bookmarkStart w:id="92"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pPr>
              <w:spacing w:line="460" w:lineRule="exact"/>
              <w:jc w:val="center"/>
              <w:outlineLvl w:val="0"/>
              <w:rPr>
                <w:b/>
                <w:kern w:val="0"/>
                <w:szCs w:val="21"/>
              </w:rPr>
            </w:pPr>
            <w:bookmarkStart w:id="93" w:name="_Toc18900"/>
            <w:r>
              <w:rPr>
                <w:rFonts w:hint="eastAsia"/>
                <w:b/>
                <w:kern w:val="0"/>
                <w:szCs w:val="21"/>
              </w:rPr>
              <w:t>序号</w:t>
            </w:r>
            <w:bookmarkEnd w:id="93"/>
          </w:p>
        </w:tc>
        <w:tc>
          <w:tcPr>
            <w:tcW w:w="746" w:type="pct"/>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pPr>
              <w:spacing w:line="460" w:lineRule="exact"/>
              <w:jc w:val="center"/>
              <w:outlineLvl w:val="0"/>
              <w:rPr>
                <w:b/>
                <w:kern w:val="0"/>
                <w:szCs w:val="21"/>
              </w:rPr>
            </w:pPr>
            <w:bookmarkStart w:id="94" w:name="_Toc10106"/>
            <w:r>
              <w:rPr>
                <w:rFonts w:hint="eastAsia"/>
                <w:b/>
                <w:kern w:val="0"/>
                <w:szCs w:val="21"/>
              </w:rPr>
              <w:t>产品名称</w:t>
            </w:r>
            <w:bookmarkEnd w:id="94"/>
          </w:p>
        </w:tc>
        <w:tc>
          <w:tcPr>
            <w:tcW w:w="791" w:type="pct"/>
            <w:vAlign w:val="center"/>
          </w:tcPr>
          <w:p>
            <w:pPr>
              <w:spacing w:line="460" w:lineRule="exact"/>
              <w:jc w:val="center"/>
              <w:outlineLvl w:val="0"/>
              <w:rPr>
                <w:b/>
                <w:kern w:val="0"/>
                <w:szCs w:val="21"/>
              </w:rPr>
            </w:pPr>
            <w:bookmarkStart w:id="95" w:name="_Toc21630"/>
            <w:r>
              <w:rPr>
                <w:rFonts w:hint="eastAsia"/>
                <w:b/>
                <w:kern w:val="0"/>
                <w:szCs w:val="21"/>
              </w:rPr>
              <w:t>规格型号</w:t>
            </w:r>
            <w:bookmarkEnd w:id="95"/>
          </w:p>
        </w:tc>
        <w:tc>
          <w:tcPr>
            <w:tcW w:w="908" w:type="pct"/>
            <w:vAlign w:val="center"/>
          </w:tcPr>
          <w:p>
            <w:pPr>
              <w:spacing w:line="460" w:lineRule="exact"/>
              <w:jc w:val="center"/>
              <w:outlineLvl w:val="0"/>
              <w:rPr>
                <w:b/>
                <w:kern w:val="0"/>
                <w:szCs w:val="21"/>
              </w:rPr>
            </w:pPr>
            <w:bookmarkStart w:id="96" w:name="_Toc31424"/>
            <w:r>
              <w:rPr>
                <w:rFonts w:hint="eastAsia"/>
                <w:b/>
                <w:kern w:val="0"/>
                <w:szCs w:val="21"/>
              </w:rPr>
              <w:t>制造商</w:t>
            </w:r>
            <w:bookmarkEnd w:id="96"/>
          </w:p>
        </w:tc>
        <w:tc>
          <w:tcPr>
            <w:tcW w:w="518" w:type="pct"/>
            <w:vAlign w:val="center"/>
          </w:tcPr>
          <w:p>
            <w:pPr>
              <w:spacing w:line="460" w:lineRule="exact"/>
              <w:jc w:val="center"/>
              <w:outlineLvl w:val="0"/>
              <w:rPr>
                <w:b/>
                <w:kern w:val="0"/>
                <w:szCs w:val="21"/>
              </w:rPr>
            </w:pPr>
            <w:bookmarkStart w:id="97" w:name="_Toc17023"/>
            <w:r>
              <w:rPr>
                <w:rFonts w:hint="eastAsia"/>
                <w:b/>
                <w:kern w:val="0"/>
                <w:szCs w:val="21"/>
              </w:rPr>
              <w:t>单位</w:t>
            </w:r>
            <w:bookmarkEnd w:id="97"/>
          </w:p>
        </w:tc>
        <w:tc>
          <w:tcPr>
            <w:tcW w:w="747" w:type="pct"/>
            <w:vAlign w:val="center"/>
          </w:tcPr>
          <w:p>
            <w:pPr>
              <w:spacing w:line="460" w:lineRule="exact"/>
              <w:jc w:val="center"/>
              <w:outlineLvl w:val="0"/>
              <w:rPr>
                <w:b/>
                <w:kern w:val="0"/>
                <w:szCs w:val="21"/>
              </w:rPr>
            </w:pPr>
            <w:bookmarkStart w:id="98" w:name="_Toc13405"/>
            <w:r>
              <w:rPr>
                <w:rFonts w:hint="eastAsia"/>
                <w:b/>
                <w:kern w:val="0"/>
                <w:szCs w:val="21"/>
              </w:rPr>
              <w:t>单价（元）</w:t>
            </w:r>
            <w:bookmarkEnd w:id="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Cs w:val="21"/>
              </w:rPr>
            </w:pPr>
            <w:bookmarkStart w:id="99" w:name="_Toc22879"/>
            <w:r>
              <w:rPr>
                <w:rFonts w:hint="eastAsia"/>
                <w:kern w:val="0"/>
                <w:szCs w:val="21"/>
              </w:rPr>
              <w:t>1</w:t>
            </w:r>
            <w:bookmarkEnd w:id="99"/>
          </w:p>
        </w:tc>
        <w:tc>
          <w:tcPr>
            <w:tcW w:w="746" w:type="pct"/>
            <w:vAlign w:val="center"/>
          </w:tcPr>
          <w:p>
            <w:pPr>
              <w:spacing w:line="460" w:lineRule="exact"/>
              <w:outlineLvl w:val="0"/>
              <w:rPr>
                <w:kern w:val="0"/>
                <w:szCs w:val="21"/>
              </w:rPr>
            </w:pPr>
          </w:p>
        </w:tc>
        <w:tc>
          <w:tcPr>
            <w:tcW w:w="848"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8" w:type="pct"/>
          </w:tcPr>
          <w:p>
            <w:pPr>
              <w:spacing w:line="460" w:lineRule="exact"/>
              <w:jc w:val="center"/>
              <w:outlineLvl w:val="0"/>
              <w:rPr>
                <w:kern w:val="0"/>
                <w:szCs w:val="21"/>
              </w:rPr>
            </w:pPr>
          </w:p>
        </w:tc>
        <w:tc>
          <w:tcPr>
            <w:tcW w:w="518"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 w:val="20"/>
                <w:szCs w:val="21"/>
              </w:rPr>
            </w:pPr>
            <w:bookmarkStart w:id="100" w:name="_Toc14524"/>
            <w:r>
              <w:rPr>
                <w:rFonts w:hint="eastAsia"/>
                <w:kern w:val="0"/>
                <w:sz w:val="20"/>
                <w:szCs w:val="21"/>
              </w:rPr>
              <w:t>2</w:t>
            </w:r>
            <w:bookmarkEnd w:id="100"/>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pPr>
              <w:spacing w:line="460" w:lineRule="exact"/>
              <w:jc w:val="center"/>
              <w:outlineLvl w:val="0"/>
              <w:rPr>
                <w:kern w:val="0"/>
                <w:sz w:val="20"/>
                <w:szCs w:val="21"/>
              </w:rPr>
            </w:pPr>
            <w:bookmarkStart w:id="101" w:name="_Toc13547"/>
            <w:r>
              <w:rPr>
                <w:kern w:val="0"/>
                <w:sz w:val="20"/>
                <w:szCs w:val="21"/>
              </w:rPr>
              <w:t>…</w:t>
            </w:r>
            <w:bookmarkEnd w:id="101"/>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b/>
                <w:kern w:val="0"/>
                <w:szCs w:val="21"/>
              </w:rPr>
            </w:pPr>
            <w:bookmarkStart w:id="102" w:name="_Toc8502"/>
            <w:r>
              <w:rPr>
                <w:rFonts w:hint="eastAsia"/>
                <w:b/>
                <w:kern w:val="0"/>
                <w:szCs w:val="21"/>
              </w:rPr>
              <w:t>序号</w:t>
            </w:r>
            <w:bookmarkEnd w:id="102"/>
          </w:p>
        </w:tc>
        <w:tc>
          <w:tcPr>
            <w:tcW w:w="850" w:type="pct"/>
            <w:vAlign w:val="center"/>
          </w:tcPr>
          <w:p>
            <w:pPr>
              <w:spacing w:line="460" w:lineRule="exact"/>
              <w:jc w:val="center"/>
              <w:outlineLvl w:val="0"/>
              <w:rPr>
                <w:b/>
                <w:kern w:val="0"/>
                <w:szCs w:val="21"/>
              </w:rPr>
            </w:pPr>
            <w:bookmarkStart w:id="103" w:name="_Toc27328"/>
            <w:r>
              <w:rPr>
                <w:rFonts w:hint="eastAsia"/>
                <w:b/>
                <w:kern w:val="0"/>
                <w:szCs w:val="21"/>
              </w:rPr>
              <w:t>产品名称</w:t>
            </w:r>
            <w:bookmarkEnd w:id="103"/>
          </w:p>
        </w:tc>
        <w:tc>
          <w:tcPr>
            <w:tcW w:w="791" w:type="pct"/>
            <w:vAlign w:val="center"/>
          </w:tcPr>
          <w:p>
            <w:pPr>
              <w:spacing w:line="460" w:lineRule="exact"/>
              <w:jc w:val="center"/>
              <w:outlineLvl w:val="0"/>
              <w:rPr>
                <w:b/>
                <w:kern w:val="0"/>
                <w:szCs w:val="21"/>
              </w:rPr>
            </w:pPr>
            <w:bookmarkStart w:id="104" w:name="_Toc4118"/>
            <w:r>
              <w:rPr>
                <w:rFonts w:hint="eastAsia"/>
                <w:b/>
                <w:kern w:val="0"/>
                <w:szCs w:val="21"/>
              </w:rPr>
              <w:t>规格型号</w:t>
            </w:r>
            <w:bookmarkEnd w:id="104"/>
          </w:p>
        </w:tc>
        <w:tc>
          <w:tcPr>
            <w:tcW w:w="907" w:type="pct"/>
            <w:vAlign w:val="center"/>
          </w:tcPr>
          <w:p>
            <w:pPr>
              <w:spacing w:line="460" w:lineRule="exact"/>
              <w:jc w:val="center"/>
              <w:outlineLvl w:val="0"/>
              <w:rPr>
                <w:b/>
                <w:kern w:val="0"/>
                <w:szCs w:val="21"/>
              </w:rPr>
            </w:pPr>
            <w:bookmarkStart w:id="105" w:name="_Toc21162"/>
            <w:r>
              <w:rPr>
                <w:rFonts w:hint="eastAsia"/>
                <w:b/>
                <w:kern w:val="0"/>
                <w:szCs w:val="21"/>
              </w:rPr>
              <w:t>制造商</w:t>
            </w:r>
            <w:bookmarkEnd w:id="105"/>
          </w:p>
        </w:tc>
        <w:tc>
          <w:tcPr>
            <w:tcW w:w="516" w:type="pct"/>
            <w:vAlign w:val="center"/>
          </w:tcPr>
          <w:p>
            <w:pPr>
              <w:spacing w:line="460" w:lineRule="exact"/>
              <w:jc w:val="center"/>
              <w:outlineLvl w:val="0"/>
              <w:rPr>
                <w:b/>
                <w:kern w:val="0"/>
                <w:szCs w:val="21"/>
              </w:rPr>
            </w:pPr>
            <w:bookmarkStart w:id="106" w:name="_Toc2524"/>
            <w:r>
              <w:rPr>
                <w:rFonts w:hint="eastAsia"/>
                <w:b/>
                <w:kern w:val="0"/>
                <w:szCs w:val="21"/>
              </w:rPr>
              <w:t>单位</w:t>
            </w:r>
            <w:bookmarkEnd w:id="106"/>
          </w:p>
        </w:tc>
        <w:tc>
          <w:tcPr>
            <w:tcW w:w="747" w:type="pct"/>
            <w:vAlign w:val="center"/>
          </w:tcPr>
          <w:p>
            <w:pPr>
              <w:spacing w:line="460" w:lineRule="exact"/>
              <w:jc w:val="center"/>
              <w:outlineLvl w:val="0"/>
              <w:rPr>
                <w:b/>
                <w:kern w:val="0"/>
                <w:szCs w:val="21"/>
              </w:rPr>
            </w:pPr>
            <w:bookmarkStart w:id="107" w:name="_Toc25451"/>
            <w:r>
              <w:rPr>
                <w:rFonts w:hint="eastAsia"/>
                <w:b/>
                <w:kern w:val="0"/>
                <w:szCs w:val="21"/>
              </w:rPr>
              <w:t>单价（元）</w:t>
            </w:r>
            <w:bookmarkEnd w:id="107"/>
          </w:p>
        </w:tc>
        <w:tc>
          <w:tcPr>
            <w:tcW w:w="747" w:type="pct"/>
            <w:vAlign w:val="center"/>
          </w:tcPr>
          <w:p>
            <w:pPr>
              <w:spacing w:line="460" w:lineRule="exact"/>
              <w:jc w:val="center"/>
              <w:outlineLvl w:val="0"/>
              <w:rPr>
                <w:b/>
                <w:kern w:val="0"/>
                <w:szCs w:val="21"/>
              </w:rPr>
            </w:pPr>
            <w:bookmarkStart w:id="108" w:name="_Toc9598"/>
            <w:r>
              <w:rPr>
                <w:rFonts w:hint="eastAsia"/>
                <w:b/>
                <w:kern w:val="0"/>
                <w:szCs w:val="21"/>
              </w:rPr>
              <w:t>备注</w:t>
            </w:r>
            <w:bookmarkEnd w:id="10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bookmarkStart w:id="109" w:name="_Toc20085"/>
            <w:r>
              <w:rPr>
                <w:rFonts w:hint="eastAsia"/>
                <w:kern w:val="0"/>
                <w:szCs w:val="21"/>
              </w:rPr>
              <w:t>1</w:t>
            </w:r>
            <w:bookmarkEnd w:id="109"/>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bookmarkStart w:id="110" w:name="_Toc13232"/>
            <w:r>
              <w:rPr>
                <w:rFonts w:hint="eastAsia"/>
                <w:kern w:val="0"/>
                <w:sz w:val="20"/>
                <w:szCs w:val="21"/>
              </w:rPr>
              <w:t>2</w:t>
            </w:r>
            <w:bookmarkEnd w:id="110"/>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bookmarkStart w:id="111" w:name="_Toc6795"/>
            <w:r>
              <w:rPr>
                <w:kern w:val="0"/>
                <w:sz w:val="20"/>
                <w:szCs w:val="21"/>
              </w:rPr>
              <w:t>…</w:t>
            </w:r>
            <w:bookmarkEnd w:id="111"/>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pPr>
        <w:pStyle w:val="3"/>
        <w:ind w:firstLine="0"/>
      </w:pPr>
      <w:r>
        <w:t>供应商认为需要提供的其他材料</w:t>
      </w:r>
      <w:bookmarkEnd w:id="86"/>
      <w:bookmarkEnd w:id="87"/>
      <w:bookmarkEnd w:id="88"/>
      <w:bookmarkEnd w:id="90"/>
      <w:bookmarkEnd w:id="91"/>
      <w:bookmarkEnd w:id="92"/>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12" w:name="_Toc20691"/>
      <w:bookmarkStart w:id="113" w:name="_Toc5447"/>
      <w:r>
        <w:rPr>
          <w:rFonts w:ascii="Times New Roman" w:hAnsi="Times New Roman" w:eastAsia="黑体" w:cs="Times New Roman"/>
          <w:b/>
          <w:sz w:val="36"/>
          <w:szCs w:val="32"/>
        </w:rPr>
        <w:br w:type="page"/>
      </w:r>
    </w:p>
    <w:p>
      <w:pPr>
        <w:pStyle w:val="2"/>
        <w:rPr>
          <w:rFonts w:ascii="Times New Roman" w:hAnsi="Times New Roman" w:cs="Times New Roman"/>
        </w:rPr>
      </w:pPr>
      <w:bookmarkStart w:id="114" w:name="_Toc10625"/>
      <w:r>
        <w:rPr>
          <w:rFonts w:ascii="Times New Roman" w:hAnsi="Times New Roman" w:cs="Times New Roman"/>
        </w:rPr>
        <w:t>合同条款（仅成交后使用）</w:t>
      </w:r>
      <w:bookmarkEnd w:id="112"/>
      <w:bookmarkEnd w:id="113"/>
      <w:bookmarkEnd w:id="114"/>
    </w:p>
    <w:p>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color w:val="auto"/>
          <w:highlight w:val="none"/>
        </w:rPr>
      </w:pP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5" w:name="OLE_LINK18"/>
      <w:bookmarkStart w:id="116"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5"/>
    <w:bookmarkEnd w:id="116"/>
    <w:p>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95ED144-92F1-4A99-9E18-D41C827483F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F49BA97-6B7E-49FB-8BE0-B44E6916803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E8462F9-E2CD-4CF9-BD5E-65E99430F4E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2FCA822-F25A-477F-88BF-5FB4F8F38AB3}"/>
  </w:font>
  <w:font w:name="Segoe UI Symbol">
    <w:panose1 w:val="020B0502040204020203"/>
    <w:charset w:val="00"/>
    <w:family w:val="swiss"/>
    <w:pitch w:val="default"/>
    <w:sig w:usb0="800001E3" w:usb1="1200FFEF" w:usb2="00040000" w:usb3="04000000" w:csb0="00000001" w:csb1="40000000"/>
    <w:embedRegular r:id="rId5" w:fontKey="{F259795E-1EA7-45E1-B9A0-1B9C06B4482E}"/>
  </w:font>
  <w:font w:name="Wingdings 2">
    <w:altName w:val="Wingdings"/>
    <w:panose1 w:val="05020102010507070707"/>
    <w:charset w:val="4D"/>
    <w:family w:val="decorative"/>
    <w:pitch w:val="default"/>
    <w:sig w:usb0="00000000" w:usb1="00000000" w:usb2="00000000" w:usb3="00000000" w:csb0="80000000" w:csb1="00000000"/>
    <w:embedRegular r:id="rId6" w:fontKey="{D35DF120-3C50-41A1-8B2B-D41C5CD510AA}"/>
  </w:font>
  <w:font w:name="Songti SC">
    <w:altName w:val="宋体"/>
    <w:panose1 w:val="02010600040101010101"/>
    <w:charset w:val="86"/>
    <w:family w:val="auto"/>
    <w:pitch w:val="default"/>
    <w:sig w:usb0="00000000" w:usb1="00000000" w:usb2="00000010" w:usb3="00000000" w:csb0="0004009F" w:csb1="00000000"/>
    <w:embedRegular r:id="rId7" w:fontKey="{0E70064A-CF3E-4532-A197-CE479C9A1122}"/>
  </w:font>
  <w:font w:name="微软雅黑">
    <w:panose1 w:val="020B0503020204020204"/>
    <w:charset w:val="86"/>
    <w:family w:val="auto"/>
    <w:pitch w:val="default"/>
    <w:sig w:usb0="80000287" w:usb1="2ACF3C50" w:usb2="00000016" w:usb3="00000000" w:csb0="0004001F" w:csb1="00000000"/>
    <w:embedRegular r:id="rId8" w:fontKey="{3DBF4828-A072-4C83-813F-414F1AF48573}"/>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Kingsoft Symbol">
    <w:panose1 w:val="0500010001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076EE2"/>
    <w:rsid w:val="1F1E1A47"/>
    <w:rsid w:val="22935D1D"/>
    <w:rsid w:val="23D4489F"/>
    <w:rsid w:val="262001B9"/>
    <w:rsid w:val="27B87AF9"/>
    <w:rsid w:val="27E80EA9"/>
    <w:rsid w:val="280414A1"/>
    <w:rsid w:val="282322F9"/>
    <w:rsid w:val="28570368"/>
    <w:rsid w:val="28E72E42"/>
    <w:rsid w:val="29C5318E"/>
    <w:rsid w:val="2B502F98"/>
    <w:rsid w:val="2C9A0A9E"/>
    <w:rsid w:val="2DA70D65"/>
    <w:rsid w:val="2F66770D"/>
    <w:rsid w:val="2F7D5351"/>
    <w:rsid w:val="3081075A"/>
    <w:rsid w:val="336042AF"/>
    <w:rsid w:val="3427766B"/>
    <w:rsid w:val="343706EB"/>
    <w:rsid w:val="351A08D0"/>
    <w:rsid w:val="36334CE5"/>
    <w:rsid w:val="397B37E6"/>
    <w:rsid w:val="398E034A"/>
    <w:rsid w:val="39BB4DA4"/>
    <w:rsid w:val="3A551407"/>
    <w:rsid w:val="3B033C36"/>
    <w:rsid w:val="3B243AFF"/>
    <w:rsid w:val="3E5D4E8E"/>
    <w:rsid w:val="3E695778"/>
    <w:rsid w:val="3FE25336"/>
    <w:rsid w:val="41076015"/>
    <w:rsid w:val="42075FF8"/>
    <w:rsid w:val="42842020"/>
    <w:rsid w:val="42B24A11"/>
    <w:rsid w:val="43CE05C3"/>
    <w:rsid w:val="46651FD5"/>
    <w:rsid w:val="468567BB"/>
    <w:rsid w:val="46B906B8"/>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3CA7409"/>
    <w:rsid w:val="5455382C"/>
    <w:rsid w:val="5D0A3490"/>
    <w:rsid w:val="5D7E0D39"/>
    <w:rsid w:val="5E9D3F29"/>
    <w:rsid w:val="5F745DF0"/>
    <w:rsid w:val="60384CD1"/>
    <w:rsid w:val="60655808"/>
    <w:rsid w:val="60F86CEE"/>
    <w:rsid w:val="62A26147"/>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F2F51E1"/>
    <w:rsid w:val="6FCF0795"/>
    <w:rsid w:val="7011584E"/>
    <w:rsid w:val="71381023"/>
    <w:rsid w:val="73714961"/>
    <w:rsid w:val="7376641C"/>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next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1225</Words>
  <Characters>1317</Characters>
  <Lines>72</Lines>
  <Paragraphs>20</Paragraphs>
  <TotalTime>10</TotalTime>
  <ScaleCrop>false</ScaleCrop>
  <LinksUpToDate>false</LinksUpToDate>
  <CharactersWithSpaces>1389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2026-11-02T08:33:50Z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B015A2ECEEEC43A389486E6B5325B434_13</vt:lpwstr>
  </property>
  <property fmtid="{D5CDD505-2E9C-101B-9397-08002B2CF9AE}" pid="4" name="KSOTemplateDocerSaveRecord">
    <vt:lpwstr>eyJoZGlkIjoiMDkzMTllOGExYjc5NThhYzY4OWQ5ZGYwOGI3MzU1NTgiLCJ1c2VySWQiOiI2NDE5ODgzNDAifQ==</vt:lpwstr>
  </property>
</Properties>
</file>