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四川省人民医院出生证明档案微缩化管理扫描服务采购项目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pgNumType w:fmt="decimal"/>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7</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highlight w:val="none"/>
        </w:rPr>
      </w:sdtEndPr>
      <w:sdtContent>
        <w:p w14:paraId="286328CF">
          <w:pPr>
            <w:spacing w:line="360" w:lineRule="auto"/>
            <w:jc w:val="center"/>
            <w:rPr>
              <w:rFonts w:hint="default" w:ascii="黑体" w:hAnsi="黑体" w:eastAsia="黑体" w:cs="黑体"/>
              <w:color w:val="auto"/>
              <w:sz w:val="32"/>
              <w:szCs w:val="32"/>
              <w:highlight w:val="none"/>
            </w:rPr>
          </w:pPr>
          <w:bookmarkStart w:id="44" w:name="_GoBack"/>
          <w:bookmarkEnd w:id="44"/>
          <w:r>
            <w:rPr>
              <w:rFonts w:ascii="黑体" w:hAnsi="黑体" w:eastAsia="黑体" w:cs="黑体"/>
              <w:color w:val="auto"/>
              <w:sz w:val="32"/>
              <w:szCs w:val="32"/>
              <w:highlight w:val="none"/>
            </w:rPr>
            <w:t>目录</w:t>
          </w:r>
        </w:p>
        <w:p w14:paraId="7F215F51">
          <w:pPr>
            <w:pStyle w:val="10"/>
            <w:tabs>
              <w:tab w:val="right" w:leader="dot" w:pos="8294"/>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color w:val="auto"/>
              <w:highlight w:val="none"/>
            </w:rPr>
            <w:fldChar w:fldCharType="begin"/>
          </w:r>
          <w:r>
            <w:rPr>
              <w:color w:val="auto"/>
              <w:highlight w:val="none"/>
            </w:rPr>
            <w:instrText xml:space="preserve"> HYPERLINK \l "_Toc21451"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E52A9A0">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"_Toc18086" </w:instrText>
          </w:r>
          <w:r>
            <w:rPr>
              <w:color w:val="auto"/>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4423B11">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"_Toc14719" </w:instrText>
          </w:r>
          <w:r>
            <w:rPr>
              <w:color w:val="auto"/>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BE0A9C7">
          <w:pPr>
            <w:pStyle w:val="11"/>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"_Toc5866" </w:instrText>
          </w:r>
          <w:r>
            <w:rPr>
              <w:color w:val="auto"/>
              <w:highlight w:val="none"/>
            </w:rPr>
            <w:fldChar w:fldCharType="separate"/>
          </w:r>
          <w:r>
            <w:rPr>
              <w:rFonts w:ascii="仿宋" w:hAnsi="仿宋" w:eastAsia="仿宋" w:cs="仿宋"/>
              <w:color w:val="auto"/>
              <w:sz w:val="24"/>
              <w:szCs w:val="24"/>
              <w:highlight w:val="none"/>
            </w:rPr>
            <w:t>一、 资格要求：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_Toc5866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74DE36BE">
          <w:pPr>
            <w:pStyle w:val="11"/>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"_Toc21556" </w:instrText>
          </w:r>
          <w:r>
            <w:rPr>
              <w:color w:val="auto"/>
              <w:highlight w:val="none"/>
            </w:rPr>
            <w:fldChar w:fldCharType="separate"/>
          </w:r>
          <w:r>
            <w:rPr>
              <w:rFonts w:ascii="仿宋" w:hAnsi="仿宋" w:eastAsia="仿宋" w:cs="仿宋"/>
              <w:color w:val="auto"/>
              <w:sz w:val="24"/>
              <w:szCs w:val="24"/>
              <w:highlight w:val="none"/>
            </w:rPr>
            <w:t xml:space="preserve">二、 </w:t>
          </w:r>
          <w:r>
            <w:rPr>
              <w:rFonts w:ascii="仿宋" w:hAnsi="仿宋" w:eastAsia="仿宋" w:cs="仿宋"/>
              <w:bCs/>
              <w:color w:val="auto"/>
              <w:sz w:val="24"/>
              <w:szCs w:val="24"/>
              <w:highlight w:val="none"/>
            </w:rPr>
            <w:t>采购需求：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_Toc21556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0BE7162E">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"_Toc15867" </w:instrText>
          </w:r>
          <w:r>
            <w:rPr>
              <w:color w:val="auto"/>
              <w:highlight w:val="none"/>
            </w:rPr>
            <w:fldChar w:fldCharType="separate"/>
          </w:r>
          <w:r>
            <w:rPr>
              <w:rFonts w:hint="eastAsia" w:ascii="仿宋" w:hAnsi="仿宋" w:eastAsia="仿宋" w:cs="仿宋"/>
              <w:bCs/>
              <w:color w:val="auto"/>
              <w:sz w:val="24"/>
              <w:szCs w:val="24"/>
              <w:highlight w:val="none"/>
              <w:lang w:val="zh-TW"/>
            </w:rPr>
            <w:t>第四章 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B4A9FA1">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"_Toc11837"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DAB0D1">
          <w:pPr>
            <w:pStyle w:val="10"/>
            <w:tabs>
              <w:tab w:val="right" w:leader="dot" w:pos="8294"/>
            </w:tabs>
            <w:spacing w:line="360" w:lineRule="auto"/>
            <w:rPr>
              <w:rFonts w:ascii="仿宋" w:hAnsi="仿宋" w:eastAsia="仿宋" w:cs="仿宋"/>
              <w:color w:val="auto"/>
              <w:sz w:val="24"/>
              <w:szCs w:val="24"/>
              <w:highlight w:val="none"/>
            </w:rPr>
          </w:pPr>
        </w:p>
        <w:p w14:paraId="38BE06C9">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pgNumType w:fmt="decimal"/>
          <w:cols w:space="0" w:num="1"/>
          <w:titlePg/>
        </w:sectPr>
      </w:pPr>
      <w:r>
        <w:rPr>
          <w:rFonts w:hint="default" w:ascii="Times New Roman" w:hAnsi="Times New Roman" w:eastAsia="宋体" w:cs="Times New Roman"/>
          <w:color w:val="auto"/>
          <w:sz w:val="28"/>
          <w:szCs w:val="28"/>
          <w:highlight w:val="none"/>
        </w:rPr>
        <w:br w:type="page"/>
      </w:r>
    </w:p>
    <w:p w14:paraId="2BD03C61">
      <w:pPr>
        <w:pStyle w:val="3"/>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76" w:lineRule="auto"/>
              <w:ind w:left="0" w:leftChars="0"/>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76" w:lineRule="auto"/>
              <w:ind w:left="0" w:leftChars="0"/>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76" w:lineRule="auto"/>
              <w:ind w:left="0" w:leftChars="0"/>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76" w:lineRule="auto"/>
              <w:ind w:left="0" w:leftChars="0"/>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76" w:lineRule="auto"/>
              <w:ind w:left="0" w:leftChars="0"/>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76" w:lineRule="auto"/>
              <w:ind w:left="0" w:leftChars="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四川省人民医院出生证明档案微缩化管理扫描服务采购项目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76" w:lineRule="auto"/>
              <w:ind w:left="0" w:leftChars="0"/>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76" w:lineRule="auto"/>
              <w:ind w:left="0" w:left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CGZX-YXX20260891</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6"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76" w:lineRule="auto"/>
              <w:ind w:left="0" w:leftChars="0"/>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0298005C">
            <w:pPr>
              <w:keepNext w:val="0"/>
              <w:keepLines w:val="0"/>
              <w:pageBreakBefore w:val="0"/>
              <w:kinsoku/>
              <w:overflowPunct/>
              <w:bidi w:val="0"/>
              <w:spacing w:line="276" w:lineRule="auto"/>
              <w:ind w:left="0" w:leftChars="0"/>
              <w:textAlignment w:val="auto"/>
              <w:rPr>
                <w:rFonts w:hint="eastAsia"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w:t>
            </w:r>
            <w:r>
              <w:rPr>
                <w:rFonts w:ascii="仿宋" w:hAnsi="仿宋" w:eastAsia="仿宋" w:cs="仿宋"/>
                <w:color w:val="auto"/>
                <w:sz w:val="22"/>
                <w:szCs w:val="22"/>
                <w:highlight w:val="none"/>
                <w:u w:val="none" w:color="auto"/>
              </w:rPr>
              <w:t>民币</w:t>
            </w:r>
            <w:r>
              <w:rPr>
                <w:rFonts w:hint="eastAsia" w:ascii="仿宋" w:hAnsi="仿宋" w:eastAsia="仿宋" w:cs="仿宋"/>
                <w:color w:val="auto"/>
                <w:sz w:val="22"/>
                <w:szCs w:val="22"/>
                <w:highlight w:val="none"/>
                <w:u w:val="none" w:color="auto"/>
                <w:lang w:val="en-US" w:eastAsia="zh-CN"/>
              </w:rPr>
              <w:t>9.8万</w:t>
            </w:r>
            <w:r>
              <w:rPr>
                <w:rFonts w:ascii="仿宋" w:hAnsi="仿宋" w:eastAsia="仿宋" w:cs="仿宋"/>
                <w:color w:val="auto"/>
                <w:sz w:val="22"/>
                <w:szCs w:val="22"/>
                <w:highlight w:val="none"/>
                <w:u w:val="none" w:color="auto"/>
              </w:rPr>
              <w:t>元</w:t>
            </w:r>
            <w:r>
              <w:rPr>
                <w:rFonts w:hint="eastAsia" w:ascii="仿宋" w:hAnsi="仿宋" w:eastAsia="仿宋" w:cs="仿宋"/>
                <w:color w:val="auto"/>
                <w:sz w:val="22"/>
                <w:szCs w:val="22"/>
                <w:highlight w:val="none"/>
                <w:u w:val="none" w:color="auto"/>
                <w:lang w:eastAsia="zh-CN"/>
              </w:rPr>
              <w:t>，数字化服务系统、存量档案扫描服务</w:t>
            </w:r>
            <w:r>
              <w:rPr>
                <w:rFonts w:hint="eastAsia" w:ascii="仿宋" w:hAnsi="仿宋" w:eastAsia="仿宋" w:cs="仿宋"/>
                <w:color w:val="auto"/>
                <w:sz w:val="22"/>
                <w:szCs w:val="22"/>
                <w:highlight w:val="none"/>
                <w:lang w:val="en-US" w:eastAsia="zh-CN"/>
              </w:rPr>
              <w:t>限高单价详见第三章，</w:t>
            </w:r>
            <w:r>
              <w:rPr>
                <w:rFonts w:hint="eastAsia" w:ascii="仿宋" w:hAnsi="仿宋" w:eastAsia="仿宋" w:cs="仿宋"/>
                <w:color w:val="auto"/>
                <w:sz w:val="22"/>
                <w:szCs w:val="22"/>
                <w:highlight w:val="none"/>
                <w:u w:val="none" w:color="auto"/>
                <w:lang w:eastAsia="zh-CN"/>
              </w:rPr>
              <w:t>存量档案扫描服务</w:t>
            </w:r>
            <w:r>
              <w:rPr>
                <w:rFonts w:hint="eastAsia" w:ascii="仿宋" w:hAnsi="仿宋" w:eastAsia="仿宋" w:cs="仿宋"/>
                <w:color w:val="auto"/>
                <w:sz w:val="22"/>
                <w:szCs w:val="22"/>
                <w:highlight w:val="none"/>
                <w:u w:val="none" w:color="auto"/>
                <w:lang w:val="en-US" w:eastAsia="zh-CN"/>
              </w:rPr>
              <w:t>支付上限5万元</w:t>
            </w:r>
            <w:r>
              <w:rPr>
                <w:rFonts w:hint="eastAsia" w:ascii="仿宋" w:hAnsi="仿宋" w:eastAsia="仿宋" w:cs="仿宋"/>
                <w:color w:val="auto"/>
                <w:sz w:val="22"/>
                <w:szCs w:val="22"/>
                <w:highlight w:val="none"/>
                <w:lang w:val="en-US" w:eastAsia="zh-CN"/>
              </w:rPr>
              <w:t>。</w:t>
            </w:r>
          </w:p>
          <w:p w14:paraId="3592E572">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存量档案扫描服务要求报统一下浮率，下浮率＜0或≥100%，视为无效报价，其响应文件作无效处理。</w:t>
            </w:r>
          </w:p>
          <w:p w14:paraId="5F792832">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76" w:lineRule="auto"/>
              <w:ind w:left="0" w:leftChars="0"/>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76" w:lineRule="auto"/>
              <w:ind w:left="0" w:leftChars="0"/>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76" w:lineRule="auto"/>
              <w:ind w:left="0" w:leftChars="0"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76" w:lineRule="auto"/>
              <w:ind w:left="0" w:leftChars="0"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76" w:lineRule="auto"/>
              <w:ind w:left="0" w:leftChars="0"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76" w:lineRule="auto"/>
              <w:ind w:left="0" w:leftChars="0"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76" w:lineRule="auto"/>
              <w:ind w:left="0" w:leftChars="0"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76" w:lineRule="auto"/>
              <w:ind w:left="0" w:leftChars="0"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76" w:lineRule="auto"/>
              <w:ind w:left="0" w:leftChars="0"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76" w:lineRule="auto"/>
              <w:ind w:left="0" w:leftChars="0"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76" w:lineRule="auto"/>
              <w:ind w:left="0" w:leftChars="0"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76" w:lineRule="auto"/>
              <w:ind w:left="0" w:leftChars="0"/>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76" w:lineRule="auto"/>
              <w:ind w:left="0" w:leftChars="0"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76" w:lineRule="auto"/>
              <w:ind w:left="0" w:leftChars="0"/>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76" w:lineRule="auto"/>
              <w:ind w:left="0" w:leftChars="0"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76" w:lineRule="auto"/>
              <w:ind w:left="0" w:leftChars="0"/>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76" w:lineRule="auto"/>
              <w:ind w:left="0" w:leftChars="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76" w:lineRule="auto"/>
              <w:ind w:left="0" w:leftChars="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rPr>
              <w:t xml:space="preserve">     </w:t>
            </w:r>
          </w:p>
          <w:p w14:paraId="66C48130">
            <w:pPr>
              <w:pStyle w:val="35"/>
              <w:keepNext w:val="0"/>
              <w:keepLines w:val="0"/>
              <w:pageBreakBefore w:val="0"/>
              <w:numPr>
                <w:ilvl w:val="0"/>
                <w:numId w:val="6"/>
              </w:numPr>
              <w:tabs>
                <w:tab w:val="left" w:pos="220"/>
                <w:tab w:val="clear" w:pos="0"/>
              </w:tabs>
              <w:kinsoku/>
              <w:overflowPunct/>
              <w:bidi w:val="0"/>
              <w:spacing w:line="276" w:lineRule="auto"/>
              <w:ind w:left="0" w:leftChars="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76" w:lineRule="auto"/>
              <w:ind w:left="0" w:leftChars="0"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76" w:lineRule="auto"/>
              <w:ind w:left="0" w:leftChars="0"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76" w:lineRule="auto"/>
              <w:ind w:left="0" w:leftChars="0"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76" w:lineRule="auto"/>
              <w:ind w:left="0" w:leftChars="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76" w:lineRule="auto"/>
              <w:ind w:left="0" w:leftChars="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23E845B5">
            <w:pPr>
              <w:pStyle w:val="35"/>
              <w:keepNext w:val="0"/>
              <w:keepLines w:val="0"/>
              <w:pageBreakBefore w:val="0"/>
              <w:tabs>
                <w:tab w:val="left" w:pos="220"/>
              </w:tabs>
              <w:kinsoku/>
              <w:overflowPunct/>
              <w:bidi w:val="0"/>
              <w:spacing w:line="276" w:lineRule="auto"/>
              <w:ind w:left="0" w:leftChars="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76" w:lineRule="auto"/>
              <w:ind w:left="0" w:leftChars="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0C16FB9D">
            <w:pPr>
              <w:pStyle w:val="35"/>
              <w:keepNext w:val="0"/>
              <w:keepLines w:val="0"/>
              <w:pageBreakBefore w:val="0"/>
              <w:numPr>
                <w:ilvl w:val="0"/>
                <w:numId w:val="6"/>
              </w:numPr>
              <w:tabs>
                <w:tab w:val="left" w:pos="220"/>
                <w:tab w:val="clear" w:pos="0"/>
              </w:tabs>
              <w:kinsoku/>
              <w:overflowPunct/>
              <w:bidi w:val="0"/>
              <w:spacing w:line="276" w:lineRule="auto"/>
              <w:ind w:left="0" w:leftChars="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76" w:lineRule="auto"/>
              <w:ind w:left="0" w:leftChars="0"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1333ED46">
            <w:pPr>
              <w:pStyle w:val="35"/>
              <w:keepNext w:val="0"/>
              <w:keepLines w:val="0"/>
              <w:pageBreakBefore w:val="0"/>
              <w:numPr>
                <w:ilvl w:val="0"/>
                <w:numId w:val="8"/>
              </w:numPr>
              <w:tabs>
                <w:tab w:val="left" w:pos="218"/>
                <w:tab w:val="clear" w:pos="0"/>
              </w:tabs>
              <w:kinsoku/>
              <w:overflowPunct/>
              <w:bidi w:val="0"/>
              <w:spacing w:line="276" w:lineRule="auto"/>
              <w:ind w:left="0" w:leftChars="0"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A22446F">
            <w:pPr>
              <w:pStyle w:val="35"/>
              <w:keepNext w:val="0"/>
              <w:keepLines w:val="0"/>
              <w:pageBreakBefore w:val="0"/>
              <w:numPr>
                <w:ilvl w:val="0"/>
                <w:numId w:val="8"/>
              </w:numPr>
              <w:tabs>
                <w:tab w:val="left" w:pos="218"/>
                <w:tab w:val="clear" w:pos="0"/>
              </w:tabs>
              <w:kinsoku/>
              <w:overflowPunct/>
              <w:bidi w:val="0"/>
              <w:spacing w:line="276" w:lineRule="auto"/>
              <w:ind w:left="0" w:leftChars="0"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76" w:lineRule="auto"/>
              <w:ind w:left="0" w:leftChars="0"/>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76" w:lineRule="auto"/>
              <w:ind w:left="0" w:leftChars="0"/>
              <w:textAlignment w:val="auto"/>
              <w:rPr>
                <w:rFonts w:ascii="仿宋" w:hAnsi="仿宋" w:eastAsia="仿宋" w:cs="仿宋"/>
                <w:color w:val="auto"/>
                <w:kern w:val="0"/>
                <w:sz w:val="22"/>
                <w:szCs w:val="22"/>
                <w:highlight w:val="none"/>
                <w:lang w:val="zh-CN"/>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p w14:paraId="7E17E9B0">
            <w:pPr>
              <w:keepNext w:val="0"/>
              <w:keepLines w:val="0"/>
              <w:pageBreakBefore w:val="0"/>
              <w:kinsoku/>
              <w:overflowPunct/>
              <w:bidi w:val="0"/>
              <w:spacing w:line="276" w:lineRule="auto"/>
              <w:ind w:left="0" w:leftChars="0"/>
              <w:textAlignment w:val="auto"/>
              <w:rPr>
                <w:rFonts w:hint="eastAsia" w:ascii="仿宋" w:hAnsi="仿宋" w:eastAsia="仿宋" w:cs="仿宋"/>
                <w:color w:val="auto"/>
                <w:kern w:val="0"/>
                <w:sz w:val="22"/>
                <w:szCs w:val="22"/>
                <w:highlight w:val="none"/>
                <w:lang w:val="en-US" w:eastAsia="zh-CN"/>
              </w:rPr>
            </w:pPr>
            <w:r>
              <w:rPr>
                <w:rFonts w:hint="default" w:ascii="仿宋" w:hAnsi="仿宋" w:eastAsia="仿宋" w:cs="仿宋"/>
                <w:b/>
                <w:bCs/>
                <w:color w:val="auto"/>
                <w:kern w:val="0"/>
                <w:sz w:val="22"/>
                <w:szCs w:val="22"/>
                <w:highlight w:val="none"/>
                <w:lang w:val="zh-CN"/>
              </w:rPr>
              <w:t>有效报价</w:t>
            </w:r>
            <w:r>
              <w:rPr>
                <w:rFonts w:ascii="仿宋" w:hAnsi="仿宋" w:eastAsia="仿宋" w:cs="仿宋"/>
                <w:b/>
                <w:bCs/>
                <w:color w:val="auto"/>
                <w:kern w:val="0"/>
                <w:sz w:val="22"/>
                <w:szCs w:val="22"/>
                <w:highlight w:val="none"/>
                <w:lang w:val="zh-CN"/>
              </w:rPr>
              <w:t>最低</w:t>
            </w:r>
            <w:r>
              <w:rPr>
                <w:rFonts w:hint="eastAsia" w:ascii="仿宋" w:hAnsi="仿宋" w:eastAsia="仿宋" w:cs="仿宋"/>
                <w:b/>
                <w:bCs/>
                <w:color w:val="auto"/>
                <w:kern w:val="0"/>
                <w:sz w:val="22"/>
                <w:szCs w:val="22"/>
                <w:highlight w:val="none"/>
                <w:lang w:val="zh-CN"/>
              </w:rPr>
              <w:t>：（数字化服务系统</w:t>
            </w:r>
            <w:r>
              <w:rPr>
                <w:rFonts w:hint="eastAsia" w:ascii="仿宋" w:hAnsi="仿宋" w:eastAsia="仿宋" w:cs="仿宋"/>
                <w:b/>
                <w:bCs/>
                <w:color w:val="auto"/>
                <w:kern w:val="0"/>
                <w:sz w:val="22"/>
                <w:szCs w:val="22"/>
                <w:highlight w:val="none"/>
                <w:lang w:val="en-US" w:eastAsia="zh-CN"/>
              </w:rPr>
              <w:t>报价+（1-存量档案扫描服务下浮率）*50000</w:t>
            </w:r>
            <w:r>
              <w:rPr>
                <w:rFonts w:hint="eastAsia" w:ascii="仿宋" w:hAnsi="仿宋" w:eastAsia="仿宋" w:cs="仿宋"/>
                <w:b/>
                <w:bCs/>
                <w:color w:val="auto"/>
                <w:kern w:val="0"/>
                <w:sz w:val="22"/>
                <w:szCs w:val="22"/>
                <w:highlight w:val="none"/>
                <w:lang w:val="zh-CN"/>
              </w:rPr>
              <w:t>）</w:t>
            </w:r>
            <w:r>
              <w:rPr>
                <w:rFonts w:hint="eastAsia" w:ascii="仿宋" w:hAnsi="仿宋" w:eastAsia="仿宋" w:cs="仿宋"/>
                <w:b/>
                <w:bCs/>
                <w:color w:val="auto"/>
                <w:kern w:val="0"/>
                <w:sz w:val="22"/>
                <w:szCs w:val="22"/>
                <w:highlight w:val="none"/>
                <w:lang w:val="en-US" w:eastAsia="zh-CN"/>
              </w:rPr>
              <w:t>最低。</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76" w:lineRule="auto"/>
              <w:ind w:left="0" w:leftChars="0"/>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76" w:lineRule="auto"/>
              <w:ind w:left="0" w:leftChars="0"/>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76" w:lineRule="auto"/>
              <w:ind w:left="0" w:leftChars="0"/>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76" w:lineRule="auto"/>
              <w:ind w:left="0" w:leftChars="0"/>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76" w:lineRule="auto"/>
              <w:ind w:left="0" w:leftChars="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76" w:lineRule="auto"/>
              <w:ind w:left="0" w:leftChars="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76" w:lineRule="auto"/>
              <w:ind w:left="0" w:leftChars="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76" w:lineRule="auto"/>
              <w:ind w:left="0" w:leftChars="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76" w:lineRule="auto"/>
              <w:ind w:left="0" w:leftChars="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76" w:lineRule="auto"/>
              <w:ind w:left="0" w:leftChars="0"/>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76" w:lineRule="auto"/>
              <w:ind w:left="0" w:leftChars="0"/>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76" w:lineRule="auto"/>
              <w:ind w:left="0" w:leftChars="0"/>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76" w:lineRule="auto"/>
              <w:ind w:left="0" w:leftChars="0"/>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76" w:lineRule="auto"/>
              <w:ind w:left="0" w:leftChars="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丁</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87393463</w:t>
            </w:r>
          </w:p>
          <w:p w14:paraId="4C1AE43C">
            <w:pPr>
              <w:keepNext w:val="0"/>
              <w:keepLines w:val="0"/>
              <w:pageBreakBefore w:val="0"/>
              <w:kinsoku/>
              <w:overflowPunct/>
              <w:bidi w:val="0"/>
              <w:spacing w:line="276" w:lineRule="auto"/>
              <w:ind w:left="0" w:leftChars="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万</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76" w:lineRule="auto"/>
              <w:ind w:left="0" w:leftChars="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76" w:lineRule="auto"/>
              <w:ind w:left="0" w:leftChars="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highlight w:val="none"/>
          <w:lang w:val="zh-TW" w:eastAsia="zh-TW"/>
        </w:rPr>
      </w:pPr>
    </w:p>
    <w:p w14:paraId="113CC27A">
      <w:pPr>
        <w:rPr>
          <w:rStyle w:val="20"/>
          <w:rFonts w:hint="default" w:asciiTheme="majorEastAsia" w:hAnsiTheme="majorEastAsia" w:eastAsiaTheme="majorEastAsia"/>
          <w:b/>
          <w:bCs/>
          <w:color w:val="auto"/>
          <w:szCs w:val="32"/>
          <w:highlight w:val="none"/>
        </w:rPr>
      </w:pPr>
      <w:bookmarkStart w:id="2" w:name="_Toc18086"/>
      <w:bookmarkStart w:id="3" w:name="第二章"/>
      <w:r>
        <w:rPr>
          <w:rStyle w:val="20"/>
          <w:rFonts w:hint="default" w:asciiTheme="majorEastAsia" w:hAnsiTheme="majorEastAsia" w:eastAsiaTheme="majorEastAsia"/>
          <w:b/>
          <w:bCs/>
          <w:color w:val="auto"/>
          <w:szCs w:val="32"/>
          <w:highlight w:val="none"/>
          <w:u w:val="none"/>
        </w:rPr>
        <w:br w:type="page"/>
      </w:r>
    </w:p>
    <w:p w14:paraId="62FD8587">
      <w:pPr>
        <w:pStyle w:val="3"/>
        <w:ind w:firstLine="0"/>
        <w:rPr>
          <w:rStyle w:val="20"/>
          <w:rFonts w:asciiTheme="majorEastAsia" w:hAnsiTheme="majorEastAsia" w:eastAsiaTheme="majorEastAsia"/>
          <w:color w:val="auto"/>
          <w:szCs w:val="32"/>
          <w:highlight w:val="none"/>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1765" w:type="dxa"/>
            <w:tcBorders>
              <w:top w:val="single" w:color="auto" w:sz="18" w:space="0"/>
            </w:tcBorders>
            <w:vAlign w:val="center"/>
          </w:tcPr>
          <w:p w14:paraId="03C48317">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应知事项</w:t>
            </w:r>
          </w:p>
        </w:tc>
        <w:tc>
          <w:tcPr>
            <w:tcW w:w="6801" w:type="dxa"/>
            <w:tcBorders>
              <w:top w:val="single" w:color="auto" w:sz="18" w:space="0"/>
            </w:tcBorders>
            <w:vAlign w:val="center"/>
          </w:tcPr>
          <w:p w14:paraId="24E5B32B">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004AE99C">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14:paraId="2EF67B45">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作无效。</w:t>
            </w:r>
          </w:p>
          <w:p w14:paraId="40E3C382">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rPr>
              <w:t>报价</w:t>
            </w:r>
            <w:r>
              <w:rPr>
                <w:rFonts w:hint="eastAsia" w:ascii="仿宋" w:hAnsi="仿宋" w:eastAsia="仿宋" w:cs="仿宋"/>
                <w:color w:val="auto"/>
                <w:sz w:val="22"/>
                <w:szCs w:val="22"/>
                <w:highlight w:val="none"/>
                <w:lang w:val="zh-TW" w:eastAsia="zh-TW"/>
              </w:rPr>
              <w:t>不可撤回。</w:t>
            </w:r>
          </w:p>
          <w:p w14:paraId="7CD029F7">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14:paraId="58E6DD78">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10B913F">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编制要求</w:t>
            </w:r>
          </w:p>
        </w:tc>
        <w:tc>
          <w:tcPr>
            <w:tcW w:w="6801" w:type="dxa"/>
            <w:tcBorders>
              <w:bottom w:val="single" w:color="auto" w:sz="4" w:space="0"/>
            </w:tcBorders>
            <w:vAlign w:val="center"/>
          </w:tcPr>
          <w:p w14:paraId="23CFEB5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(1)报价文件格式：详见本采购文件第四章。</w:t>
            </w:r>
          </w:p>
          <w:p w14:paraId="7A85219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(2)报价文件语言：</w:t>
            </w:r>
          </w:p>
          <w:p w14:paraId="60661FF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1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①</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D57715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评审要求</w:t>
            </w:r>
          </w:p>
        </w:tc>
        <w:tc>
          <w:tcPr>
            <w:tcW w:w="6801" w:type="dxa"/>
            <w:tcBorders>
              <w:bottom w:val="single" w:color="auto" w:sz="4" w:space="0"/>
            </w:tcBorders>
            <w:vAlign w:val="center"/>
          </w:tcPr>
          <w:p w14:paraId="5EA463C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（3）异常低价情形：</w:t>
            </w:r>
          </w:p>
          <w:p w14:paraId="1CF625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1）如评审过程中认定评审过程中出现下列情形之一的，应启动异常低价响应审查程序</w:t>
            </w:r>
          </w:p>
          <w:p w14:paraId="2A1836A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①响应报价低于全部通过符合性审查供应商响应报价平均值50％的，即响应报价＜全部通过符合性审查供应商响应报价平均值×50％；</w:t>
            </w:r>
          </w:p>
          <w:p w14:paraId="7DF57F8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②响应报价低于通过符合性审查的次低报价供应商响应报价50％的，即响应报价＜通过符合性审查的次低报价供应商响应报价×50％；</w:t>
            </w:r>
          </w:p>
          <w:p w14:paraId="4E2B5116">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③响应报价低于采购项目最高限价45％的，即响应报价＜采购项目最高限价×45％；</w:t>
            </w:r>
          </w:p>
          <w:p w14:paraId="6ED2A56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④评审时基于专业判断，认为供应商报价过低，有可能影响产品质量或者不能诚信履约的其他情形。</w:t>
            </w:r>
          </w:p>
          <w:p w14:paraId="2220A6F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采购人可以结合具体项目实际情况，提高上述第①项至第③项中启动异常低价响应审查的数值标准，但是最高不得超过65%。 </w:t>
            </w:r>
          </w:p>
          <w:p w14:paraId="59B2AB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相关法律法规对供应商报价有规定的，从其规定。</w:t>
            </w:r>
          </w:p>
          <w:p w14:paraId="367D340C">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2）异常低价响应审查程序：</w:t>
            </w:r>
          </w:p>
          <w:p w14:paraId="7C42851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②评审时应当结合同类产品电商平台价格、行业薪资水平、历史成交价格等信息，对供应商成本构成说明材料进行核查，判断报价合理性。</w:t>
            </w:r>
          </w:p>
          <w:p w14:paraId="5673955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③供应商未按要求提交成本构成说明材料，或者提交的材料不能证明其报价合理性的，评审时应当将其响应作无效响应处理。</w:t>
            </w:r>
          </w:p>
          <w:p w14:paraId="2B3578C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D97ECB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货物质量要求</w:t>
            </w:r>
          </w:p>
        </w:tc>
        <w:tc>
          <w:tcPr>
            <w:tcW w:w="6801" w:type="dxa"/>
            <w:vAlign w:val="center"/>
          </w:tcPr>
          <w:p w14:paraId="686151E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691B4B72">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服务质量要求</w:t>
            </w:r>
          </w:p>
        </w:tc>
        <w:tc>
          <w:tcPr>
            <w:tcW w:w="6801" w:type="dxa"/>
            <w:vAlign w:val="center"/>
          </w:tcPr>
          <w:p w14:paraId="572A567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(2)若出现质量问题，中选供应商负责按照采购人要求承担相应的经济和法律责任。</w:t>
            </w:r>
          </w:p>
          <w:p w14:paraId="06BE727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F3223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知识产权要求</w:t>
            </w:r>
          </w:p>
        </w:tc>
        <w:tc>
          <w:tcPr>
            <w:tcW w:w="6801" w:type="dxa"/>
            <w:vAlign w:val="center"/>
          </w:tcPr>
          <w:p w14:paraId="4974ABD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75A9D60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纪律要求</w:t>
            </w:r>
          </w:p>
        </w:tc>
        <w:tc>
          <w:tcPr>
            <w:tcW w:w="6801" w:type="dxa"/>
            <w:vAlign w:val="center"/>
          </w:tcPr>
          <w:p w14:paraId="0F83BD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(1)供应商在参与采购活动过程中，不得有任何违法乱纪的行为。</w:t>
            </w:r>
          </w:p>
          <w:p w14:paraId="4C02243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(2)若报价文件存在虚假响应，将作无效处理，若是中选后发现的，采购人将取消中选资格。</w:t>
            </w:r>
          </w:p>
          <w:p w14:paraId="093330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72EEFA4">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采购文件的澄清、更正</w:t>
            </w:r>
          </w:p>
        </w:tc>
        <w:tc>
          <w:tcPr>
            <w:tcW w:w="6801" w:type="dxa"/>
            <w:vAlign w:val="center"/>
          </w:tcPr>
          <w:p w14:paraId="7EAC1C6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AF440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供应商质疑</w:t>
            </w:r>
          </w:p>
        </w:tc>
        <w:tc>
          <w:tcPr>
            <w:tcW w:w="6801" w:type="dxa"/>
            <w:vAlign w:val="center"/>
          </w:tcPr>
          <w:p w14:paraId="1DD1B476">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w:t>
            </w:r>
          </w:p>
          <w:p w14:paraId="7F370FC4">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1.供应商质疑不得超出采购文件、采购过程、采购结果的范围；</w:t>
            </w:r>
          </w:p>
          <w:p w14:paraId="7E64D613">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2.供应商针对同一采购程序环节的质疑应一次性提出；</w:t>
            </w:r>
          </w:p>
          <w:p w14:paraId="7D758B1D">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3.质疑相关资料要求：</w:t>
            </w:r>
          </w:p>
          <w:p w14:paraId="2166CD4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（1）质疑函：明确具体质疑事项、事实依据和法律依据，质疑请求。</w:t>
            </w:r>
          </w:p>
          <w:p w14:paraId="7FDCD18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（2）授权委托书：供应商若委托代理人进行质疑的提供授权委托书，授权委托书应载明代理人的姓名或者名称、代理事项、具体权限、期限等相关事项。</w:t>
            </w:r>
          </w:p>
          <w:p w14:paraId="555E707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5E2ABB71">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中选公告及合同签订</w:t>
            </w:r>
          </w:p>
        </w:tc>
        <w:tc>
          <w:tcPr>
            <w:tcW w:w="6801" w:type="dxa"/>
            <w:vAlign w:val="center"/>
          </w:tcPr>
          <w:p w14:paraId="2865D6F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rPr>
              <w:t>选</w:t>
            </w:r>
            <w:r>
              <w:rPr>
                <w:rFonts w:hint="eastAsia" w:ascii="仿宋" w:hAnsi="仿宋" w:eastAsia="仿宋" w:cs="仿宋"/>
                <w:color w:val="auto"/>
                <w:sz w:val="22"/>
                <w:szCs w:val="22"/>
                <w:highlight w:val="none"/>
                <w:lang w:val="zh-CN"/>
              </w:rPr>
              <w:t>公告；</w:t>
            </w:r>
          </w:p>
          <w:p w14:paraId="65F561D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3463</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供应商的原因逾期未与采购人签订采购合同的，将视为放弃</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，取消其</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资格并将按相关规定进行处理。</w:t>
            </w:r>
          </w:p>
          <w:p w14:paraId="3175F73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（4）若中选供应商以非正当理由放弃中选，3年内不得参与本单位的采购项目。</w:t>
            </w:r>
          </w:p>
          <w:p w14:paraId="15994DF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TW" w:eastAsia="zh-TW"/>
              </w:rPr>
              <w:t>个工作日内</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应保证或选文件中所写明的法定代表人或委托代理人的</w:t>
            </w:r>
            <w:r>
              <w:rPr>
                <w:rFonts w:hint="eastAsia" w:ascii="仿宋" w:hAnsi="仿宋" w:eastAsia="仿宋" w:cs="仿宋"/>
                <w:color w:val="auto"/>
                <w:sz w:val="22"/>
                <w:szCs w:val="22"/>
                <w:highlight w:val="none"/>
                <w:lang w:val="zh-TW"/>
              </w:rPr>
              <w:t>联系方式的畅通，并确保其具备与采购人就本项目进行沟通的条件</w:t>
            </w:r>
            <w:r>
              <w:rPr>
                <w:rFonts w:hint="eastAsia"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320850EB">
            <w:pPr>
              <w:pStyle w:val="31"/>
              <w:keepNext w:val="0"/>
              <w:keepLines w:val="0"/>
              <w:pageBreakBefore w:val="0"/>
              <w:widowControl w:val="0"/>
              <w:kinsoku/>
              <w:overflowPunct/>
              <w:bidi w:val="0"/>
              <w:adjustRightInd w:val="0"/>
              <w:snapToGrid w:val="0"/>
              <w:spacing w:line="360" w:lineRule="auto"/>
              <w:ind w:left="0" w:leftChars="0" w:firstLine="0" w:firstLineChars="0"/>
              <w:jc w:val="left"/>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总体说明</w:t>
            </w:r>
          </w:p>
        </w:tc>
        <w:tc>
          <w:tcPr>
            <w:tcW w:w="6801" w:type="dxa"/>
            <w:vAlign w:val="center"/>
          </w:tcPr>
          <w:p w14:paraId="04150F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(1)参与询比价产生的一切费用由供应商自行承担。</w:t>
            </w:r>
          </w:p>
          <w:p w14:paraId="36F8E53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(2)本采购文件中的条款为实质性要求，供应商必须符合和满足，否则将视为无效响应处理。</w:t>
            </w:r>
          </w:p>
          <w:p w14:paraId="057DA26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14:paraId="3FCC313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(4)本文件中的“供应商”系指获取了本项目采购文件，拟参与本次询比价采购活动的潜在供应商。</w:t>
            </w:r>
          </w:p>
          <w:p w14:paraId="1788149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14:paraId="5A8AE55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4"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3"/>
        <w:ind w:firstLine="0"/>
        <w:rPr>
          <w:rStyle w:val="20"/>
          <w:rFonts w:asciiTheme="majorEastAsia" w:hAnsiTheme="majorEastAsia" w:eastAsiaTheme="majorEastAsia"/>
          <w:color w:val="auto"/>
          <w:sz w:val="32"/>
          <w:szCs w:val="32"/>
          <w:highlight w:val="none"/>
          <w:u w:val="none"/>
          <w:lang w:eastAsia="zh-TW"/>
        </w:rPr>
      </w:pPr>
      <w:bookmarkStart w:id="5"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5"/>
    </w:p>
    <w:bookmarkEnd w:id="4"/>
    <w:p w14:paraId="50F41384">
      <w:pPr>
        <w:pStyle w:val="2"/>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6"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456"/>
        <w:gridCol w:w="3297"/>
        <w:gridCol w:w="3107"/>
        <w:gridCol w:w="1548"/>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7"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7"/>
    </w:p>
    <w:p w14:paraId="686EFE35">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291B125C">
      <w:pPr>
        <w:pStyle w:val="13"/>
        <w:numPr>
          <w:ilvl w:val="0"/>
          <w:numId w:val="0"/>
        </w:numPr>
        <w:ind w:firstLine="0" w:firstLineChars="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1.1采购清单</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94"/>
        <w:gridCol w:w="1393"/>
        <w:gridCol w:w="1308"/>
        <w:gridCol w:w="878"/>
        <w:gridCol w:w="973"/>
        <w:gridCol w:w="1781"/>
        <w:gridCol w:w="1474"/>
      </w:tblGrid>
      <w:tr w14:paraId="32276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shd w:val="clear" w:color="auto" w:fill="auto"/>
            <w:tcMar>
              <w:top w:w="0" w:type="dxa"/>
              <w:left w:w="105" w:type="dxa"/>
              <w:bottom w:w="0" w:type="dxa"/>
              <w:right w:w="105" w:type="dxa"/>
            </w:tcMar>
            <w:vAlign w:val="center"/>
          </w:tcPr>
          <w:p w14:paraId="25D2C0CB">
            <w:pPr>
              <w:pStyle w:val="12"/>
              <w:keepNext w:val="0"/>
              <w:keepLines w:val="0"/>
              <w:widowControl/>
              <w:suppressLineNumbers w:val="0"/>
              <w:autoSpaceDE w:val="0"/>
              <w:autoSpaceDN/>
              <w:jc w:val="center"/>
              <w:rPr>
                <w:rFonts w:hint="eastAsia" w:ascii="仿宋" w:hAnsi="仿宋" w:eastAsia="仿宋" w:cs="仿宋"/>
                <w:sz w:val="24"/>
                <w:szCs w:val="24"/>
              </w:rPr>
            </w:pPr>
            <w:r>
              <w:rPr>
                <w:rStyle w:val="17"/>
                <w:rFonts w:hint="eastAsia" w:ascii="仿宋" w:hAnsi="仿宋" w:eastAsia="仿宋" w:cs="仿宋"/>
                <w:sz w:val="24"/>
                <w:szCs w:val="24"/>
              </w:rPr>
              <w:t>序号</w:t>
            </w:r>
          </w:p>
        </w:tc>
        <w:tc>
          <w:tcPr>
            <w:tcW w:w="819" w:type="pct"/>
            <w:shd w:val="clear" w:color="auto" w:fill="auto"/>
            <w:tcMar>
              <w:top w:w="0" w:type="dxa"/>
              <w:left w:w="105" w:type="dxa"/>
              <w:bottom w:w="0" w:type="dxa"/>
              <w:right w:w="105" w:type="dxa"/>
            </w:tcMar>
            <w:vAlign w:val="center"/>
          </w:tcPr>
          <w:p w14:paraId="7D2B0C33">
            <w:pPr>
              <w:pStyle w:val="12"/>
              <w:keepNext w:val="0"/>
              <w:keepLines w:val="0"/>
              <w:widowControl/>
              <w:suppressLineNumbers w:val="0"/>
              <w:autoSpaceDE w:val="0"/>
              <w:autoSpaceDN/>
              <w:jc w:val="center"/>
              <w:rPr>
                <w:rFonts w:hint="eastAsia" w:ascii="仿宋" w:hAnsi="仿宋" w:eastAsia="仿宋" w:cs="仿宋"/>
                <w:sz w:val="24"/>
                <w:szCs w:val="24"/>
              </w:rPr>
            </w:pPr>
            <w:r>
              <w:rPr>
                <w:rStyle w:val="17"/>
                <w:rFonts w:hint="eastAsia" w:ascii="仿宋" w:hAnsi="仿宋" w:eastAsia="仿宋" w:cs="仿宋"/>
                <w:sz w:val="24"/>
                <w:szCs w:val="24"/>
              </w:rPr>
              <w:t>品名</w:t>
            </w:r>
          </w:p>
        </w:tc>
        <w:tc>
          <w:tcPr>
            <w:tcW w:w="769" w:type="pct"/>
            <w:shd w:val="clear" w:color="auto" w:fill="auto"/>
            <w:tcMar>
              <w:top w:w="0" w:type="dxa"/>
              <w:left w:w="105" w:type="dxa"/>
              <w:bottom w:w="0" w:type="dxa"/>
              <w:right w:w="105" w:type="dxa"/>
            </w:tcMar>
            <w:vAlign w:val="center"/>
          </w:tcPr>
          <w:p w14:paraId="46D47A70">
            <w:pPr>
              <w:pStyle w:val="12"/>
              <w:keepNext w:val="0"/>
              <w:keepLines w:val="0"/>
              <w:widowControl/>
              <w:suppressLineNumbers w:val="0"/>
              <w:autoSpaceDE w:val="0"/>
              <w:autoSpaceDN/>
              <w:jc w:val="center"/>
              <w:rPr>
                <w:rFonts w:hint="eastAsia" w:ascii="仿宋" w:hAnsi="仿宋" w:eastAsia="仿宋" w:cs="仿宋"/>
                <w:sz w:val="24"/>
                <w:szCs w:val="24"/>
              </w:rPr>
            </w:pPr>
            <w:r>
              <w:rPr>
                <w:rStyle w:val="17"/>
                <w:rFonts w:hint="eastAsia" w:ascii="仿宋" w:hAnsi="仿宋" w:eastAsia="仿宋" w:cs="仿宋"/>
                <w:sz w:val="24"/>
                <w:szCs w:val="24"/>
              </w:rPr>
              <w:t>详细描述</w:t>
            </w:r>
          </w:p>
        </w:tc>
        <w:tc>
          <w:tcPr>
            <w:tcW w:w="516" w:type="pct"/>
            <w:shd w:val="clear" w:color="auto" w:fill="auto"/>
            <w:tcMar>
              <w:top w:w="0" w:type="dxa"/>
              <w:left w:w="105" w:type="dxa"/>
              <w:bottom w:w="0" w:type="dxa"/>
              <w:right w:w="105" w:type="dxa"/>
            </w:tcMar>
            <w:vAlign w:val="center"/>
          </w:tcPr>
          <w:p w14:paraId="26FF5F0E">
            <w:pPr>
              <w:pStyle w:val="12"/>
              <w:keepNext w:val="0"/>
              <w:keepLines w:val="0"/>
              <w:widowControl/>
              <w:suppressLineNumbers w:val="0"/>
              <w:autoSpaceDE w:val="0"/>
              <w:autoSpaceDN/>
              <w:jc w:val="center"/>
              <w:rPr>
                <w:rFonts w:hint="eastAsia" w:ascii="仿宋" w:hAnsi="仿宋" w:eastAsia="仿宋" w:cs="仿宋"/>
                <w:sz w:val="24"/>
                <w:szCs w:val="24"/>
              </w:rPr>
            </w:pPr>
            <w:r>
              <w:rPr>
                <w:rStyle w:val="17"/>
                <w:rFonts w:hint="eastAsia" w:ascii="仿宋" w:hAnsi="仿宋" w:eastAsia="仿宋" w:cs="仿宋"/>
                <w:sz w:val="24"/>
                <w:szCs w:val="24"/>
              </w:rPr>
              <w:t>数量</w:t>
            </w:r>
          </w:p>
        </w:tc>
        <w:tc>
          <w:tcPr>
            <w:tcW w:w="572" w:type="pct"/>
            <w:shd w:val="clear" w:color="auto" w:fill="auto"/>
            <w:tcMar>
              <w:top w:w="0" w:type="dxa"/>
              <w:left w:w="105" w:type="dxa"/>
              <w:bottom w:w="0" w:type="dxa"/>
              <w:right w:w="105" w:type="dxa"/>
            </w:tcMar>
            <w:vAlign w:val="center"/>
          </w:tcPr>
          <w:p w14:paraId="2629CFAC">
            <w:pPr>
              <w:pStyle w:val="12"/>
              <w:keepNext w:val="0"/>
              <w:keepLines w:val="0"/>
              <w:widowControl/>
              <w:suppressLineNumbers w:val="0"/>
              <w:autoSpaceDE w:val="0"/>
              <w:autoSpaceDN/>
              <w:jc w:val="center"/>
              <w:rPr>
                <w:rFonts w:hint="eastAsia" w:ascii="仿宋" w:hAnsi="仿宋" w:eastAsia="仿宋" w:cs="仿宋"/>
                <w:sz w:val="24"/>
                <w:szCs w:val="24"/>
              </w:rPr>
            </w:pPr>
            <w:r>
              <w:rPr>
                <w:rStyle w:val="17"/>
                <w:rFonts w:hint="eastAsia" w:ascii="仿宋" w:hAnsi="仿宋" w:eastAsia="仿宋" w:cs="仿宋"/>
                <w:sz w:val="24"/>
                <w:szCs w:val="24"/>
              </w:rPr>
              <w:t>单位</w:t>
            </w:r>
          </w:p>
        </w:tc>
        <w:tc>
          <w:tcPr>
            <w:tcW w:w="1047" w:type="pct"/>
            <w:shd w:val="clear" w:color="auto" w:fill="auto"/>
            <w:tcMar>
              <w:top w:w="0" w:type="dxa"/>
              <w:left w:w="105" w:type="dxa"/>
              <w:bottom w:w="0" w:type="dxa"/>
              <w:right w:w="105" w:type="dxa"/>
            </w:tcMar>
            <w:vAlign w:val="center"/>
          </w:tcPr>
          <w:p w14:paraId="398023A0">
            <w:pPr>
              <w:pStyle w:val="12"/>
              <w:keepNext w:val="0"/>
              <w:keepLines w:val="0"/>
              <w:widowControl/>
              <w:suppressLineNumbers w:val="0"/>
              <w:autoSpaceDE w:val="0"/>
              <w:autoSpaceDN/>
              <w:jc w:val="center"/>
              <w:rPr>
                <w:rStyle w:val="17"/>
                <w:rFonts w:hint="eastAsia" w:ascii="仿宋" w:hAnsi="仿宋" w:eastAsia="仿宋" w:cs="仿宋"/>
                <w:sz w:val="24"/>
                <w:szCs w:val="24"/>
              </w:rPr>
            </w:pPr>
            <w:r>
              <w:rPr>
                <w:rStyle w:val="17"/>
                <w:rFonts w:hint="eastAsia" w:ascii="仿宋" w:hAnsi="仿宋" w:eastAsia="仿宋" w:cs="仿宋"/>
                <w:sz w:val="24"/>
                <w:szCs w:val="24"/>
              </w:rPr>
              <w:t>限高单价（元）</w:t>
            </w:r>
          </w:p>
        </w:tc>
        <w:tc>
          <w:tcPr>
            <w:tcW w:w="866" w:type="pct"/>
            <w:shd w:val="clear" w:color="auto" w:fill="auto"/>
            <w:tcMar>
              <w:top w:w="0" w:type="dxa"/>
              <w:left w:w="105" w:type="dxa"/>
              <w:bottom w:w="0" w:type="dxa"/>
              <w:right w:w="105" w:type="dxa"/>
            </w:tcMar>
            <w:vAlign w:val="center"/>
          </w:tcPr>
          <w:p w14:paraId="1C357C29">
            <w:pPr>
              <w:pStyle w:val="12"/>
              <w:keepNext w:val="0"/>
              <w:keepLines w:val="0"/>
              <w:widowControl/>
              <w:suppressLineNumbers w:val="0"/>
              <w:autoSpaceDE w:val="0"/>
              <w:autoSpaceDN/>
              <w:jc w:val="center"/>
              <w:rPr>
                <w:rFonts w:hint="eastAsia" w:ascii="仿宋" w:hAnsi="仿宋" w:eastAsia="仿宋" w:cs="仿宋"/>
                <w:color w:val="000000"/>
                <w:kern w:val="0"/>
                <w:sz w:val="24"/>
                <w:szCs w:val="24"/>
                <w:u w:color="000000"/>
                <w:lang w:val="en-US" w:eastAsia="zh-CN" w:bidi="ar-SA"/>
              </w:rPr>
            </w:pPr>
            <w:r>
              <w:rPr>
                <w:rStyle w:val="17"/>
                <w:rFonts w:hint="eastAsia" w:ascii="仿宋" w:hAnsi="仿宋" w:eastAsia="仿宋" w:cs="仿宋"/>
                <w:sz w:val="24"/>
                <w:szCs w:val="24"/>
                <w:lang w:val="en-US" w:eastAsia="zh-CN"/>
              </w:rPr>
              <w:t>分项限高总价</w:t>
            </w:r>
            <w:r>
              <w:rPr>
                <w:rStyle w:val="17"/>
                <w:rFonts w:hint="eastAsia" w:ascii="仿宋" w:hAnsi="仿宋" w:eastAsia="仿宋" w:cs="仿宋"/>
                <w:sz w:val="24"/>
                <w:szCs w:val="24"/>
              </w:rPr>
              <w:t>（元）</w:t>
            </w:r>
          </w:p>
        </w:tc>
      </w:tr>
      <w:tr w14:paraId="3180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shd w:val="clear" w:color="auto" w:fill="auto"/>
            <w:tcMar>
              <w:top w:w="0" w:type="dxa"/>
              <w:left w:w="105" w:type="dxa"/>
              <w:bottom w:w="0" w:type="dxa"/>
              <w:right w:w="105" w:type="dxa"/>
            </w:tcMar>
            <w:vAlign w:val="center"/>
          </w:tcPr>
          <w:p w14:paraId="10FF3842">
            <w:pPr>
              <w:pStyle w:val="12"/>
              <w:keepNext w:val="0"/>
              <w:keepLines w:val="0"/>
              <w:widowControl/>
              <w:suppressLineNumbers w:val="0"/>
              <w:autoSpaceDE w:val="0"/>
              <w:autoSpaceDN/>
              <w:jc w:val="center"/>
              <w:rPr>
                <w:rFonts w:hint="eastAsia" w:ascii="仿宋" w:hAnsi="仿宋" w:eastAsia="仿宋" w:cs="仿宋"/>
                <w:sz w:val="24"/>
                <w:szCs w:val="24"/>
              </w:rPr>
            </w:pPr>
            <w:r>
              <w:rPr>
                <w:rStyle w:val="17"/>
                <w:rFonts w:hint="eastAsia" w:ascii="仿宋" w:hAnsi="仿宋" w:eastAsia="仿宋" w:cs="仿宋"/>
                <w:sz w:val="24"/>
                <w:szCs w:val="24"/>
              </w:rPr>
              <w:t>1</w:t>
            </w:r>
          </w:p>
        </w:tc>
        <w:tc>
          <w:tcPr>
            <w:tcW w:w="819" w:type="pct"/>
            <w:shd w:val="clear" w:color="auto" w:fill="auto"/>
            <w:tcMar>
              <w:top w:w="0" w:type="dxa"/>
              <w:left w:w="105" w:type="dxa"/>
              <w:bottom w:w="0" w:type="dxa"/>
              <w:right w:w="105" w:type="dxa"/>
            </w:tcMar>
            <w:vAlign w:val="center"/>
          </w:tcPr>
          <w:p w14:paraId="09D5D4C9">
            <w:pPr>
              <w:pStyle w:val="12"/>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数字化服务系统</w:t>
            </w:r>
          </w:p>
        </w:tc>
        <w:tc>
          <w:tcPr>
            <w:tcW w:w="769" w:type="pct"/>
            <w:shd w:val="clear" w:color="auto" w:fill="auto"/>
            <w:tcMar>
              <w:top w:w="0" w:type="dxa"/>
              <w:left w:w="105" w:type="dxa"/>
              <w:bottom w:w="0" w:type="dxa"/>
              <w:right w:w="105" w:type="dxa"/>
            </w:tcMar>
            <w:vAlign w:val="center"/>
          </w:tcPr>
          <w:p w14:paraId="4E5E415F">
            <w:pPr>
              <w:keepNext w:val="0"/>
              <w:keepLines w:val="0"/>
              <w:widowControl/>
              <w:suppressLineNumbers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516" w:type="pct"/>
            <w:shd w:val="clear" w:color="auto" w:fill="auto"/>
            <w:tcMar>
              <w:top w:w="0" w:type="dxa"/>
              <w:left w:w="105" w:type="dxa"/>
              <w:bottom w:w="0" w:type="dxa"/>
              <w:right w:w="105" w:type="dxa"/>
            </w:tcMar>
            <w:vAlign w:val="center"/>
          </w:tcPr>
          <w:p w14:paraId="59A16C61">
            <w:pPr>
              <w:pStyle w:val="12"/>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w:t>
            </w:r>
          </w:p>
        </w:tc>
        <w:tc>
          <w:tcPr>
            <w:tcW w:w="572" w:type="pct"/>
            <w:shd w:val="clear" w:color="auto" w:fill="auto"/>
            <w:tcMar>
              <w:top w:w="0" w:type="dxa"/>
              <w:left w:w="105" w:type="dxa"/>
              <w:bottom w:w="0" w:type="dxa"/>
              <w:right w:w="105" w:type="dxa"/>
            </w:tcMar>
            <w:vAlign w:val="center"/>
          </w:tcPr>
          <w:p w14:paraId="2CA33129">
            <w:pPr>
              <w:pStyle w:val="12"/>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套</w:t>
            </w:r>
          </w:p>
        </w:tc>
        <w:tc>
          <w:tcPr>
            <w:tcW w:w="1047" w:type="pct"/>
            <w:shd w:val="clear" w:color="auto" w:fill="auto"/>
            <w:tcMar>
              <w:top w:w="0" w:type="dxa"/>
              <w:left w:w="105" w:type="dxa"/>
              <w:bottom w:w="0" w:type="dxa"/>
              <w:right w:w="105" w:type="dxa"/>
            </w:tcMar>
            <w:vAlign w:val="center"/>
          </w:tcPr>
          <w:p w14:paraId="3E0701FE">
            <w:pPr>
              <w:pStyle w:val="12"/>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48000</w:t>
            </w:r>
          </w:p>
        </w:tc>
        <w:tc>
          <w:tcPr>
            <w:tcW w:w="866" w:type="pct"/>
            <w:shd w:val="clear" w:color="auto" w:fill="auto"/>
            <w:tcMar>
              <w:top w:w="0" w:type="dxa"/>
              <w:left w:w="105" w:type="dxa"/>
              <w:bottom w:w="0" w:type="dxa"/>
              <w:right w:w="105" w:type="dxa"/>
            </w:tcMar>
            <w:vAlign w:val="center"/>
          </w:tcPr>
          <w:p w14:paraId="7D9CAE75">
            <w:pPr>
              <w:pStyle w:val="12"/>
              <w:keepNext w:val="0"/>
              <w:keepLines w:val="0"/>
              <w:widowControl/>
              <w:suppressLineNumbers w:val="0"/>
              <w:jc w:val="center"/>
              <w:rPr>
                <w:rFonts w:hint="eastAsia" w:ascii="仿宋" w:hAnsi="仿宋" w:eastAsia="仿宋" w:cs="仿宋"/>
                <w:color w:val="000000"/>
                <w:kern w:val="0"/>
                <w:sz w:val="24"/>
                <w:szCs w:val="24"/>
                <w:u w:color="000000"/>
                <w:lang w:val="en-US" w:eastAsia="zh-CN" w:bidi="ar-SA"/>
              </w:rPr>
            </w:pPr>
            <w:r>
              <w:rPr>
                <w:rFonts w:hint="eastAsia" w:ascii="仿宋" w:hAnsi="仿宋" w:eastAsia="仿宋" w:cs="仿宋"/>
                <w:sz w:val="24"/>
                <w:szCs w:val="24"/>
              </w:rPr>
              <w:t>48000</w:t>
            </w:r>
          </w:p>
        </w:tc>
      </w:tr>
      <w:tr w14:paraId="6100C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shd w:val="clear" w:color="auto" w:fill="auto"/>
            <w:tcMar>
              <w:top w:w="0" w:type="dxa"/>
              <w:left w:w="105" w:type="dxa"/>
              <w:bottom w:w="0" w:type="dxa"/>
              <w:right w:w="105" w:type="dxa"/>
            </w:tcMar>
            <w:vAlign w:val="center"/>
          </w:tcPr>
          <w:p w14:paraId="659E12B6">
            <w:pPr>
              <w:pStyle w:val="12"/>
              <w:keepNext w:val="0"/>
              <w:keepLines w:val="0"/>
              <w:widowControl/>
              <w:suppressLineNumbers w:val="0"/>
              <w:autoSpaceDE w:val="0"/>
              <w:autoSpaceDN/>
              <w:jc w:val="center"/>
              <w:rPr>
                <w:rFonts w:hint="eastAsia" w:ascii="仿宋" w:hAnsi="仿宋" w:eastAsia="仿宋" w:cs="仿宋"/>
                <w:sz w:val="24"/>
                <w:szCs w:val="24"/>
              </w:rPr>
            </w:pPr>
            <w:r>
              <w:rPr>
                <w:rStyle w:val="17"/>
                <w:rFonts w:hint="eastAsia" w:ascii="仿宋" w:hAnsi="仿宋" w:eastAsia="仿宋" w:cs="仿宋"/>
                <w:sz w:val="24"/>
                <w:szCs w:val="24"/>
              </w:rPr>
              <w:t>2</w:t>
            </w:r>
          </w:p>
        </w:tc>
        <w:tc>
          <w:tcPr>
            <w:tcW w:w="819" w:type="pct"/>
            <w:shd w:val="clear" w:color="auto" w:fill="auto"/>
            <w:tcMar>
              <w:top w:w="0" w:type="dxa"/>
              <w:left w:w="105" w:type="dxa"/>
              <w:bottom w:w="0" w:type="dxa"/>
              <w:right w:w="105" w:type="dxa"/>
            </w:tcMar>
            <w:vAlign w:val="center"/>
          </w:tcPr>
          <w:p w14:paraId="06E4E52D">
            <w:pPr>
              <w:pStyle w:val="12"/>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存量档案扫描服务</w:t>
            </w:r>
          </w:p>
        </w:tc>
        <w:tc>
          <w:tcPr>
            <w:tcW w:w="769" w:type="pct"/>
            <w:shd w:val="clear" w:color="auto" w:fill="auto"/>
            <w:tcMar>
              <w:top w:w="0" w:type="dxa"/>
              <w:left w:w="105" w:type="dxa"/>
              <w:bottom w:w="0" w:type="dxa"/>
              <w:right w:w="105" w:type="dxa"/>
            </w:tcMar>
            <w:vAlign w:val="center"/>
          </w:tcPr>
          <w:p w14:paraId="48894E14">
            <w:pPr>
              <w:pStyle w:val="12"/>
              <w:keepNext w:val="0"/>
              <w:keepLines w:val="0"/>
              <w:widowControl/>
              <w:suppressLineNumbers w:val="0"/>
              <w:autoSpaceDE w:val="0"/>
              <w:autoSpaceDN/>
              <w:jc w:val="center"/>
              <w:rPr>
                <w:rFonts w:hint="default" w:ascii="仿宋" w:hAnsi="仿宋" w:eastAsia="仿宋" w:cs="仿宋"/>
                <w:sz w:val="24"/>
                <w:szCs w:val="24"/>
                <w:lang w:val="en-US" w:eastAsia="zh-CN"/>
              </w:rPr>
            </w:pPr>
            <w:r>
              <w:rPr>
                <w:rFonts w:hint="eastAsia" w:ascii="仿宋" w:hAnsi="仿宋" w:eastAsia="仿宋" w:cs="仿宋"/>
                <w:sz w:val="24"/>
                <w:szCs w:val="24"/>
              </w:rPr>
              <w:t>按实结算</w:t>
            </w:r>
            <w:r>
              <w:rPr>
                <w:rFonts w:hint="eastAsia" w:ascii="仿宋" w:hAnsi="仿宋" w:eastAsia="仿宋" w:cs="仿宋"/>
                <w:sz w:val="24"/>
                <w:szCs w:val="24"/>
                <w:lang w:eastAsia="zh-CN"/>
              </w:rPr>
              <w:t>，</w:t>
            </w:r>
            <w:r>
              <w:rPr>
                <w:rFonts w:hint="eastAsia" w:ascii="Times New Roman" w:hAnsi="Times New Roman" w:eastAsia="仿宋" w:cs="Times New Roman"/>
                <w:sz w:val="22"/>
                <w:lang w:val="en-US" w:eastAsia="zh-CN"/>
              </w:rPr>
              <w:t>支付上限为50000元</w:t>
            </w:r>
          </w:p>
        </w:tc>
        <w:tc>
          <w:tcPr>
            <w:tcW w:w="516" w:type="pct"/>
            <w:shd w:val="clear" w:color="auto" w:fill="auto"/>
            <w:tcMar>
              <w:top w:w="0" w:type="dxa"/>
              <w:left w:w="105" w:type="dxa"/>
              <w:bottom w:w="0" w:type="dxa"/>
              <w:right w:w="105" w:type="dxa"/>
            </w:tcMar>
            <w:vAlign w:val="center"/>
          </w:tcPr>
          <w:p w14:paraId="090D281C">
            <w:pPr>
              <w:pStyle w:val="12"/>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1</w:t>
            </w:r>
          </w:p>
        </w:tc>
        <w:tc>
          <w:tcPr>
            <w:tcW w:w="572" w:type="pct"/>
            <w:shd w:val="clear" w:color="auto" w:fill="auto"/>
            <w:tcMar>
              <w:top w:w="0" w:type="dxa"/>
              <w:left w:w="105" w:type="dxa"/>
              <w:bottom w:w="0" w:type="dxa"/>
              <w:right w:w="105" w:type="dxa"/>
            </w:tcMar>
            <w:vAlign w:val="center"/>
          </w:tcPr>
          <w:p w14:paraId="5D28AA00">
            <w:pPr>
              <w:pStyle w:val="12"/>
              <w:keepNext w:val="0"/>
              <w:keepLines w:val="0"/>
              <w:widowControl/>
              <w:suppressLineNumbers w:val="0"/>
              <w:autoSpaceDE w:val="0"/>
              <w:autoSpaceDN/>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项</w:t>
            </w:r>
          </w:p>
        </w:tc>
        <w:tc>
          <w:tcPr>
            <w:tcW w:w="1047" w:type="pct"/>
            <w:shd w:val="clear" w:color="auto" w:fill="auto"/>
            <w:tcMar>
              <w:top w:w="0" w:type="dxa"/>
              <w:left w:w="105" w:type="dxa"/>
              <w:bottom w:w="0" w:type="dxa"/>
              <w:right w:w="105" w:type="dxa"/>
            </w:tcMar>
            <w:vAlign w:val="center"/>
          </w:tcPr>
          <w:p w14:paraId="67C77B7B">
            <w:pPr>
              <w:pStyle w:val="12"/>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扫描≤0.0</w:t>
            </w:r>
            <w:r>
              <w:rPr>
                <w:rFonts w:hint="eastAsia" w:ascii="仿宋" w:hAnsi="仿宋" w:eastAsia="仿宋" w:cs="仿宋"/>
                <w:sz w:val="24"/>
                <w:szCs w:val="24"/>
                <w:lang w:val="en-US" w:eastAsia="zh-CN"/>
              </w:rPr>
              <w:t>5</w:t>
            </w:r>
            <w:r>
              <w:rPr>
                <w:rFonts w:hint="eastAsia" w:ascii="仿宋" w:hAnsi="仿宋" w:eastAsia="仿宋" w:cs="仿宋"/>
                <w:sz w:val="24"/>
                <w:szCs w:val="24"/>
              </w:rPr>
              <w:t>8元/页，打包≤0.3元/份</w:t>
            </w:r>
          </w:p>
        </w:tc>
        <w:tc>
          <w:tcPr>
            <w:tcW w:w="866" w:type="pct"/>
            <w:shd w:val="clear" w:color="auto" w:fill="auto"/>
            <w:tcMar>
              <w:top w:w="0" w:type="dxa"/>
              <w:left w:w="105" w:type="dxa"/>
              <w:bottom w:w="0" w:type="dxa"/>
              <w:right w:w="105" w:type="dxa"/>
            </w:tcMar>
            <w:vAlign w:val="center"/>
          </w:tcPr>
          <w:p w14:paraId="0357738F">
            <w:pPr>
              <w:pStyle w:val="12"/>
              <w:keepNext w:val="0"/>
              <w:keepLines w:val="0"/>
              <w:widowControl/>
              <w:suppressLineNumbers w:val="0"/>
              <w:jc w:val="center"/>
              <w:rPr>
                <w:rFonts w:hint="eastAsia" w:ascii="仿宋" w:hAnsi="仿宋" w:eastAsia="仿宋" w:cs="仿宋"/>
                <w:color w:val="000000"/>
                <w:kern w:val="0"/>
                <w:sz w:val="24"/>
                <w:szCs w:val="24"/>
                <w:u w:color="000000"/>
                <w:lang w:val="en-US" w:eastAsia="zh-CN" w:bidi="ar-SA"/>
              </w:rPr>
            </w:pPr>
            <w:r>
              <w:rPr>
                <w:rFonts w:hint="eastAsia" w:ascii="仿宋" w:hAnsi="仿宋" w:eastAsia="仿宋" w:cs="仿宋"/>
                <w:sz w:val="24"/>
                <w:szCs w:val="24"/>
              </w:rPr>
              <w:t>50000</w:t>
            </w:r>
          </w:p>
        </w:tc>
      </w:tr>
    </w:tbl>
    <w:p w14:paraId="169A6C0F">
      <w:pPr>
        <w:pStyle w:val="12"/>
        <w:keepNext w:val="0"/>
        <w:keepLines w:val="0"/>
        <w:pageBreakBefore w:val="0"/>
        <w:widowControl/>
        <w:numPr>
          <w:ilvl w:val="0"/>
          <w:numId w:val="0"/>
        </w:numPr>
        <w:suppressLineNumbers w:val="0"/>
        <w:kinsoku/>
        <w:wordWrap/>
        <w:overflowPunct/>
        <w:topLinePunct w:val="0"/>
        <w:autoSpaceDE w:val="0"/>
        <w:autoSpaceDN/>
        <w:bidi w:val="0"/>
        <w:adjustRightInd w:val="0"/>
        <w:snapToGrid w:val="0"/>
        <w:spacing w:beforeAutospacing="0" w:afterAutospacing="0" w:line="360" w:lineRule="auto"/>
        <w:ind w:left="480" w:leftChars="0" w:right="0" w:rightChars="0" w:hanging="480" w:hangingChars="20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lang w:val="en-US" w:eastAsia="zh-CN" w:bidi="ar"/>
        </w:rPr>
        <w:t>1.2</w:t>
      </w:r>
      <w:r>
        <w:rPr>
          <w:rFonts w:hint="eastAsia" w:ascii="仿宋" w:hAnsi="仿宋" w:eastAsia="仿宋" w:cs="仿宋"/>
          <w:sz w:val="24"/>
          <w:szCs w:val="24"/>
          <w:lang w:val="en-US" w:eastAsia="zh-CN"/>
        </w:rPr>
        <w:t>接口清单</w:t>
      </w:r>
    </w:p>
    <w:p w14:paraId="49012CCC">
      <w:pPr>
        <w:pStyle w:val="12"/>
        <w:keepNext w:val="0"/>
        <w:keepLines w:val="0"/>
        <w:pageBreakBefore w:val="0"/>
        <w:widowControl/>
        <w:numPr>
          <w:ilvl w:val="0"/>
          <w:numId w:val="0"/>
        </w:numPr>
        <w:suppressLineNumbers w:val="0"/>
        <w:kinsoku/>
        <w:wordWrap/>
        <w:overflowPunct/>
        <w:topLinePunct w:val="0"/>
        <w:autoSpaceDE w:val="0"/>
        <w:autoSpaceDN/>
        <w:bidi w:val="0"/>
        <w:adjustRightInd w:val="0"/>
        <w:snapToGrid w:val="0"/>
        <w:spacing w:beforeAutospacing="0" w:afterAutospacing="0" w:line="360" w:lineRule="auto"/>
        <w:ind w:left="0" w:leftChars="0"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kern w:val="2"/>
          <w:sz w:val="24"/>
          <w:szCs w:val="24"/>
        </w:rPr>
        <w:t>本项目实施期间，凡涉及与东软集团股份有限公司（以下简称“东软”）既有系统对接，所产生的费用由采购人承担</w:t>
      </w:r>
      <w:r>
        <w:rPr>
          <w:rFonts w:hint="eastAsia" w:ascii="仿宋" w:hAnsi="仿宋" w:eastAsia="仿宋" w:cs="仿宋"/>
          <w:kern w:val="2"/>
          <w:sz w:val="24"/>
          <w:szCs w:val="24"/>
          <w:u w:val="none"/>
        </w:rPr>
        <w:t>。</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0"/>
        <w:gridCol w:w="1487"/>
        <w:gridCol w:w="2707"/>
        <w:gridCol w:w="3600"/>
      </w:tblGrid>
      <w:tr w14:paraId="5485A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764" w:type="dxa"/>
            <w:shd w:val="clear" w:color="auto" w:fill="auto"/>
            <w:tcMar>
              <w:top w:w="0" w:type="dxa"/>
              <w:left w:w="105" w:type="dxa"/>
              <w:bottom w:w="0" w:type="dxa"/>
              <w:right w:w="105" w:type="dxa"/>
            </w:tcMar>
            <w:vAlign w:val="center"/>
          </w:tcPr>
          <w:p w14:paraId="7CB41AB6">
            <w:pPr>
              <w:pStyle w:val="12"/>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17"/>
                <w:rFonts w:hint="eastAsia" w:ascii="仿宋" w:hAnsi="仿宋" w:eastAsia="仿宋" w:cs="仿宋"/>
                <w:sz w:val="24"/>
                <w:szCs w:val="24"/>
              </w:rPr>
              <w:t>序号</w:t>
            </w:r>
          </w:p>
        </w:tc>
        <w:tc>
          <w:tcPr>
            <w:tcW w:w="1702" w:type="dxa"/>
            <w:shd w:val="clear" w:color="auto" w:fill="auto"/>
            <w:tcMar>
              <w:top w:w="0" w:type="dxa"/>
              <w:left w:w="105" w:type="dxa"/>
              <w:bottom w:w="0" w:type="dxa"/>
              <w:right w:w="105" w:type="dxa"/>
            </w:tcMar>
            <w:vAlign w:val="center"/>
          </w:tcPr>
          <w:p w14:paraId="35179E57">
            <w:pPr>
              <w:pStyle w:val="12"/>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17"/>
                <w:rFonts w:hint="eastAsia" w:ascii="仿宋" w:hAnsi="仿宋" w:eastAsia="仿宋" w:cs="仿宋"/>
                <w:sz w:val="24"/>
                <w:szCs w:val="24"/>
              </w:rPr>
              <w:t>软硬件</w:t>
            </w:r>
          </w:p>
        </w:tc>
        <w:tc>
          <w:tcPr>
            <w:tcW w:w="3126" w:type="dxa"/>
            <w:shd w:val="clear" w:color="auto" w:fill="auto"/>
            <w:tcMar>
              <w:top w:w="0" w:type="dxa"/>
              <w:left w:w="105" w:type="dxa"/>
              <w:bottom w:w="0" w:type="dxa"/>
              <w:right w:w="105" w:type="dxa"/>
            </w:tcMar>
            <w:vAlign w:val="center"/>
          </w:tcPr>
          <w:p w14:paraId="4E18BC73">
            <w:pPr>
              <w:pStyle w:val="12"/>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17"/>
                <w:rFonts w:hint="eastAsia" w:ascii="仿宋" w:hAnsi="仿宋" w:eastAsia="仿宋" w:cs="仿宋"/>
                <w:sz w:val="24"/>
                <w:szCs w:val="24"/>
              </w:rPr>
              <w:t>生产厂商（全称）</w:t>
            </w:r>
          </w:p>
        </w:tc>
        <w:tc>
          <w:tcPr>
            <w:tcW w:w="4255" w:type="dxa"/>
            <w:shd w:val="clear" w:color="auto" w:fill="auto"/>
            <w:tcMar>
              <w:top w:w="0" w:type="dxa"/>
              <w:left w:w="105" w:type="dxa"/>
              <w:bottom w:w="0" w:type="dxa"/>
              <w:right w:w="105" w:type="dxa"/>
            </w:tcMar>
            <w:vAlign w:val="center"/>
          </w:tcPr>
          <w:p w14:paraId="6BB7F6B7">
            <w:pPr>
              <w:pStyle w:val="12"/>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17"/>
                <w:rFonts w:hint="eastAsia" w:ascii="仿宋" w:hAnsi="仿宋" w:eastAsia="仿宋" w:cs="仿宋"/>
                <w:sz w:val="24"/>
                <w:szCs w:val="24"/>
              </w:rPr>
              <w:t>对接描述</w:t>
            </w:r>
          </w:p>
        </w:tc>
      </w:tr>
      <w:tr w14:paraId="6940C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764" w:type="dxa"/>
            <w:shd w:val="clear" w:color="auto" w:fill="auto"/>
            <w:tcMar>
              <w:top w:w="0" w:type="dxa"/>
              <w:left w:w="105" w:type="dxa"/>
              <w:bottom w:w="0" w:type="dxa"/>
              <w:right w:w="105" w:type="dxa"/>
            </w:tcMar>
            <w:vAlign w:val="center"/>
          </w:tcPr>
          <w:p w14:paraId="09BE3FEA">
            <w:pPr>
              <w:pStyle w:val="12"/>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17"/>
                <w:rFonts w:hint="eastAsia" w:ascii="仿宋" w:hAnsi="仿宋" w:eastAsia="仿宋" w:cs="仿宋"/>
                <w:sz w:val="24"/>
                <w:szCs w:val="24"/>
              </w:rPr>
              <w:t>1</w:t>
            </w:r>
          </w:p>
        </w:tc>
        <w:tc>
          <w:tcPr>
            <w:tcW w:w="1702" w:type="dxa"/>
            <w:shd w:val="clear" w:color="auto" w:fill="auto"/>
            <w:tcMar>
              <w:top w:w="0" w:type="dxa"/>
              <w:left w:w="105" w:type="dxa"/>
              <w:bottom w:w="0" w:type="dxa"/>
              <w:right w:w="105" w:type="dxa"/>
            </w:tcMar>
            <w:vAlign w:val="center"/>
          </w:tcPr>
          <w:p w14:paraId="0F3F9D22">
            <w:pPr>
              <w:pStyle w:val="12"/>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集成平台</w:t>
            </w:r>
          </w:p>
        </w:tc>
        <w:tc>
          <w:tcPr>
            <w:tcW w:w="3126" w:type="dxa"/>
            <w:shd w:val="clear" w:color="auto" w:fill="auto"/>
            <w:tcMar>
              <w:top w:w="0" w:type="dxa"/>
              <w:left w:w="105" w:type="dxa"/>
              <w:bottom w:w="0" w:type="dxa"/>
              <w:right w:w="105" w:type="dxa"/>
            </w:tcMar>
            <w:vAlign w:val="center"/>
          </w:tcPr>
          <w:p w14:paraId="61DF3515">
            <w:pPr>
              <w:pStyle w:val="12"/>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4255" w:type="dxa"/>
            <w:shd w:val="clear" w:color="auto" w:fill="auto"/>
            <w:tcMar>
              <w:top w:w="0" w:type="dxa"/>
              <w:left w:w="105" w:type="dxa"/>
              <w:bottom w:w="0" w:type="dxa"/>
              <w:right w:w="105" w:type="dxa"/>
            </w:tcMar>
            <w:vAlign w:val="center"/>
          </w:tcPr>
          <w:p w14:paraId="0DE9C9A4">
            <w:pPr>
              <w:keepNext w:val="0"/>
              <w:keepLines w:val="0"/>
              <w:widowControl/>
              <w:suppressLineNumbers w:val="0"/>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r>
    </w:tbl>
    <w:p w14:paraId="63A6868D">
      <w:pPr>
        <w:pStyle w:val="5"/>
        <w:pageBreakBefore w:val="0"/>
        <w:numPr>
          <w:ilvl w:val="0"/>
          <w:numId w:val="0"/>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2.技术</w:t>
      </w:r>
      <w:r>
        <w:rPr>
          <w:rFonts w:hint="eastAsia" w:ascii="仿宋" w:hAnsi="仿宋" w:eastAsia="仿宋" w:cs="仿宋"/>
          <w:b/>
          <w:bCs/>
          <w:color w:val="auto"/>
          <w:sz w:val="24"/>
          <w:szCs w:val="24"/>
          <w:highlight w:val="none"/>
        </w:rPr>
        <w:t>及</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14:paraId="3D9E1749">
      <w:pPr>
        <w:pageBreakBefore w:val="0"/>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default"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2.1技术要求</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30"/>
        <w:gridCol w:w="1545"/>
        <w:gridCol w:w="1140"/>
        <w:gridCol w:w="5189"/>
      </w:tblGrid>
      <w:tr w14:paraId="35B9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630" w:type="dxa"/>
            <w:shd w:val="clear" w:color="auto" w:fill="auto"/>
            <w:tcMar>
              <w:top w:w="0" w:type="dxa"/>
              <w:left w:w="105" w:type="dxa"/>
              <w:bottom w:w="0" w:type="dxa"/>
              <w:right w:w="105" w:type="dxa"/>
            </w:tcMar>
            <w:vAlign w:val="top"/>
          </w:tcPr>
          <w:p w14:paraId="060A6A2E">
            <w:pPr>
              <w:pStyle w:val="12"/>
              <w:keepNext w:val="0"/>
              <w:keepLines w:val="0"/>
              <w:widowControl/>
              <w:suppressLineNumbers w:val="0"/>
              <w:autoSpaceDE w:val="0"/>
              <w:autoSpaceDN/>
              <w:spacing w:beforeAutospacing="0" w:afterAutospacing="0"/>
              <w:jc w:val="center"/>
              <w:rPr>
                <w:rFonts w:hint="eastAsia" w:ascii="仿宋" w:hAnsi="仿宋" w:eastAsia="仿宋" w:cs="仿宋"/>
                <w:sz w:val="24"/>
                <w:szCs w:val="24"/>
              </w:rPr>
            </w:pPr>
            <w:r>
              <w:rPr>
                <w:rStyle w:val="17"/>
                <w:rFonts w:hint="eastAsia" w:ascii="仿宋" w:hAnsi="仿宋" w:eastAsia="仿宋" w:cs="仿宋"/>
                <w:sz w:val="24"/>
                <w:szCs w:val="24"/>
              </w:rPr>
              <w:t>序号</w:t>
            </w:r>
          </w:p>
        </w:tc>
        <w:tc>
          <w:tcPr>
            <w:tcW w:w="1545" w:type="dxa"/>
            <w:shd w:val="clear" w:color="auto" w:fill="auto"/>
            <w:tcMar>
              <w:top w:w="0" w:type="dxa"/>
              <w:left w:w="105" w:type="dxa"/>
              <w:bottom w:w="0" w:type="dxa"/>
              <w:right w:w="105" w:type="dxa"/>
            </w:tcMar>
            <w:vAlign w:val="top"/>
          </w:tcPr>
          <w:p w14:paraId="45D1337B">
            <w:pPr>
              <w:pStyle w:val="12"/>
              <w:keepNext w:val="0"/>
              <w:keepLines w:val="0"/>
              <w:widowControl/>
              <w:suppressLineNumbers w:val="0"/>
              <w:autoSpaceDE w:val="0"/>
              <w:autoSpaceDN/>
              <w:spacing w:beforeAutospacing="0" w:afterAutospacing="0"/>
              <w:jc w:val="center"/>
              <w:rPr>
                <w:rFonts w:hint="eastAsia" w:ascii="仿宋" w:hAnsi="仿宋" w:eastAsia="仿宋" w:cs="仿宋"/>
                <w:sz w:val="24"/>
                <w:szCs w:val="24"/>
              </w:rPr>
            </w:pPr>
            <w:r>
              <w:rPr>
                <w:rStyle w:val="17"/>
                <w:rFonts w:hint="eastAsia" w:ascii="仿宋" w:hAnsi="仿宋" w:eastAsia="仿宋" w:cs="仿宋"/>
                <w:sz w:val="24"/>
                <w:szCs w:val="24"/>
              </w:rPr>
              <w:t>系统</w:t>
            </w:r>
          </w:p>
        </w:tc>
        <w:tc>
          <w:tcPr>
            <w:tcW w:w="1140" w:type="dxa"/>
            <w:shd w:val="clear" w:color="auto" w:fill="auto"/>
            <w:tcMar>
              <w:top w:w="0" w:type="dxa"/>
              <w:left w:w="105" w:type="dxa"/>
              <w:bottom w:w="0" w:type="dxa"/>
              <w:right w:w="105" w:type="dxa"/>
            </w:tcMar>
            <w:vAlign w:val="top"/>
          </w:tcPr>
          <w:p w14:paraId="7B598026">
            <w:pPr>
              <w:pStyle w:val="12"/>
              <w:keepNext w:val="0"/>
              <w:keepLines w:val="0"/>
              <w:widowControl/>
              <w:suppressLineNumbers w:val="0"/>
              <w:autoSpaceDE w:val="0"/>
              <w:autoSpaceDN/>
              <w:spacing w:beforeAutospacing="0" w:afterAutospacing="0"/>
              <w:jc w:val="center"/>
              <w:rPr>
                <w:rFonts w:hint="eastAsia" w:ascii="仿宋" w:hAnsi="仿宋" w:eastAsia="仿宋" w:cs="仿宋"/>
                <w:sz w:val="24"/>
                <w:szCs w:val="24"/>
              </w:rPr>
            </w:pPr>
            <w:r>
              <w:rPr>
                <w:rStyle w:val="17"/>
                <w:rFonts w:hint="eastAsia" w:ascii="仿宋" w:hAnsi="仿宋" w:eastAsia="仿宋" w:cs="仿宋"/>
                <w:sz w:val="24"/>
                <w:szCs w:val="24"/>
              </w:rPr>
              <w:t>模块</w:t>
            </w:r>
          </w:p>
        </w:tc>
        <w:tc>
          <w:tcPr>
            <w:tcW w:w="5189" w:type="dxa"/>
            <w:shd w:val="clear" w:color="auto" w:fill="auto"/>
            <w:tcMar>
              <w:top w:w="0" w:type="dxa"/>
              <w:left w:w="105" w:type="dxa"/>
              <w:bottom w:w="0" w:type="dxa"/>
              <w:right w:w="105" w:type="dxa"/>
            </w:tcMar>
            <w:vAlign w:val="top"/>
          </w:tcPr>
          <w:p w14:paraId="70D71677">
            <w:pPr>
              <w:pStyle w:val="12"/>
              <w:keepNext w:val="0"/>
              <w:keepLines w:val="0"/>
              <w:widowControl/>
              <w:suppressLineNumbers w:val="0"/>
              <w:autoSpaceDE w:val="0"/>
              <w:autoSpaceDN/>
              <w:spacing w:beforeAutospacing="0" w:afterAutospacing="0"/>
              <w:jc w:val="center"/>
              <w:rPr>
                <w:rFonts w:hint="eastAsia" w:ascii="仿宋" w:hAnsi="仿宋" w:eastAsia="仿宋" w:cs="仿宋"/>
                <w:sz w:val="24"/>
                <w:szCs w:val="24"/>
              </w:rPr>
            </w:pPr>
            <w:r>
              <w:rPr>
                <w:rStyle w:val="17"/>
                <w:rFonts w:hint="eastAsia" w:ascii="仿宋" w:hAnsi="仿宋" w:eastAsia="仿宋" w:cs="仿宋"/>
                <w:sz w:val="24"/>
                <w:szCs w:val="24"/>
              </w:rPr>
              <w:t>参数</w:t>
            </w:r>
          </w:p>
        </w:tc>
      </w:tr>
      <w:tr w14:paraId="666C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630" w:type="dxa"/>
            <w:vMerge w:val="restart"/>
            <w:shd w:val="clear" w:color="auto" w:fill="auto"/>
            <w:tcMar>
              <w:top w:w="0" w:type="dxa"/>
              <w:left w:w="105" w:type="dxa"/>
              <w:bottom w:w="0" w:type="dxa"/>
              <w:right w:w="105" w:type="dxa"/>
            </w:tcMar>
            <w:vAlign w:val="center"/>
          </w:tcPr>
          <w:p w14:paraId="134D5B5C">
            <w:pPr>
              <w:pStyle w:val="12"/>
              <w:keepNext w:val="0"/>
              <w:keepLines w:val="0"/>
              <w:widowControl/>
              <w:suppressLineNumbers w:val="0"/>
              <w:autoSpaceDE w:val="0"/>
              <w:autoSpaceDN/>
              <w:spacing w:beforeAutospacing="0" w:afterAutospacing="0"/>
              <w:jc w:val="center"/>
              <w:rPr>
                <w:rFonts w:hint="eastAsia" w:ascii="仿宋" w:hAnsi="仿宋" w:eastAsia="仿宋" w:cs="仿宋"/>
                <w:sz w:val="24"/>
                <w:szCs w:val="24"/>
              </w:rPr>
            </w:pPr>
            <w:r>
              <w:rPr>
                <w:rStyle w:val="17"/>
                <w:rFonts w:hint="eastAsia" w:ascii="仿宋" w:hAnsi="仿宋" w:eastAsia="仿宋" w:cs="仿宋"/>
                <w:sz w:val="24"/>
                <w:szCs w:val="24"/>
              </w:rPr>
              <w:t>1</w:t>
            </w:r>
          </w:p>
        </w:tc>
        <w:tc>
          <w:tcPr>
            <w:tcW w:w="1545" w:type="dxa"/>
            <w:vMerge w:val="restart"/>
            <w:shd w:val="clear" w:color="auto" w:fill="auto"/>
            <w:tcMar>
              <w:top w:w="0" w:type="dxa"/>
              <w:left w:w="105" w:type="dxa"/>
              <w:bottom w:w="0" w:type="dxa"/>
              <w:right w:w="105" w:type="dxa"/>
            </w:tcMar>
            <w:vAlign w:val="center"/>
          </w:tcPr>
          <w:p w14:paraId="15331832">
            <w:pPr>
              <w:pStyle w:val="12"/>
              <w:keepNext w:val="0"/>
              <w:keepLines w:val="0"/>
              <w:widowControl/>
              <w:suppressLineNumbers w:val="0"/>
              <w:autoSpaceDE w:val="0"/>
              <w:autoSpaceDN/>
              <w:spacing w:beforeAutospacing="0" w:afterAutospacing="0"/>
              <w:jc w:val="center"/>
              <w:rPr>
                <w:rFonts w:hint="eastAsia" w:ascii="仿宋" w:hAnsi="仿宋" w:eastAsia="仿宋" w:cs="仿宋"/>
                <w:sz w:val="24"/>
                <w:szCs w:val="24"/>
              </w:rPr>
            </w:pPr>
            <w:r>
              <w:rPr>
                <w:rFonts w:hint="eastAsia" w:ascii="仿宋" w:hAnsi="仿宋" w:eastAsia="仿宋" w:cs="仿宋"/>
                <w:sz w:val="24"/>
                <w:szCs w:val="24"/>
              </w:rPr>
              <w:t>数字化服务系统</w:t>
            </w:r>
          </w:p>
        </w:tc>
        <w:tc>
          <w:tcPr>
            <w:tcW w:w="1140" w:type="dxa"/>
            <w:shd w:val="clear" w:color="auto" w:fill="auto"/>
            <w:tcMar>
              <w:top w:w="0" w:type="dxa"/>
              <w:left w:w="105" w:type="dxa"/>
              <w:bottom w:w="0" w:type="dxa"/>
              <w:right w:w="105" w:type="dxa"/>
            </w:tcMar>
            <w:vAlign w:val="center"/>
          </w:tcPr>
          <w:p w14:paraId="77E36E04">
            <w:pPr>
              <w:pStyle w:val="12"/>
              <w:keepNext w:val="0"/>
              <w:keepLines w:val="0"/>
              <w:widowControl/>
              <w:suppressLineNumbers w:val="0"/>
              <w:autoSpaceDE w:val="0"/>
              <w:autoSpaceDN/>
              <w:spacing w:beforeAutospacing="0" w:afterAutospacing="0"/>
              <w:jc w:val="both"/>
              <w:rPr>
                <w:rFonts w:hint="eastAsia" w:ascii="仿宋" w:hAnsi="仿宋" w:eastAsia="仿宋" w:cs="仿宋"/>
                <w:sz w:val="24"/>
                <w:szCs w:val="24"/>
              </w:rPr>
            </w:pPr>
            <w:r>
              <w:rPr>
                <w:rFonts w:hint="eastAsia" w:ascii="仿宋" w:hAnsi="仿宋" w:eastAsia="仿宋" w:cs="仿宋"/>
                <w:sz w:val="24"/>
                <w:szCs w:val="24"/>
              </w:rPr>
              <w:t>档案采集与数字微缩化处理</w:t>
            </w:r>
          </w:p>
        </w:tc>
        <w:tc>
          <w:tcPr>
            <w:tcW w:w="5189" w:type="dxa"/>
            <w:shd w:val="clear" w:color="auto" w:fill="auto"/>
            <w:tcMar>
              <w:top w:w="0" w:type="dxa"/>
              <w:left w:w="105" w:type="dxa"/>
              <w:bottom w:w="0" w:type="dxa"/>
              <w:right w:w="105" w:type="dxa"/>
            </w:tcMar>
            <w:vAlign w:val="top"/>
          </w:tcPr>
          <w:p w14:paraId="6602607F">
            <w:pPr>
              <w:pStyle w:val="12"/>
              <w:keepNext w:val="0"/>
              <w:keepLines w:val="0"/>
              <w:widowControl/>
              <w:suppressLineNumbers w:val="0"/>
              <w:spacing w:beforeAutospacing="0" w:afterAutospacing="0"/>
              <w:rPr>
                <w:rFonts w:hint="eastAsia" w:ascii="仿宋" w:hAnsi="仿宋" w:eastAsia="仿宋" w:cs="仿宋"/>
                <w:sz w:val="24"/>
                <w:szCs w:val="24"/>
              </w:rPr>
            </w:pPr>
            <w:r>
              <w:rPr>
                <w:rFonts w:hint="eastAsia" w:ascii="仿宋" w:hAnsi="仿宋" w:eastAsia="仿宋" w:cs="仿宋"/>
                <w:sz w:val="24"/>
                <w:szCs w:val="24"/>
              </w:rPr>
              <w:t>1.多格式导入：支持纸质档案扫描（JPG、PDF、OFD）、支持310万像素以上扫描（图像尺寸2048×1536），同时生成彩色（JPEG2000 格式，232Kb以内/页）与黑白（TIFF 格式，65Kb以内/页）图像</w:t>
            </w:r>
          </w:p>
          <w:p w14:paraId="5D54B242">
            <w:pPr>
              <w:pStyle w:val="12"/>
              <w:keepNext w:val="0"/>
              <w:keepLines w:val="0"/>
              <w:widowControl/>
              <w:suppressLineNumbers w:val="0"/>
              <w:spacing w:beforeAutospacing="0" w:afterAutospacing="0"/>
              <w:rPr>
                <w:rFonts w:hint="eastAsia" w:ascii="仿宋" w:hAnsi="仿宋" w:eastAsia="仿宋" w:cs="仿宋"/>
                <w:sz w:val="24"/>
                <w:szCs w:val="24"/>
              </w:rPr>
            </w:pPr>
            <w:r>
              <w:rPr>
                <w:rFonts w:hint="eastAsia" w:ascii="仿宋" w:hAnsi="仿宋" w:eastAsia="仿宋" w:cs="仿宋"/>
                <w:sz w:val="24"/>
                <w:szCs w:val="24"/>
              </w:rPr>
              <w:t>2.自动识别与分类：集成OCR关键信息文字识别技术（姓名、出生日期、父母信息等），自动提取出生证明全量信息，同步生成 OFD 格式并按规则分类归档文件。纸质档案装箱时粘贴条形码，实现“出库-加工-入库”点对点示踪，支持按条码号快速定位档案位置</w:t>
            </w:r>
          </w:p>
          <w:p w14:paraId="5739EFFE">
            <w:pPr>
              <w:pStyle w:val="12"/>
              <w:keepNext w:val="0"/>
              <w:keepLines w:val="0"/>
              <w:widowControl/>
              <w:suppressLineNumbers w:val="0"/>
              <w:spacing w:beforeAutospacing="0" w:afterAutospacing="0"/>
              <w:rPr>
                <w:rFonts w:hint="eastAsia" w:ascii="仿宋" w:hAnsi="仿宋" w:eastAsia="仿宋" w:cs="仿宋"/>
                <w:sz w:val="24"/>
                <w:szCs w:val="24"/>
              </w:rPr>
            </w:pPr>
            <w:r>
              <w:rPr>
                <w:rFonts w:hint="eastAsia" w:ascii="仿宋" w:hAnsi="仿宋" w:eastAsia="仿宋" w:cs="仿宋"/>
                <w:sz w:val="24"/>
                <w:szCs w:val="24"/>
              </w:rPr>
              <w:t>3.质量审核校验：自带质量自动审核功能，筛选模糊、歪斜、缺页等问题档案，提取信息准确性，支持导出问题清单，确保数字化合格率≥95%</w:t>
            </w:r>
          </w:p>
        </w:tc>
      </w:tr>
      <w:tr w14:paraId="0323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30" w:type="dxa"/>
            <w:vMerge w:val="continue"/>
            <w:shd w:val="clear" w:color="auto" w:fill="auto"/>
            <w:tcMar>
              <w:top w:w="0" w:type="dxa"/>
              <w:left w:w="105" w:type="dxa"/>
              <w:bottom w:w="0" w:type="dxa"/>
              <w:right w:w="105" w:type="dxa"/>
            </w:tcMar>
            <w:vAlign w:val="center"/>
          </w:tcPr>
          <w:p w14:paraId="19CD5A9F">
            <w:pPr>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1F70CB4D">
            <w:pPr>
              <w:rPr>
                <w:rFonts w:hint="eastAsia" w:ascii="仿宋" w:hAnsi="仿宋" w:eastAsia="仿宋" w:cs="仿宋"/>
                <w:sz w:val="24"/>
                <w:szCs w:val="24"/>
              </w:rPr>
            </w:pPr>
          </w:p>
        </w:tc>
        <w:tc>
          <w:tcPr>
            <w:tcW w:w="1140" w:type="dxa"/>
            <w:shd w:val="clear" w:color="auto" w:fill="auto"/>
            <w:tcMar>
              <w:top w:w="0" w:type="dxa"/>
              <w:left w:w="105" w:type="dxa"/>
              <w:bottom w:w="0" w:type="dxa"/>
              <w:right w:w="105" w:type="dxa"/>
            </w:tcMar>
            <w:vAlign w:val="center"/>
          </w:tcPr>
          <w:p w14:paraId="2149F498">
            <w:pPr>
              <w:pStyle w:val="12"/>
              <w:keepNext w:val="0"/>
              <w:keepLines w:val="0"/>
              <w:widowControl/>
              <w:suppressLineNumbers w:val="0"/>
              <w:autoSpaceDE w:val="0"/>
              <w:autoSpaceDN/>
              <w:spacing w:beforeAutospacing="0" w:afterAutospacing="0"/>
              <w:jc w:val="both"/>
              <w:rPr>
                <w:rFonts w:hint="eastAsia" w:ascii="仿宋" w:hAnsi="仿宋" w:eastAsia="仿宋" w:cs="仿宋"/>
                <w:sz w:val="24"/>
                <w:szCs w:val="24"/>
              </w:rPr>
            </w:pPr>
            <w:r>
              <w:rPr>
                <w:rFonts w:hint="eastAsia" w:ascii="仿宋" w:hAnsi="仿宋" w:eastAsia="仿宋" w:cs="仿宋"/>
                <w:sz w:val="24"/>
                <w:szCs w:val="24"/>
              </w:rPr>
              <w:t>检索与浏览（匹配多场景查询）</w:t>
            </w:r>
          </w:p>
        </w:tc>
        <w:tc>
          <w:tcPr>
            <w:tcW w:w="5189" w:type="dxa"/>
            <w:shd w:val="clear" w:color="auto" w:fill="auto"/>
            <w:tcMar>
              <w:top w:w="0" w:type="dxa"/>
              <w:left w:w="105" w:type="dxa"/>
              <w:bottom w:w="0" w:type="dxa"/>
              <w:right w:w="105" w:type="dxa"/>
            </w:tcMar>
            <w:vAlign w:val="top"/>
          </w:tcPr>
          <w:p w14:paraId="7E46B3A4">
            <w:pPr>
              <w:pStyle w:val="12"/>
              <w:keepNext w:val="0"/>
              <w:keepLines w:val="0"/>
              <w:widowControl/>
              <w:suppressLineNumbers w:val="0"/>
              <w:spacing w:beforeAutospacing="0" w:afterAutospacing="0"/>
              <w:rPr>
                <w:rFonts w:hint="eastAsia" w:ascii="仿宋" w:hAnsi="仿宋" w:eastAsia="仿宋" w:cs="仿宋"/>
                <w:sz w:val="24"/>
                <w:szCs w:val="24"/>
              </w:rPr>
            </w:pPr>
            <w:r>
              <w:rPr>
                <w:rFonts w:hint="eastAsia" w:ascii="仿宋" w:hAnsi="仿宋" w:eastAsia="仿宋" w:cs="仿宋"/>
                <w:sz w:val="24"/>
                <w:szCs w:val="24"/>
              </w:rPr>
              <w:t>1.多模式检索：支持关键词搜索（姓名/出生证明号/科室）、高级组合搜索（姓名+出院日期+诊断）、自定义条件搜索，结果秒级呈现</w:t>
            </w:r>
          </w:p>
          <w:p w14:paraId="4942FAE7">
            <w:pPr>
              <w:pStyle w:val="12"/>
              <w:keepNext w:val="0"/>
              <w:keepLines w:val="0"/>
              <w:widowControl/>
              <w:suppressLineNumbers w:val="0"/>
              <w:spacing w:beforeAutospacing="0" w:afterAutospacing="0"/>
              <w:rPr>
                <w:rFonts w:hint="eastAsia" w:ascii="仿宋" w:hAnsi="仿宋" w:eastAsia="仿宋" w:cs="仿宋"/>
                <w:sz w:val="24"/>
                <w:szCs w:val="24"/>
              </w:rPr>
            </w:pPr>
            <w:r>
              <w:rPr>
                <w:rFonts w:hint="eastAsia" w:ascii="仿宋" w:hAnsi="仿宋" w:eastAsia="仿宋" w:cs="仿宋"/>
                <w:sz w:val="24"/>
                <w:szCs w:val="24"/>
              </w:rPr>
              <w:t>2. 图像保护：浏览时叠加水印（防偷拍），屏蔽非法拷贝；支持黑白/彩色切换、放大/缩小/裁剪等工具，打印时可设置纸张大小与水印样式</w:t>
            </w:r>
          </w:p>
        </w:tc>
      </w:tr>
      <w:tr w14:paraId="3919C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35" w:hRule="atLeast"/>
        </w:trPr>
        <w:tc>
          <w:tcPr>
            <w:tcW w:w="630" w:type="dxa"/>
            <w:vMerge w:val="continue"/>
            <w:shd w:val="clear" w:color="auto" w:fill="auto"/>
            <w:tcMar>
              <w:top w:w="0" w:type="dxa"/>
              <w:left w:w="105" w:type="dxa"/>
              <w:bottom w:w="0" w:type="dxa"/>
              <w:right w:w="105" w:type="dxa"/>
            </w:tcMar>
            <w:vAlign w:val="center"/>
          </w:tcPr>
          <w:p w14:paraId="7C9FCE59">
            <w:pPr>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32B5138A">
            <w:pPr>
              <w:rPr>
                <w:rFonts w:hint="eastAsia" w:ascii="仿宋" w:hAnsi="仿宋" w:eastAsia="仿宋" w:cs="仿宋"/>
                <w:sz w:val="24"/>
                <w:szCs w:val="24"/>
              </w:rPr>
            </w:pPr>
          </w:p>
        </w:tc>
        <w:tc>
          <w:tcPr>
            <w:tcW w:w="1140" w:type="dxa"/>
            <w:shd w:val="clear" w:color="auto" w:fill="auto"/>
            <w:tcMar>
              <w:top w:w="0" w:type="dxa"/>
              <w:left w:w="105" w:type="dxa"/>
              <w:bottom w:w="0" w:type="dxa"/>
              <w:right w:w="105" w:type="dxa"/>
            </w:tcMar>
            <w:vAlign w:val="center"/>
          </w:tcPr>
          <w:p w14:paraId="60EC3044">
            <w:pPr>
              <w:pStyle w:val="12"/>
              <w:keepNext w:val="0"/>
              <w:keepLines w:val="0"/>
              <w:widowControl/>
              <w:suppressLineNumbers w:val="0"/>
              <w:autoSpaceDE w:val="0"/>
              <w:autoSpaceDN/>
              <w:spacing w:beforeAutospacing="0" w:afterAutospacing="0"/>
              <w:jc w:val="both"/>
              <w:rPr>
                <w:rFonts w:hint="eastAsia" w:ascii="仿宋" w:hAnsi="仿宋" w:eastAsia="仿宋" w:cs="仿宋"/>
                <w:sz w:val="24"/>
                <w:szCs w:val="24"/>
              </w:rPr>
            </w:pPr>
            <w:r>
              <w:rPr>
                <w:rFonts w:hint="eastAsia" w:ascii="仿宋" w:hAnsi="仿宋" w:eastAsia="仿宋" w:cs="仿宋"/>
                <w:sz w:val="24"/>
                <w:szCs w:val="24"/>
              </w:rPr>
              <w:t>权限管理（严格分级控制）</w:t>
            </w:r>
          </w:p>
        </w:tc>
        <w:tc>
          <w:tcPr>
            <w:tcW w:w="5189" w:type="dxa"/>
            <w:shd w:val="clear" w:color="auto" w:fill="auto"/>
            <w:tcMar>
              <w:top w:w="0" w:type="dxa"/>
              <w:left w:w="105" w:type="dxa"/>
              <w:bottom w:w="0" w:type="dxa"/>
              <w:right w:w="105" w:type="dxa"/>
            </w:tcMar>
            <w:vAlign w:val="top"/>
          </w:tcPr>
          <w:p w14:paraId="3C73C032">
            <w:pPr>
              <w:pStyle w:val="12"/>
              <w:keepNext w:val="0"/>
              <w:keepLines w:val="0"/>
              <w:widowControl/>
              <w:suppressLineNumbers w:val="0"/>
              <w:spacing w:beforeAutospacing="0" w:afterAutospacing="0"/>
              <w:rPr>
                <w:rFonts w:hint="eastAsia" w:ascii="仿宋" w:hAnsi="仿宋" w:eastAsia="仿宋" w:cs="仿宋"/>
                <w:sz w:val="24"/>
                <w:szCs w:val="24"/>
              </w:rPr>
            </w:pPr>
            <w:r>
              <w:rPr>
                <w:rFonts w:hint="eastAsia" w:ascii="仿宋" w:hAnsi="仿宋" w:eastAsia="仿宋" w:cs="仿宋"/>
                <w:sz w:val="24"/>
                <w:szCs w:val="24"/>
              </w:rPr>
              <w:t>1.角色权限：分内部用户（管理员/科室操作员）与外部用户（医保、公检法），内部用户可设置“阅读-打印-导出”三级权限，外部用户仅开放临时查询权限</w:t>
            </w:r>
          </w:p>
          <w:p w14:paraId="3866366B">
            <w:pPr>
              <w:pStyle w:val="12"/>
              <w:keepNext w:val="0"/>
              <w:keepLines w:val="0"/>
              <w:widowControl/>
              <w:suppressLineNumbers w:val="0"/>
              <w:spacing w:beforeAutospacing="0" w:afterAutospacing="0"/>
              <w:rPr>
                <w:rFonts w:hint="eastAsia" w:ascii="仿宋" w:hAnsi="仿宋" w:eastAsia="仿宋" w:cs="仿宋"/>
                <w:sz w:val="24"/>
                <w:szCs w:val="24"/>
              </w:rPr>
            </w:pPr>
            <w:r>
              <w:rPr>
                <w:rFonts w:hint="eastAsia" w:ascii="仿宋" w:hAnsi="仿宋" w:eastAsia="仿宋" w:cs="仿宋"/>
                <w:sz w:val="24"/>
                <w:szCs w:val="24"/>
              </w:rPr>
              <w:t>2.细项控制：支持IP地址限制（禁止非授权机器访问）、有效期限制（如1小时/7天临时授权）、字段显示限制（敏感信息隐藏）、特殊档案锁定（如纠纷病例）</w:t>
            </w:r>
          </w:p>
        </w:tc>
      </w:tr>
      <w:tr w14:paraId="6AEB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55" w:hRule="atLeast"/>
        </w:trPr>
        <w:tc>
          <w:tcPr>
            <w:tcW w:w="630" w:type="dxa"/>
            <w:vMerge w:val="continue"/>
            <w:shd w:val="clear" w:color="auto" w:fill="auto"/>
            <w:tcMar>
              <w:top w:w="0" w:type="dxa"/>
              <w:left w:w="105" w:type="dxa"/>
              <w:bottom w:w="0" w:type="dxa"/>
              <w:right w:w="105" w:type="dxa"/>
            </w:tcMar>
            <w:vAlign w:val="center"/>
          </w:tcPr>
          <w:p w14:paraId="58BB67E3">
            <w:pPr>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47CDB3F6">
            <w:pPr>
              <w:rPr>
                <w:rFonts w:hint="eastAsia" w:ascii="仿宋" w:hAnsi="仿宋" w:eastAsia="仿宋" w:cs="仿宋"/>
                <w:sz w:val="24"/>
                <w:szCs w:val="24"/>
              </w:rPr>
            </w:pPr>
          </w:p>
        </w:tc>
        <w:tc>
          <w:tcPr>
            <w:tcW w:w="1140" w:type="dxa"/>
            <w:shd w:val="clear" w:color="auto" w:fill="auto"/>
            <w:tcMar>
              <w:top w:w="0" w:type="dxa"/>
              <w:left w:w="105" w:type="dxa"/>
              <w:bottom w:w="0" w:type="dxa"/>
              <w:right w:w="105" w:type="dxa"/>
            </w:tcMar>
            <w:vAlign w:val="center"/>
          </w:tcPr>
          <w:p w14:paraId="60810240">
            <w:pPr>
              <w:pStyle w:val="12"/>
              <w:keepNext w:val="0"/>
              <w:keepLines w:val="0"/>
              <w:widowControl/>
              <w:suppressLineNumbers w:val="0"/>
              <w:autoSpaceDE w:val="0"/>
              <w:autoSpaceDN/>
              <w:spacing w:beforeAutospacing="0" w:afterAutospacing="0"/>
              <w:jc w:val="both"/>
              <w:rPr>
                <w:rFonts w:hint="eastAsia" w:ascii="仿宋" w:hAnsi="仿宋" w:eastAsia="仿宋" w:cs="仿宋"/>
                <w:sz w:val="24"/>
                <w:szCs w:val="24"/>
              </w:rPr>
            </w:pPr>
            <w:r>
              <w:rPr>
                <w:rFonts w:hint="eastAsia" w:ascii="仿宋" w:hAnsi="仿宋" w:eastAsia="仿宋" w:cs="仿宋"/>
                <w:sz w:val="24"/>
                <w:szCs w:val="24"/>
              </w:rPr>
              <w:t>打印与应用（覆盖用户与科室需求）</w:t>
            </w:r>
          </w:p>
        </w:tc>
        <w:tc>
          <w:tcPr>
            <w:tcW w:w="5189" w:type="dxa"/>
            <w:shd w:val="clear" w:color="auto" w:fill="auto"/>
            <w:tcMar>
              <w:top w:w="0" w:type="dxa"/>
              <w:left w:w="105" w:type="dxa"/>
              <w:bottom w:w="0" w:type="dxa"/>
              <w:right w:w="105" w:type="dxa"/>
            </w:tcMar>
            <w:vAlign w:val="top"/>
          </w:tcPr>
          <w:p w14:paraId="55AF7433">
            <w:pPr>
              <w:pStyle w:val="12"/>
              <w:keepNext w:val="0"/>
              <w:keepLines w:val="0"/>
              <w:widowControl/>
              <w:suppressLineNumbers w:val="0"/>
              <w:spacing w:beforeAutospacing="0" w:afterAutospacing="0"/>
              <w:jc w:val="both"/>
              <w:rPr>
                <w:rFonts w:hint="eastAsia" w:ascii="仿宋" w:hAnsi="仿宋" w:eastAsia="仿宋" w:cs="仿宋"/>
                <w:sz w:val="24"/>
                <w:szCs w:val="24"/>
              </w:rPr>
            </w:pPr>
            <w:r>
              <w:rPr>
                <w:rFonts w:hint="eastAsia" w:ascii="仿宋" w:hAnsi="仿宋" w:eastAsia="仿宋" w:cs="仿宋"/>
                <w:sz w:val="24"/>
                <w:szCs w:val="24"/>
              </w:rPr>
              <w:t>1.打印功能：含快速打印（简单登记即打印）、集中打印（批量处理未打印任务）、自助打印（患者扫码操作），支持按页、按分类打印，自动统计费用</w:t>
            </w:r>
          </w:p>
          <w:p w14:paraId="5DAFFDB3">
            <w:pPr>
              <w:pStyle w:val="12"/>
              <w:keepNext w:val="0"/>
              <w:keepLines w:val="0"/>
              <w:widowControl/>
              <w:suppressLineNumbers w:val="0"/>
              <w:spacing w:beforeAutospacing="0" w:afterAutospacing="0"/>
              <w:jc w:val="both"/>
              <w:rPr>
                <w:rFonts w:hint="eastAsia" w:ascii="仿宋" w:hAnsi="仿宋" w:eastAsia="仿宋" w:cs="仿宋"/>
                <w:sz w:val="24"/>
                <w:szCs w:val="24"/>
              </w:rPr>
            </w:pPr>
            <w:r>
              <w:rPr>
                <w:rFonts w:hint="eastAsia" w:ascii="仿宋" w:hAnsi="仿宋" w:eastAsia="仿宋" w:cs="仿宋"/>
                <w:sz w:val="24"/>
                <w:szCs w:val="24"/>
              </w:rPr>
              <w:t>2.统计分析：自动生成档案管理报表（如月度采集量、查询次数、档案完好率），支持数据可视化展示（柱状图、折线图），辅助管理决策</w:t>
            </w:r>
          </w:p>
        </w:tc>
      </w:tr>
      <w:tr w14:paraId="3CBA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5" w:hRule="atLeast"/>
        </w:trPr>
        <w:tc>
          <w:tcPr>
            <w:tcW w:w="630" w:type="dxa"/>
            <w:shd w:val="clear" w:color="auto" w:fill="auto"/>
            <w:tcMar>
              <w:top w:w="0" w:type="dxa"/>
              <w:left w:w="105" w:type="dxa"/>
              <w:bottom w:w="0" w:type="dxa"/>
              <w:right w:w="105" w:type="dxa"/>
            </w:tcMar>
            <w:vAlign w:val="center"/>
          </w:tcPr>
          <w:p w14:paraId="37D88CFB">
            <w:pPr>
              <w:pStyle w:val="12"/>
              <w:keepNext w:val="0"/>
              <w:keepLines w:val="0"/>
              <w:widowControl/>
              <w:suppressLineNumbers w:val="0"/>
              <w:autoSpaceDE w:val="0"/>
              <w:autoSpaceDN/>
              <w:spacing w:beforeAutospacing="0" w:afterAutospacing="0"/>
              <w:jc w:val="center"/>
              <w:rPr>
                <w:rFonts w:hint="eastAsia" w:ascii="仿宋" w:hAnsi="仿宋" w:eastAsia="仿宋" w:cs="仿宋"/>
                <w:sz w:val="24"/>
                <w:szCs w:val="24"/>
              </w:rPr>
            </w:pPr>
            <w:r>
              <w:rPr>
                <w:rStyle w:val="17"/>
                <w:rFonts w:hint="eastAsia" w:ascii="仿宋" w:hAnsi="仿宋" w:eastAsia="仿宋" w:cs="仿宋"/>
                <w:sz w:val="24"/>
                <w:szCs w:val="24"/>
              </w:rPr>
              <w:t>2</w:t>
            </w:r>
          </w:p>
        </w:tc>
        <w:tc>
          <w:tcPr>
            <w:tcW w:w="1545" w:type="dxa"/>
            <w:shd w:val="clear" w:color="auto" w:fill="auto"/>
            <w:tcMar>
              <w:top w:w="0" w:type="dxa"/>
              <w:left w:w="105" w:type="dxa"/>
              <w:bottom w:w="0" w:type="dxa"/>
              <w:right w:w="105" w:type="dxa"/>
            </w:tcMar>
            <w:vAlign w:val="center"/>
          </w:tcPr>
          <w:p w14:paraId="62891668">
            <w:pPr>
              <w:pStyle w:val="12"/>
              <w:keepNext w:val="0"/>
              <w:keepLines w:val="0"/>
              <w:widowControl/>
              <w:suppressLineNumbers w:val="0"/>
              <w:autoSpaceDE w:val="0"/>
              <w:autoSpaceDN/>
              <w:spacing w:beforeAutospacing="0" w:afterAutospacing="0"/>
              <w:jc w:val="center"/>
              <w:rPr>
                <w:rFonts w:hint="eastAsia" w:ascii="仿宋" w:hAnsi="仿宋" w:eastAsia="仿宋" w:cs="仿宋"/>
                <w:sz w:val="24"/>
                <w:szCs w:val="24"/>
              </w:rPr>
            </w:pPr>
            <w:r>
              <w:rPr>
                <w:rFonts w:hint="eastAsia" w:ascii="仿宋" w:hAnsi="仿宋" w:eastAsia="仿宋" w:cs="仿宋"/>
                <w:sz w:val="24"/>
                <w:szCs w:val="24"/>
              </w:rPr>
              <w:t>存量档案扫描服务</w:t>
            </w:r>
          </w:p>
        </w:tc>
        <w:tc>
          <w:tcPr>
            <w:tcW w:w="6329" w:type="dxa"/>
            <w:gridSpan w:val="2"/>
            <w:shd w:val="clear" w:color="auto" w:fill="auto"/>
            <w:tcMar>
              <w:top w:w="0" w:type="dxa"/>
              <w:left w:w="105" w:type="dxa"/>
              <w:bottom w:w="0" w:type="dxa"/>
              <w:right w:w="105" w:type="dxa"/>
            </w:tcMar>
            <w:vAlign w:val="top"/>
          </w:tcPr>
          <w:p w14:paraId="433EB195">
            <w:pPr>
              <w:pStyle w:val="12"/>
              <w:keepNext w:val="0"/>
              <w:keepLines w:val="0"/>
              <w:widowControl/>
              <w:suppressLineNumbers w:val="0"/>
              <w:spacing w:beforeAutospacing="0" w:afterAutospacing="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存量档案处理：3个月内完成约10万页存量纸质出生证明档案扫描，扫描数据（含JPEG2000、TIFF、OFD格式文件）全部存储于院内服务器，禁止存储至第三方平台，数字化合格率≥95%；</w:t>
            </w:r>
          </w:p>
        </w:tc>
      </w:tr>
    </w:tbl>
    <w:p w14:paraId="028FFCCE">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sz w:val="24"/>
          <w:szCs w:val="24"/>
          <w:highlight w:val="none"/>
        </w:rPr>
        <w:t>服务要求</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21"/>
        <w:gridCol w:w="1224"/>
        <w:gridCol w:w="5261"/>
        <w:gridCol w:w="1198"/>
      </w:tblGrid>
      <w:tr w14:paraId="3152D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1" w:type="dxa"/>
            <w:shd w:val="clear" w:color="auto" w:fill="auto"/>
            <w:tcMar>
              <w:top w:w="0" w:type="dxa"/>
              <w:left w:w="105" w:type="dxa"/>
              <w:bottom w:w="0" w:type="dxa"/>
              <w:right w:w="105" w:type="dxa"/>
            </w:tcMar>
            <w:vAlign w:val="top"/>
          </w:tcPr>
          <w:p w14:paraId="4E47D160">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序号</w:t>
            </w:r>
          </w:p>
        </w:tc>
        <w:tc>
          <w:tcPr>
            <w:tcW w:w="1224" w:type="dxa"/>
            <w:shd w:val="clear" w:color="auto" w:fill="auto"/>
            <w:tcMar>
              <w:top w:w="0" w:type="dxa"/>
              <w:left w:w="105" w:type="dxa"/>
              <w:bottom w:w="0" w:type="dxa"/>
              <w:right w:w="105" w:type="dxa"/>
            </w:tcMar>
            <w:vAlign w:val="top"/>
          </w:tcPr>
          <w:p w14:paraId="1B8553B7">
            <w:pPr>
              <w:pStyle w:val="12"/>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服务类型</w:t>
            </w:r>
          </w:p>
        </w:tc>
        <w:tc>
          <w:tcPr>
            <w:tcW w:w="5261" w:type="dxa"/>
            <w:shd w:val="clear" w:color="auto" w:fill="auto"/>
            <w:tcMar>
              <w:top w:w="0" w:type="dxa"/>
              <w:left w:w="105" w:type="dxa"/>
              <w:bottom w:w="0" w:type="dxa"/>
              <w:right w:w="105" w:type="dxa"/>
            </w:tcMar>
            <w:vAlign w:val="top"/>
          </w:tcPr>
          <w:p w14:paraId="2D0078C4">
            <w:pPr>
              <w:pStyle w:val="12"/>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服务内容</w:t>
            </w:r>
          </w:p>
        </w:tc>
        <w:tc>
          <w:tcPr>
            <w:tcW w:w="1198" w:type="dxa"/>
            <w:shd w:val="clear" w:color="auto" w:fill="auto"/>
            <w:tcMar>
              <w:top w:w="0" w:type="dxa"/>
              <w:left w:w="105" w:type="dxa"/>
              <w:bottom w:w="0" w:type="dxa"/>
              <w:right w:w="105" w:type="dxa"/>
            </w:tcMar>
            <w:vAlign w:val="top"/>
          </w:tcPr>
          <w:p w14:paraId="5E749F36">
            <w:pPr>
              <w:pStyle w:val="12"/>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服务期</w:t>
            </w:r>
          </w:p>
        </w:tc>
      </w:tr>
      <w:tr w14:paraId="4516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21" w:type="dxa"/>
            <w:shd w:val="clear" w:color="auto" w:fill="auto"/>
            <w:tcMar>
              <w:top w:w="0" w:type="dxa"/>
              <w:left w:w="105" w:type="dxa"/>
              <w:bottom w:w="0" w:type="dxa"/>
              <w:right w:w="105" w:type="dxa"/>
            </w:tcMar>
            <w:vAlign w:val="center"/>
          </w:tcPr>
          <w:p w14:paraId="6B9EAE78">
            <w:pPr>
              <w:pStyle w:val="12"/>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1</w:t>
            </w:r>
          </w:p>
        </w:tc>
        <w:tc>
          <w:tcPr>
            <w:tcW w:w="1224" w:type="dxa"/>
            <w:shd w:val="clear" w:color="auto" w:fill="auto"/>
            <w:tcMar>
              <w:top w:w="0" w:type="dxa"/>
              <w:left w:w="105" w:type="dxa"/>
              <w:bottom w:w="0" w:type="dxa"/>
              <w:right w:w="105" w:type="dxa"/>
            </w:tcMar>
            <w:vAlign w:val="center"/>
          </w:tcPr>
          <w:p w14:paraId="71116067">
            <w:pPr>
              <w:pStyle w:val="12"/>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17"/>
                <w:rFonts w:hint="eastAsia" w:ascii="仿宋" w:hAnsi="仿宋" w:eastAsia="仿宋" w:cs="仿宋"/>
                <w:sz w:val="24"/>
                <w:szCs w:val="24"/>
              </w:rPr>
              <w:t>基本服务</w:t>
            </w:r>
          </w:p>
        </w:tc>
        <w:tc>
          <w:tcPr>
            <w:tcW w:w="5261" w:type="dxa"/>
            <w:shd w:val="clear" w:color="auto" w:fill="auto"/>
            <w:tcMar>
              <w:top w:w="0" w:type="dxa"/>
              <w:left w:w="105" w:type="dxa"/>
              <w:bottom w:w="0" w:type="dxa"/>
              <w:right w:w="105" w:type="dxa"/>
            </w:tcMar>
            <w:vAlign w:val="top"/>
          </w:tcPr>
          <w:p w14:paraId="0B9C86BC">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基本服务至少满足以下内容：</w:t>
            </w:r>
          </w:p>
          <w:p w14:paraId="04F524BC">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1</w:t>
            </w:r>
            <w:r>
              <w:rPr>
                <w:rStyle w:val="17"/>
                <w:rFonts w:hint="eastAsia" w:ascii="仿宋" w:hAnsi="仿宋" w:eastAsia="仿宋" w:cs="仿宋"/>
                <w:sz w:val="24"/>
                <w:szCs w:val="24"/>
                <w:lang w:val="en-US" w:eastAsia="zh-CN"/>
              </w:rPr>
              <w:t>.</w:t>
            </w:r>
            <w:r>
              <w:rPr>
                <w:rStyle w:val="17"/>
                <w:rFonts w:hint="eastAsia" w:ascii="仿宋" w:hAnsi="仿宋" w:eastAsia="仿宋" w:cs="仿宋"/>
                <w:sz w:val="24"/>
                <w:szCs w:val="24"/>
              </w:rPr>
              <w:t>稳定性：</w:t>
            </w:r>
            <w:r>
              <w:rPr>
                <w:rFonts w:hint="eastAsia" w:ascii="仿宋" w:hAnsi="仿宋" w:eastAsia="仿宋" w:cs="仿宋"/>
                <w:sz w:val="24"/>
                <w:szCs w:val="24"/>
              </w:rPr>
              <w:t>服务期内需保障业务稳定，不无故出现崩溃或宕机现象；</w:t>
            </w:r>
          </w:p>
          <w:p w14:paraId="00A6CB83">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2</w:t>
            </w:r>
            <w:r>
              <w:rPr>
                <w:rStyle w:val="17"/>
                <w:rFonts w:hint="eastAsia" w:ascii="仿宋" w:hAnsi="仿宋" w:eastAsia="仿宋" w:cs="仿宋"/>
                <w:sz w:val="24"/>
                <w:szCs w:val="24"/>
                <w:lang w:val="en-US" w:eastAsia="zh-CN"/>
              </w:rPr>
              <w:t>.</w:t>
            </w:r>
            <w:r>
              <w:rPr>
                <w:rStyle w:val="17"/>
                <w:rFonts w:hint="eastAsia" w:ascii="仿宋" w:hAnsi="仿宋" w:eastAsia="仿宋" w:cs="仿宋"/>
                <w:sz w:val="24"/>
                <w:szCs w:val="24"/>
              </w:rPr>
              <w:t>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具备完善的安全防护机制，做好数据备份，在合同签订后15个工作日内提交《安全事件应急响应手册》，重大安全事件（数据泄露、勒索病毒等）30分钟内电话通报、2小时内到场、4小时内出具初步处置报告；</w:t>
            </w:r>
          </w:p>
          <w:p w14:paraId="126B02F5">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3</w:t>
            </w:r>
            <w:r>
              <w:rPr>
                <w:rStyle w:val="17"/>
                <w:rFonts w:hint="eastAsia" w:ascii="仿宋" w:hAnsi="仿宋" w:eastAsia="仿宋" w:cs="仿宋"/>
                <w:sz w:val="24"/>
                <w:szCs w:val="24"/>
                <w:lang w:val="en-US" w:eastAsia="zh-CN"/>
              </w:rPr>
              <w:t>.</w:t>
            </w:r>
            <w:r>
              <w:rPr>
                <w:rStyle w:val="17"/>
                <w:rFonts w:hint="eastAsia" w:ascii="仿宋" w:hAnsi="仿宋" w:eastAsia="仿宋" w:cs="仿宋"/>
                <w:sz w:val="24"/>
                <w:szCs w:val="24"/>
              </w:rPr>
              <w:t>数据质量：</w:t>
            </w:r>
            <w:r>
              <w:rPr>
                <w:rFonts w:hint="eastAsia" w:ascii="仿宋" w:hAnsi="仿宋" w:eastAsia="仿宋" w:cs="仿宋"/>
                <w:sz w:val="24"/>
                <w:szCs w:val="24"/>
              </w:rPr>
              <w:t>供应商收到异议后，</w:t>
            </w:r>
            <w:r>
              <w:rPr>
                <w:rFonts w:hint="eastAsia" w:ascii="仿宋" w:hAnsi="仿宋" w:eastAsia="仿宋" w:cs="仿宋"/>
                <w:sz w:val="24"/>
                <w:szCs w:val="24"/>
                <w:lang w:eastAsia="zh-CN"/>
              </w:rPr>
              <w:t>成交</w:t>
            </w:r>
            <w:r>
              <w:rPr>
                <w:rFonts w:hint="eastAsia" w:ascii="仿宋" w:hAnsi="仿宋" w:eastAsia="仿宋" w:cs="仿宋"/>
                <w:sz w:val="24"/>
                <w:szCs w:val="24"/>
              </w:rPr>
              <w:t>供应商应在5个工作日内对数据质量问题进行原因查找和反馈，30个工作日内对数据质量问题进行数据清洗；</w:t>
            </w:r>
          </w:p>
          <w:p w14:paraId="06700F77">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rPr>
              <w:t>4</w:t>
            </w:r>
            <w:r>
              <w:rPr>
                <w:rStyle w:val="17"/>
                <w:rFonts w:hint="eastAsia" w:ascii="仿宋" w:hAnsi="仿宋" w:eastAsia="仿宋" w:cs="仿宋"/>
                <w:sz w:val="24"/>
                <w:szCs w:val="24"/>
                <w:lang w:val="en-US" w:eastAsia="zh-CN"/>
              </w:rPr>
              <w:t>.</w:t>
            </w:r>
            <w:r>
              <w:rPr>
                <w:rStyle w:val="17"/>
                <w:rFonts w:hint="eastAsia" w:ascii="仿宋" w:hAnsi="仿宋" w:eastAsia="仿宋" w:cs="仿宋"/>
                <w:sz w:val="24"/>
                <w:szCs w:val="24"/>
              </w:rPr>
              <w:t>响应速度：</w:t>
            </w:r>
            <w:r>
              <w:rPr>
                <w:rFonts w:hint="eastAsia" w:ascii="仿宋" w:hAnsi="仿宋" w:eastAsia="仿宋" w:cs="仿宋"/>
                <w:sz w:val="24"/>
                <w:szCs w:val="24"/>
              </w:rPr>
              <w:t>服务期内，采购人通过电话、微信、现场提出的支持需求，供应商须在需求提出的当日完成响应；</w:t>
            </w:r>
          </w:p>
          <w:p w14:paraId="5A195081">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lang w:val="en-US" w:eastAsia="zh-CN"/>
              </w:rPr>
              <w:t>5.</w:t>
            </w:r>
            <w:r>
              <w:rPr>
                <w:rStyle w:val="17"/>
                <w:rFonts w:hint="eastAsia" w:ascii="仿宋" w:hAnsi="仿宋" w:eastAsia="仿宋" w:cs="仿宋"/>
                <w:sz w:val="24"/>
                <w:szCs w:val="24"/>
              </w:rPr>
              <w:t>定期巡检：</w:t>
            </w:r>
            <w:r>
              <w:rPr>
                <w:rFonts w:hint="eastAsia" w:ascii="仿宋" w:hAnsi="仿宋" w:eastAsia="仿宋" w:cs="仿宋"/>
                <w:sz w:val="24"/>
                <w:szCs w:val="24"/>
              </w:rPr>
              <w:t>服务期内每季度提供至少1次软硬件服务期巡检报告；</w:t>
            </w:r>
          </w:p>
          <w:p w14:paraId="77ECB1E7">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17"/>
                <w:rFonts w:hint="eastAsia" w:ascii="仿宋" w:hAnsi="仿宋" w:eastAsia="仿宋" w:cs="仿宋"/>
                <w:sz w:val="24"/>
                <w:szCs w:val="24"/>
                <w:lang w:val="en-US" w:eastAsia="zh-CN"/>
              </w:rPr>
              <w:t>6.</w:t>
            </w:r>
            <w:r>
              <w:rPr>
                <w:rStyle w:val="17"/>
                <w:rFonts w:hint="eastAsia" w:ascii="仿宋" w:hAnsi="仿宋" w:eastAsia="仿宋" w:cs="仿宋"/>
                <w:sz w:val="24"/>
                <w:szCs w:val="24"/>
              </w:rPr>
              <w:t>培训服务：</w:t>
            </w:r>
            <w:r>
              <w:rPr>
                <w:rFonts w:hint="eastAsia" w:ascii="仿宋" w:hAnsi="仿宋" w:eastAsia="仿宋" w:cs="仿宋"/>
                <w:sz w:val="24"/>
                <w:szCs w:val="24"/>
              </w:rPr>
              <w:t>每年提供≥2次培训服务，并提交培训方案和签到表；</w:t>
            </w:r>
          </w:p>
          <w:p w14:paraId="3987F028">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r>
              <w:rPr>
                <w:rStyle w:val="17"/>
                <w:rFonts w:hint="eastAsia" w:ascii="仿宋" w:hAnsi="仿宋" w:eastAsia="仿宋" w:cs="仿宋"/>
                <w:sz w:val="24"/>
                <w:szCs w:val="24"/>
              </w:rPr>
              <w:t>文档服务：</w:t>
            </w:r>
            <w:r>
              <w:rPr>
                <w:rFonts w:hint="eastAsia" w:ascii="仿宋" w:hAnsi="仿宋" w:eastAsia="仿宋" w:cs="仿宋"/>
                <w:sz w:val="24"/>
                <w:szCs w:val="24"/>
              </w:rPr>
              <w:t>上线运行之日提交本次采购内容的《四川省人民医院应用系统档案》。服务期满后需提交本次采购内容的运维记录签字扫描版本。</w:t>
            </w:r>
          </w:p>
          <w:p w14:paraId="7068B818">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ind w:right="-88" w:rightChars="-42"/>
              <w:textAlignment w:val="auto"/>
              <w:rPr>
                <w:rFonts w:hint="eastAsia" w:ascii="仿宋" w:hAnsi="仿宋" w:eastAsia="仿宋" w:cs="仿宋"/>
                <w:sz w:val="24"/>
                <w:szCs w:val="24"/>
              </w:rPr>
            </w:pPr>
            <w:r>
              <w:rPr>
                <w:rStyle w:val="17"/>
                <w:rFonts w:hint="eastAsia" w:ascii="仿宋" w:hAnsi="仿宋" w:eastAsia="仿宋" w:cs="仿宋"/>
                <w:sz w:val="24"/>
                <w:szCs w:val="24"/>
                <w:lang w:val="en-US" w:eastAsia="zh-CN"/>
              </w:rPr>
              <w:t>8.</w:t>
            </w:r>
            <w:r>
              <w:rPr>
                <w:rStyle w:val="17"/>
                <w:rFonts w:hint="eastAsia" w:ascii="仿宋" w:hAnsi="仿宋" w:eastAsia="仿宋" w:cs="仿宋"/>
                <w:sz w:val="24"/>
                <w:szCs w:val="24"/>
              </w:rPr>
              <w:t>其他：</w:t>
            </w:r>
            <w:r>
              <w:rPr>
                <w:rFonts w:hint="eastAsia" w:ascii="仿宋" w:hAnsi="仿宋" w:eastAsia="仿宋" w:cs="仿宋"/>
                <w:sz w:val="24"/>
                <w:szCs w:val="24"/>
              </w:rPr>
              <w:t>如涉及因本项目开发的系统原因造成采购人的经济损失，由</w:t>
            </w:r>
            <w:r>
              <w:rPr>
                <w:rFonts w:hint="eastAsia" w:ascii="仿宋" w:hAnsi="仿宋" w:eastAsia="仿宋" w:cs="仿宋"/>
                <w:sz w:val="24"/>
                <w:szCs w:val="24"/>
                <w:lang w:eastAsia="zh-CN"/>
              </w:rPr>
              <w:t>成交</w:t>
            </w:r>
            <w:r>
              <w:rPr>
                <w:rFonts w:hint="eastAsia" w:ascii="仿宋" w:hAnsi="仿宋" w:eastAsia="仿宋" w:cs="仿宋"/>
                <w:sz w:val="24"/>
                <w:szCs w:val="24"/>
              </w:rPr>
              <w:t>供应商负责向采购人进行赔偿。</w:t>
            </w:r>
            <w:r>
              <w:rPr>
                <w:rFonts w:hint="eastAsia" w:ascii="仿宋" w:hAnsi="仿宋" w:eastAsia="仿宋" w:cs="仿宋"/>
                <w:spacing w:val="0"/>
                <w:sz w:val="24"/>
                <w:szCs w:val="24"/>
                <w:shd w:val="clear"/>
              </w:rPr>
              <w:t>供应商须承诺，若后续因政策要求需对接信创设备或进行信创环境改造，应无条件配合技术适配与改造工作，确保系统在信创环境下稳定运行，且不得以此为由额外增加采购人费用（硬件成本除外）</w:t>
            </w:r>
            <w:r>
              <w:rPr>
                <w:rFonts w:hint="eastAsia" w:ascii="仿宋" w:hAnsi="仿宋" w:eastAsia="仿宋" w:cs="仿宋"/>
                <w:b/>
                <w:bCs/>
                <w:spacing w:val="0"/>
                <w:sz w:val="24"/>
                <w:szCs w:val="24"/>
                <w:shd w:val="clear"/>
                <w:lang w:eastAsia="zh-CN"/>
              </w:rPr>
              <w:t>（</w:t>
            </w:r>
            <w:r>
              <w:rPr>
                <w:rFonts w:hint="eastAsia" w:ascii="仿宋" w:hAnsi="仿宋" w:eastAsia="仿宋" w:cs="仿宋"/>
                <w:b/>
                <w:bCs/>
                <w:spacing w:val="0"/>
                <w:sz w:val="24"/>
                <w:szCs w:val="24"/>
                <w:shd w:val="clear"/>
                <w:lang w:val="en-US" w:eastAsia="zh-CN"/>
              </w:rPr>
              <w:t>响应时提供承诺函</w:t>
            </w:r>
            <w:r>
              <w:rPr>
                <w:rFonts w:hint="eastAsia" w:ascii="仿宋" w:hAnsi="仿宋" w:eastAsia="仿宋" w:cs="仿宋"/>
                <w:b/>
                <w:bCs/>
                <w:spacing w:val="0"/>
                <w:sz w:val="24"/>
                <w:szCs w:val="24"/>
                <w:shd w:val="clear"/>
                <w:lang w:eastAsia="zh-CN"/>
              </w:rPr>
              <w:t>）</w:t>
            </w:r>
            <w:r>
              <w:rPr>
                <w:rFonts w:hint="eastAsia" w:ascii="仿宋" w:hAnsi="仿宋" w:eastAsia="仿宋" w:cs="仿宋"/>
                <w:spacing w:val="0"/>
                <w:sz w:val="24"/>
                <w:szCs w:val="24"/>
                <w:shd w:val="clear"/>
              </w:rPr>
              <w:t>。</w:t>
            </w:r>
          </w:p>
        </w:tc>
        <w:tc>
          <w:tcPr>
            <w:tcW w:w="1198" w:type="dxa"/>
            <w:shd w:val="clear" w:color="auto" w:fill="auto"/>
            <w:tcMar>
              <w:top w:w="0" w:type="dxa"/>
              <w:left w:w="105" w:type="dxa"/>
              <w:bottom w:w="0" w:type="dxa"/>
              <w:right w:w="105" w:type="dxa"/>
            </w:tcMar>
            <w:vAlign w:val="center"/>
          </w:tcPr>
          <w:p w14:paraId="638AF8AE">
            <w:pPr>
              <w:pStyle w:val="12"/>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验收合格之</w:t>
            </w:r>
            <w:r>
              <w:rPr>
                <w:rFonts w:hint="eastAsia" w:ascii="仿宋" w:hAnsi="仿宋" w:eastAsia="仿宋" w:cs="仿宋"/>
                <w:color w:val="auto"/>
                <w:sz w:val="24"/>
                <w:szCs w:val="24"/>
                <w:u w:val="none"/>
              </w:rPr>
              <w:t>日起</w:t>
            </w:r>
            <w:r>
              <w:rPr>
                <w:rFonts w:hint="eastAsia" w:ascii="仿宋" w:hAnsi="仿宋" w:eastAsia="仿宋" w:cs="仿宋"/>
                <w:color w:val="auto"/>
                <w:sz w:val="24"/>
                <w:szCs w:val="24"/>
                <w:u w:val="none"/>
                <w:shd w:val="clear"/>
              </w:rPr>
              <w:t>，提供不低于3年</w:t>
            </w:r>
          </w:p>
        </w:tc>
      </w:tr>
    </w:tbl>
    <w:p w14:paraId="2E0E11AE">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9F89E3D">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bookmarkStart w:id="8" w:name="_Toc15867"/>
      <w:bookmarkStart w:id="9" w:name="第四章"/>
      <w:r>
        <w:rPr>
          <w:rFonts w:hint="eastAsia" w:ascii="仿宋" w:hAnsi="仿宋" w:eastAsia="仿宋" w:cs="仿宋"/>
          <w:b w:val="0"/>
          <w:bCs w:val="0"/>
          <w:color w:val="auto"/>
          <w:kern w:val="2"/>
          <w:sz w:val="24"/>
          <w:szCs w:val="24"/>
          <w:highlight w:val="none"/>
          <w:u w:color="000000"/>
          <w:lang w:val="en-US" w:eastAsia="zh-CN" w:bidi="ar-SA"/>
        </w:rPr>
        <w:t>1.实施时间：本项目合同签订生效后，供应商应在5个工作日内开始实施；</w:t>
      </w:r>
    </w:p>
    <w:p w14:paraId="2D3D389B">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实施周期：本项目开始实施之日起3个月内，完成本项目包含的所有软硬件功能的上线运行和存量档案扫描服务。未在实施周期内完成，视为供应商违约并自动放弃该项目，采购人有权终止合同，合同所有款项将不予支付（已缴纳的履约保证金，将不予退还），已支付款项，供应商应于7个工作日内退还采购人。</w:t>
      </w:r>
    </w:p>
    <w:p w14:paraId="1A9D6F07">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3.服务地点：本项目涉及的四川省人民医院所有院区。</w:t>
      </w:r>
    </w:p>
    <w:p w14:paraId="3D6C4CC3">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4.付款条件：合同签订生效且项目验收合格后，供应商于5日内向采购人提供合法有效票据及其他相关请款资料，采购人于接到上述票据及资料以后的55日内，向供应商支付合同总价100%的金额。</w:t>
      </w:r>
    </w:p>
    <w:p w14:paraId="7E8CA8E6">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5.履约验收方案</w:t>
      </w:r>
    </w:p>
    <w:p w14:paraId="62A9843A">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（1）验收主体:采购人</w:t>
      </w:r>
    </w:p>
    <w:p w14:paraId="6536DD68">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（2）验收组织方式:自行验收</w:t>
      </w:r>
    </w:p>
    <w:p w14:paraId="66064662">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（3）验收程序:一次性验收</w:t>
      </w:r>
    </w:p>
    <w:p w14:paraId="52083E51">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（4）验收方式:现场整体验收</w:t>
      </w:r>
    </w:p>
    <w:p w14:paraId="50BC45B5">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（5）履约验收内容:按照基于本项目采购需求编制的采购文件要求及供应商响应文件情况，由供应商向采购人提供的全部服务或货物。</w:t>
      </w:r>
    </w:p>
    <w:p w14:paraId="4AAAAB80">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（6）履约验收时间：系统上线且扫描服务完成后，供应商5日内通知采购人验收，采购人接供应商通知后10日内组织验收。</w:t>
      </w:r>
    </w:p>
    <w:p w14:paraId="2DDC73DD">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（7）是否邀请本项目的其他供应商：否</w:t>
      </w:r>
    </w:p>
    <w:p w14:paraId="340B07D2">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（8）是否邀请专家：否</w:t>
      </w:r>
    </w:p>
    <w:p w14:paraId="0DED1756">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（9）是否邀请服务对象：否</w:t>
      </w:r>
    </w:p>
    <w:p w14:paraId="742BFF54">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（10）是否邀请第三方检测机构：否</w:t>
      </w:r>
    </w:p>
    <w:p w14:paraId="092A1B4C">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（11）验收标准：</w:t>
      </w:r>
    </w:p>
    <w:p w14:paraId="406D50E8">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1）国家相关法律法规、行业标准、技术规范。</w:t>
      </w:r>
    </w:p>
    <w:p w14:paraId="653BBA8F">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2）基于本项目采购需求编制的采购文件相关技术、服务要求、供应商响应文件相关响应内容。</w:t>
      </w:r>
    </w:p>
    <w:p w14:paraId="7341A1B5">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3）产品生产厂家出具的产品说明书、技术白皮书、医疗器械注册证或备案凭证等官方技术资料（如涉及）。</w:t>
      </w:r>
    </w:p>
    <w:p w14:paraId="21BB0E1F">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4）如验收时，采购人与供应商认为本项目验收标准中的技术指标、质量要求等内容存在相互抵触或对其理解存在异议，应按照其中更严格的要求、标准等进行验收。</w:t>
      </w:r>
    </w:p>
    <w:p w14:paraId="68EE1CC3">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5）按照《财政部关于进一步加强政府采购需求和履约验收管理的指导意见》（财库〔2016〕205号）的要求进行验收。（如本项目不涉及政府采购，将参照此条款）</w:t>
      </w:r>
    </w:p>
    <w:p w14:paraId="76389E22">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6）如本项目验收方式为考核验收，则考核结果须为合格。</w:t>
      </w:r>
    </w:p>
    <w:p w14:paraId="1B2F5A3F">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7）其它标准：无。</w:t>
      </w:r>
    </w:p>
    <w:p w14:paraId="4A25C49F">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firstLine="480" w:firstLineChars="200"/>
        <w:jc w:val="both"/>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（12）履约验收其它事项：无。</w:t>
      </w: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13278513">
      <w:pPr>
        <w:rPr>
          <w:rFonts w:hint="default"/>
          <w:color w:val="auto"/>
          <w:highlight w:val="none"/>
          <w:lang w:val="zh-TW"/>
        </w:rPr>
      </w:pPr>
    </w:p>
    <w:p w14:paraId="676F9ACB">
      <w:pPr>
        <w:pStyle w:val="3"/>
        <w:rPr>
          <w:rFonts w:cs="Times New Roman" w:asciiTheme="majorEastAsia" w:hAnsiTheme="majorEastAsia" w:eastAsiaTheme="majorEastAsia"/>
          <w:color w:val="auto"/>
          <w:szCs w:val="36"/>
          <w:highlight w:val="none"/>
          <w:lang w:val="zh-TW"/>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8"/>
      <w:r>
        <w:rPr>
          <w:rFonts w:hint="eastAsia"/>
          <w:color w:val="auto"/>
          <w:highlight w:val="none"/>
          <w:lang w:val="en-US"/>
        </w:rPr>
        <w:t>格式</w:t>
      </w:r>
    </w:p>
    <w:bookmarkEnd w:id="9"/>
    <w:p w14:paraId="3F9247B2">
      <w:pPr>
        <w:pStyle w:val="5"/>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0" w:name="_Toc19851"/>
      <w:bookmarkStart w:id="11" w:name="_Toc9428"/>
      <w:bookmarkStart w:id="12" w:name="_Toc30609"/>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3" w:name="_Toc32352"/>
      <w:bookmarkStart w:id="14" w:name="_Toc9041"/>
      <w:bookmarkStart w:id="15" w:name="_Toc1544"/>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18" w:name="_Toc24859"/>
      <w:bookmarkStart w:id="19" w:name="_Toc1690"/>
      <w:bookmarkStart w:id="20" w:name="_Toc32749"/>
      <w:bookmarkStart w:id="21" w:name="_Toc17163"/>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2" w:name="_Toc27526"/>
      <w:bookmarkStart w:id="23" w:name="_Toc5996"/>
      <w:bookmarkStart w:id="24" w:name="_Toc2989"/>
      <w:bookmarkStart w:id="25" w:name="_Toc27135"/>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26" w:name="_Toc5056"/>
      <w:bookmarkStart w:id="27" w:name="_Toc2031"/>
      <w:bookmarkStart w:id="28" w:name="_Toc7233"/>
      <w:bookmarkStart w:id="29" w:name="_Toc19987"/>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355"/>
        <w:gridCol w:w="4099"/>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1"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1"/>
    <w:p w14:paraId="67792911">
      <w:pPr>
        <w:spacing w:line="360" w:lineRule="auto"/>
        <w:ind w:firstLine="420" w:firstLineChars="200"/>
        <w:rPr>
          <w:rFonts w:hint="eastAsia" w:ascii="宋体" w:hAnsi="宋体" w:eastAsia="宋体" w:cs="宋体"/>
          <w:color w:val="auto"/>
          <w:sz w:val="21"/>
          <w:szCs w:val="21"/>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w:t>
      </w:r>
      <w:r>
        <w:rPr>
          <w:rFonts w:hint="eastAsia" w:ascii="宋体" w:hAnsi="宋体" w:eastAsia="宋体" w:cs="宋体"/>
          <w:color w:val="auto"/>
          <w:sz w:val="21"/>
          <w:szCs w:val="21"/>
          <w:highlight w:val="none"/>
        </w:rPr>
        <w:t>假等违法违规行为，以及中选后因报价低或不执行承诺条款而不履约,本单位愿承担一切责任（包括赔偿损失、取消评审及中选资格等），我单位报价为：</w:t>
      </w:r>
    </w:p>
    <w:p w14:paraId="22B9930E">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1.数字化服务系统</w:t>
      </w:r>
    </w:p>
    <w:tbl>
      <w:tblPr>
        <w:tblStyle w:val="1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23"/>
        <w:gridCol w:w="1761"/>
        <w:gridCol w:w="1313"/>
        <w:gridCol w:w="740"/>
        <w:gridCol w:w="783"/>
        <w:gridCol w:w="921"/>
        <w:gridCol w:w="808"/>
        <w:gridCol w:w="774"/>
        <w:gridCol w:w="774"/>
      </w:tblGrid>
      <w:tr w14:paraId="3080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55" w:type="pct"/>
            <w:vAlign w:val="center"/>
          </w:tcPr>
          <w:p w14:paraId="19DA5BE8">
            <w:pPr>
              <w:spacing w:line="240" w:lineRule="auto"/>
              <w:jc w:val="center"/>
              <w:rPr>
                <w:rFonts w:hint="eastAsia" w:ascii="宋体" w:hAnsi="宋体" w:eastAsia="宋体" w:cs="宋体"/>
                <w:b/>
                <w:bCs/>
                <w:kern w:val="0"/>
                <w:sz w:val="21"/>
                <w:szCs w:val="21"/>
                <w:lang w:val="zh-TW" w:eastAsia="zh-TW"/>
              </w:rPr>
            </w:pPr>
            <w:r>
              <w:rPr>
                <w:rFonts w:hint="eastAsia" w:ascii="宋体" w:hAnsi="宋体" w:eastAsia="宋体" w:cs="宋体"/>
                <w:b/>
                <w:bCs/>
                <w:kern w:val="0"/>
                <w:sz w:val="21"/>
                <w:szCs w:val="21"/>
                <w:lang w:val="zh-TW" w:eastAsia="zh-TW"/>
              </w:rPr>
              <w:t>序号</w:t>
            </w:r>
          </w:p>
        </w:tc>
        <w:tc>
          <w:tcPr>
            <w:tcW w:w="1061" w:type="pct"/>
            <w:vAlign w:val="center"/>
          </w:tcPr>
          <w:p w14:paraId="690483FC">
            <w:pPr>
              <w:spacing w:line="240" w:lineRule="auto"/>
              <w:jc w:val="center"/>
              <w:rPr>
                <w:rFonts w:hint="eastAsia" w:ascii="宋体" w:hAnsi="宋体" w:eastAsia="宋体" w:cs="宋体"/>
                <w:b/>
                <w:bCs/>
                <w:kern w:val="0"/>
                <w:sz w:val="21"/>
                <w:szCs w:val="21"/>
                <w:lang w:val="zh-TW" w:eastAsia="zh-TW"/>
              </w:rPr>
            </w:pPr>
            <w:r>
              <w:rPr>
                <w:rFonts w:hint="eastAsia" w:ascii="宋体" w:hAnsi="宋体" w:eastAsia="宋体" w:cs="宋体"/>
                <w:b/>
                <w:bCs/>
                <w:kern w:val="0"/>
                <w:sz w:val="21"/>
                <w:szCs w:val="21"/>
                <w:lang w:val="zh-TW" w:eastAsia="zh-TW"/>
              </w:rPr>
              <w:t>品名</w:t>
            </w:r>
          </w:p>
        </w:tc>
        <w:tc>
          <w:tcPr>
            <w:tcW w:w="791" w:type="pct"/>
            <w:vAlign w:val="center"/>
          </w:tcPr>
          <w:p w14:paraId="6D4836EE">
            <w:pPr>
              <w:spacing w:line="240" w:lineRule="auto"/>
              <w:jc w:val="center"/>
              <w:rPr>
                <w:rFonts w:hint="eastAsia" w:ascii="宋体" w:hAnsi="宋体" w:eastAsia="宋体" w:cs="宋体"/>
                <w:b/>
                <w:bCs/>
                <w:kern w:val="0"/>
                <w:sz w:val="21"/>
                <w:szCs w:val="21"/>
                <w:lang w:val="zh-TW" w:eastAsia="zh-TW"/>
              </w:rPr>
            </w:pPr>
            <w:r>
              <w:rPr>
                <w:rFonts w:hint="eastAsia" w:ascii="宋体" w:hAnsi="宋体" w:eastAsia="宋体" w:cs="宋体"/>
                <w:b/>
                <w:bCs/>
                <w:kern w:val="0"/>
                <w:sz w:val="21"/>
                <w:szCs w:val="21"/>
                <w:lang w:val="zh-TW" w:eastAsia="zh-TW"/>
              </w:rPr>
              <w:t>详细描述</w:t>
            </w:r>
          </w:p>
        </w:tc>
        <w:tc>
          <w:tcPr>
            <w:tcW w:w="446" w:type="pct"/>
            <w:vAlign w:val="center"/>
          </w:tcPr>
          <w:p w14:paraId="0670473E">
            <w:pPr>
              <w:pStyle w:val="12"/>
              <w:keepNext w:val="0"/>
              <w:keepLines w:val="0"/>
              <w:widowControl/>
              <w:suppressLineNumbers w:val="0"/>
              <w:autoSpaceDE w:val="0"/>
              <w:autoSpaceDN/>
              <w:spacing w:line="240" w:lineRule="auto"/>
              <w:ind w:left="0" w:leftChars="0" w:right="0" w:rightChars="0"/>
              <w:jc w:val="center"/>
              <w:rPr>
                <w:rFonts w:hint="eastAsia" w:ascii="宋体" w:hAnsi="宋体" w:eastAsia="宋体" w:cs="宋体"/>
                <w:b/>
                <w:bCs/>
                <w:kern w:val="0"/>
                <w:sz w:val="21"/>
                <w:szCs w:val="21"/>
                <w:lang w:val="zh-TW" w:eastAsia="zh-TW"/>
              </w:rPr>
            </w:pPr>
            <w:r>
              <w:rPr>
                <w:rStyle w:val="17"/>
                <w:rFonts w:hint="eastAsia" w:ascii="宋体" w:hAnsi="宋体" w:eastAsia="宋体" w:cs="宋体"/>
                <w:b/>
                <w:bCs/>
                <w:sz w:val="21"/>
                <w:szCs w:val="21"/>
              </w:rPr>
              <w:t>数量</w:t>
            </w:r>
          </w:p>
        </w:tc>
        <w:tc>
          <w:tcPr>
            <w:tcW w:w="472" w:type="pct"/>
            <w:vAlign w:val="center"/>
          </w:tcPr>
          <w:p w14:paraId="1C69D5E4">
            <w:pPr>
              <w:pStyle w:val="12"/>
              <w:keepNext w:val="0"/>
              <w:keepLines w:val="0"/>
              <w:widowControl/>
              <w:suppressLineNumbers w:val="0"/>
              <w:autoSpaceDE w:val="0"/>
              <w:autoSpaceDN/>
              <w:spacing w:line="240" w:lineRule="auto"/>
              <w:ind w:left="0" w:leftChars="0" w:right="0" w:rightChars="0"/>
              <w:jc w:val="center"/>
              <w:rPr>
                <w:rFonts w:hint="eastAsia" w:ascii="宋体" w:hAnsi="宋体" w:eastAsia="宋体" w:cs="宋体"/>
                <w:b/>
                <w:bCs/>
                <w:kern w:val="0"/>
                <w:sz w:val="21"/>
                <w:szCs w:val="21"/>
                <w:lang w:val="zh-TW" w:eastAsia="zh-TW"/>
              </w:rPr>
            </w:pPr>
            <w:r>
              <w:rPr>
                <w:rStyle w:val="17"/>
                <w:rFonts w:hint="eastAsia" w:ascii="宋体" w:hAnsi="宋体" w:eastAsia="宋体" w:cs="宋体"/>
                <w:b/>
                <w:bCs/>
                <w:sz w:val="21"/>
                <w:szCs w:val="21"/>
              </w:rPr>
              <w:t>单位</w:t>
            </w:r>
          </w:p>
        </w:tc>
        <w:tc>
          <w:tcPr>
            <w:tcW w:w="555" w:type="pct"/>
            <w:vAlign w:val="center"/>
          </w:tcPr>
          <w:p w14:paraId="233F406E">
            <w:pPr>
              <w:spacing w:line="240" w:lineRule="auto"/>
              <w:jc w:val="center"/>
              <w:rPr>
                <w:rFonts w:hint="eastAsia" w:ascii="宋体" w:hAnsi="宋体" w:eastAsia="宋体" w:cs="宋体"/>
                <w:b/>
                <w:bCs/>
                <w:kern w:val="0"/>
                <w:sz w:val="21"/>
                <w:szCs w:val="21"/>
                <w:lang w:val="zh-TW" w:eastAsia="zh-TW"/>
              </w:rPr>
            </w:pPr>
            <w:r>
              <w:rPr>
                <w:rFonts w:hint="eastAsia" w:ascii="宋体" w:hAnsi="宋体" w:eastAsia="宋体" w:cs="宋体"/>
                <w:b/>
                <w:bCs/>
                <w:kern w:val="0"/>
                <w:sz w:val="21"/>
                <w:szCs w:val="21"/>
                <w:lang w:val="en-US" w:eastAsia="zh-CN"/>
              </w:rPr>
              <w:t>生产厂商</w:t>
            </w:r>
          </w:p>
        </w:tc>
        <w:tc>
          <w:tcPr>
            <w:tcW w:w="487" w:type="pct"/>
            <w:vAlign w:val="center"/>
          </w:tcPr>
          <w:p w14:paraId="4C978311">
            <w:pPr>
              <w:spacing w:line="240" w:lineRule="auto"/>
              <w:jc w:val="center"/>
              <w:rPr>
                <w:rFonts w:hint="eastAsia" w:ascii="宋体" w:hAnsi="宋体" w:eastAsia="宋体" w:cs="宋体"/>
                <w:b/>
                <w:bCs/>
                <w:kern w:val="0"/>
                <w:sz w:val="21"/>
                <w:szCs w:val="21"/>
                <w:lang w:val="zh-TW" w:eastAsia="zh-TW"/>
              </w:rPr>
            </w:pPr>
            <w:r>
              <w:rPr>
                <w:rFonts w:hint="eastAsia" w:ascii="宋体" w:hAnsi="宋体" w:eastAsia="宋体" w:cs="宋体"/>
                <w:b/>
                <w:bCs/>
                <w:kern w:val="0"/>
                <w:sz w:val="21"/>
                <w:szCs w:val="21"/>
                <w:lang w:val="zh-TW" w:eastAsia="zh-TW"/>
              </w:rPr>
              <w:t>单价（元）</w:t>
            </w:r>
          </w:p>
        </w:tc>
        <w:tc>
          <w:tcPr>
            <w:tcW w:w="466" w:type="pct"/>
            <w:vAlign w:val="center"/>
          </w:tcPr>
          <w:p w14:paraId="6B8C0B79">
            <w:pPr>
              <w:spacing w:line="240" w:lineRule="auto"/>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zh-TW" w:eastAsia="zh-TW"/>
              </w:rPr>
              <w:t>总价（元）</w:t>
            </w:r>
          </w:p>
        </w:tc>
        <w:tc>
          <w:tcPr>
            <w:tcW w:w="463" w:type="pct"/>
            <w:vAlign w:val="center"/>
          </w:tcPr>
          <w:p w14:paraId="43B6EC08">
            <w:pPr>
              <w:spacing w:line="240" w:lineRule="auto"/>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备注</w:t>
            </w:r>
          </w:p>
        </w:tc>
      </w:tr>
      <w:tr w14:paraId="609D5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55" w:type="pct"/>
            <w:vAlign w:val="center"/>
          </w:tcPr>
          <w:p w14:paraId="1D9BFDFD">
            <w:pPr>
              <w:pStyle w:val="5"/>
              <w:spacing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061" w:type="pct"/>
            <w:vAlign w:val="center"/>
          </w:tcPr>
          <w:p w14:paraId="046BA3C3">
            <w:pPr>
              <w:pStyle w:val="12"/>
              <w:keepNext w:val="0"/>
              <w:keepLines w:val="0"/>
              <w:widowControl/>
              <w:suppressLineNumbers w:val="0"/>
              <w:autoSpaceDE w:val="0"/>
              <w:autoSpaceDN/>
              <w:spacing w:line="240" w:lineRule="auto"/>
              <w:ind w:left="0" w:leftChars="0" w:right="0" w:rightChars="0"/>
              <w:jc w:val="both"/>
              <w:rPr>
                <w:rFonts w:hint="eastAsia" w:ascii="宋体" w:hAnsi="宋体" w:eastAsia="宋体" w:cs="宋体"/>
                <w:sz w:val="21"/>
                <w:szCs w:val="21"/>
              </w:rPr>
            </w:pPr>
            <w:r>
              <w:rPr>
                <w:rFonts w:hint="eastAsia" w:ascii="宋体" w:hAnsi="宋体" w:eastAsia="宋体" w:cs="宋体"/>
                <w:sz w:val="21"/>
                <w:szCs w:val="21"/>
              </w:rPr>
              <w:t>数字化服务系统</w:t>
            </w:r>
          </w:p>
        </w:tc>
        <w:tc>
          <w:tcPr>
            <w:tcW w:w="791" w:type="pct"/>
            <w:vAlign w:val="center"/>
          </w:tcPr>
          <w:p w14:paraId="307622F1">
            <w:pPr>
              <w:keepNext w:val="0"/>
              <w:keepLines w:val="0"/>
              <w:widowControl/>
              <w:suppressLineNumbers w:val="0"/>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446" w:type="pct"/>
            <w:vAlign w:val="center"/>
          </w:tcPr>
          <w:p w14:paraId="3F274CBF">
            <w:pPr>
              <w:pStyle w:val="12"/>
              <w:keepNext w:val="0"/>
              <w:keepLines w:val="0"/>
              <w:widowControl/>
              <w:suppressLineNumbers w:val="0"/>
              <w:autoSpaceDE w:val="0"/>
              <w:autoSpaceDN/>
              <w:spacing w:line="240" w:lineRule="auto"/>
              <w:ind w:left="0" w:leftChars="0" w:right="0" w:rightChars="0"/>
              <w:jc w:val="center"/>
              <w:rPr>
                <w:rFonts w:hint="eastAsia" w:ascii="宋体" w:hAnsi="宋体" w:eastAsia="宋体" w:cs="宋体"/>
                <w:sz w:val="21"/>
                <w:szCs w:val="21"/>
              </w:rPr>
            </w:pPr>
            <w:r>
              <w:rPr>
                <w:rFonts w:hint="eastAsia" w:ascii="宋体" w:hAnsi="宋体" w:eastAsia="宋体" w:cs="宋体"/>
                <w:sz w:val="21"/>
                <w:szCs w:val="21"/>
              </w:rPr>
              <w:t>1</w:t>
            </w:r>
          </w:p>
        </w:tc>
        <w:tc>
          <w:tcPr>
            <w:tcW w:w="472" w:type="pct"/>
            <w:vAlign w:val="center"/>
          </w:tcPr>
          <w:p w14:paraId="61B80304">
            <w:pPr>
              <w:pStyle w:val="12"/>
              <w:keepNext w:val="0"/>
              <w:keepLines w:val="0"/>
              <w:widowControl/>
              <w:suppressLineNumbers w:val="0"/>
              <w:autoSpaceDE w:val="0"/>
              <w:autoSpaceDN/>
              <w:spacing w:line="240" w:lineRule="auto"/>
              <w:ind w:left="0" w:leftChars="0" w:right="0" w:rightChars="0"/>
              <w:jc w:val="center"/>
              <w:rPr>
                <w:rFonts w:hint="eastAsia" w:ascii="宋体" w:hAnsi="宋体" w:eastAsia="宋体" w:cs="宋体"/>
                <w:sz w:val="21"/>
                <w:szCs w:val="21"/>
              </w:rPr>
            </w:pPr>
            <w:r>
              <w:rPr>
                <w:rFonts w:hint="eastAsia" w:ascii="宋体" w:hAnsi="宋体" w:eastAsia="宋体" w:cs="宋体"/>
                <w:sz w:val="21"/>
                <w:szCs w:val="21"/>
              </w:rPr>
              <w:t>套</w:t>
            </w:r>
          </w:p>
        </w:tc>
        <w:tc>
          <w:tcPr>
            <w:tcW w:w="555" w:type="pct"/>
            <w:vAlign w:val="center"/>
          </w:tcPr>
          <w:p w14:paraId="6B58A32B">
            <w:pPr>
              <w:pStyle w:val="5"/>
              <w:spacing w:line="240" w:lineRule="auto"/>
              <w:jc w:val="center"/>
              <w:rPr>
                <w:rFonts w:hint="eastAsia" w:ascii="宋体" w:hAnsi="宋体" w:eastAsia="宋体" w:cs="宋体"/>
                <w:sz w:val="21"/>
                <w:szCs w:val="21"/>
              </w:rPr>
            </w:pPr>
          </w:p>
        </w:tc>
        <w:tc>
          <w:tcPr>
            <w:tcW w:w="487" w:type="pct"/>
            <w:vAlign w:val="center"/>
          </w:tcPr>
          <w:p w14:paraId="427885FB">
            <w:pPr>
              <w:pStyle w:val="5"/>
              <w:spacing w:line="240" w:lineRule="auto"/>
              <w:jc w:val="center"/>
              <w:rPr>
                <w:rFonts w:hint="eastAsia" w:ascii="宋体" w:hAnsi="宋体" w:eastAsia="宋体" w:cs="宋体"/>
                <w:sz w:val="21"/>
                <w:szCs w:val="21"/>
              </w:rPr>
            </w:pPr>
          </w:p>
        </w:tc>
        <w:tc>
          <w:tcPr>
            <w:tcW w:w="466" w:type="pct"/>
            <w:vAlign w:val="center"/>
          </w:tcPr>
          <w:p w14:paraId="24B8D476">
            <w:pPr>
              <w:pStyle w:val="5"/>
              <w:spacing w:line="240" w:lineRule="auto"/>
              <w:jc w:val="both"/>
              <w:rPr>
                <w:rFonts w:hint="eastAsia" w:ascii="宋体" w:hAnsi="宋体" w:eastAsia="宋体" w:cs="宋体"/>
                <w:sz w:val="21"/>
                <w:szCs w:val="21"/>
              </w:rPr>
            </w:pPr>
          </w:p>
        </w:tc>
        <w:tc>
          <w:tcPr>
            <w:tcW w:w="463" w:type="pct"/>
            <w:vAlign w:val="center"/>
          </w:tcPr>
          <w:p w14:paraId="20E0AE6C">
            <w:pPr>
              <w:pStyle w:val="5"/>
              <w:spacing w:line="240" w:lineRule="auto"/>
              <w:jc w:val="center"/>
              <w:rPr>
                <w:rFonts w:hint="eastAsia" w:ascii="宋体" w:hAnsi="宋体" w:eastAsia="宋体" w:cs="宋体"/>
                <w:sz w:val="21"/>
                <w:szCs w:val="21"/>
                <w:lang w:val="en-US" w:eastAsia="zh-CN"/>
              </w:rPr>
            </w:pPr>
          </w:p>
        </w:tc>
      </w:tr>
      <w:tr w14:paraId="163C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16" w:type="pct"/>
            <w:gridSpan w:val="2"/>
            <w:vAlign w:val="center"/>
          </w:tcPr>
          <w:p w14:paraId="396AEC23">
            <w:pPr>
              <w:spacing w:line="240" w:lineRule="auto"/>
              <w:jc w:val="center"/>
              <w:rPr>
                <w:rFonts w:hint="eastAsia" w:ascii="宋体" w:hAnsi="宋体" w:eastAsia="宋体" w:cs="宋体"/>
                <w:kern w:val="0"/>
                <w:sz w:val="21"/>
                <w:szCs w:val="21"/>
                <w:lang w:val="zh-TW" w:eastAsia="zh-TW"/>
              </w:rPr>
            </w:pPr>
            <w:r>
              <w:rPr>
                <w:rFonts w:hint="eastAsia" w:ascii="宋体" w:hAnsi="宋体" w:eastAsia="宋体" w:cs="宋体"/>
                <w:kern w:val="0"/>
                <w:sz w:val="21"/>
                <w:szCs w:val="21"/>
                <w:lang w:val="zh-TW" w:eastAsia="zh-TW"/>
              </w:rPr>
              <w:t>报价合计</w:t>
            </w:r>
          </w:p>
        </w:tc>
        <w:tc>
          <w:tcPr>
            <w:tcW w:w="3683" w:type="pct"/>
            <w:gridSpan w:val="7"/>
            <w:vAlign w:val="center"/>
          </w:tcPr>
          <w:p w14:paraId="1A707293">
            <w:pPr>
              <w:spacing w:line="240" w:lineRule="auto"/>
              <w:ind w:firstLine="105" w:firstLineChars="50"/>
              <w:jc w:val="left"/>
              <w:rPr>
                <w:rFonts w:hint="eastAsia" w:ascii="宋体" w:hAnsi="宋体" w:eastAsia="宋体" w:cs="宋体"/>
                <w:kern w:val="0"/>
                <w:sz w:val="21"/>
                <w:szCs w:val="21"/>
                <w:lang w:val="zh-TW" w:eastAsia="zh-TW"/>
              </w:rPr>
            </w:pPr>
            <w:r>
              <w:rPr>
                <w:rFonts w:hint="eastAsia" w:ascii="宋体" w:hAnsi="宋体" w:eastAsia="宋体" w:cs="宋体"/>
                <w:kern w:val="0"/>
                <w:sz w:val="21"/>
                <w:szCs w:val="21"/>
                <w:lang w:val="zh-TW" w:eastAsia="zh-TW"/>
              </w:rPr>
              <w:t xml:space="preserve">大写：       </w:t>
            </w:r>
            <w:r>
              <w:rPr>
                <w:rFonts w:hint="eastAsia" w:ascii="宋体" w:hAnsi="宋体" w:eastAsia="宋体" w:cs="宋体"/>
                <w:kern w:val="0"/>
                <w:sz w:val="21"/>
                <w:szCs w:val="21"/>
                <w:lang w:val="zh-TW"/>
              </w:rPr>
              <w:t xml:space="preserve">    </w:t>
            </w:r>
            <w:r>
              <w:rPr>
                <w:rFonts w:hint="eastAsia" w:ascii="宋体" w:hAnsi="宋体" w:eastAsia="宋体" w:cs="宋体"/>
                <w:kern w:val="0"/>
                <w:sz w:val="21"/>
                <w:szCs w:val="21"/>
                <w:lang w:val="zh-TW" w:eastAsia="zh-TW"/>
              </w:rPr>
              <w:t>小写：</w:t>
            </w:r>
          </w:p>
        </w:tc>
      </w:tr>
    </w:tbl>
    <w:p w14:paraId="7A7C8438">
      <w:pPr>
        <w:widowControl/>
        <w:spacing w:line="360" w:lineRule="auto"/>
        <w:ind w:firstLine="420" w:firstLineChars="200"/>
        <w:jc w:val="left"/>
        <w:rPr>
          <w:rFonts w:hint="eastAsia" w:ascii="宋体" w:hAnsi="宋体" w:eastAsia="宋体" w:cs="宋体"/>
          <w:color w:val="auto"/>
          <w:sz w:val="21"/>
          <w:szCs w:val="21"/>
          <w:highlight w:val="none"/>
          <w:lang w:val="en-US" w:eastAsia="zh-CN"/>
        </w:rPr>
      </w:pPr>
    </w:p>
    <w:p w14:paraId="2BAEAB5F">
      <w:pPr>
        <w:widowControl/>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sz w:val="21"/>
          <w:szCs w:val="21"/>
        </w:rPr>
        <w:t>存量档案扫描服务</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限高单价统一下浮率：</w:t>
      </w:r>
      <w:r>
        <w:rPr>
          <w:rFonts w:hint="eastAsia" w:ascii="宋体" w:hAnsi="宋体" w:eastAsia="宋体" w:cs="宋体"/>
          <w:sz w:val="21"/>
          <w:szCs w:val="21"/>
          <w:u w:val="single" w:color="auto"/>
          <w:lang w:val="en-US" w:eastAsia="zh-CN"/>
        </w:rPr>
        <w:t xml:space="preserve">        </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。（按实结算，</w:t>
      </w:r>
      <w:r>
        <w:rPr>
          <w:rFonts w:hint="eastAsia" w:ascii="宋体" w:hAnsi="宋体" w:eastAsia="宋体" w:cs="宋体"/>
          <w:sz w:val="21"/>
          <w:szCs w:val="21"/>
          <w:lang w:val="en-US" w:eastAsia="zh-CN"/>
        </w:rPr>
        <w:t>支付上限为50000元</w:t>
      </w:r>
      <w:r>
        <w:rPr>
          <w:rFonts w:hint="eastAsia" w:ascii="宋体" w:hAnsi="宋体" w:eastAsia="宋体" w:cs="宋体"/>
          <w:sz w:val="21"/>
          <w:szCs w:val="21"/>
          <w:lang w:eastAsia="zh-CN"/>
        </w:rPr>
        <w:t>）</w:t>
      </w:r>
    </w:p>
    <w:p w14:paraId="099F372B">
      <w:pPr>
        <w:widowControl/>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（按单价限价报统一下浮率，下浮率&lt;0或≥100%视为无效报价，其响应文件作无效处理；下浮率即折扣率，是指价格减让与原价的百分率。如下浮率20%，成交价格=限价*（1-20%））</w:t>
      </w:r>
    </w:p>
    <w:p w14:paraId="4696206D">
      <w:pPr>
        <w:widowControl/>
        <w:spacing w:line="360" w:lineRule="auto"/>
        <w:ind w:firstLine="420" w:firstLineChars="200"/>
        <w:jc w:val="left"/>
        <w:rPr>
          <w:rFonts w:hint="eastAsia" w:ascii="宋体" w:hAnsi="宋体" w:eastAsia="宋体" w:cs="宋体"/>
          <w:color w:val="auto"/>
          <w:sz w:val="21"/>
          <w:szCs w:val="21"/>
          <w:highlight w:val="none"/>
          <w:lang w:val="en-US" w:eastAsia="zh-CN"/>
        </w:rPr>
      </w:pPr>
    </w:p>
    <w:p w14:paraId="53A431F1">
      <w:pPr>
        <w:widowControl/>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3.服务期：验收合格之日起，提供</w:t>
      </w: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z w:val="21"/>
          <w:szCs w:val="21"/>
          <w:highlight w:val="none"/>
          <w:lang w:val="en-US" w:eastAsia="zh-CN"/>
        </w:rPr>
        <w:t>年。</w:t>
      </w:r>
    </w:p>
    <w:p w14:paraId="1B78352C">
      <w:pPr>
        <w:widowControl/>
        <w:spacing w:line="360" w:lineRule="auto"/>
        <w:ind w:firstLine="420" w:firstLineChars="200"/>
        <w:jc w:val="left"/>
        <w:rPr>
          <w:rFonts w:hint="eastAsia" w:ascii="宋体" w:hAnsi="宋体" w:eastAsia="宋体" w:cs="宋体"/>
          <w:color w:val="auto"/>
          <w:sz w:val="21"/>
          <w:szCs w:val="21"/>
          <w:highlight w:val="none"/>
        </w:rPr>
      </w:pPr>
    </w:p>
    <w:p w14:paraId="0B4229D7">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2"/>
    <w:p w14:paraId="18966B45">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3"/>
        <w:ind w:firstLine="0"/>
        <w:rPr>
          <w:color w:val="auto"/>
          <w:highlight w:val="none"/>
          <w:lang w:val="zh-TW" w:eastAsia="zh-TW"/>
        </w:rPr>
      </w:pPr>
      <w:bookmarkStart w:id="34" w:name="_Toc11837"/>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34"/>
    </w:p>
    <w:bookmarkEnd w:id="33"/>
    <w:p w14:paraId="2D744FF1">
      <w:pPr>
        <w:pStyle w:val="39"/>
        <w:rPr>
          <w:sz w:val="48"/>
          <w:szCs w:val="48"/>
        </w:rPr>
      </w:pPr>
      <w:r>
        <w:rPr>
          <w:rFonts w:hint="eastAsia"/>
          <w:sz w:val="48"/>
          <w:szCs w:val="48"/>
        </w:rPr>
        <w:t>*</w:t>
      </w:r>
      <w:r>
        <w:rPr>
          <w:sz w:val="48"/>
          <w:szCs w:val="48"/>
        </w:rPr>
        <w:t>**</w:t>
      </w:r>
      <w:r>
        <w:rPr>
          <w:rFonts w:hint="eastAsia"/>
          <w:sz w:val="48"/>
          <w:szCs w:val="48"/>
        </w:rPr>
        <w:t>服务项目</w:t>
      </w:r>
    </w:p>
    <w:p w14:paraId="622B975B">
      <w:pPr>
        <w:pStyle w:val="39"/>
        <w:rPr>
          <w:sz w:val="48"/>
          <w:szCs w:val="48"/>
        </w:rPr>
      </w:pPr>
      <w:r>
        <w:rPr>
          <w:rFonts w:hint="eastAsia"/>
          <w:sz w:val="48"/>
          <w:szCs w:val="48"/>
        </w:rPr>
        <w:t>采购</w:t>
      </w:r>
      <w:r>
        <w:rPr>
          <w:sz w:val="48"/>
          <w:szCs w:val="48"/>
        </w:rPr>
        <w:t>合同</w:t>
      </w:r>
    </w:p>
    <w:tbl>
      <w:tblPr>
        <w:tblStyle w:val="14"/>
        <w:tblW w:w="5000" w:type="pct"/>
        <w:jc w:val="center"/>
        <w:tblLayout w:type="autofit"/>
        <w:tblCellMar>
          <w:top w:w="0" w:type="dxa"/>
          <w:left w:w="0" w:type="dxa"/>
          <w:bottom w:w="0" w:type="dxa"/>
          <w:right w:w="0" w:type="dxa"/>
        </w:tblCellMar>
      </w:tblPr>
      <w:tblGrid>
        <w:gridCol w:w="4741"/>
        <w:gridCol w:w="3553"/>
      </w:tblGrid>
      <w:tr w14:paraId="53E544C7">
        <w:tblPrEx>
          <w:tblCellMar>
            <w:top w:w="0" w:type="dxa"/>
            <w:left w:w="0" w:type="dxa"/>
            <w:bottom w:w="0" w:type="dxa"/>
            <w:right w:w="0" w:type="dxa"/>
          </w:tblCellMar>
        </w:tblPrEx>
        <w:trPr>
          <w:trHeight w:val="767" w:hRule="atLeast"/>
          <w:jc w:val="center"/>
        </w:trPr>
        <w:tc>
          <w:tcPr>
            <w:tcW w:w="8294" w:type="dxa"/>
            <w:gridSpan w:val="2"/>
          </w:tcPr>
          <w:p w14:paraId="2272F69E">
            <w:pPr>
              <w:keepNext w:val="0"/>
              <w:keepLines w:val="0"/>
              <w:pageBreakBefore w:val="0"/>
              <w:kinsoku/>
              <w:wordWrap/>
              <w:overflowPunct/>
              <w:topLinePunct w:val="0"/>
              <w:autoSpaceDE/>
              <w:autoSpaceDN/>
              <w:bidi w:val="0"/>
              <w:adjustRightInd w:val="0"/>
              <w:snapToGrid w:val="0"/>
              <w:contextualSpacing/>
              <w:textAlignment w:val="auto"/>
              <w:rPr>
                <w:rFonts w:hint="eastAsia" w:ascii="仿宋" w:hAnsi="仿宋" w:eastAsia="仿宋" w:cs="仿宋"/>
                <w:color w:val="000000"/>
                <w:sz w:val="24"/>
                <w:szCs w:val="24"/>
              </w:rPr>
            </w:pPr>
            <w:r>
              <w:rPr>
                <w:rFonts w:hint="eastAsia" w:ascii="仿宋" w:hAnsi="仿宋" w:eastAsia="仿宋" w:cs="仿宋"/>
                <w:b/>
                <w:bCs/>
                <w:color w:val="000000"/>
                <w:sz w:val="24"/>
                <w:szCs w:val="24"/>
              </w:rPr>
              <w:t>合同编号</w:t>
            </w:r>
            <w:r>
              <w:rPr>
                <w:rFonts w:hint="eastAsia" w:ascii="仿宋" w:hAnsi="仿宋" w:eastAsia="仿宋" w:cs="仿宋"/>
                <w:color w:val="000000"/>
                <w:sz w:val="24"/>
                <w:szCs w:val="24"/>
              </w:rPr>
              <w:t>：CGZX-***</w:t>
            </w:r>
          </w:p>
          <w:p w14:paraId="2F6BC159">
            <w:pPr>
              <w:keepNext w:val="0"/>
              <w:keepLines w:val="0"/>
              <w:pageBreakBefore w:val="0"/>
              <w:kinsoku/>
              <w:wordWrap/>
              <w:overflowPunct/>
              <w:topLinePunct w:val="0"/>
              <w:autoSpaceDE/>
              <w:autoSpaceDN/>
              <w:bidi w:val="0"/>
              <w:adjustRightInd w:val="0"/>
              <w:snapToGrid w:val="0"/>
              <w:contextualSpacing/>
              <w:textAlignment w:val="auto"/>
              <w:rPr>
                <w:rFonts w:hint="eastAsia" w:ascii="仿宋" w:hAnsi="仿宋" w:eastAsia="仿宋" w:cs="仿宋"/>
                <w:color w:val="000000"/>
                <w:sz w:val="24"/>
                <w:szCs w:val="24"/>
              </w:rPr>
            </w:pPr>
            <w:r>
              <w:rPr>
                <w:rFonts w:hint="eastAsia" w:ascii="仿宋" w:hAnsi="仿宋" w:eastAsia="仿宋" w:cs="仿宋"/>
                <w:b/>
                <w:bCs/>
                <w:color w:val="000000"/>
                <w:sz w:val="24"/>
                <w:szCs w:val="24"/>
              </w:rPr>
              <w:t>签订地点</w:t>
            </w:r>
            <w:r>
              <w:rPr>
                <w:rFonts w:hint="eastAsia" w:ascii="仿宋" w:hAnsi="仿宋" w:eastAsia="仿宋" w:cs="仿宋"/>
                <w:color w:val="000000"/>
                <w:sz w:val="24"/>
                <w:szCs w:val="24"/>
              </w:rPr>
              <w:t>：四川省人民医院</w:t>
            </w:r>
          </w:p>
        </w:tc>
      </w:tr>
      <w:tr w14:paraId="0D99C533">
        <w:tblPrEx>
          <w:tblCellMar>
            <w:top w:w="0" w:type="dxa"/>
            <w:left w:w="0" w:type="dxa"/>
            <w:bottom w:w="0" w:type="dxa"/>
            <w:right w:w="0" w:type="dxa"/>
          </w:tblCellMar>
        </w:tblPrEx>
        <w:trPr>
          <w:jc w:val="center"/>
        </w:trPr>
        <w:tc>
          <w:tcPr>
            <w:tcW w:w="4741" w:type="dxa"/>
          </w:tcPr>
          <w:p w14:paraId="1D8C7125">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rPr>
            </w:pPr>
            <w:r>
              <w:rPr>
                <w:rFonts w:hint="eastAsia" w:ascii="仿宋" w:hAnsi="仿宋" w:eastAsia="仿宋" w:cs="仿宋"/>
                <w:b/>
                <w:bCs/>
                <w:sz w:val="24"/>
                <w:szCs w:val="24"/>
              </w:rPr>
              <w:t>采购人（以下简称甲方）</w:t>
            </w:r>
            <w:r>
              <w:rPr>
                <w:rFonts w:hint="eastAsia" w:ascii="仿宋" w:hAnsi="仿宋" w:eastAsia="仿宋" w:cs="仿宋"/>
                <w:sz w:val="24"/>
                <w:szCs w:val="24"/>
              </w:rPr>
              <w:t>：四川省人民医院</w:t>
            </w:r>
          </w:p>
          <w:p w14:paraId="2FDD4CAB">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rPr>
            </w:pPr>
            <w:r>
              <w:rPr>
                <w:rFonts w:hint="eastAsia" w:ascii="仿宋" w:hAnsi="仿宋" w:eastAsia="仿宋" w:cs="仿宋"/>
                <w:b/>
                <w:bCs/>
                <w:sz w:val="24"/>
                <w:szCs w:val="24"/>
              </w:rPr>
              <w:t>地址</w:t>
            </w:r>
            <w:r>
              <w:rPr>
                <w:rFonts w:hint="eastAsia" w:ascii="仿宋" w:hAnsi="仿宋" w:eastAsia="仿宋" w:cs="仿宋"/>
                <w:sz w:val="24"/>
                <w:szCs w:val="24"/>
              </w:rPr>
              <w:t>：四川省成都市一环路西二段32号</w:t>
            </w:r>
          </w:p>
          <w:p w14:paraId="57D306C0">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rPr>
            </w:pPr>
            <w:r>
              <w:rPr>
                <w:rFonts w:hint="eastAsia" w:ascii="仿宋" w:hAnsi="仿宋" w:eastAsia="仿宋" w:cs="仿宋"/>
                <w:b/>
                <w:bCs/>
                <w:sz w:val="24"/>
                <w:szCs w:val="24"/>
              </w:rPr>
              <w:t>项目联系人</w:t>
            </w:r>
            <w:r>
              <w:rPr>
                <w:rFonts w:hint="eastAsia" w:ascii="仿宋" w:hAnsi="仿宋" w:eastAsia="仿宋" w:cs="仿宋"/>
                <w:sz w:val="24"/>
                <w:szCs w:val="24"/>
              </w:rPr>
              <w:t xml:space="preserve">：*** </w:t>
            </w:r>
            <w:r>
              <w:rPr>
                <w:rFonts w:hint="eastAsia" w:ascii="仿宋" w:hAnsi="仿宋" w:eastAsia="仿宋" w:cs="仿宋"/>
                <w:b/>
                <w:bCs/>
                <w:sz w:val="24"/>
                <w:szCs w:val="24"/>
              </w:rPr>
              <w:t>电话</w:t>
            </w:r>
            <w:r>
              <w:rPr>
                <w:rFonts w:hint="eastAsia" w:ascii="仿宋" w:hAnsi="仿宋" w:eastAsia="仿宋" w:cs="仿宋"/>
                <w:sz w:val="24"/>
                <w:szCs w:val="24"/>
              </w:rPr>
              <w:t>：***</w:t>
            </w:r>
          </w:p>
          <w:p w14:paraId="55B6CA4B">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rPr>
            </w:pPr>
            <w:r>
              <w:rPr>
                <w:rFonts w:hint="eastAsia" w:ascii="仿宋" w:hAnsi="仿宋" w:eastAsia="仿宋" w:cs="仿宋"/>
                <w:b/>
                <w:bCs/>
                <w:sz w:val="24"/>
                <w:szCs w:val="24"/>
              </w:rPr>
              <w:t>电子邮件：</w:t>
            </w:r>
            <w:r>
              <w:rPr>
                <w:rFonts w:hint="eastAsia" w:ascii="仿宋" w:hAnsi="仿宋" w:eastAsia="仿宋" w:cs="仿宋"/>
                <w:sz w:val="24"/>
                <w:szCs w:val="24"/>
              </w:rPr>
              <w:t>***</w:t>
            </w:r>
          </w:p>
        </w:tc>
        <w:tc>
          <w:tcPr>
            <w:tcW w:w="3553" w:type="dxa"/>
          </w:tcPr>
          <w:p w14:paraId="607B7137">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b/>
                <w:bCs/>
                <w:sz w:val="24"/>
                <w:szCs w:val="24"/>
              </w:rPr>
            </w:pPr>
            <w:r>
              <w:rPr>
                <w:rFonts w:hint="eastAsia" w:ascii="仿宋" w:hAnsi="仿宋" w:eastAsia="仿宋" w:cs="仿宋"/>
                <w:b/>
                <w:bCs/>
                <w:sz w:val="24"/>
                <w:szCs w:val="24"/>
              </w:rPr>
              <w:t>供应商（以下简称乙方）：***</w:t>
            </w:r>
          </w:p>
          <w:p w14:paraId="7AB3403D">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b/>
                <w:bCs/>
                <w:sz w:val="24"/>
                <w:szCs w:val="24"/>
              </w:rPr>
            </w:pPr>
            <w:r>
              <w:rPr>
                <w:rFonts w:hint="eastAsia" w:ascii="仿宋" w:hAnsi="仿宋" w:eastAsia="仿宋" w:cs="仿宋"/>
                <w:b/>
                <w:bCs/>
                <w:sz w:val="24"/>
                <w:szCs w:val="24"/>
              </w:rPr>
              <w:t>地址：***</w:t>
            </w:r>
          </w:p>
          <w:p w14:paraId="49B46EA1">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b/>
                <w:bCs/>
                <w:sz w:val="24"/>
                <w:szCs w:val="24"/>
              </w:rPr>
            </w:pPr>
            <w:r>
              <w:rPr>
                <w:rFonts w:hint="eastAsia" w:ascii="仿宋" w:hAnsi="仿宋" w:eastAsia="仿宋" w:cs="仿宋"/>
                <w:b/>
                <w:bCs/>
                <w:sz w:val="24"/>
                <w:szCs w:val="24"/>
              </w:rPr>
              <w:t>移动电话：***</w:t>
            </w:r>
          </w:p>
          <w:p w14:paraId="2A04E3BE">
            <w:pPr>
              <w:keepNext w:val="0"/>
              <w:keepLines w:val="0"/>
              <w:pageBreakBefore w:val="0"/>
              <w:kinsoku/>
              <w:wordWrap/>
              <w:overflowPunct/>
              <w:topLinePunct w:val="0"/>
              <w:autoSpaceDE/>
              <w:autoSpaceDN/>
              <w:bidi w:val="0"/>
              <w:adjustRightInd w:val="0"/>
              <w:snapToGrid w:val="0"/>
              <w:contextualSpacing/>
              <w:textAlignment w:val="auto"/>
              <w:rPr>
                <w:rFonts w:hint="eastAsia" w:ascii="仿宋" w:hAnsi="仿宋" w:eastAsia="仿宋" w:cs="仿宋"/>
                <w:b/>
                <w:bCs/>
                <w:sz w:val="24"/>
                <w:szCs w:val="24"/>
              </w:rPr>
            </w:pPr>
            <w:r>
              <w:rPr>
                <w:rFonts w:hint="eastAsia" w:ascii="仿宋" w:hAnsi="仿宋" w:eastAsia="仿宋" w:cs="仿宋"/>
                <w:b/>
                <w:bCs/>
                <w:sz w:val="24"/>
                <w:szCs w:val="24"/>
              </w:rPr>
              <w:t>联系人：***</w:t>
            </w:r>
          </w:p>
          <w:p w14:paraId="18A1ADEB">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bCs/>
                <w:sz w:val="24"/>
                <w:szCs w:val="24"/>
              </w:rPr>
            </w:pPr>
            <w:r>
              <w:rPr>
                <w:rFonts w:hint="eastAsia" w:ascii="仿宋" w:hAnsi="仿宋" w:eastAsia="仿宋" w:cs="仿宋"/>
                <w:b/>
                <w:bCs/>
                <w:sz w:val="24"/>
                <w:szCs w:val="24"/>
              </w:rPr>
              <w:t>电子邮件：</w:t>
            </w:r>
            <w:r>
              <w:rPr>
                <w:rFonts w:hint="eastAsia" w:ascii="仿宋" w:hAnsi="仿宋" w:eastAsia="仿宋" w:cs="仿宋"/>
                <w:sz w:val="24"/>
                <w:szCs w:val="24"/>
              </w:rPr>
              <w:t>***</w:t>
            </w:r>
          </w:p>
        </w:tc>
      </w:tr>
    </w:tbl>
    <w:p w14:paraId="5F2EEB2D">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color w:val="000000"/>
          <w:sz w:val="24"/>
          <w:szCs w:val="24"/>
        </w:rPr>
      </w:pPr>
    </w:p>
    <w:p w14:paraId="2600F949">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t>根据《中华人民共和国民法典》及甲方发布的***项目（项目编号</w:t>
      </w:r>
      <w:permStart w:id="0" w:edGrp="everyone"/>
      <w:r>
        <w:rPr>
          <w:rFonts w:hint="eastAsia" w:ascii="仿宋" w:hAnsi="仿宋" w:eastAsia="仿宋" w:cs="仿宋"/>
          <w:color w:val="000000"/>
          <w:sz w:val="24"/>
          <w:szCs w:val="24"/>
          <w:highlight w:val="none"/>
        </w:rPr>
        <w:t>：</w:t>
      </w:r>
      <w:r>
        <w:rPr>
          <w:rFonts w:hint="eastAsia" w:ascii="仿宋" w:hAnsi="仿宋" w:eastAsia="仿宋" w:cs="仿宋"/>
          <w:sz w:val="24"/>
          <w:szCs w:val="24"/>
          <w:highlight w:val="none"/>
        </w:rPr>
        <w:t>***</w:t>
      </w:r>
      <w:permEnd w:id="0"/>
      <w:r>
        <w:rPr>
          <w:rFonts w:hint="eastAsia" w:ascii="仿宋" w:hAnsi="仿宋" w:eastAsia="仿宋" w:cs="仿宋"/>
          <w:color w:val="000000"/>
          <w:sz w:val="24"/>
          <w:szCs w:val="24"/>
          <w:highlight w:val="none"/>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keepNext w:val="0"/>
        <w:keepLines w:val="0"/>
        <w:pageBreakBefore w:val="0"/>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p>
    <w:p w14:paraId="4F98A680">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合同标的</w:t>
      </w:r>
    </w:p>
    <w:p w14:paraId="2E385537">
      <w:pPr>
        <w:pStyle w:val="7"/>
        <w:keepNext w:val="0"/>
        <w:keepLines w:val="0"/>
        <w:pageBreakBefore w:val="0"/>
        <w:numPr>
          <w:ilvl w:val="0"/>
          <w:numId w:val="18"/>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标的名称：</w:t>
      </w:r>
      <w:permStart w:id="1" w:edGrp="everyone"/>
      <w:r>
        <w:rPr>
          <w:rFonts w:hint="eastAsia" w:ascii="仿宋" w:hAnsi="仿宋" w:eastAsia="仿宋" w:cs="仿宋"/>
          <w:sz w:val="24"/>
          <w:szCs w:val="24"/>
          <w:highlight w:val="none"/>
        </w:rPr>
        <w:t>***</w:t>
      </w:r>
      <w:permEnd w:id="1"/>
      <w:r>
        <w:rPr>
          <w:rFonts w:hint="eastAsia" w:ascii="仿宋" w:hAnsi="仿宋" w:eastAsia="仿宋" w:cs="仿宋"/>
          <w:sz w:val="24"/>
          <w:szCs w:val="24"/>
          <w:highlight w:val="none"/>
        </w:rPr>
        <w:t>。</w:t>
      </w:r>
    </w:p>
    <w:p w14:paraId="4229FB38">
      <w:pPr>
        <w:pStyle w:val="7"/>
        <w:keepNext w:val="0"/>
        <w:keepLines w:val="0"/>
        <w:pageBreakBefore w:val="0"/>
        <w:numPr>
          <w:ilvl w:val="0"/>
          <w:numId w:val="18"/>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乙方向甲方提供服务的主要内容：***。</w:t>
      </w:r>
    </w:p>
    <w:p w14:paraId="5F975DD2">
      <w:pPr>
        <w:pStyle w:val="7"/>
        <w:keepNext w:val="0"/>
        <w:keepLines w:val="0"/>
        <w:pageBreakBefore w:val="0"/>
        <w:numPr>
          <w:ilvl w:val="0"/>
          <w:numId w:val="18"/>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服务分项明细：</w:t>
      </w:r>
      <w:r>
        <w:rPr>
          <w:rFonts w:hint="eastAsia" w:ascii="仿宋" w:hAnsi="仿宋" w:eastAsia="仿宋" w:cs="仿宋"/>
          <w:i/>
          <w:iCs/>
          <w:color w:val="000000"/>
          <w:sz w:val="24"/>
          <w:szCs w:val="24"/>
          <w:highlight w:val="none"/>
          <w:lang w:val="zh-CN"/>
        </w:rPr>
        <w:t>&lt;本条款如不涉及请删除；按实结算项目的单价，请在第二条及附件1中进行编制说明。&gt;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0"/>
        <w:gridCol w:w="2312"/>
        <w:gridCol w:w="2816"/>
        <w:gridCol w:w="878"/>
        <w:gridCol w:w="162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2977" w:type="dxa"/>
            <w:vAlign w:val="center"/>
          </w:tcPr>
          <w:p w14:paraId="42032E31">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分项服务名称</w:t>
            </w:r>
          </w:p>
        </w:tc>
        <w:tc>
          <w:tcPr>
            <w:tcW w:w="3686" w:type="dxa"/>
            <w:vAlign w:val="center"/>
          </w:tcPr>
          <w:p w14:paraId="0F0FDBF4">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具体内容</w:t>
            </w:r>
          </w:p>
        </w:tc>
        <w:tc>
          <w:tcPr>
            <w:tcW w:w="963" w:type="dxa"/>
            <w:vAlign w:val="center"/>
          </w:tcPr>
          <w:p w14:paraId="6E75E46C">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分项价格（万元）</w:t>
            </w:r>
          </w:p>
        </w:tc>
        <w:tc>
          <w:tcPr>
            <w:tcW w:w="2016" w:type="dxa"/>
          </w:tcPr>
          <w:p w14:paraId="3BC8F9B2">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2977" w:type="dxa"/>
            <w:vAlign w:val="center"/>
          </w:tcPr>
          <w:p w14:paraId="629F7C51">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c>
          <w:tcPr>
            <w:tcW w:w="3686" w:type="dxa"/>
            <w:vAlign w:val="center"/>
          </w:tcPr>
          <w:p w14:paraId="1B711F72">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c>
          <w:tcPr>
            <w:tcW w:w="963" w:type="dxa"/>
            <w:vAlign w:val="center"/>
          </w:tcPr>
          <w:p w14:paraId="5DD02118">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p>
        </w:tc>
        <w:tc>
          <w:tcPr>
            <w:tcW w:w="2016" w:type="dxa"/>
          </w:tcPr>
          <w:p w14:paraId="149276E7">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2977" w:type="dxa"/>
            <w:vAlign w:val="center"/>
          </w:tcPr>
          <w:p w14:paraId="0E44D544">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c>
          <w:tcPr>
            <w:tcW w:w="3686" w:type="dxa"/>
            <w:vAlign w:val="center"/>
          </w:tcPr>
          <w:p w14:paraId="01B65D9C">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c>
          <w:tcPr>
            <w:tcW w:w="963" w:type="dxa"/>
            <w:vAlign w:val="center"/>
          </w:tcPr>
          <w:p w14:paraId="4C31DD39">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p>
        </w:tc>
        <w:tc>
          <w:tcPr>
            <w:tcW w:w="2016" w:type="dxa"/>
          </w:tcPr>
          <w:p w14:paraId="3000AC5A">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2977" w:type="dxa"/>
            <w:vAlign w:val="center"/>
          </w:tcPr>
          <w:p w14:paraId="71D5F885">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c>
          <w:tcPr>
            <w:tcW w:w="3686" w:type="dxa"/>
            <w:vAlign w:val="center"/>
          </w:tcPr>
          <w:p w14:paraId="38AC0A57">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c>
          <w:tcPr>
            <w:tcW w:w="963" w:type="dxa"/>
            <w:vAlign w:val="center"/>
          </w:tcPr>
          <w:p w14:paraId="3B158765">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p>
        </w:tc>
        <w:tc>
          <w:tcPr>
            <w:tcW w:w="2016" w:type="dxa"/>
          </w:tcPr>
          <w:p w14:paraId="43F7F4B9">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tc>
        <w:tc>
          <w:tcPr>
            <w:tcW w:w="2977" w:type="dxa"/>
            <w:vAlign w:val="center"/>
          </w:tcPr>
          <w:p w14:paraId="492CFE5D">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c>
          <w:tcPr>
            <w:tcW w:w="3686" w:type="dxa"/>
            <w:vAlign w:val="center"/>
          </w:tcPr>
          <w:p w14:paraId="5E27032F">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c>
          <w:tcPr>
            <w:tcW w:w="963" w:type="dxa"/>
            <w:vAlign w:val="center"/>
          </w:tcPr>
          <w:p w14:paraId="19B21445">
            <w:pPr>
              <w:pStyle w:val="31"/>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color w:val="000000"/>
                <w:sz w:val="24"/>
                <w:szCs w:val="24"/>
                <w:highlight w:val="none"/>
              </w:rPr>
            </w:pPr>
          </w:p>
        </w:tc>
        <w:tc>
          <w:tcPr>
            <w:tcW w:w="2016" w:type="dxa"/>
          </w:tcPr>
          <w:p w14:paraId="5FC047A6">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sz w:val="24"/>
                <w:szCs w:val="24"/>
                <w:highlight w:val="none"/>
              </w:rPr>
            </w:pPr>
          </w:p>
        </w:tc>
      </w:tr>
    </w:tbl>
    <w:p w14:paraId="2D35C912">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合同价款</w:t>
      </w:r>
    </w:p>
    <w:p w14:paraId="036F89BD">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bookmarkStart w:id="35" w:name="OLE_LINK2"/>
      <w:bookmarkStart w:id="36" w:name="OLE_LINK1"/>
      <w:r>
        <w:rPr>
          <w:rFonts w:hint="eastAsia" w:ascii="仿宋" w:hAnsi="仿宋" w:eastAsia="仿宋" w:cs="仿宋"/>
          <w:color w:val="000000"/>
          <w:sz w:val="24"/>
          <w:szCs w:val="24"/>
          <w:highlight w:val="none"/>
        </w:rPr>
        <w:sym w:font="Wingdings 2" w:char="F052"/>
      </w:r>
      <w:r>
        <w:rPr>
          <w:rFonts w:hint="eastAsia" w:ascii="仿宋" w:hAnsi="仿宋" w:eastAsia="仿宋" w:cs="仿宋"/>
          <w:sz w:val="24"/>
          <w:szCs w:val="24"/>
          <w:highlight w:val="none"/>
        </w:rPr>
        <w:t>全包服务</w:t>
      </w:r>
    </w:p>
    <w:p w14:paraId="6903D519">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sz w:val="24"/>
          <w:szCs w:val="24"/>
          <w:highlight w:val="none"/>
        </w:rPr>
        <w:t>半包服务</w:t>
      </w:r>
    </w:p>
    <w:p w14:paraId="1F79E5D1">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1.本合同固定部分价款为</w:t>
      </w:r>
      <w:bookmarkStart w:id="37" w:name="OLE_LINK28"/>
      <w:r>
        <w:rPr>
          <w:rFonts w:hint="eastAsia" w:ascii="仿宋" w:hAnsi="仿宋" w:eastAsia="仿宋" w:cs="仿宋"/>
          <w:sz w:val="24"/>
          <w:szCs w:val="24"/>
          <w:highlight w:val="none"/>
        </w:rPr>
        <w:t>人民币大写：*** 圆整，即RMB *** 元</w:t>
      </w:r>
      <w:bookmarkEnd w:id="37"/>
      <w:r>
        <w:rPr>
          <w:rFonts w:hint="eastAsia" w:ascii="仿宋" w:hAnsi="仿宋" w:eastAsia="仿宋" w:cs="仿宋"/>
          <w:sz w:val="24"/>
          <w:szCs w:val="24"/>
          <w:highlight w:val="none"/>
        </w:rPr>
        <w:t>，该部分价款已包括***及税费在内的全部含税费用。本合同执行期间该部分合同价款不变，甲方无须向乙方支付本合同规定之外的其他任何费用。</w:t>
      </w:r>
    </w:p>
    <w:p w14:paraId="22723641">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2.本合同按实结算部分支付总额不超过人民币大写：*** 圆整，即RMB *** 元，依据本合同单价进行结算，结算依据及标准为：***，结算单价详见附件1《结算单价清单》。</w:t>
      </w:r>
      <w:r>
        <w:rPr>
          <w:rFonts w:hint="eastAsia" w:ascii="仿宋" w:hAnsi="仿宋" w:eastAsia="仿宋" w:cs="仿宋"/>
          <w:i/>
          <w:iCs/>
          <w:sz w:val="24"/>
          <w:szCs w:val="24"/>
          <w:highlight w:val="none"/>
        </w:rPr>
        <w:t>&lt;根据项目实际情况编制结算依据、标准等必要内容&gt;</w:t>
      </w:r>
    </w:p>
    <w:p w14:paraId="12981F5A">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sz w:val="24"/>
          <w:szCs w:val="24"/>
          <w:highlight w:val="none"/>
        </w:rPr>
        <w:t>按实结算</w:t>
      </w:r>
    </w:p>
    <w:p w14:paraId="70F77AF6">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本合同支付总额不超过人民币大写：*** 圆整，即RMB *** 元，依据本合同单价进行结算，结算单价详见附件1《结算单价清单》。</w:t>
      </w:r>
    </w:p>
    <w:bookmarkEnd w:id="35"/>
    <w:bookmarkEnd w:id="36"/>
    <w:p w14:paraId="61352334">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服务期限</w:t>
      </w:r>
      <w:r>
        <w:rPr>
          <w:rFonts w:hint="eastAsia" w:ascii="仿宋" w:hAnsi="仿宋" w:eastAsia="仿宋" w:cs="仿宋"/>
          <w:i/>
          <w:iCs/>
          <w:sz w:val="24"/>
          <w:szCs w:val="24"/>
          <w:highlight w:val="none"/>
        </w:rPr>
        <w:t>&lt;根据项目实际情况选择&gt;</w:t>
      </w:r>
    </w:p>
    <w:p w14:paraId="4E947B0D">
      <w:pPr>
        <w:pStyle w:val="31"/>
        <w:keepNext w:val="0"/>
        <w:keepLines w:val="0"/>
        <w:pageBreakBefore w:val="0"/>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本</w:t>
      </w:r>
      <w:r>
        <w:rPr>
          <w:rFonts w:hint="eastAsia" w:ascii="仿宋" w:hAnsi="仿宋" w:eastAsia="仿宋" w:cs="仿宋"/>
          <w:bCs/>
          <w:sz w:val="24"/>
          <w:szCs w:val="24"/>
          <w:highlight w:val="none"/>
        </w:rPr>
        <w:t>合同服务期限为 *** 年，自 202* 年 *** 月 *** 日起至 202* 年 *** 月 *** 日。</w:t>
      </w:r>
    </w:p>
    <w:p w14:paraId="3141708C">
      <w:pPr>
        <w:pStyle w:val="31"/>
        <w:keepNext w:val="0"/>
        <w:keepLines w:val="0"/>
        <w:pageBreakBefore w:val="0"/>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bCs/>
          <w:sz w:val="24"/>
          <w:szCs w:val="24"/>
          <w:highlight w:val="none"/>
        </w:rPr>
      </w:pPr>
    </w:p>
    <w:p w14:paraId="368787FF">
      <w:pPr>
        <w:pStyle w:val="31"/>
        <w:keepNext w:val="0"/>
        <w:keepLines w:val="0"/>
        <w:pageBreakBefore w:val="0"/>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bCs/>
          <w:sz w:val="24"/>
          <w:szCs w:val="24"/>
          <w:highlight w:val="none"/>
        </w:rPr>
        <w:t>本合同服务期限为双方签字盖章生效之日起 *** 年，即自 202* 年 *** 月 *** 日起至 202* 年 *** 月 *** 日。</w:t>
      </w:r>
    </w:p>
    <w:p w14:paraId="08791303">
      <w:pPr>
        <w:pStyle w:val="31"/>
        <w:keepNext w:val="0"/>
        <w:keepLines w:val="0"/>
        <w:pageBreakBefore w:val="0"/>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bCs/>
          <w:sz w:val="24"/>
          <w:szCs w:val="24"/>
          <w:highlight w:val="none"/>
        </w:rPr>
      </w:pPr>
    </w:p>
    <w:p w14:paraId="27DB179C">
      <w:pPr>
        <w:pStyle w:val="31"/>
        <w:keepNext w:val="0"/>
        <w:keepLines w:val="0"/>
        <w:pageBreakBefore w:val="0"/>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bCs/>
          <w:sz w:val="24"/>
          <w:szCs w:val="24"/>
          <w:highlight w:val="none"/>
        </w:rPr>
        <w:t>本项目服务期为</w:t>
      </w:r>
      <w:r>
        <w:rPr>
          <w:rFonts w:hint="eastAsia" w:ascii="仿宋" w:hAnsi="仿宋" w:eastAsia="仿宋" w:cs="仿宋"/>
          <w:bCs/>
          <w:sz w:val="24"/>
          <w:szCs w:val="24"/>
          <w:highlight w:val="none"/>
          <w:u w:val="single"/>
        </w:rPr>
        <w:t>叁</w:t>
      </w:r>
      <w:r>
        <w:rPr>
          <w:rFonts w:hint="eastAsia" w:ascii="仿宋" w:hAnsi="仿宋" w:eastAsia="仿宋" w:cs="仿宋"/>
          <w:bCs/>
          <w:sz w:val="24"/>
          <w:szCs w:val="24"/>
          <w:highlight w:val="none"/>
        </w:rPr>
        <w:t>年（自202*年**月**日到202*年**月**日），合同一年一签，每年服务费为人民币 *** 元（大写：*** 圆整）。本合同为第***期，服务期为自202*年***月***日至202*年**月**日</w:t>
      </w:r>
      <w:r>
        <w:rPr>
          <w:rFonts w:hint="eastAsia" w:ascii="仿宋" w:hAnsi="仿宋" w:eastAsia="仿宋" w:cs="仿宋"/>
          <w:bCs/>
          <w:sz w:val="24"/>
          <w:szCs w:val="24"/>
          <w:highlight w:val="none"/>
          <w:u w:val="single"/>
        </w:rPr>
        <w:t>，经甲方考核合格后续签下一年合同</w:t>
      </w:r>
      <w:bookmarkStart w:id="38" w:name="OLE_LINK29"/>
      <w:r>
        <w:rPr>
          <w:rFonts w:hint="eastAsia" w:ascii="仿宋" w:hAnsi="仿宋" w:eastAsia="仿宋" w:cs="仿宋"/>
          <w:bCs/>
          <w:sz w:val="24"/>
          <w:szCs w:val="24"/>
          <w:highlight w:val="none"/>
        </w:rPr>
        <w:t>，考核标准详见附件</w:t>
      </w:r>
      <w:r>
        <w:rPr>
          <w:rFonts w:hint="eastAsia" w:ascii="仿宋" w:hAnsi="仿宋" w:eastAsia="仿宋" w:cs="仿宋"/>
          <w:bCs/>
          <w:sz w:val="24"/>
          <w:szCs w:val="24"/>
          <w:highlight w:val="none"/>
          <w:u w:val="single"/>
        </w:rPr>
        <w:t>2</w:t>
      </w:r>
      <w:r>
        <w:rPr>
          <w:rFonts w:hint="eastAsia" w:ascii="仿宋" w:hAnsi="仿宋" w:eastAsia="仿宋" w:cs="仿宋"/>
          <w:bCs/>
          <w:sz w:val="24"/>
          <w:szCs w:val="24"/>
          <w:highlight w:val="none"/>
        </w:rPr>
        <w:t>《考核标准》</w:t>
      </w:r>
      <w:bookmarkEnd w:id="38"/>
      <w:r>
        <w:rPr>
          <w:rFonts w:hint="eastAsia" w:ascii="仿宋" w:hAnsi="仿宋" w:eastAsia="仿宋" w:cs="仿宋"/>
          <w:bCs/>
          <w:sz w:val="24"/>
          <w:szCs w:val="24"/>
          <w:highlight w:val="none"/>
        </w:rPr>
        <w:t>。</w:t>
      </w:r>
    </w:p>
    <w:p w14:paraId="1B257405">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服务方案</w:t>
      </w:r>
    </w:p>
    <w:p w14:paraId="06E0AE13">
      <w:pPr>
        <w:keepNext w:val="0"/>
        <w:keepLines w:val="0"/>
        <w:pageBreakBefore w:val="0"/>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bCs/>
          <w:sz w:val="24"/>
          <w:szCs w:val="24"/>
          <w:highlight w:val="none"/>
        </w:rPr>
        <w:t>乙方应严格按照本合同服务方案和甲方要求提供服务，服务方案详见附件3《服务方案》。</w:t>
      </w:r>
    </w:p>
    <w:p w14:paraId="7482C29A">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验收</w:t>
      </w:r>
    </w:p>
    <w:p w14:paraId="57707485">
      <w:pPr>
        <w:pStyle w:val="31"/>
        <w:keepNext w:val="0"/>
        <w:keepLines w:val="0"/>
        <w:pageBreakBefore w:val="0"/>
        <w:numPr>
          <w:ilvl w:val="0"/>
          <w:numId w:val="19"/>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甲、乙双方确定，按照本合同约定的验收方案对乙方按本合同约定所提供的服务进行验收。</w:t>
      </w:r>
    </w:p>
    <w:p w14:paraId="103305C9">
      <w:pPr>
        <w:pStyle w:val="31"/>
        <w:keepNext w:val="0"/>
        <w:keepLines w:val="0"/>
        <w:pageBreakBefore w:val="0"/>
        <w:numPr>
          <w:ilvl w:val="0"/>
          <w:numId w:val="19"/>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验收方案：</w:t>
      </w:r>
    </w:p>
    <w:p w14:paraId="10719FFA">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验收主体：甲方</w:t>
      </w:r>
    </w:p>
    <w:p w14:paraId="7212F6E2">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验收组织方式：自行验收</w:t>
      </w:r>
    </w:p>
    <w:p w14:paraId="5C963DBA">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验收程序：</w:t>
      </w:r>
      <w:r>
        <w:rPr>
          <w:rFonts w:hint="eastAsia" w:ascii="仿宋" w:hAnsi="仿宋" w:eastAsia="仿宋" w:cs="仿宋"/>
          <w:sz w:val="24"/>
          <w:szCs w:val="24"/>
          <w:highlight w:val="none"/>
        </w:rPr>
        <w:sym w:font="Wingdings 2" w:char="F052"/>
      </w:r>
      <w:r>
        <w:rPr>
          <w:rFonts w:hint="eastAsia" w:ascii="仿宋" w:hAnsi="仿宋" w:eastAsia="仿宋" w:cs="仿宋"/>
          <w:color w:val="000000"/>
          <w:sz w:val="24"/>
          <w:szCs w:val="24"/>
          <w:highlight w:val="none"/>
        </w:rPr>
        <w:t xml:space="preserve">一次性验收   </w:t>
      </w:r>
      <w:r>
        <w:rPr>
          <w:rFonts w:hint="eastAsia" w:ascii="仿宋" w:hAnsi="仿宋" w:eastAsia="仿宋" w:cs="仿宋"/>
          <w:sz w:val="24"/>
          <w:szCs w:val="24"/>
          <w:highlight w:val="none"/>
        </w:rPr>
        <w:sym w:font="Wingdings" w:char="F0A8"/>
      </w:r>
      <w:r>
        <w:rPr>
          <w:rFonts w:hint="eastAsia" w:ascii="仿宋" w:hAnsi="仿宋" w:eastAsia="仿宋" w:cs="仿宋"/>
          <w:color w:val="000000"/>
          <w:sz w:val="24"/>
          <w:szCs w:val="24"/>
          <w:highlight w:val="none"/>
        </w:rPr>
        <w:t>分段/分期验收</w:t>
      </w:r>
    </w:p>
    <w:p w14:paraId="0ACAEB8E">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验收方式：</w:t>
      </w: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现场整体验收</w:t>
      </w:r>
      <w:r>
        <w:rPr>
          <w:rFonts w:hint="eastAsia" w:ascii="仿宋" w:hAnsi="仿宋" w:eastAsia="仿宋" w:cs="仿宋"/>
          <w:color w:val="000000"/>
          <w:kern w:val="0"/>
          <w:sz w:val="24"/>
          <w:szCs w:val="24"/>
          <w:highlight w:val="none"/>
          <w:shd w:val="clear" w:color="auto" w:fill="FFFFFF"/>
        </w:rPr>
        <w:t xml:space="preserve">   </w:t>
      </w: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考核验收</w:t>
      </w:r>
      <w:r>
        <w:rPr>
          <w:rFonts w:hint="eastAsia" w:ascii="仿宋" w:hAnsi="仿宋" w:eastAsia="仿宋" w:cs="仿宋"/>
          <w:color w:val="000000"/>
          <w:kern w:val="0"/>
          <w:sz w:val="24"/>
          <w:szCs w:val="24"/>
          <w:highlight w:val="none"/>
          <w:shd w:val="clear" w:color="auto" w:fill="FFFFFF"/>
        </w:rPr>
        <w:t xml:space="preserve">   </w:t>
      </w: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其它验收方式：</w:t>
      </w:r>
      <w:r>
        <w:rPr>
          <w:rFonts w:hint="eastAsia" w:ascii="仿宋" w:hAnsi="仿宋" w:eastAsia="仿宋" w:cs="仿宋"/>
          <w:color w:val="000000"/>
          <w:sz w:val="24"/>
          <w:szCs w:val="24"/>
          <w:highlight w:val="none"/>
          <w:u w:val="single"/>
          <w:shd w:val="clear" w:color="auto" w:fill="FFFFFF"/>
        </w:rPr>
        <w:t>***</w:t>
      </w:r>
    </w:p>
    <w:p w14:paraId="25BB580A">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履约验收内容：按照甲方的采购文件要求及乙方响应文件响应情况，由乙方向甲方提供的</w:t>
      </w:r>
      <w:r>
        <w:rPr>
          <w:rFonts w:hint="eastAsia" w:ascii="仿宋" w:hAnsi="仿宋" w:eastAsia="仿宋" w:cs="仿宋"/>
          <w:sz w:val="24"/>
          <w:szCs w:val="24"/>
          <w:highlight w:val="none"/>
          <w:u w:val="single"/>
        </w:rPr>
        <w:t>全部服务</w:t>
      </w:r>
      <w:r>
        <w:rPr>
          <w:rFonts w:hint="eastAsia" w:ascii="仿宋" w:hAnsi="仿宋" w:eastAsia="仿宋" w:cs="仿宋"/>
          <w:sz w:val="24"/>
          <w:szCs w:val="24"/>
          <w:highlight w:val="none"/>
        </w:rPr>
        <w:t>的履约情况。</w:t>
      </w:r>
    </w:p>
    <w:p w14:paraId="1F2D4CFA">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履约验收时间：</w:t>
      </w:r>
    </w:p>
    <w:p w14:paraId="27EEE864">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服务期满且乙方完成所有服务内容后X日内通知甲方验收，甲方接乙方通知后X日内组织验收</w:t>
      </w:r>
    </w:p>
    <w:p w14:paraId="13560871">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乙方完成每一阶段或轮次服务内容后X日内通知甲方验收，甲方接乙方通知后X日内组织验收</w:t>
      </w:r>
    </w:p>
    <w:p w14:paraId="668E8ECC">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甲方完成考核后X日内组织验收</w:t>
      </w:r>
    </w:p>
    <w:p w14:paraId="06090759">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 xml:space="preserve">其它验收时间：            </w:t>
      </w:r>
    </w:p>
    <w:p w14:paraId="0A943DA8">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是否邀请本项目的其他供应商：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740E083B">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是否邀请专家：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595EB419">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是否邀请服务对象：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212FF5E1">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是否邀请第三方检测机构：</w:t>
      </w:r>
      <w:r>
        <w:rPr>
          <w:rFonts w:hint="eastAsia" w:ascii="仿宋" w:hAnsi="仿宋" w:eastAsia="仿宋" w:cs="仿宋"/>
          <w:kern w:val="0"/>
          <w:sz w:val="24"/>
          <w:szCs w:val="24"/>
          <w:highlight w:val="none"/>
          <w:shd w:val="clear" w:color="auto" w:fill="FFFFFF"/>
        </w:rPr>
        <w:t xml:space="preserve">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47F88790">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验收标准：</w:t>
      </w:r>
    </w:p>
    <w:p w14:paraId="24757C73">
      <w:pPr>
        <w:pStyle w:val="13"/>
        <w:keepNext w:val="0"/>
        <w:keepLines w:val="0"/>
        <w:pageBreakBefore w:val="0"/>
        <w:numPr>
          <w:ilvl w:val="0"/>
          <w:numId w:val="21"/>
        </w:numPr>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sz w:val="24"/>
          <w:szCs w:val="24"/>
          <w:highlight w:val="none"/>
        </w:rPr>
      </w:pPr>
      <w:bookmarkStart w:id="39" w:name="OLE_LINK4"/>
      <w:r>
        <w:rPr>
          <w:rFonts w:hint="eastAsia" w:ascii="仿宋" w:hAnsi="仿宋" w:eastAsia="仿宋" w:cs="仿宋"/>
          <w:sz w:val="24"/>
          <w:szCs w:val="24"/>
          <w:highlight w:val="none"/>
          <w:shd w:val="clear" w:color="auto" w:fill="FFFFFF"/>
        </w:rPr>
        <w:t>国家相关法律法规、行业标准、技术规范。</w:t>
      </w:r>
    </w:p>
    <w:p w14:paraId="4A341926">
      <w:pPr>
        <w:pStyle w:val="13"/>
        <w:keepNext w:val="0"/>
        <w:keepLines w:val="0"/>
        <w:pageBreakBefore w:val="0"/>
        <w:numPr>
          <w:ilvl w:val="0"/>
          <w:numId w:val="21"/>
        </w:numPr>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甲方采购文件相关技术、服务要求、乙方响应文件相关响应内容。</w:t>
      </w:r>
    </w:p>
    <w:p w14:paraId="4BB5AAAF">
      <w:pPr>
        <w:pStyle w:val="13"/>
        <w:keepNext w:val="0"/>
        <w:keepLines w:val="0"/>
        <w:pageBreakBefore w:val="0"/>
        <w:numPr>
          <w:ilvl w:val="0"/>
          <w:numId w:val="21"/>
        </w:numPr>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如本项目验收方式为考核验收，则考核结果须为合格。</w:t>
      </w:r>
    </w:p>
    <w:bookmarkEnd w:id="39"/>
    <w:p w14:paraId="2BFFECC6">
      <w:pPr>
        <w:pStyle w:val="13"/>
        <w:keepNext w:val="0"/>
        <w:keepLines w:val="0"/>
        <w:pageBreakBefore w:val="0"/>
        <w:numPr>
          <w:ilvl w:val="0"/>
          <w:numId w:val="21"/>
        </w:numPr>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如验收时，甲方与乙方认为本项目验收标准中的技术指标、质量要求等内容存在相互抵触或对其理解存在异议，应按照其中更严格的要求、标准等进行验收。</w:t>
      </w:r>
    </w:p>
    <w:p w14:paraId="142B41FF">
      <w:pPr>
        <w:pStyle w:val="13"/>
        <w:keepNext w:val="0"/>
        <w:keepLines w:val="0"/>
        <w:pageBreakBefore w:val="0"/>
        <w:numPr>
          <w:ilvl w:val="0"/>
          <w:numId w:val="21"/>
        </w:numPr>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参照《财政部关于进一步加强政府采购需求和履约验收管理的指导意见》（财库〔2016〕205号）的要求进行验收。</w:t>
      </w:r>
    </w:p>
    <w:p w14:paraId="5A8F93D9">
      <w:pPr>
        <w:pStyle w:val="13"/>
        <w:keepNext w:val="0"/>
        <w:keepLines w:val="0"/>
        <w:pageBreakBefore w:val="0"/>
        <w:numPr>
          <w:ilvl w:val="0"/>
          <w:numId w:val="21"/>
        </w:numPr>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其它标准：</w:t>
      </w:r>
      <w:r>
        <w:rPr>
          <w:rFonts w:hint="eastAsia" w:ascii="仿宋" w:hAnsi="仿宋" w:eastAsia="仿宋" w:cs="仿宋"/>
          <w:sz w:val="24"/>
          <w:szCs w:val="24"/>
          <w:highlight w:val="none"/>
          <w:u w:val="single"/>
        </w:rPr>
        <w:t>无。</w:t>
      </w:r>
    </w:p>
    <w:p w14:paraId="5FCD4D1B">
      <w:pPr>
        <w:pStyle w:val="31"/>
        <w:keepNext w:val="0"/>
        <w:keepLines w:val="0"/>
        <w:pageBreakBefore w:val="0"/>
        <w:numPr>
          <w:ilvl w:val="0"/>
          <w:numId w:val="20"/>
        </w:numPr>
        <w:kinsoku/>
        <w:wordWrap/>
        <w:overflowPunct/>
        <w:topLinePunct w:val="0"/>
        <w:autoSpaceDE/>
        <w:autoSpaceDN/>
        <w:bidi w:val="0"/>
        <w:adjustRightInd w:val="0"/>
        <w:snapToGrid w:val="0"/>
        <w:ind w:left="0" w:leftChars="0" w:firstLine="480" w:firstLineChars="200"/>
        <w:contextualSpacing/>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其它验收要求：</w:t>
      </w:r>
      <w:r>
        <w:rPr>
          <w:rFonts w:hint="eastAsia" w:ascii="仿宋" w:hAnsi="仿宋" w:eastAsia="仿宋" w:cs="仿宋"/>
          <w:color w:val="000000"/>
          <w:kern w:val="0"/>
          <w:sz w:val="24"/>
          <w:szCs w:val="24"/>
          <w:highlight w:val="none"/>
          <w:u w:val="single"/>
        </w:rPr>
        <w:t>无</w:t>
      </w:r>
      <w:r>
        <w:rPr>
          <w:rFonts w:hint="eastAsia" w:ascii="仿宋" w:hAnsi="仿宋" w:eastAsia="仿宋" w:cs="仿宋"/>
          <w:i/>
          <w:iCs/>
          <w:color w:val="000000"/>
          <w:kern w:val="0"/>
          <w:sz w:val="24"/>
          <w:szCs w:val="24"/>
          <w:highlight w:val="none"/>
        </w:rPr>
        <w:t>&lt;如有请填写&gt;</w:t>
      </w:r>
    </w:p>
    <w:p w14:paraId="6213DBF3">
      <w:pPr>
        <w:pStyle w:val="31"/>
        <w:keepNext w:val="0"/>
        <w:keepLines w:val="0"/>
        <w:pageBreakBefore w:val="0"/>
        <w:numPr>
          <w:ilvl w:val="0"/>
          <w:numId w:val="19"/>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付款方式</w:t>
      </w:r>
    </w:p>
    <w:p w14:paraId="5CC20725">
      <w:pPr>
        <w:pStyle w:val="7"/>
        <w:keepNext w:val="0"/>
        <w:keepLines w:val="0"/>
        <w:pageBreakBefore w:val="0"/>
        <w:numPr>
          <w:ilvl w:val="0"/>
          <w:numId w:val="22"/>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p w14:paraId="1A98FD8C">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乙方在合同签订生效之日起的</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个工作日内，按合同总价</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%支付履约保证金；本合同服务期满且验收合格后，甲方接到乙方付款申请后</w:t>
      </w:r>
      <w:r>
        <w:rPr>
          <w:rFonts w:hint="eastAsia" w:ascii="仿宋" w:hAnsi="仿宋" w:eastAsia="仿宋" w:cs="仿宋"/>
          <w:color w:val="000000"/>
          <w:sz w:val="24"/>
          <w:szCs w:val="24"/>
          <w:highlight w:val="none"/>
          <w:u w:val="single"/>
        </w:rPr>
        <w:t>30</w:t>
      </w:r>
      <w:r>
        <w:rPr>
          <w:rFonts w:hint="eastAsia" w:ascii="仿宋" w:hAnsi="仿宋" w:eastAsia="仿宋" w:cs="仿宋"/>
          <w:color w:val="000000"/>
          <w:sz w:val="24"/>
          <w:szCs w:val="24"/>
          <w:highlight w:val="none"/>
        </w:rPr>
        <w:t>个工作日内，甲方一次性无息退还乙方的履约保证金；经验收后乙方履约不合格的，履约保证金不予退还。</w:t>
      </w:r>
    </w:p>
    <w:p w14:paraId="7A4394EF">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本合同不涉及履约保证金。</w:t>
      </w:r>
    </w:p>
    <w:p w14:paraId="0DB5940E">
      <w:pPr>
        <w:pStyle w:val="7"/>
        <w:keepNext w:val="0"/>
        <w:keepLines w:val="0"/>
        <w:pageBreakBefore w:val="0"/>
        <w:numPr>
          <w:ilvl w:val="0"/>
          <w:numId w:val="22"/>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本合同价款采用以下方式支付，以人民币结算：</w:t>
      </w:r>
    </w:p>
    <w:p w14:paraId="09FDA0E6">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一次性支付：</w:t>
      </w:r>
    </w:p>
    <w:p w14:paraId="621259CA">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本合同服务期满且经甲方验收合格后</w:t>
      </w:r>
      <w:r>
        <w:rPr>
          <w:rFonts w:hint="eastAsia" w:ascii="仿宋" w:hAnsi="仿宋" w:eastAsia="仿宋" w:cs="仿宋"/>
          <w:sz w:val="24"/>
          <w:szCs w:val="24"/>
          <w:highlight w:val="none"/>
          <w:u w:val="single"/>
        </w:rPr>
        <w:t>5</w:t>
      </w:r>
      <w:r>
        <w:rPr>
          <w:rFonts w:hint="eastAsia" w:ascii="仿宋" w:hAnsi="仿宋" w:eastAsia="仿宋" w:cs="仿宋"/>
          <w:sz w:val="24"/>
          <w:szCs w:val="24"/>
          <w:highlight w:val="none"/>
        </w:rPr>
        <w:t>日内</w:t>
      </w:r>
      <w:r>
        <w:rPr>
          <w:rFonts w:hint="eastAsia" w:ascii="仿宋" w:hAnsi="仿宋" w:eastAsia="仿宋" w:cs="仿宋"/>
          <w:color w:val="000000"/>
          <w:sz w:val="24"/>
          <w:szCs w:val="24"/>
          <w:highlight w:val="none"/>
        </w:rPr>
        <w:t>，乙方须向甲方提供合法有效票据及其他相关请款资料，甲方自收到乙方请款资料后</w:t>
      </w:r>
      <w:r>
        <w:rPr>
          <w:rFonts w:hint="eastAsia" w:ascii="仿宋" w:hAnsi="仿宋" w:eastAsia="仿宋" w:cs="仿宋"/>
          <w:color w:val="000000"/>
          <w:sz w:val="24"/>
          <w:szCs w:val="24"/>
          <w:highlight w:val="none"/>
          <w:u w:val="single"/>
        </w:rPr>
        <w:t>55</w:t>
      </w:r>
      <w:r>
        <w:rPr>
          <w:rFonts w:hint="eastAsia" w:ascii="仿宋" w:hAnsi="仿宋" w:eastAsia="仿宋" w:cs="仿宋"/>
          <w:color w:val="000000"/>
          <w:sz w:val="24"/>
          <w:szCs w:val="24"/>
          <w:highlight w:val="none"/>
        </w:rPr>
        <w:t>日内支付合同总价100%的金额给乙方。</w:t>
      </w:r>
    </w:p>
    <w:p w14:paraId="750B8A19">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分阶段支付，支付期限、方式及额度如下：</w:t>
      </w:r>
    </w:p>
    <w:p w14:paraId="56BDDA9D">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bookmarkStart w:id="40" w:name="OLE_LINK30"/>
      <w:r>
        <w:rPr>
          <w:rFonts w:hint="eastAsia" w:ascii="仿宋" w:hAnsi="仿宋" w:eastAsia="仿宋" w:cs="仿宋"/>
          <w:sz w:val="24"/>
          <w:szCs w:val="24"/>
          <w:highlight w:val="none"/>
        </w:rPr>
        <w:t>固定部分价款</w:t>
      </w:r>
      <w:bookmarkEnd w:id="40"/>
      <w:r>
        <w:rPr>
          <w:rFonts w:hint="eastAsia" w:ascii="仿宋" w:hAnsi="仿宋" w:eastAsia="仿宋" w:cs="仿宋"/>
          <w:color w:val="000000"/>
          <w:sz w:val="24"/>
          <w:szCs w:val="24"/>
          <w:highlight w:val="none"/>
        </w:rPr>
        <w:t>：</w:t>
      </w:r>
      <w:r>
        <w:rPr>
          <w:rFonts w:hint="eastAsia" w:ascii="仿宋" w:hAnsi="仿宋" w:eastAsia="仿宋" w:cs="仿宋"/>
          <w:sz w:val="24"/>
          <w:szCs w:val="24"/>
          <w:highlight w:val="none"/>
        </w:rPr>
        <w:t>本合同服务期满且经甲方验收合格后5日内</w:t>
      </w:r>
      <w:r>
        <w:rPr>
          <w:rFonts w:hint="eastAsia" w:ascii="仿宋" w:hAnsi="仿宋" w:eastAsia="仿宋" w:cs="仿宋"/>
          <w:color w:val="000000"/>
          <w:sz w:val="24"/>
          <w:szCs w:val="24"/>
          <w:highlight w:val="none"/>
        </w:rPr>
        <w:t>，乙方须向甲方提供合法有效票据及其他相关请款资料，甲方自收到乙方请款资料后55日内向乙方支付本合同</w:t>
      </w:r>
      <w:r>
        <w:rPr>
          <w:rFonts w:hint="eastAsia" w:ascii="仿宋" w:hAnsi="仿宋" w:eastAsia="仿宋" w:cs="仿宋"/>
          <w:color w:val="000000"/>
          <w:sz w:val="24"/>
          <w:szCs w:val="24"/>
          <w:highlight w:val="none"/>
          <w:u w:val="single"/>
        </w:rPr>
        <w:t>第二条</w:t>
      </w:r>
      <w:r>
        <w:rPr>
          <w:rFonts w:hint="eastAsia" w:ascii="仿宋" w:hAnsi="仿宋" w:eastAsia="仿宋" w:cs="仿宋"/>
          <w:color w:val="000000"/>
          <w:sz w:val="24"/>
          <w:szCs w:val="24"/>
          <w:highlight w:val="none"/>
        </w:rPr>
        <w:t>写明的全部</w:t>
      </w:r>
      <w:r>
        <w:rPr>
          <w:rFonts w:hint="eastAsia" w:ascii="仿宋" w:hAnsi="仿宋" w:eastAsia="仿宋" w:cs="仿宋"/>
          <w:sz w:val="24"/>
          <w:szCs w:val="24"/>
          <w:highlight w:val="none"/>
        </w:rPr>
        <w:t>固定部分价款</w:t>
      </w:r>
      <w:r>
        <w:rPr>
          <w:rFonts w:hint="eastAsia" w:ascii="仿宋" w:hAnsi="仿宋" w:eastAsia="仿宋" w:cs="仿宋"/>
          <w:color w:val="000000"/>
          <w:sz w:val="24"/>
          <w:szCs w:val="24"/>
          <w:highlight w:val="none"/>
        </w:rPr>
        <w:t>。</w:t>
      </w:r>
    </w:p>
    <w:p w14:paraId="4C3983EC">
      <w:pPr>
        <w:pStyle w:val="13"/>
        <w:keepNext w:val="0"/>
        <w:keepLines w:val="0"/>
        <w:pageBreakBefore w:val="0"/>
        <w:kinsoku/>
        <w:wordWrap/>
        <w:overflowPunct/>
        <w:topLinePunct w:val="0"/>
        <w:autoSpaceDE/>
        <w:autoSpaceDN/>
        <w:bidi w:val="0"/>
        <w:adjustRightInd w:val="0"/>
        <w:snapToGrid w:val="0"/>
        <w:spacing w:after="0"/>
        <w:ind w:left="0" w:leftChars="0" w:firstLine="480" w:firstLineChars="200"/>
        <w:contextualSpacing/>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（2）按实结算部分：每</w:t>
      </w:r>
      <w:r>
        <w:rPr>
          <w:rFonts w:hint="eastAsia" w:ascii="仿宋" w:hAnsi="仿宋" w:eastAsia="仿宋" w:cs="仿宋"/>
          <w:color w:val="000000"/>
          <w:sz w:val="24"/>
          <w:szCs w:val="24"/>
          <w:highlight w:val="none"/>
          <w:u w:val="single"/>
        </w:rPr>
        <w:t>XX</w:t>
      </w:r>
      <w:r>
        <w:rPr>
          <w:rFonts w:hint="eastAsia" w:ascii="仿宋" w:hAnsi="仿宋" w:eastAsia="仿宋" w:cs="仿宋"/>
          <w:i/>
          <w:iCs/>
          <w:sz w:val="24"/>
          <w:szCs w:val="24"/>
          <w:highlight w:val="none"/>
        </w:rPr>
        <w:t>&lt;约定按固定周期支付的（如每季度），可根据项目具体情况编制本条款&gt;</w:t>
      </w:r>
      <w:r>
        <w:rPr>
          <w:rFonts w:hint="eastAsia" w:ascii="仿宋" w:hAnsi="仿宋" w:eastAsia="仿宋" w:cs="仿宋"/>
          <w:color w:val="000000"/>
          <w:sz w:val="24"/>
          <w:szCs w:val="24"/>
          <w:highlight w:val="none"/>
        </w:rPr>
        <w:t>结算一次费用，结算单价以</w:t>
      </w:r>
      <w:r>
        <w:rPr>
          <w:rFonts w:hint="eastAsia" w:ascii="仿宋" w:hAnsi="仿宋" w:eastAsia="仿宋" w:cs="仿宋"/>
          <w:sz w:val="24"/>
          <w:szCs w:val="24"/>
          <w:highlight w:val="none"/>
        </w:rPr>
        <w:t>《结算单价清单》</w:t>
      </w:r>
      <w:r>
        <w:rPr>
          <w:rFonts w:hint="eastAsia" w:ascii="仿宋" w:hAnsi="仿宋" w:eastAsia="仿宋" w:cs="仿宋"/>
          <w:color w:val="000000"/>
          <w:sz w:val="24"/>
          <w:szCs w:val="24"/>
          <w:highlight w:val="none"/>
        </w:rPr>
        <w:t>为准。</w:t>
      </w:r>
      <w:r>
        <w:rPr>
          <w:rFonts w:hint="eastAsia" w:ascii="仿宋" w:hAnsi="仿宋" w:eastAsia="仿宋" w:cs="仿宋"/>
          <w:sz w:val="24"/>
          <w:szCs w:val="24"/>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仿宋" w:hAnsi="仿宋" w:eastAsia="仿宋" w:cs="仿宋"/>
          <w:sz w:val="24"/>
          <w:szCs w:val="24"/>
          <w:highlight w:val="none"/>
          <w:u w:val="single"/>
          <w:lang w:bidi="ar"/>
        </w:rPr>
        <w:t>55</w:t>
      </w:r>
      <w:r>
        <w:rPr>
          <w:rFonts w:hint="eastAsia" w:ascii="仿宋" w:hAnsi="仿宋" w:eastAsia="仿宋" w:cs="仿宋"/>
          <w:sz w:val="24"/>
          <w:szCs w:val="24"/>
          <w:highlight w:val="none"/>
          <w:lang w:bidi="ar"/>
        </w:rPr>
        <w:t>日内，向乙方全额支付上述结算费用。</w:t>
      </w:r>
    </w:p>
    <w:p w14:paraId="5586C7FB">
      <w:pPr>
        <w:pStyle w:val="7"/>
        <w:keepNext w:val="0"/>
        <w:keepLines w:val="0"/>
        <w:pageBreakBefore w:val="0"/>
        <w:numPr>
          <w:ilvl w:val="0"/>
          <w:numId w:val="22"/>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甲方付款前，乙方需</w:t>
      </w:r>
      <w:r>
        <w:rPr>
          <w:rFonts w:hint="eastAsia" w:ascii="仿宋" w:hAnsi="仿宋" w:eastAsia="仿宋" w:cs="仿宋"/>
          <w:sz w:val="24"/>
          <w:szCs w:val="24"/>
          <w:highlight w:val="none"/>
          <w:lang w:bidi="ar"/>
        </w:rPr>
        <w:t>提供合法有效票据及其他相关请款资料</w:t>
      </w:r>
      <w:r>
        <w:rPr>
          <w:rFonts w:hint="eastAsia" w:ascii="仿宋" w:hAnsi="仿宋" w:eastAsia="仿宋" w:cs="仿宋"/>
          <w:sz w:val="24"/>
          <w:szCs w:val="24"/>
          <w:highlight w:val="none"/>
        </w:rPr>
        <w:t>，否则甲方有权拒绝支付且不承担任何违约责任，且乙方不得因此停止服务。</w:t>
      </w:r>
    </w:p>
    <w:p w14:paraId="2EB2BA75">
      <w:pPr>
        <w:pStyle w:val="7"/>
        <w:keepNext w:val="0"/>
        <w:keepLines w:val="0"/>
        <w:pageBreakBefore w:val="0"/>
        <w:numPr>
          <w:ilvl w:val="0"/>
          <w:numId w:val="22"/>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乙方开票信息应与合同预留账户信息一致。如有变更，乙方应当在变更后3日内通知甲方。否则，由此造成的损失由乙方自行承担。</w:t>
      </w:r>
    </w:p>
    <w:p w14:paraId="19A7DEEB">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双方权利与义务</w:t>
      </w:r>
    </w:p>
    <w:p w14:paraId="581F8AA0">
      <w:pPr>
        <w:pStyle w:val="7"/>
        <w:keepNext w:val="0"/>
        <w:keepLines w:val="0"/>
        <w:pageBreakBefore w:val="0"/>
        <w:numPr>
          <w:ilvl w:val="0"/>
          <w:numId w:val="23"/>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甲方权利与义务</w:t>
      </w:r>
    </w:p>
    <w:p w14:paraId="4D16113D">
      <w:pPr>
        <w:pStyle w:val="31"/>
        <w:keepNext w:val="0"/>
        <w:keepLines w:val="0"/>
        <w:pageBreakBefore w:val="0"/>
        <w:numPr>
          <w:ilvl w:val="0"/>
          <w:numId w:val="24"/>
        </w:numPr>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按合同约定向乙方支付费用。</w:t>
      </w:r>
    </w:p>
    <w:p w14:paraId="62A02753">
      <w:pPr>
        <w:pStyle w:val="31"/>
        <w:keepNext w:val="0"/>
        <w:keepLines w:val="0"/>
        <w:pageBreakBefore w:val="0"/>
        <w:numPr>
          <w:ilvl w:val="0"/>
          <w:numId w:val="24"/>
        </w:numPr>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保证乙方实施服务所必须的外部条件如电源、水源的正常供应及开启、关闭等。</w:t>
      </w:r>
    </w:p>
    <w:p w14:paraId="35119703">
      <w:pPr>
        <w:pStyle w:val="31"/>
        <w:keepNext w:val="0"/>
        <w:keepLines w:val="0"/>
        <w:pageBreakBefore w:val="0"/>
        <w:numPr>
          <w:ilvl w:val="0"/>
          <w:numId w:val="24"/>
        </w:numPr>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对于乙方在提供服务期间所提供的信息，甲方应予保密，未经乙方书面同意，甲方不得擅自使用或透露给第三方。</w:t>
      </w:r>
    </w:p>
    <w:p w14:paraId="7EDB0B3A">
      <w:pPr>
        <w:pStyle w:val="31"/>
        <w:keepNext w:val="0"/>
        <w:keepLines w:val="0"/>
        <w:pageBreakBefore w:val="0"/>
        <w:numPr>
          <w:ilvl w:val="0"/>
          <w:numId w:val="24"/>
        </w:numPr>
        <w:kinsoku/>
        <w:wordWrap/>
        <w:overflowPunct/>
        <w:topLinePunct w:val="0"/>
        <w:autoSpaceDE/>
        <w:autoSpaceDN/>
        <w:bidi w:val="0"/>
        <w:adjustRightInd w:val="0"/>
        <w:snapToGrid w:val="0"/>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甲方对服务人员不满意的，有权要求乙方在7日内更换相关服务人员。</w:t>
      </w:r>
    </w:p>
    <w:p w14:paraId="344AB8AA">
      <w:pPr>
        <w:pStyle w:val="7"/>
        <w:keepNext w:val="0"/>
        <w:keepLines w:val="0"/>
        <w:pageBreakBefore w:val="0"/>
        <w:numPr>
          <w:ilvl w:val="0"/>
          <w:numId w:val="23"/>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乙方权利与义务</w:t>
      </w:r>
    </w:p>
    <w:p w14:paraId="319B30B1">
      <w:pPr>
        <w:pStyle w:val="7"/>
        <w:keepNext w:val="0"/>
        <w:keepLines w:val="0"/>
        <w:pageBreakBefore w:val="0"/>
        <w:numPr>
          <w:ilvl w:val="0"/>
          <w:numId w:val="25"/>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按本合同约定向甲方提供服务。</w:t>
      </w:r>
    </w:p>
    <w:p w14:paraId="29A7D576">
      <w:pPr>
        <w:pStyle w:val="7"/>
        <w:keepNext w:val="0"/>
        <w:keepLines w:val="0"/>
        <w:pageBreakBefore w:val="0"/>
        <w:numPr>
          <w:ilvl w:val="0"/>
          <w:numId w:val="25"/>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乙方应保证提供的服务人员具备相应的服务能力和服务资质（如涉及）。</w:t>
      </w:r>
    </w:p>
    <w:p w14:paraId="26B4DD92">
      <w:pPr>
        <w:pStyle w:val="7"/>
        <w:keepNext w:val="0"/>
        <w:keepLines w:val="0"/>
        <w:pageBreakBefore w:val="0"/>
        <w:numPr>
          <w:ilvl w:val="0"/>
          <w:numId w:val="25"/>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7"/>
        <w:keepNext w:val="0"/>
        <w:keepLines w:val="0"/>
        <w:pageBreakBefore w:val="0"/>
        <w:numPr>
          <w:ilvl w:val="0"/>
          <w:numId w:val="25"/>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如服务涉及计算机软件产品的，乙方须承诺在服务中设备安装的软件已获得软件厂商的正规授权。</w:t>
      </w:r>
    </w:p>
    <w:p w14:paraId="68E6AAB3">
      <w:pPr>
        <w:pStyle w:val="7"/>
        <w:keepNext w:val="0"/>
        <w:keepLines w:val="0"/>
        <w:pageBreakBefore w:val="0"/>
        <w:numPr>
          <w:ilvl w:val="0"/>
          <w:numId w:val="25"/>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乙方对在按本合同约定向甲方提供服务过程中所获得的所有数据、商业秘密或其它技术及经营信息负有保密的义务，不得向任何第三方透露或泄露。</w:t>
      </w:r>
    </w:p>
    <w:p w14:paraId="742F7349">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违约责任</w:t>
      </w:r>
      <w:r>
        <w:rPr>
          <w:rFonts w:hint="eastAsia" w:ascii="仿宋" w:hAnsi="仿宋" w:eastAsia="仿宋" w:cs="仿宋"/>
          <w:bCs/>
          <w:i/>
          <w:iCs/>
          <w:sz w:val="24"/>
          <w:szCs w:val="24"/>
          <w:highlight w:val="none"/>
        </w:rPr>
        <w:t>&lt;本条款中违约金比例可根据项目实际情况确定，如合同无固定总金额的，请按实际需求调整表述&gt;</w:t>
      </w:r>
    </w:p>
    <w:p w14:paraId="5B66A4B0">
      <w:pPr>
        <w:pStyle w:val="7"/>
        <w:keepNext w:val="0"/>
        <w:keepLines w:val="0"/>
        <w:pageBreakBefore w:val="0"/>
        <w:numPr>
          <w:ilvl w:val="0"/>
          <w:numId w:val="26"/>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甲方违约责任：甲方无正当理由拒绝乙方按本合同约定提供服务的，甲方应偿付合同总金额的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w:t>
      </w:r>
    </w:p>
    <w:p w14:paraId="0BC8E6CE">
      <w:pPr>
        <w:pStyle w:val="31"/>
        <w:keepNext w:val="0"/>
        <w:keepLines w:val="0"/>
        <w:pageBreakBefore w:val="0"/>
        <w:numPr>
          <w:ilvl w:val="0"/>
          <w:numId w:val="26"/>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乙方违约责任：</w:t>
      </w:r>
    </w:p>
    <w:p w14:paraId="354B31C5">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bookmarkStart w:id="41" w:name="OLE_LINK18"/>
      <w:bookmarkStart w:id="42" w:name="OLE_LINK17"/>
      <w:r>
        <w:rPr>
          <w:rFonts w:hint="eastAsia" w:ascii="仿宋" w:hAnsi="仿宋" w:eastAsia="仿宋" w:cs="仿宋"/>
          <w:sz w:val="24"/>
          <w:szCs w:val="24"/>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因乙方在服务中更换的备品备件或原材料在质保期内并在正常使用情况下出现质量原因导致甲方或第三方财产或人身损害的，由乙方承担赔偿责任。</w:t>
      </w:r>
    </w:p>
    <w:p w14:paraId="2E725C36">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在本合同的履行中，如乙方提供的服务存在设计、工艺或材料缺陷（包括潜在缺陷），乙方应当对由于上述缺陷造成的损失负责。</w:t>
      </w:r>
    </w:p>
    <w:p w14:paraId="74485C68">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在本合同履行中，如乙方未按本合同约定及时向甲方提供服务，每发生一次，乙方应按</w:t>
      </w:r>
      <w:r>
        <w:rPr>
          <w:rFonts w:hint="eastAsia" w:ascii="仿宋" w:hAnsi="仿宋" w:eastAsia="仿宋" w:cs="仿宋"/>
          <w:sz w:val="24"/>
          <w:szCs w:val="24"/>
          <w:highlight w:val="none"/>
          <w:u w:val="single"/>
        </w:rPr>
        <w:t>合同总金额</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‰向甲方支付违约金。甲方可采取必要的补救措施，但由此而产生的风险责任和费用将由乙方负担，甲方根据合同规定对乙方行使的其他权利不受影响。</w:t>
      </w:r>
    </w:p>
    <w:p w14:paraId="170DE4FD">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乙方在提供服务过程中侵犯他人知识产权，甲方有权单方解除合同，并要求乙方赔偿所造成的损失，同时甲方有权要求对方按照</w:t>
      </w:r>
      <w:r>
        <w:rPr>
          <w:rFonts w:hint="eastAsia" w:ascii="仿宋" w:hAnsi="仿宋" w:eastAsia="仿宋" w:cs="仿宋"/>
          <w:sz w:val="24"/>
          <w:szCs w:val="24"/>
          <w:highlight w:val="none"/>
          <w:u w:val="single"/>
        </w:rPr>
        <w:t>合同总金额</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%支付违约金。</w:t>
      </w:r>
    </w:p>
    <w:p w14:paraId="0B168445">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乙方违反保密义务，甲方有权单方解除合同，乙方应按甲方实际损失向甲方进行赔偿并向甲方支付</w:t>
      </w:r>
      <w:r>
        <w:rPr>
          <w:rFonts w:hint="eastAsia" w:ascii="仿宋" w:hAnsi="仿宋" w:eastAsia="仿宋" w:cs="仿宋"/>
          <w:sz w:val="24"/>
          <w:szCs w:val="24"/>
          <w:highlight w:val="none"/>
          <w:u w:val="single"/>
        </w:rPr>
        <w:t>合同总金额</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w:t>
      </w:r>
    </w:p>
    <w:bookmarkEnd w:id="41"/>
    <w:bookmarkEnd w:id="42"/>
    <w:p w14:paraId="79DD140B">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乙方偿付的违约金不足以弥补甲方损失的，还应按甲方损失尚未弥补的部分，支付赔偿金给甲方。</w:t>
      </w:r>
    </w:p>
    <w:p w14:paraId="3156E70D">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7"/>
        <w:keepNext w:val="0"/>
        <w:keepLines w:val="0"/>
        <w:pageBreakBefore w:val="0"/>
        <w:numPr>
          <w:ilvl w:val="0"/>
          <w:numId w:val="27"/>
        </w:numPr>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7"/>
        <w:keepNext w:val="0"/>
        <w:keepLines w:val="0"/>
        <w:pageBreakBefore w:val="0"/>
        <w:kinsoku/>
        <w:wordWrap/>
        <w:overflowPunct/>
        <w:topLinePunct w:val="0"/>
        <w:autoSpaceDE/>
        <w:autoSpaceDN/>
        <w:bidi w:val="0"/>
        <w:adjustRightInd w:val="0"/>
        <w:snapToGrid w:val="0"/>
        <w:spacing w:after="0" w:line="240" w:lineRule="auto"/>
        <w:ind w:left="0" w:leftChars="0" w:firstLine="480"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3.本合同履行中如有任何一方违约，那么守约方为保障自己合法权益而产生的律师费、诉讼费、差旅费、公告费等，均由违约方承担。</w:t>
      </w:r>
    </w:p>
    <w:p w14:paraId="754D0209">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不可抗力</w:t>
      </w:r>
    </w:p>
    <w:p w14:paraId="26541785">
      <w:pPr>
        <w:pStyle w:val="31"/>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031713B9">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合同终止及解除</w:t>
      </w:r>
    </w:p>
    <w:p w14:paraId="275C61D9">
      <w:pPr>
        <w:pStyle w:val="31"/>
        <w:keepNext w:val="0"/>
        <w:keepLines w:val="0"/>
        <w:pageBreakBefore w:val="0"/>
        <w:numPr>
          <w:ilvl w:val="0"/>
          <w:numId w:val="28"/>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1"/>
        <w:keepNext w:val="0"/>
        <w:keepLines w:val="0"/>
        <w:pageBreakBefore w:val="0"/>
        <w:numPr>
          <w:ilvl w:val="0"/>
          <w:numId w:val="28"/>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在甲、乙任何一方有严重违约行为时，另一方有权单方解除合同。</w:t>
      </w:r>
    </w:p>
    <w:p w14:paraId="2BA7B89E">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争议解决办法</w:t>
      </w:r>
    </w:p>
    <w:p w14:paraId="5C6244A3">
      <w:pPr>
        <w:pStyle w:val="31"/>
        <w:keepNext w:val="0"/>
        <w:keepLines w:val="0"/>
        <w:pageBreakBefore w:val="0"/>
        <w:numPr>
          <w:ilvl w:val="0"/>
          <w:numId w:val="29"/>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因服务质量问题发生争议，由质量技术监督部门或其指定的质量鉴定机构进行质量鉴定，结果符合标准的，鉴定费由甲方承担；不符合标准的，鉴定费由乙方承担。</w:t>
      </w:r>
    </w:p>
    <w:p w14:paraId="40F006BE">
      <w:pPr>
        <w:pStyle w:val="31"/>
        <w:keepNext w:val="0"/>
        <w:keepLines w:val="0"/>
        <w:pageBreakBefore w:val="0"/>
        <w:numPr>
          <w:ilvl w:val="0"/>
          <w:numId w:val="29"/>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合同履行期间,若双方发生争议，可协商或由有关部门调解解决，协商或调解不成的，任何一方均有权向甲方所在地具有管辖权的人民法院起诉。</w:t>
      </w:r>
    </w:p>
    <w:p w14:paraId="533F8595">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送达（送达地址是司法机关、执法机关和仲裁机关将法律文书送达给当事人的收件地址）</w:t>
      </w:r>
    </w:p>
    <w:p w14:paraId="46F487CF">
      <w:pPr>
        <w:pStyle w:val="49"/>
        <w:keepNext w:val="0"/>
        <w:keepLines w:val="0"/>
        <w:pageBreakBefore w:val="0"/>
        <w:numPr>
          <w:ilvl w:val="0"/>
          <w:numId w:val="30"/>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甲方送达地址：四川省成都市青羊区一环路西二段32号。</w:t>
      </w:r>
    </w:p>
    <w:p w14:paraId="2E0AF282">
      <w:pPr>
        <w:pStyle w:val="49"/>
        <w:keepNext w:val="0"/>
        <w:keepLines w:val="0"/>
        <w:pageBreakBefore w:val="0"/>
        <w:numPr>
          <w:ilvl w:val="0"/>
          <w:numId w:val="30"/>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乙方送达地址：***</w:t>
      </w:r>
    </w:p>
    <w:p w14:paraId="750624B0">
      <w:pPr>
        <w:pStyle w:val="49"/>
        <w:keepNext w:val="0"/>
        <w:keepLines w:val="0"/>
        <w:pageBreakBefore w:val="0"/>
        <w:numPr>
          <w:ilvl w:val="0"/>
          <w:numId w:val="30"/>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其他</w:t>
      </w:r>
    </w:p>
    <w:p w14:paraId="162904B6">
      <w:pPr>
        <w:pStyle w:val="31"/>
        <w:keepNext w:val="0"/>
        <w:keepLines w:val="0"/>
        <w:pageBreakBefore w:val="0"/>
        <w:numPr>
          <w:ilvl w:val="0"/>
          <w:numId w:val="31"/>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如有未尽事宜，由双方依法订立补充合同。补充合同及本合同附件均为本合同的组成部分，与本合同具有同等法律效力。</w:t>
      </w:r>
    </w:p>
    <w:p w14:paraId="3EA6778F">
      <w:pPr>
        <w:pStyle w:val="31"/>
        <w:keepNext w:val="0"/>
        <w:keepLines w:val="0"/>
        <w:pageBreakBefore w:val="0"/>
        <w:numPr>
          <w:ilvl w:val="0"/>
          <w:numId w:val="31"/>
        </w:numPr>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本合同一式四份，自双方签字且盖章之日起生效。甲方三份，乙方一份。</w:t>
      </w:r>
    </w:p>
    <w:p w14:paraId="134580B1">
      <w:pPr>
        <w:pStyle w:val="31"/>
        <w:keepNext w:val="0"/>
        <w:keepLines w:val="0"/>
        <w:pageBreakBefore w:val="0"/>
        <w:numPr>
          <w:ilvl w:val="0"/>
          <w:numId w:val="17"/>
        </w:numPr>
        <w:kinsoku/>
        <w:wordWrap/>
        <w:overflowPunct/>
        <w:topLinePunct w:val="0"/>
        <w:autoSpaceDE/>
        <w:autoSpaceDN/>
        <w:bidi w:val="0"/>
        <w:adjustRightInd w:val="0"/>
        <w:snapToGrid w:val="0"/>
        <w:ind w:left="0" w:leftChars="0" w:firstLine="482" w:firstLineChars="200"/>
        <w:contextualSpacing/>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合同附件</w:t>
      </w:r>
    </w:p>
    <w:p w14:paraId="6C66D4AC">
      <w:pPr>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本合同为</w:t>
      </w:r>
      <w:r>
        <w:rPr>
          <w:rFonts w:hint="eastAsia" w:ascii="仿宋" w:hAnsi="仿宋" w:eastAsia="仿宋" w:cs="仿宋"/>
          <w:sz w:val="24"/>
          <w:szCs w:val="24"/>
          <w:highlight w:val="none"/>
          <w:u w:val="single"/>
        </w:rPr>
        <w:t>有</w:t>
      </w:r>
      <w:r>
        <w:rPr>
          <w:rFonts w:hint="eastAsia" w:ascii="仿宋" w:hAnsi="仿宋" w:eastAsia="仿宋" w:cs="仿宋"/>
          <w:sz w:val="24"/>
          <w:szCs w:val="24"/>
          <w:highlight w:val="none"/>
        </w:rPr>
        <w:t>附件合同，附件如下：</w:t>
      </w:r>
      <w:r>
        <w:rPr>
          <w:rFonts w:hint="eastAsia" w:ascii="仿宋" w:hAnsi="仿宋" w:eastAsia="仿宋" w:cs="仿宋"/>
          <w:i/>
          <w:iCs/>
          <w:sz w:val="24"/>
          <w:szCs w:val="24"/>
          <w:highlight w:val="none"/>
        </w:rPr>
        <w:t>&lt;根据项目实际情况编制&gt;</w:t>
      </w:r>
    </w:p>
    <w:p w14:paraId="3FF9CA8A">
      <w:pPr>
        <w:keepNext w:val="0"/>
        <w:keepLines w:val="0"/>
        <w:pageBreakBefore w:val="0"/>
        <w:kinsoku/>
        <w:wordWrap/>
        <w:overflowPunct/>
        <w:topLinePunct w:val="0"/>
        <w:autoSpaceDE/>
        <w:autoSpaceDN/>
        <w:bidi w:val="0"/>
        <w:adjustRightInd w:val="0"/>
        <w:snapToGrid w:val="0"/>
        <w:ind w:left="0" w:leftChars="0" w:firstLine="480" w:firstLineChars="200"/>
        <w:jc w:val="left"/>
        <w:textAlignment w:val="auto"/>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附件1《</w:t>
      </w:r>
      <w:bookmarkStart w:id="43" w:name="OLE_LINK32"/>
      <w:r>
        <w:rPr>
          <w:rFonts w:hint="eastAsia" w:ascii="仿宋" w:hAnsi="仿宋" w:eastAsia="仿宋" w:cs="仿宋"/>
          <w:sz w:val="24"/>
          <w:szCs w:val="24"/>
          <w:highlight w:val="none"/>
        </w:rPr>
        <w:t>结算单价清单</w:t>
      </w:r>
      <w:bookmarkEnd w:id="43"/>
      <w:r>
        <w:rPr>
          <w:rFonts w:hint="eastAsia" w:ascii="仿宋" w:hAnsi="仿宋" w:eastAsia="仿宋" w:cs="仿宋"/>
          <w:sz w:val="24"/>
          <w:szCs w:val="24"/>
          <w:highlight w:val="none"/>
        </w:rPr>
        <w:t>》</w:t>
      </w:r>
    </w:p>
    <w:p w14:paraId="6CDBD3F1">
      <w:pPr>
        <w:keepNext w:val="0"/>
        <w:keepLines w:val="0"/>
        <w:pageBreakBefore w:val="0"/>
        <w:kinsoku/>
        <w:wordWrap/>
        <w:overflowPunct/>
        <w:topLinePunct w:val="0"/>
        <w:autoSpaceDE/>
        <w:autoSpaceDN/>
        <w:bidi w:val="0"/>
        <w:adjustRightInd w:val="0"/>
        <w:snapToGrid w:val="0"/>
        <w:ind w:left="0" w:leftChars="0" w:firstLine="480" w:firstLineChars="200"/>
        <w:jc w:val="left"/>
        <w:textAlignment w:val="auto"/>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附件2《考核标准》</w:t>
      </w:r>
    </w:p>
    <w:p w14:paraId="485EAD27">
      <w:pPr>
        <w:keepNext w:val="0"/>
        <w:keepLines w:val="0"/>
        <w:pageBreakBefore w:val="0"/>
        <w:kinsoku/>
        <w:wordWrap/>
        <w:overflowPunct/>
        <w:topLinePunct w:val="0"/>
        <w:autoSpaceDE/>
        <w:autoSpaceDN/>
        <w:bidi w:val="0"/>
        <w:adjustRightInd w:val="0"/>
        <w:snapToGrid w:val="0"/>
        <w:ind w:left="0" w:leftChars="0" w:firstLine="480" w:firstLineChars="200"/>
        <w:jc w:val="left"/>
        <w:textAlignment w:val="auto"/>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附件3《服务方案》</w:t>
      </w:r>
    </w:p>
    <w:p w14:paraId="73257A85">
      <w:pPr>
        <w:keepNext w:val="0"/>
        <w:keepLines w:val="0"/>
        <w:pageBreakBefore w:val="0"/>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tbl>
      <w:tblPr>
        <w:tblStyle w:val="14"/>
        <w:tblW w:w="5000" w:type="pct"/>
        <w:jc w:val="center"/>
        <w:tblLayout w:type="autofit"/>
        <w:tblCellMar>
          <w:top w:w="0" w:type="dxa"/>
          <w:left w:w="0" w:type="dxa"/>
          <w:bottom w:w="0" w:type="dxa"/>
          <w:right w:w="0" w:type="dxa"/>
        </w:tblCellMar>
      </w:tblPr>
      <w:tblGrid>
        <w:gridCol w:w="4431"/>
        <w:gridCol w:w="3863"/>
      </w:tblGrid>
      <w:tr w14:paraId="71EA2B7F">
        <w:tblPrEx>
          <w:tblCellMar>
            <w:top w:w="0" w:type="dxa"/>
            <w:left w:w="0" w:type="dxa"/>
            <w:bottom w:w="0" w:type="dxa"/>
            <w:right w:w="0" w:type="dxa"/>
          </w:tblCellMar>
        </w:tblPrEx>
        <w:trPr>
          <w:trHeight w:val="519" w:hRule="atLeast"/>
          <w:jc w:val="center"/>
        </w:trPr>
        <w:tc>
          <w:tcPr>
            <w:tcW w:w="8294" w:type="dxa"/>
            <w:gridSpan w:val="2"/>
          </w:tcPr>
          <w:p w14:paraId="7FDA39D9">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签订时间：202*年***月***日</w:t>
            </w:r>
          </w:p>
        </w:tc>
      </w:tr>
      <w:tr w14:paraId="106C5796">
        <w:tblPrEx>
          <w:tblCellMar>
            <w:top w:w="0" w:type="dxa"/>
            <w:left w:w="0" w:type="dxa"/>
            <w:bottom w:w="0" w:type="dxa"/>
            <w:right w:w="0" w:type="dxa"/>
          </w:tblCellMar>
        </w:tblPrEx>
        <w:trPr>
          <w:jc w:val="center"/>
        </w:trPr>
        <w:tc>
          <w:tcPr>
            <w:tcW w:w="4431" w:type="dxa"/>
          </w:tcPr>
          <w:p w14:paraId="3F93961B">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甲方：四川省人民医院（盖章）</w:t>
            </w:r>
          </w:p>
          <w:p w14:paraId="1BF2641A">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w:t>
            </w:r>
          </w:p>
          <w:p w14:paraId="3CF6E833">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地址：四川省成都市一环路西二段32号</w:t>
            </w:r>
          </w:p>
          <w:p w14:paraId="6736D38D">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开户银行：建设银行成都青羊支行</w:t>
            </w:r>
          </w:p>
          <w:p w14:paraId="3D5EBF0F">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账号：5100 1446 4360 5037 4282</w:t>
            </w:r>
          </w:p>
        </w:tc>
        <w:tc>
          <w:tcPr>
            <w:tcW w:w="3863" w:type="dxa"/>
          </w:tcPr>
          <w:p w14:paraId="76D47F6F">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乙方：</w:t>
            </w:r>
            <w:permStart w:id="2" w:edGrp="everyone"/>
            <w:r>
              <w:rPr>
                <w:rFonts w:hint="eastAsia" w:ascii="仿宋" w:hAnsi="仿宋" w:eastAsia="仿宋" w:cs="仿宋"/>
                <w:sz w:val="24"/>
                <w:szCs w:val="24"/>
                <w:highlight w:val="none"/>
              </w:rPr>
              <w:t>***</w:t>
            </w:r>
            <w:permEnd w:id="2"/>
            <w:r>
              <w:rPr>
                <w:rFonts w:hint="eastAsia" w:ascii="仿宋" w:hAnsi="仿宋" w:eastAsia="仿宋" w:cs="仿宋"/>
                <w:sz w:val="24"/>
                <w:szCs w:val="24"/>
                <w:highlight w:val="none"/>
              </w:rPr>
              <w:t>（盖章）</w:t>
            </w:r>
          </w:p>
          <w:p w14:paraId="5129AF1F">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w:t>
            </w:r>
          </w:p>
          <w:p w14:paraId="47302462">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ermStart w:id="3" w:edGrp="everyone"/>
            <w:r>
              <w:rPr>
                <w:rFonts w:hint="eastAsia" w:ascii="仿宋" w:hAnsi="仿宋" w:eastAsia="仿宋" w:cs="仿宋"/>
                <w:sz w:val="24"/>
                <w:szCs w:val="24"/>
                <w:highlight w:val="none"/>
              </w:rPr>
              <w:t>***</w:t>
            </w:r>
            <w:permEnd w:id="3"/>
          </w:p>
          <w:p w14:paraId="1CF0A190">
            <w:pPr>
              <w:keepNext w:val="0"/>
              <w:keepLines w:val="0"/>
              <w:pageBreakBefore w:val="0"/>
              <w:kinsoku/>
              <w:wordWrap/>
              <w:overflowPunct/>
              <w:topLinePunct w:val="0"/>
              <w:autoSpaceDE/>
              <w:autoSpaceDN/>
              <w:bidi w:val="0"/>
              <w:adjustRightInd w:val="0"/>
              <w:snapToGrid w:val="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permStart w:id="4" w:edGrp="everyone"/>
            <w:r>
              <w:rPr>
                <w:rFonts w:hint="eastAsia" w:ascii="仿宋" w:hAnsi="仿宋" w:eastAsia="仿宋" w:cs="仿宋"/>
                <w:sz w:val="24"/>
                <w:szCs w:val="24"/>
                <w:highlight w:val="none"/>
              </w:rPr>
              <w:t>***</w:t>
            </w:r>
          </w:p>
          <w:permEnd w:id="4"/>
          <w:p w14:paraId="5672E29C">
            <w:pPr>
              <w:keepNext w:val="0"/>
              <w:keepLines w:val="0"/>
              <w:pageBreakBefore w:val="0"/>
              <w:widowControl/>
              <w:kinsoku/>
              <w:wordWrap/>
              <w:overflowPunct/>
              <w:topLinePunct w:val="0"/>
              <w:autoSpaceDE/>
              <w:autoSpaceDN/>
              <w:bidi w:val="0"/>
              <w:adjustRightInd w:val="0"/>
              <w:snapToGrid w:val="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账号：</w:t>
            </w:r>
            <w:permStart w:id="5" w:edGrp="everyone"/>
            <w:r>
              <w:rPr>
                <w:rFonts w:hint="eastAsia" w:ascii="仿宋" w:hAnsi="仿宋" w:eastAsia="仿宋" w:cs="仿宋"/>
                <w:sz w:val="24"/>
                <w:szCs w:val="24"/>
                <w:highlight w:val="none"/>
              </w:rPr>
              <w:t>***</w:t>
            </w:r>
            <w:permEnd w:id="5"/>
          </w:p>
        </w:tc>
      </w:tr>
    </w:tbl>
    <w:p w14:paraId="4C9ECE11">
      <w:pPr>
        <w:keepNext w:val="0"/>
        <w:keepLines w:val="0"/>
        <w:pageBreakBefore w:val="0"/>
        <w:kinsoku/>
        <w:wordWrap/>
        <w:overflowPunct/>
        <w:topLinePunct w:val="0"/>
        <w:autoSpaceDE/>
        <w:autoSpaceDN/>
        <w:bidi w:val="0"/>
        <w:adjustRightInd w:val="0"/>
        <w:snapToGrid w:val="0"/>
        <w:ind w:left="0" w:leftChars="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p>
    <w:p w14:paraId="7B4B943E">
      <w:pPr>
        <w:keepNext w:val="0"/>
        <w:keepLines w:val="0"/>
        <w:pageBreakBefore w:val="0"/>
        <w:widowControl/>
        <w:kinsoku/>
        <w:wordWrap/>
        <w:overflowPunct/>
        <w:topLinePunct w:val="0"/>
        <w:autoSpaceDE/>
        <w:autoSpaceDN/>
        <w:bidi w:val="0"/>
        <w:adjustRightInd w:val="0"/>
        <w:snapToGrid w:val="0"/>
        <w:ind w:left="0" w:leftChars="0" w:firstLine="482" w:firstLineChars="200"/>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附件1：结算单价清单（人民币：元）</w:t>
      </w:r>
      <w:r>
        <w:rPr>
          <w:rFonts w:hint="eastAsia" w:ascii="仿宋" w:hAnsi="仿宋" w:eastAsia="仿宋" w:cs="仿宋"/>
          <w:b/>
          <w:bCs/>
          <w:i/>
          <w:iCs/>
          <w:sz w:val="24"/>
          <w:szCs w:val="24"/>
          <w:highlight w:val="none"/>
        </w:rPr>
        <w:t>&lt;根据项目实际情况编制&gt;</w:t>
      </w:r>
    </w:p>
    <w:p w14:paraId="1D831279">
      <w:pPr>
        <w:keepNext w:val="0"/>
        <w:keepLines w:val="0"/>
        <w:pageBreakBefore w:val="0"/>
        <w:widowControl/>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sz w:val="24"/>
          <w:szCs w:val="24"/>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1"/>
        <w:gridCol w:w="3006"/>
        <w:gridCol w:w="2787"/>
        <w:gridCol w:w="920"/>
        <w:gridCol w:w="915"/>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keepNext w:val="0"/>
              <w:keepLines w:val="0"/>
              <w:pageBreakBefore w:val="0"/>
              <w:widowControl/>
              <w:kinsoku/>
              <w:wordWrap/>
              <w:overflowPunct/>
              <w:topLinePunct w:val="0"/>
              <w:autoSpaceDE/>
              <w:autoSpaceDN/>
              <w:bidi w:val="0"/>
              <w:adjustRightInd w:val="0"/>
              <w:snapToGrid w:val="0"/>
              <w:ind w:left="0" w:leftChars="0" w:firstLine="482" w:firstLineChars="20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3686" w:type="dxa"/>
            <w:vAlign w:val="center"/>
          </w:tcPr>
          <w:p w14:paraId="6C23FD50">
            <w:pPr>
              <w:keepNext w:val="0"/>
              <w:keepLines w:val="0"/>
              <w:pageBreakBefore w:val="0"/>
              <w:widowControl/>
              <w:kinsoku/>
              <w:wordWrap/>
              <w:overflowPunct/>
              <w:topLinePunct w:val="0"/>
              <w:autoSpaceDE/>
              <w:autoSpaceDN/>
              <w:bidi w:val="0"/>
              <w:adjustRightInd w:val="0"/>
              <w:snapToGrid w:val="0"/>
              <w:ind w:left="0" w:leftChars="0" w:firstLine="482" w:firstLineChars="20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结算项目名称</w:t>
            </w:r>
          </w:p>
        </w:tc>
        <w:tc>
          <w:tcPr>
            <w:tcW w:w="3402" w:type="dxa"/>
            <w:vAlign w:val="center"/>
          </w:tcPr>
          <w:p w14:paraId="3BB9E943">
            <w:pPr>
              <w:keepNext w:val="0"/>
              <w:keepLines w:val="0"/>
              <w:pageBreakBefore w:val="0"/>
              <w:widowControl/>
              <w:kinsoku/>
              <w:wordWrap/>
              <w:overflowPunct/>
              <w:topLinePunct w:val="0"/>
              <w:autoSpaceDE/>
              <w:autoSpaceDN/>
              <w:bidi w:val="0"/>
              <w:adjustRightInd w:val="0"/>
              <w:snapToGrid w:val="0"/>
              <w:ind w:left="0" w:leftChars="0" w:firstLine="482" w:firstLineChars="200"/>
              <w:jc w:val="center"/>
              <w:textAlignment w:val="auto"/>
              <w:rPr>
                <w:rFonts w:hint="eastAsia" w:ascii="仿宋" w:hAnsi="仿宋" w:eastAsia="仿宋" w:cs="仿宋"/>
                <w:b/>
                <w:bCs/>
                <w:i/>
                <w:iCs/>
                <w:sz w:val="24"/>
                <w:szCs w:val="24"/>
                <w:highlight w:val="none"/>
              </w:rPr>
            </w:pPr>
            <w:r>
              <w:rPr>
                <w:rFonts w:hint="eastAsia" w:ascii="仿宋" w:hAnsi="仿宋" w:eastAsia="仿宋" w:cs="仿宋"/>
                <w:b/>
                <w:bCs/>
                <w:sz w:val="24"/>
                <w:szCs w:val="24"/>
                <w:highlight w:val="none"/>
              </w:rPr>
              <w:t>项目信息</w:t>
            </w:r>
            <w:r>
              <w:rPr>
                <w:rFonts w:hint="eastAsia" w:ascii="仿宋" w:hAnsi="仿宋" w:eastAsia="仿宋" w:cs="仿宋"/>
                <w:b/>
                <w:bCs/>
                <w:i/>
                <w:iCs/>
                <w:sz w:val="24"/>
                <w:szCs w:val="24"/>
                <w:highlight w:val="none"/>
              </w:rPr>
              <w:t>&lt;生产厂商、品牌、型号规格等&gt;</w:t>
            </w:r>
          </w:p>
        </w:tc>
        <w:tc>
          <w:tcPr>
            <w:tcW w:w="992" w:type="dxa"/>
            <w:vAlign w:val="center"/>
          </w:tcPr>
          <w:p w14:paraId="66368B46">
            <w:pPr>
              <w:keepNext w:val="0"/>
              <w:keepLines w:val="0"/>
              <w:pageBreakBefore w:val="0"/>
              <w:widowControl/>
              <w:kinsoku/>
              <w:wordWrap/>
              <w:overflowPunct/>
              <w:topLinePunct w:val="0"/>
              <w:autoSpaceDE/>
              <w:autoSpaceDN/>
              <w:bidi w:val="0"/>
              <w:adjustRightInd w:val="0"/>
              <w:snapToGrid w:val="0"/>
              <w:ind w:left="0" w:leftChars="0" w:firstLine="482" w:firstLineChars="20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结算单位</w:t>
            </w:r>
            <w:r>
              <w:rPr>
                <w:rFonts w:hint="eastAsia" w:ascii="仿宋" w:hAnsi="仿宋" w:eastAsia="仿宋" w:cs="仿宋"/>
                <w:b/>
                <w:bCs/>
                <w:i/>
                <w:iCs/>
                <w:sz w:val="24"/>
                <w:szCs w:val="24"/>
                <w:highlight w:val="none"/>
              </w:rPr>
              <w:t>&lt;指货物的单位&gt;</w:t>
            </w:r>
          </w:p>
        </w:tc>
        <w:tc>
          <w:tcPr>
            <w:tcW w:w="986" w:type="dxa"/>
            <w:vAlign w:val="center"/>
          </w:tcPr>
          <w:p w14:paraId="5589F7C3">
            <w:pPr>
              <w:keepNext w:val="0"/>
              <w:keepLines w:val="0"/>
              <w:pageBreakBefore w:val="0"/>
              <w:widowControl/>
              <w:kinsoku/>
              <w:wordWrap/>
              <w:overflowPunct/>
              <w:topLinePunct w:val="0"/>
              <w:autoSpaceDE/>
              <w:autoSpaceDN/>
              <w:bidi w:val="0"/>
              <w:adjustRightInd w:val="0"/>
              <w:snapToGrid w:val="0"/>
              <w:ind w:left="0" w:leftChars="0" w:firstLine="482" w:firstLineChars="20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3686" w:type="dxa"/>
            <w:vAlign w:val="center"/>
          </w:tcPr>
          <w:p w14:paraId="4A635D96">
            <w:pPr>
              <w:keepNext w:val="0"/>
              <w:keepLines w:val="0"/>
              <w:pageBreakBefore w:val="0"/>
              <w:widowControl/>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sz w:val="24"/>
                <w:szCs w:val="24"/>
                <w:highlight w:val="none"/>
              </w:rPr>
            </w:pPr>
          </w:p>
        </w:tc>
        <w:tc>
          <w:tcPr>
            <w:tcW w:w="3402" w:type="dxa"/>
            <w:vAlign w:val="center"/>
          </w:tcPr>
          <w:p w14:paraId="610A0DF8">
            <w:pPr>
              <w:keepNext w:val="0"/>
              <w:keepLines w:val="0"/>
              <w:pageBreakBefore w:val="0"/>
              <w:widowControl/>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sz w:val="24"/>
                <w:szCs w:val="24"/>
                <w:highlight w:val="none"/>
              </w:rPr>
            </w:pPr>
          </w:p>
        </w:tc>
        <w:tc>
          <w:tcPr>
            <w:tcW w:w="992" w:type="dxa"/>
            <w:vAlign w:val="center"/>
          </w:tcPr>
          <w:p w14:paraId="59C6D210">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p>
        </w:tc>
        <w:tc>
          <w:tcPr>
            <w:tcW w:w="986" w:type="dxa"/>
            <w:vAlign w:val="center"/>
          </w:tcPr>
          <w:p w14:paraId="3B758A07">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3686" w:type="dxa"/>
            <w:vAlign w:val="center"/>
          </w:tcPr>
          <w:p w14:paraId="2C25F4E1">
            <w:pPr>
              <w:keepNext w:val="0"/>
              <w:keepLines w:val="0"/>
              <w:pageBreakBefore w:val="0"/>
              <w:widowControl/>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sz w:val="24"/>
                <w:szCs w:val="24"/>
                <w:highlight w:val="none"/>
              </w:rPr>
            </w:pPr>
          </w:p>
        </w:tc>
        <w:tc>
          <w:tcPr>
            <w:tcW w:w="3402" w:type="dxa"/>
            <w:vAlign w:val="center"/>
          </w:tcPr>
          <w:p w14:paraId="473015E2">
            <w:pPr>
              <w:keepNext w:val="0"/>
              <w:keepLines w:val="0"/>
              <w:pageBreakBefore w:val="0"/>
              <w:widowControl/>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sz w:val="24"/>
                <w:szCs w:val="24"/>
                <w:highlight w:val="none"/>
              </w:rPr>
            </w:pPr>
          </w:p>
        </w:tc>
        <w:tc>
          <w:tcPr>
            <w:tcW w:w="992" w:type="dxa"/>
            <w:vAlign w:val="center"/>
          </w:tcPr>
          <w:p w14:paraId="1AC45725">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p>
        </w:tc>
        <w:tc>
          <w:tcPr>
            <w:tcW w:w="986" w:type="dxa"/>
            <w:vAlign w:val="center"/>
          </w:tcPr>
          <w:p w14:paraId="794FEA53">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3686" w:type="dxa"/>
            <w:vAlign w:val="center"/>
          </w:tcPr>
          <w:p w14:paraId="09F89178">
            <w:pPr>
              <w:keepNext w:val="0"/>
              <w:keepLines w:val="0"/>
              <w:pageBreakBefore w:val="0"/>
              <w:widowControl/>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sz w:val="24"/>
                <w:szCs w:val="24"/>
                <w:highlight w:val="none"/>
              </w:rPr>
            </w:pPr>
          </w:p>
        </w:tc>
        <w:tc>
          <w:tcPr>
            <w:tcW w:w="3402" w:type="dxa"/>
            <w:vAlign w:val="center"/>
          </w:tcPr>
          <w:p w14:paraId="1FF16C42">
            <w:pPr>
              <w:keepNext w:val="0"/>
              <w:keepLines w:val="0"/>
              <w:pageBreakBefore w:val="0"/>
              <w:widowControl/>
              <w:kinsoku/>
              <w:wordWrap/>
              <w:overflowPunct/>
              <w:topLinePunct w:val="0"/>
              <w:autoSpaceDE/>
              <w:autoSpaceDN/>
              <w:bidi w:val="0"/>
              <w:adjustRightInd w:val="0"/>
              <w:snapToGrid w:val="0"/>
              <w:ind w:left="0" w:leftChars="0" w:firstLine="480" w:firstLineChars="200"/>
              <w:jc w:val="left"/>
              <w:textAlignment w:val="auto"/>
              <w:rPr>
                <w:rFonts w:hint="eastAsia" w:ascii="仿宋" w:hAnsi="仿宋" w:eastAsia="仿宋" w:cs="仿宋"/>
                <w:sz w:val="24"/>
                <w:szCs w:val="24"/>
                <w:highlight w:val="none"/>
              </w:rPr>
            </w:pPr>
          </w:p>
        </w:tc>
        <w:tc>
          <w:tcPr>
            <w:tcW w:w="992" w:type="dxa"/>
            <w:vAlign w:val="center"/>
          </w:tcPr>
          <w:p w14:paraId="0BD2D448">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p>
        </w:tc>
        <w:tc>
          <w:tcPr>
            <w:tcW w:w="986" w:type="dxa"/>
            <w:vAlign w:val="center"/>
          </w:tcPr>
          <w:p w14:paraId="32267964">
            <w:pPr>
              <w:keepNext w:val="0"/>
              <w:keepLines w:val="0"/>
              <w:pageBreakBefore w:val="0"/>
              <w:widowControl/>
              <w:kinsoku/>
              <w:wordWrap/>
              <w:overflowPunct/>
              <w:topLinePunct w:val="0"/>
              <w:autoSpaceDE/>
              <w:autoSpaceDN/>
              <w:bidi w:val="0"/>
              <w:adjustRightInd w:val="0"/>
              <w:snapToGrid w:val="0"/>
              <w:ind w:left="0" w:leftChars="0" w:firstLine="480" w:firstLineChars="200"/>
              <w:jc w:val="center"/>
              <w:textAlignment w:val="auto"/>
              <w:rPr>
                <w:rFonts w:hint="eastAsia" w:ascii="仿宋" w:hAnsi="仿宋" w:eastAsia="仿宋" w:cs="仿宋"/>
                <w:sz w:val="24"/>
                <w:szCs w:val="24"/>
                <w:highlight w:val="none"/>
              </w:rPr>
            </w:pPr>
          </w:p>
        </w:tc>
      </w:tr>
    </w:tbl>
    <w:p w14:paraId="2C410D5A">
      <w:pPr>
        <w:keepNext w:val="0"/>
        <w:keepLines w:val="0"/>
        <w:pageBreakBefore w:val="0"/>
        <w:kinsoku/>
        <w:wordWrap/>
        <w:overflowPunct/>
        <w:topLinePunct w:val="0"/>
        <w:autoSpaceDE/>
        <w:autoSpaceDN/>
        <w:bidi w:val="0"/>
        <w:adjustRightInd w:val="0"/>
        <w:snapToGrid w:val="0"/>
        <w:ind w:left="0" w:leftChars="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p>
    <w:p w14:paraId="6BEFDD75">
      <w:pPr>
        <w:keepNext w:val="0"/>
        <w:keepLines w:val="0"/>
        <w:pageBreakBefore w:val="0"/>
        <w:widowControl/>
        <w:kinsoku/>
        <w:wordWrap/>
        <w:overflowPunct/>
        <w:topLinePunct w:val="0"/>
        <w:autoSpaceDE/>
        <w:autoSpaceDN/>
        <w:bidi w:val="0"/>
        <w:adjustRightInd w:val="0"/>
        <w:snapToGrid w:val="0"/>
        <w:ind w:left="0" w:leftChars="0" w:firstLine="482" w:firstLineChars="200"/>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附件2：考核标准</w:t>
      </w:r>
    </w:p>
    <w:p w14:paraId="6C0FC75D">
      <w:pPr>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p>
    <w:p w14:paraId="5FA3B868">
      <w:pPr>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6CD35323">
      <w:pPr>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692BA005">
      <w:pPr>
        <w:keepNext w:val="0"/>
        <w:keepLines w:val="0"/>
        <w:pageBreakBefore w:val="0"/>
        <w:kinsoku/>
        <w:wordWrap/>
        <w:overflowPunct/>
        <w:topLinePunct w:val="0"/>
        <w:autoSpaceDE/>
        <w:autoSpaceDN/>
        <w:bidi w:val="0"/>
        <w:adjustRightInd w:val="0"/>
        <w:snapToGrid w:val="0"/>
        <w:ind w:left="0" w:leftChars="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附件3：服务方案</w:t>
      </w:r>
    </w:p>
    <w:p w14:paraId="49A6C9EA">
      <w:pPr>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p>
    <w:p w14:paraId="1E9CF7A4">
      <w:pPr>
        <w:keepNext w:val="0"/>
        <w:keepLines w:val="0"/>
        <w:pageBreakBefore w:val="0"/>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hint="eastAsia" w:ascii="Times New Roman" w:hAnsi="Times New Roman" w:eastAsia="宋体" w:cs="Times New Roman"/>
          <w:lang w:val="en-US" w:eastAsia="zh-CN"/>
        </w:rPr>
        <w:t xml:space="preserve">                                                       </w:t>
      </w:r>
      <w:r>
        <w:rPr>
          <w:rFonts w:ascii="Times New Roman" w:hAnsi="Times New Roman" w:cs="Times New Roman"/>
        </w:rPr>
        <w:t>年   月   日</w:t>
      </w:r>
    </w:p>
    <w:p w14:paraId="2D90B69D">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8" w:type="first"/>
      <w:footerReference r:id="rId7" w:type="default"/>
      <w:pgSz w:w="11900" w:h="16838"/>
      <w:pgMar w:top="1440" w:right="1803" w:bottom="1440" w:left="1803" w:header="850" w:footer="850" w:gutter="0"/>
      <w:pgNumType w:fmt="decimal"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_GB2312"/>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D7E9">
    <w:pPr>
      <w:pStyle w:val="8"/>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35D92801">
                          <w:pPr>
                            <w:pStyle w:val="8"/>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35D92801">
                    <w:pPr>
                      <w:pStyle w:val="8"/>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eastAsia="宋体"/>
                        <w:lang w:val="en-US" w:eastAsia="zh-CN"/>
                      </w:rPr>
                      <w:t>29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AA69">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8340C9F">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8340C9F">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2"/>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3"/>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7"/>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12DE3"/>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33E9B"/>
    <w:rsid w:val="01671BDD"/>
    <w:rsid w:val="018F49C9"/>
    <w:rsid w:val="018F4C90"/>
    <w:rsid w:val="020C008E"/>
    <w:rsid w:val="025C0239"/>
    <w:rsid w:val="025C1016"/>
    <w:rsid w:val="029A38EC"/>
    <w:rsid w:val="02BE6ABA"/>
    <w:rsid w:val="02C848FD"/>
    <w:rsid w:val="02CD3CC1"/>
    <w:rsid w:val="032842F9"/>
    <w:rsid w:val="03763AA5"/>
    <w:rsid w:val="03F90AE6"/>
    <w:rsid w:val="04461F7D"/>
    <w:rsid w:val="04E1148C"/>
    <w:rsid w:val="051931EE"/>
    <w:rsid w:val="051E25B2"/>
    <w:rsid w:val="053578FC"/>
    <w:rsid w:val="05AB5E10"/>
    <w:rsid w:val="062A34CB"/>
    <w:rsid w:val="065663FB"/>
    <w:rsid w:val="065F7326"/>
    <w:rsid w:val="06693D01"/>
    <w:rsid w:val="067508F8"/>
    <w:rsid w:val="06826B71"/>
    <w:rsid w:val="06DE46EF"/>
    <w:rsid w:val="074402CA"/>
    <w:rsid w:val="074D53D1"/>
    <w:rsid w:val="07C5140B"/>
    <w:rsid w:val="08CB3FC4"/>
    <w:rsid w:val="091F3729"/>
    <w:rsid w:val="092150D0"/>
    <w:rsid w:val="094620D8"/>
    <w:rsid w:val="0A486323"/>
    <w:rsid w:val="0A6F565E"/>
    <w:rsid w:val="0AD656DD"/>
    <w:rsid w:val="0AF90E34"/>
    <w:rsid w:val="0B204BAA"/>
    <w:rsid w:val="0B4A02F0"/>
    <w:rsid w:val="0B4E34C6"/>
    <w:rsid w:val="0B552AA6"/>
    <w:rsid w:val="0B9C39D7"/>
    <w:rsid w:val="0B9F6417"/>
    <w:rsid w:val="0BC1013B"/>
    <w:rsid w:val="0BCD1AEC"/>
    <w:rsid w:val="0BD25EA5"/>
    <w:rsid w:val="0BED0D1B"/>
    <w:rsid w:val="0C2D757F"/>
    <w:rsid w:val="0C3E763F"/>
    <w:rsid w:val="0C4C20FB"/>
    <w:rsid w:val="0C915D60"/>
    <w:rsid w:val="0CC7352F"/>
    <w:rsid w:val="0D3D7C96"/>
    <w:rsid w:val="0D5F7C0C"/>
    <w:rsid w:val="0D833B11"/>
    <w:rsid w:val="0DD622EF"/>
    <w:rsid w:val="0DF90060"/>
    <w:rsid w:val="0DFF5E39"/>
    <w:rsid w:val="0E2055ED"/>
    <w:rsid w:val="0E341099"/>
    <w:rsid w:val="0E5434E9"/>
    <w:rsid w:val="0E7019A5"/>
    <w:rsid w:val="0EC87A33"/>
    <w:rsid w:val="0F046CBD"/>
    <w:rsid w:val="0F525F00"/>
    <w:rsid w:val="0F697FB8"/>
    <w:rsid w:val="0F781459"/>
    <w:rsid w:val="0F9811B3"/>
    <w:rsid w:val="0F9D0940"/>
    <w:rsid w:val="0FB75ADD"/>
    <w:rsid w:val="10150A56"/>
    <w:rsid w:val="10376C1E"/>
    <w:rsid w:val="10563548"/>
    <w:rsid w:val="105F7F23"/>
    <w:rsid w:val="108F6A5A"/>
    <w:rsid w:val="10AD5132"/>
    <w:rsid w:val="113A274F"/>
    <w:rsid w:val="11494E5B"/>
    <w:rsid w:val="11851C0B"/>
    <w:rsid w:val="11A1591C"/>
    <w:rsid w:val="120F276F"/>
    <w:rsid w:val="121D1E44"/>
    <w:rsid w:val="124C7D2B"/>
    <w:rsid w:val="126D4B79"/>
    <w:rsid w:val="12C1461A"/>
    <w:rsid w:val="13081A3E"/>
    <w:rsid w:val="131274CE"/>
    <w:rsid w:val="1340403C"/>
    <w:rsid w:val="136E5EEF"/>
    <w:rsid w:val="1396715A"/>
    <w:rsid w:val="14045069"/>
    <w:rsid w:val="1457788F"/>
    <w:rsid w:val="14787805"/>
    <w:rsid w:val="147C72F5"/>
    <w:rsid w:val="14972381"/>
    <w:rsid w:val="15957368"/>
    <w:rsid w:val="15B42ABF"/>
    <w:rsid w:val="15B60FD5"/>
    <w:rsid w:val="162C0264"/>
    <w:rsid w:val="170A1F8D"/>
    <w:rsid w:val="17620A24"/>
    <w:rsid w:val="17A0154D"/>
    <w:rsid w:val="18075128"/>
    <w:rsid w:val="180B10BC"/>
    <w:rsid w:val="188350F6"/>
    <w:rsid w:val="189F1804"/>
    <w:rsid w:val="18BB296F"/>
    <w:rsid w:val="18D05E62"/>
    <w:rsid w:val="18D771F0"/>
    <w:rsid w:val="18DD40DB"/>
    <w:rsid w:val="18EF453A"/>
    <w:rsid w:val="19397563"/>
    <w:rsid w:val="193E101D"/>
    <w:rsid w:val="19B25567"/>
    <w:rsid w:val="19DD2D01"/>
    <w:rsid w:val="1A3650F2"/>
    <w:rsid w:val="1A9A2283"/>
    <w:rsid w:val="1AB05F4B"/>
    <w:rsid w:val="1B261D69"/>
    <w:rsid w:val="1B46065D"/>
    <w:rsid w:val="1B5763C6"/>
    <w:rsid w:val="1B925650"/>
    <w:rsid w:val="1BB83309"/>
    <w:rsid w:val="1BDE10A2"/>
    <w:rsid w:val="1BF14125"/>
    <w:rsid w:val="1C275D99"/>
    <w:rsid w:val="1C4F709D"/>
    <w:rsid w:val="1C676ADD"/>
    <w:rsid w:val="1C790AFD"/>
    <w:rsid w:val="1C997BE2"/>
    <w:rsid w:val="1C9F6277"/>
    <w:rsid w:val="1D145501"/>
    <w:rsid w:val="1D322C47"/>
    <w:rsid w:val="1D4E37F9"/>
    <w:rsid w:val="1D8A4831"/>
    <w:rsid w:val="1D9B2F98"/>
    <w:rsid w:val="1DA84CB7"/>
    <w:rsid w:val="1DBA49EB"/>
    <w:rsid w:val="1E024BEA"/>
    <w:rsid w:val="1E2A7DC2"/>
    <w:rsid w:val="1E6004DA"/>
    <w:rsid w:val="1E840723"/>
    <w:rsid w:val="1E845724"/>
    <w:rsid w:val="1E894AE9"/>
    <w:rsid w:val="20087C8F"/>
    <w:rsid w:val="200C3C23"/>
    <w:rsid w:val="200F101E"/>
    <w:rsid w:val="201C373B"/>
    <w:rsid w:val="20607ACB"/>
    <w:rsid w:val="20992FDD"/>
    <w:rsid w:val="20A91472"/>
    <w:rsid w:val="2100305C"/>
    <w:rsid w:val="210C1A01"/>
    <w:rsid w:val="2116462E"/>
    <w:rsid w:val="2130749E"/>
    <w:rsid w:val="214D44F3"/>
    <w:rsid w:val="22042CE5"/>
    <w:rsid w:val="222608A0"/>
    <w:rsid w:val="223B434C"/>
    <w:rsid w:val="226C0F43"/>
    <w:rsid w:val="228850B7"/>
    <w:rsid w:val="229D5007"/>
    <w:rsid w:val="23533917"/>
    <w:rsid w:val="235A6A54"/>
    <w:rsid w:val="2389558B"/>
    <w:rsid w:val="23AB5501"/>
    <w:rsid w:val="23B51EDC"/>
    <w:rsid w:val="23C30A9D"/>
    <w:rsid w:val="23FE1AD5"/>
    <w:rsid w:val="24156E1F"/>
    <w:rsid w:val="24CE2760"/>
    <w:rsid w:val="2503311B"/>
    <w:rsid w:val="2536704D"/>
    <w:rsid w:val="260A783C"/>
    <w:rsid w:val="2677791D"/>
    <w:rsid w:val="268D7140"/>
    <w:rsid w:val="26CD33AF"/>
    <w:rsid w:val="26D44D6F"/>
    <w:rsid w:val="27313F6F"/>
    <w:rsid w:val="27895B59"/>
    <w:rsid w:val="27D03788"/>
    <w:rsid w:val="27ED433A"/>
    <w:rsid w:val="27F37477"/>
    <w:rsid w:val="27F46F98"/>
    <w:rsid w:val="280B656E"/>
    <w:rsid w:val="281D62A2"/>
    <w:rsid w:val="28DB23E5"/>
    <w:rsid w:val="295108F9"/>
    <w:rsid w:val="297B3BC8"/>
    <w:rsid w:val="297C274F"/>
    <w:rsid w:val="297E0FC2"/>
    <w:rsid w:val="298C3AA9"/>
    <w:rsid w:val="29A7676B"/>
    <w:rsid w:val="2A1F4553"/>
    <w:rsid w:val="2B0F45C8"/>
    <w:rsid w:val="2B45448D"/>
    <w:rsid w:val="2B5B15BB"/>
    <w:rsid w:val="2B830B12"/>
    <w:rsid w:val="2C994A91"/>
    <w:rsid w:val="2CA945A8"/>
    <w:rsid w:val="2CED0939"/>
    <w:rsid w:val="2CFE2B46"/>
    <w:rsid w:val="2D0D2D89"/>
    <w:rsid w:val="2D2F71A3"/>
    <w:rsid w:val="2D7B7CF2"/>
    <w:rsid w:val="2DBF0527"/>
    <w:rsid w:val="2DC4138A"/>
    <w:rsid w:val="2DCC49F2"/>
    <w:rsid w:val="2DF33D2D"/>
    <w:rsid w:val="2E19750B"/>
    <w:rsid w:val="2E2E1209"/>
    <w:rsid w:val="2E513149"/>
    <w:rsid w:val="2E532A1D"/>
    <w:rsid w:val="2E5C5D76"/>
    <w:rsid w:val="2E67296D"/>
    <w:rsid w:val="2E7806D6"/>
    <w:rsid w:val="2E953036"/>
    <w:rsid w:val="2F1C5505"/>
    <w:rsid w:val="2F1F1070"/>
    <w:rsid w:val="2F335C20"/>
    <w:rsid w:val="2F3A3BDD"/>
    <w:rsid w:val="2F3E6F9F"/>
    <w:rsid w:val="2F762E67"/>
    <w:rsid w:val="2F974B8C"/>
    <w:rsid w:val="2FA379D4"/>
    <w:rsid w:val="2FC736C3"/>
    <w:rsid w:val="2FE204FD"/>
    <w:rsid w:val="30CB71E3"/>
    <w:rsid w:val="30FC55EE"/>
    <w:rsid w:val="310F3573"/>
    <w:rsid w:val="314B0324"/>
    <w:rsid w:val="3192385D"/>
    <w:rsid w:val="31A31F0E"/>
    <w:rsid w:val="31B5579D"/>
    <w:rsid w:val="31F14A11"/>
    <w:rsid w:val="32000BDF"/>
    <w:rsid w:val="327411B4"/>
    <w:rsid w:val="3287538B"/>
    <w:rsid w:val="32981347"/>
    <w:rsid w:val="329A6E6D"/>
    <w:rsid w:val="32CB34CA"/>
    <w:rsid w:val="33030EB6"/>
    <w:rsid w:val="33497B0A"/>
    <w:rsid w:val="33A87367"/>
    <w:rsid w:val="33B57CD6"/>
    <w:rsid w:val="34180991"/>
    <w:rsid w:val="34190265"/>
    <w:rsid w:val="345179FF"/>
    <w:rsid w:val="346040E6"/>
    <w:rsid w:val="34902286"/>
    <w:rsid w:val="34E70363"/>
    <w:rsid w:val="34F07218"/>
    <w:rsid w:val="35264A4C"/>
    <w:rsid w:val="3532368F"/>
    <w:rsid w:val="353F2D47"/>
    <w:rsid w:val="3579545F"/>
    <w:rsid w:val="35F20D1A"/>
    <w:rsid w:val="36343134"/>
    <w:rsid w:val="363B44C3"/>
    <w:rsid w:val="366003CD"/>
    <w:rsid w:val="36BE6EA2"/>
    <w:rsid w:val="36C50230"/>
    <w:rsid w:val="36D93CDC"/>
    <w:rsid w:val="371B42F4"/>
    <w:rsid w:val="3763616F"/>
    <w:rsid w:val="379F6CD3"/>
    <w:rsid w:val="37B95FE7"/>
    <w:rsid w:val="37C96C92"/>
    <w:rsid w:val="37E40B8A"/>
    <w:rsid w:val="38514471"/>
    <w:rsid w:val="385775AE"/>
    <w:rsid w:val="386C12AB"/>
    <w:rsid w:val="387E00C9"/>
    <w:rsid w:val="38A1734A"/>
    <w:rsid w:val="38A81C3F"/>
    <w:rsid w:val="38F81DDC"/>
    <w:rsid w:val="39627FB8"/>
    <w:rsid w:val="397A0ADB"/>
    <w:rsid w:val="39897C3B"/>
    <w:rsid w:val="399565E0"/>
    <w:rsid w:val="39BC591B"/>
    <w:rsid w:val="39D07618"/>
    <w:rsid w:val="39FC21BB"/>
    <w:rsid w:val="3A1C285D"/>
    <w:rsid w:val="3A2801BE"/>
    <w:rsid w:val="3A6D3892"/>
    <w:rsid w:val="3A7E7074"/>
    <w:rsid w:val="3B311935"/>
    <w:rsid w:val="3B4C7172"/>
    <w:rsid w:val="3B714E2B"/>
    <w:rsid w:val="3B822B94"/>
    <w:rsid w:val="3B9C1EA7"/>
    <w:rsid w:val="3BBF5B96"/>
    <w:rsid w:val="3BD056AD"/>
    <w:rsid w:val="3C0D6901"/>
    <w:rsid w:val="3C236125"/>
    <w:rsid w:val="3C3A63A3"/>
    <w:rsid w:val="3D1837B0"/>
    <w:rsid w:val="3D1E68EC"/>
    <w:rsid w:val="3D5B18EE"/>
    <w:rsid w:val="3DC56D68"/>
    <w:rsid w:val="3DFF0247"/>
    <w:rsid w:val="3E1F1FE5"/>
    <w:rsid w:val="3EA352FB"/>
    <w:rsid w:val="3EB94B1E"/>
    <w:rsid w:val="3EDE6333"/>
    <w:rsid w:val="3F185CE9"/>
    <w:rsid w:val="3F1E2BD3"/>
    <w:rsid w:val="3F220916"/>
    <w:rsid w:val="3F884943"/>
    <w:rsid w:val="3F9609BC"/>
    <w:rsid w:val="3FBD0E9A"/>
    <w:rsid w:val="3FC512A1"/>
    <w:rsid w:val="3FCC262F"/>
    <w:rsid w:val="3FCF3ECE"/>
    <w:rsid w:val="3FF51498"/>
    <w:rsid w:val="402266F3"/>
    <w:rsid w:val="40662A84"/>
    <w:rsid w:val="40B51316"/>
    <w:rsid w:val="410B7187"/>
    <w:rsid w:val="41390199"/>
    <w:rsid w:val="41434B73"/>
    <w:rsid w:val="41474664"/>
    <w:rsid w:val="418238EE"/>
    <w:rsid w:val="41D57EC1"/>
    <w:rsid w:val="42073DF3"/>
    <w:rsid w:val="42D02437"/>
    <w:rsid w:val="430640AA"/>
    <w:rsid w:val="43993170"/>
    <w:rsid w:val="43BB6C43"/>
    <w:rsid w:val="43C04259"/>
    <w:rsid w:val="43C05B54"/>
    <w:rsid w:val="43D146B8"/>
    <w:rsid w:val="43DD4E0B"/>
    <w:rsid w:val="43E837B0"/>
    <w:rsid w:val="43FE4D82"/>
    <w:rsid w:val="441177D6"/>
    <w:rsid w:val="441A7E0D"/>
    <w:rsid w:val="44FF311D"/>
    <w:rsid w:val="45592BB7"/>
    <w:rsid w:val="45CE5353"/>
    <w:rsid w:val="46054AED"/>
    <w:rsid w:val="46146ADE"/>
    <w:rsid w:val="461D5993"/>
    <w:rsid w:val="46377A12"/>
    <w:rsid w:val="46677DCD"/>
    <w:rsid w:val="468C6D22"/>
    <w:rsid w:val="46B362F7"/>
    <w:rsid w:val="46CC1167"/>
    <w:rsid w:val="474156B1"/>
    <w:rsid w:val="47491CA4"/>
    <w:rsid w:val="474B4782"/>
    <w:rsid w:val="476D64A6"/>
    <w:rsid w:val="47A0687C"/>
    <w:rsid w:val="47C00CCC"/>
    <w:rsid w:val="48376AB4"/>
    <w:rsid w:val="4879076B"/>
    <w:rsid w:val="488F069E"/>
    <w:rsid w:val="48AA54D8"/>
    <w:rsid w:val="48D80297"/>
    <w:rsid w:val="48F84495"/>
    <w:rsid w:val="494D47E1"/>
    <w:rsid w:val="498E0956"/>
    <w:rsid w:val="49A90C47"/>
    <w:rsid w:val="49B70D1D"/>
    <w:rsid w:val="49E35145"/>
    <w:rsid w:val="49EB7B56"/>
    <w:rsid w:val="4A003601"/>
    <w:rsid w:val="4A1E7BAE"/>
    <w:rsid w:val="4A34774F"/>
    <w:rsid w:val="4A800BE6"/>
    <w:rsid w:val="4A987CDE"/>
    <w:rsid w:val="4AC76815"/>
    <w:rsid w:val="4B095FC3"/>
    <w:rsid w:val="4B0C247A"/>
    <w:rsid w:val="4B517E8D"/>
    <w:rsid w:val="4B663938"/>
    <w:rsid w:val="4C431ECB"/>
    <w:rsid w:val="4C51283A"/>
    <w:rsid w:val="4C756154"/>
    <w:rsid w:val="4CA0731E"/>
    <w:rsid w:val="4CD00B02"/>
    <w:rsid w:val="4CEC2563"/>
    <w:rsid w:val="4CF51D9E"/>
    <w:rsid w:val="4CF82CB6"/>
    <w:rsid w:val="4D0E072B"/>
    <w:rsid w:val="4D1D44CA"/>
    <w:rsid w:val="4D4F4C44"/>
    <w:rsid w:val="4DA16EA9"/>
    <w:rsid w:val="4DBC7557"/>
    <w:rsid w:val="4DEC79E7"/>
    <w:rsid w:val="4E473EF5"/>
    <w:rsid w:val="4E870795"/>
    <w:rsid w:val="4EC73630"/>
    <w:rsid w:val="4EE03A01"/>
    <w:rsid w:val="4F091DE1"/>
    <w:rsid w:val="4F132029"/>
    <w:rsid w:val="4F29184C"/>
    <w:rsid w:val="4F391364"/>
    <w:rsid w:val="4F443F90"/>
    <w:rsid w:val="4F5F701C"/>
    <w:rsid w:val="4F6B58A1"/>
    <w:rsid w:val="4FCE7CFE"/>
    <w:rsid w:val="4FD36D7D"/>
    <w:rsid w:val="4FDC68BF"/>
    <w:rsid w:val="4FE439C5"/>
    <w:rsid w:val="500E7836"/>
    <w:rsid w:val="503404A9"/>
    <w:rsid w:val="506A211C"/>
    <w:rsid w:val="507B60D8"/>
    <w:rsid w:val="50A8054F"/>
    <w:rsid w:val="50D92DFE"/>
    <w:rsid w:val="5100482F"/>
    <w:rsid w:val="5116195C"/>
    <w:rsid w:val="5144296E"/>
    <w:rsid w:val="51EE28D9"/>
    <w:rsid w:val="51FE0D6E"/>
    <w:rsid w:val="52391DA6"/>
    <w:rsid w:val="528B0128"/>
    <w:rsid w:val="528D20F2"/>
    <w:rsid w:val="52972F71"/>
    <w:rsid w:val="529E1C09"/>
    <w:rsid w:val="52D7511B"/>
    <w:rsid w:val="5314011E"/>
    <w:rsid w:val="534E1882"/>
    <w:rsid w:val="53520B81"/>
    <w:rsid w:val="53A019B1"/>
    <w:rsid w:val="545A4256"/>
    <w:rsid w:val="54817A35"/>
    <w:rsid w:val="54B020C8"/>
    <w:rsid w:val="54D20290"/>
    <w:rsid w:val="54F65018"/>
    <w:rsid w:val="55006BAB"/>
    <w:rsid w:val="55257751"/>
    <w:rsid w:val="556C5FEF"/>
    <w:rsid w:val="559374CC"/>
    <w:rsid w:val="56066443"/>
    <w:rsid w:val="56466840"/>
    <w:rsid w:val="56666EE2"/>
    <w:rsid w:val="56682C5A"/>
    <w:rsid w:val="568A2F61"/>
    <w:rsid w:val="56D71B8E"/>
    <w:rsid w:val="56E61DD1"/>
    <w:rsid w:val="57624FD6"/>
    <w:rsid w:val="58164938"/>
    <w:rsid w:val="58BC0BC0"/>
    <w:rsid w:val="58DC7930"/>
    <w:rsid w:val="58E81E30"/>
    <w:rsid w:val="59BD4057"/>
    <w:rsid w:val="59C75EEA"/>
    <w:rsid w:val="5A007FC9"/>
    <w:rsid w:val="5A0E6D1C"/>
    <w:rsid w:val="5A1B2D58"/>
    <w:rsid w:val="5A494B51"/>
    <w:rsid w:val="5A6574B1"/>
    <w:rsid w:val="5A9D4E9D"/>
    <w:rsid w:val="5ABA77FD"/>
    <w:rsid w:val="5AC32B55"/>
    <w:rsid w:val="5B1F3B03"/>
    <w:rsid w:val="5B780C22"/>
    <w:rsid w:val="5B7B3430"/>
    <w:rsid w:val="5B7F45A2"/>
    <w:rsid w:val="5BC07095"/>
    <w:rsid w:val="5BFD3497"/>
    <w:rsid w:val="5C003935"/>
    <w:rsid w:val="5C043425"/>
    <w:rsid w:val="5C441A74"/>
    <w:rsid w:val="5C553C81"/>
    <w:rsid w:val="5C89392A"/>
    <w:rsid w:val="5C9127DF"/>
    <w:rsid w:val="5CE31F05"/>
    <w:rsid w:val="5CFA0384"/>
    <w:rsid w:val="5CFD7E74"/>
    <w:rsid w:val="5D5F6439"/>
    <w:rsid w:val="5DA12EF6"/>
    <w:rsid w:val="5DB6074F"/>
    <w:rsid w:val="5DCF1BBF"/>
    <w:rsid w:val="5E1216FE"/>
    <w:rsid w:val="5E4E4E2C"/>
    <w:rsid w:val="5E79352B"/>
    <w:rsid w:val="5E8F0FA0"/>
    <w:rsid w:val="5ED41285"/>
    <w:rsid w:val="5EFF1C82"/>
    <w:rsid w:val="5F0947DD"/>
    <w:rsid w:val="5F21609C"/>
    <w:rsid w:val="5F4E249E"/>
    <w:rsid w:val="5F5D4BFA"/>
    <w:rsid w:val="5FAB005C"/>
    <w:rsid w:val="5FAB3BB8"/>
    <w:rsid w:val="5FE315A4"/>
    <w:rsid w:val="602D281F"/>
    <w:rsid w:val="60822D96"/>
    <w:rsid w:val="60882223"/>
    <w:rsid w:val="60BE084B"/>
    <w:rsid w:val="60F11A9E"/>
    <w:rsid w:val="61131A15"/>
    <w:rsid w:val="61A46B11"/>
    <w:rsid w:val="61FF01EB"/>
    <w:rsid w:val="620829BD"/>
    <w:rsid w:val="6283706E"/>
    <w:rsid w:val="62976675"/>
    <w:rsid w:val="6299419B"/>
    <w:rsid w:val="62D16373"/>
    <w:rsid w:val="62D82F16"/>
    <w:rsid w:val="62F42106"/>
    <w:rsid w:val="635B58F5"/>
    <w:rsid w:val="63DD3E3D"/>
    <w:rsid w:val="63DE27AE"/>
    <w:rsid w:val="63ED1601"/>
    <w:rsid w:val="640B10C9"/>
    <w:rsid w:val="64346872"/>
    <w:rsid w:val="64AA6B34"/>
    <w:rsid w:val="65211E78"/>
    <w:rsid w:val="65424FBE"/>
    <w:rsid w:val="65E258D7"/>
    <w:rsid w:val="66334C73"/>
    <w:rsid w:val="66970432"/>
    <w:rsid w:val="66C20165"/>
    <w:rsid w:val="66E16B34"/>
    <w:rsid w:val="66E53E53"/>
    <w:rsid w:val="6727621A"/>
    <w:rsid w:val="67713939"/>
    <w:rsid w:val="67892A30"/>
    <w:rsid w:val="67902011"/>
    <w:rsid w:val="67C1666E"/>
    <w:rsid w:val="67E73BFB"/>
    <w:rsid w:val="683C5CF5"/>
    <w:rsid w:val="68462BCD"/>
    <w:rsid w:val="684844AC"/>
    <w:rsid w:val="684921C0"/>
    <w:rsid w:val="68701E42"/>
    <w:rsid w:val="688768E9"/>
    <w:rsid w:val="69416EAD"/>
    <w:rsid w:val="694F7E51"/>
    <w:rsid w:val="6A225B71"/>
    <w:rsid w:val="6A617C95"/>
    <w:rsid w:val="6A890F99"/>
    <w:rsid w:val="6AA81420"/>
    <w:rsid w:val="6AC63F9C"/>
    <w:rsid w:val="6ADA59B5"/>
    <w:rsid w:val="6B00125C"/>
    <w:rsid w:val="6B5C220A"/>
    <w:rsid w:val="6B63497D"/>
    <w:rsid w:val="6B993E13"/>
    <w:rsid w:val="6C040682"/>
    <w:rsid w:val="6C1825D5"/>
    <w:rsid w:val="6CF070AE"/>
    <w:rsid w:val="6D564496"/>
    <w:rsid w:val="6DC36570"/>
    <w:rsid w:val="6E0B0643"/>
    <w:rsid w:val="6E1868BC"/>
    <w:rsid w:val="6E470F4F"/>
    <w:rsid w:val="6E7A1325"/>
    <w:rsid w:val="6EC425A0"/>
    <w:rsid w:val="6ECB7DD2"/>
    <w:rsid w:val="6EDC3D8E"/>
    <w:rsid w:val="6F83245B"/>
    <w:rsid w:val="6F8D5088"/>
    <w:rsid w:val="6FF46EB5"/>
    <w:rsid w:val="702B1DB3"/>
    <w:rsid w:val="70311EB7"/>
    <w:rsid w:val="7040034C"/>
    <w:rsid w:val="708E730A"/>
    <w:rsid w:val="70DE203F"/>
    <w:rsid w:val="711315BD"/>
    <w:rsid w:val="71573B9F"/>
    <w:rsid w:val="715A093B"/>
    <w:rsid w:val="71940C37"/>
    <w:rsid w:val="719721EE"/>
    <w:rsid w:val="7214383E"/>
    <w:rsid w:val="72227D09"/>
    <w:rsid w:val="722A3062"/>
    <w:rsid w:val="7260609B"/>
    <w:rsid w:val="726C71D7"/>
    <w:rsid w:val="72C55A38"/>
    <w:rsid w:val="7327134F"/>
    <w:rsid w:val="732A5565"/>
    <w:rsid w:val="73301B5E"/>
    <w:rsid w:val="736C7698"/>
    <w:rsid w:val="737E1108"/>
    <w:rsid w:val="73A3131E"/>
    <w:rsid w:val="73BA4A84"/>
    <w:rsid w:val="73E739C6"/>
    <w:rsid w:val="747477EB"/>
    <w:rsid w:val="74820F33"/>
    <w:rsid w:val="74BF5CE3"/>
    <w:rsid w:val="74CA3328"/>
    <w:rsid w:val="74D3178F"/>
    <w:rsid w:val="750B0F29"/>
    <w:rsid w:val="75501031"/>
    <w:rsid w:val="755E374E"/>
    <w:rsid w:val="759B487F"/>
    <w:rsid w:val="75A506B2"/>
    <w:rsid w:val="75BA6BBF"/>
    <w:rsid w:val="75C31803"/>
    <w:rsid w:val="75DA1174"/>
    <w:rsid w:val="75F25C45"/>
    <w:rsid w:val="76085468"/>
    <w:rsid w:val="762A7AD4"/>
    <w:rsid w:val="76761669"/>
    <w:rsid w:val="76880357"/>
    <w:rsid w:val="768F26FA"/>
    <w:rsid w:val="769D1B10"/>
    <w:rsid w:val="76CA6BC2"/>
    <w:rsid w:val="774C5829"/>
    <w:rsid w:val="77F008AA"/>
    <w:rsid w:val="78281DF2"/>
    <w:rsid w:val="78362761"/>
    <w:rsid w:val="783764D9"/>
    <w:rsid w:val="78466516"/>
    <w:rsid w:val="78931961"/>
    <w:rsid w:val="78A70F68"/>
    <w:rsid w:val="79181E66"/>
    <w:rsid w:val="7924080B"/>
    <w:rsid w:val="79764A39"/>
    <w:rsid w:val="7A0348C4"/>
    <w:rsid w:val="7A2D7B93"/>
    <w:rsid w:val="7AB43E11"/>
    <w:rsid w:val="7AB83901"/>
    <w:rsid w:val="7AC53928"/>
    <w:rsid w:val="7AD24297"/>
    <w:rsid w:val="7BB87930"/>
    <w:rsid w:val="7BF96512"/>
    <w:rsid w:val="7BFF730D"/>
    <w:rsid w:val="7C792C1C"/>
    <w:rsid w:val="7CE65DD7"/>
    <w:rsid w:val="7D2A03BA"/>
    <w:rsid w:val="7D6C09D3"/>
    <w:rsid w:val="7D951CD7"/>
    <w:rsid w:val="7DB163E5"/>
    <w:rsid w:val="7DC425BD"/>
    <w:rsid w:val="7E7062A0"/>
    <w:rsid w:val="7E8359F7"/>
    <w:rsid w:val="7E88183C"/>
    <w:rsid w:val="7EDA4DF2"/>
    <w:rsid w:val="7EDC1B88"/>
    <w:rsid w:val="7F005876"/>
    <w:rsid w:val="7F0A04A3"/>
    <w:rsid w:val="7F144E7E"/>
    <w:rsid w:val="7F1906E6"/>
    <w:rsid w:val="7F517E80"/>
    <w:rsid w:val="7F623E3B"/>
    <w:rsid w:val="7F724BB2"/>
    <w:rsid w:val="7F7B4EFD"/>
    <w:rsid w:val="7F9D4E73"/>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3">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2">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50"/>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3"/>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3"/>
    <w:qFormat/>
    <w:uiPriority w:val="0"/>
    <w:rPr>
      <w:rFonts w:ascii="Arial" w:hAnsi="Arial" w:eastAsia="黑体" w:cs="Arial"/>
      <w:b/>
      <w:bCs/>
      <w:sz w:val="36"/>
      <w:szCs w:val="24"/>
    </w:rPr>
  </w:style>
  <w:style w:type="character" w:customStyle="1" w:styleId="43">
    <w:name w:val="Heading 2 Char"/>
    <w:link w:val="2"/>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13"/>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1143</Words>
  <Characters>1232</Characters>
  <Lines>59</Lines>
  <Paragraphs>16</Paragraphs>
  <TotalTime>14</TotalTime>
  <ScaleCrop>false</ScaleCrop>
  <LinksUpToDate>false</LinksUpToDate>
  <CharactersWithSpaces>1323</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CAI</cp:lastModifiedBy>
  <dcterms:modified xsi:type="dcterms:W3CDTF">2026-07-01T09:40:12Z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