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eastAsia="zh-CN"/>
        </w:rPr>
        <w:t>虚拟化生产服务器扩容</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rPr>
          <w:rFonts w:ascii="Times New Roman" w:hAnsi="Times New Roman" w:cs="Times New Roman"/>
        </w:rPr>
      </w:pPr>
      <w:bookmarkStart w:id="0" w:name="_Toc21919"/>
      <w:bookmarkStart w:id="1" w:name="_Toc1907"/>
      <w:bookmarkStart w:id="2" w:name="_Toc3240"/>
      <w:bookmarkStart w:id="3" w:name="_Toc62832406"/>
      <w:bookmarkStart w:id="4" w:name="_Toc20358"/>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9"/>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9"/>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虚拟化生产服务器扩容</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YXX20261314</w:t>
            </w:r>
            <w:r>
              <w:rPr>
                <w:rFonts w:ascii="Times New Roman" w:hAnsi="Times New Roman" w:eastAsia="仿宋" w:cs="Times New Roman"/>
                <w:sz w:val="22"/>
              </w:rPr>
              <w:t xml:space="preserve"> </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4A0DF5CD">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限高总价人民币3000000.00 元，分项限价详见第四章。</w:t>
            </w:r>
          </w:p>
          <w:p w14:paraId="0CB126A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超过限高总价及分项限价的报价，响应文件作无效处理</w:t>
            </w:r>
            <w:r>
              <w:rPr>
                <w:rFonts w:ascii="Times New Roman" w:hAnsi="Times New Roman" w:eastAsia="仿宋" w:cs="Times New Roman"/>
                <w:sz w:val="22"/>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31"/>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30"/>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30"/>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w:t>
            </w:r>
            <w:r>
              <w:rPr>
                <w:rFonts w:hint="eastAsia" w:ascii="Times New Roman" w:hAnsi="Times New Roman" w:eastAsia="仿宋" w:cs="Times New Roman"/>
                <w:sz w:val="22"/>
                <w:szCs w:val="22"/>
                <w:lang w:val="en-US" w:eastAsia="zh-CN"/>
              </w:rPr>
              <w:t>5</w:t>
            </w:r>
            <w:r>
              <w:rPr>
                <w:rFonts w:hint="eastAsia" w:ascii="Times New Roman" w:hAnsi="Times New Roman" w:eastAsia="仿宋" w:cs="Times New Roman"/>
                <w:sz w:val="22"/>
                <w:szCs w:val="22"/>
                <w:lang w:val="zh-CN" w:eastAsia="zh-CN"/>
              </w:rPr>
              <w:t>%。（逾期未缴纳履约保证金，视为自动放弃</w:t>
            </w:r>
            <w:r>
              <w:rPr>
                <w:rFonts w:hint="eastAsia" w:ascii="Times New Roman" w:hAnsi="Times New Roman" w:eastAsia="仿宋" w:cs="Times New Roman"/>
                <w:sz w:val="22"/>
                <w:szCs w:val="22"/>
                <w:lang w:val="en-US" w:eastAsia="zh-CN"/>
              </w:rPr>
              <w:t>成交</w:t>
            </w:r>
            <w:r>
              <w:rPr>
                <w:rFonts w:hint="eastAsia" w:ascii="Times New Roman" w:hAnsi="Times New Roman" w:eastAsia="仿宋" w:cs="Times New Roman"/>
                <w:sz w:val="22"/>
                <w:szCs w:val="22"/>
                <w:lang w:val="zh-CN" w:eastAsia="zh-CN"/>
              </w:rPr>
              <w:t>资格）</w:t>
            </w:r>
          </w:p>
          <w:p w14:paraId="00EA646A">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以现金转账的形式提交（包括网银转账，电汇等方式）</w:t>
            </w:r>
            <w:r>
              <w:rPr>
                <w:rFonts w:ascii="Times New Roman" w:hAnsi="Times New Roman" w:eastAsia="仿宋" w:cs="Times New Roman"/>
                <w:sz w:val="22"/>
                <w:szCs w:val="22"/>
                <w:lang w:val="zh-CN"/>
              </w:rPr>
              <w:t>；</w:t>
            </w:r>
          </w:p>
          <w:p w14:paraId="024D00A2">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rPr>
              <w:t>中国农业银行股份有限公司成都光华支行</w:t>
            </w:r>
          </w:p>
          <w:p w14:paraId="5F1DFF7F">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rPr>
              <w:t>中国农业银行股份有限公司成都光华支行</w:t>
            </w:r>
          </w:p>
          <w:p w14:paraId="5E334FD5">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22804101040009833</w:t>
            </w:r>
          </w:p>
          <w:p w14:paraId="3C3D12D3">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30"/>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rPr>
              <w:t>合同生效后</w:t>
            </w:r>
            <w:r>
              <w:rPr>
                <w:rFonts w:hint="eastAsia" w:ascii="Times New Roman" w:hAnsi="Times New Roman" w:eastAsia="仿宋" w:cs="Times New Roman"/>
                <w:sz w:val="22"/>
                <w:szCs w:val="22"/>
                <w:u w:val="single"/>
                <w:lang w:val="zh-CN"/>
              </w:rPr>
              <w:t>7</w:t>
            </w:r>
            <w:r>
              <w:rPr>
                <w:rFonts w:hint="eastAsia" w:ascii="Times New Roman" w:hAnsi="Times New Roman" w:eastAsia="仿宋" w:cs="Times New Roman"/>
                <w:sz w:val="22"/>
                <w:szCs w:val="22"/>
                <w:lang w:val="zh-CN"/>
              </w:rPr>
              <w:t>个工作日内</w:t>
            </w:r>
            <w:r>
              <w:rPr>
                <w:rFonts w:ascii="Times New Roman" w:hAnsi="Times New Roman" w:eastAsia="仿宋" w:cs="Times New Roman"/>
                <w:sz w:val="22"/>
                <w:szCs w:val="22"/>
                <w:lang w:val="zh-CN"/>
              </w:rPr>
              <w:t>；</w:t>
            </w:r>
          </w:p>
          <w:p w14:paraId="61DC09E5">
            <w:pPr>
              <w:pStyle w:val="30"/>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3F420FB5">
            <w:pPr>
              <w:pStyle w:val="30"/>
              <w:numPr>
                <w:ilvl w:val="0"/>
                <w:numId w:val="0"/>
              </w:numPr>
              <w:tabs>
                <w:tab w:val="left" w:pos="218"/>
              </w:tabs>
              <w:spacing w:line="360" w:lineRule="auto"/>
              <w:ind w:left="218" w:leftChars="104" w:firstLine="0" w:firstLineChars="0"/>
              <w:jc w:val="both"/>
              <w:rPr>
                <w:rFonts w:hint="eastAsia" w:ascii="Times New Roman" w:hAnsi="Times New Roman" w:eastAsia="宋体" w:cs="Times New Roman"/>
                <w:sz w:val="22"/>
                <w:szCs w:val="22"/>
                <w:lang w:val="zh-CN" w:eastAsia="zh-CN"/>
              </w:rPr>
            </w:pPr>
            <w:r>
              <w:rPr>
                <w:rFonts w:hint="default" w:ascii="Times New Roman" w:hAnsi="Times New Roman" w:eastAsia="仿宋" w:cs="Times New Roman"/>
                <w:sz w:val="22"/>
                <w:szCs w:val="22"/>
                <w:lang w:val="zh-CN" w:eastAsia="zh-CN" w:bidi="ar-SA"/>
              </w:rPr>
              <w:t>(1)供应商拒绝履行与采购人订立的合同</w:t>
            </w:r>
            <w:r>
              <w:rPr>
                <w:rFonts w:hint="eastAsia"/>
                <w:lang w:eastAsia="zh-CN"/>
              </w:rPr>
              <w:t>；</w:t>
            </w:r>
          </w:p>
          <w:p w14:paraId="416910C6">
            <w:pPr>
              <w:pStyle w:val="30"/>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default" w:ascii="Times New Roman" w:hAnsi="Times New Roman" w:eastAsia="仿宋" w:cs="Times New Roman"/>
                <w:sz w:val="22"/>
                <w:szCs w:val="22"/>
                <w:lang w:val="zh-CN" w:eastAsia="zh-CN" w:bidi="ar-SA"/>
              </w:rPr>
              <w:t>(2)因供应商严重违约或其它违法违规行为等情形，导致双方无法继续履约</w:t>
            </w:r>
            <w:r>
              <w:rPr>
                <w:rFonts w:hint="eastAsia" w:ascii="Times New Roman" w:hAnsi="Times New Roman" w:eastAsia="仿宋" w:cs="Times New Roman"/>
                <w:sz w:val="22"/>
                <w:szCs w:val="22"/>
                <w:lang w:val="zh-CN" w:eastAsia="zh-CN" w:bidi="ar-SA"/>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若得分相同则报价最低的为成交供应商。若得分相同且报价亦相同，则采取随机抽取的方式确定成交供应商。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9"/>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30"/>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30"/>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30"/>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9"/>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王老师028-87393060</w:t>
            </w:r>
          </w:p>
          <w:p w14:paraId="2BA809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医学信息中心</w:t>
            </w:r>
            <w:r>
              <w:rPr>
                <w:rFonts w:ascii="Times New Roman" w:hAnsi="Times New Roman" w:eastAsia="仿宋" w:cs="Times New Roman"/>
                <w:sz w:val="22"/>
              </w:rPr>
              <w:t>部门</w:t>
            </w:r>
          </w:p>
          <w:p w14:paraId="6870918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林</w:t>
            </w:r>
            <w:r>
              <w:rPr>
                <w:rFonts w:ascii="Times New Roman" w:hAnsi="Times New Roman" w:eastAsia="仿宋" w:cs="Times New Roman"/>
                <w:sz w:val="22"/>
                <w:u w:val="none"/>
              </w:rPr>
              <w:t>老师</w:t>
            </w:r>
            <w:r>
              <w:rPr>
                <w:rFonts w:hint="eastAsia" w:ascii="Times New Roman" w:hAnsi="Times New Roman" w:eastAsia="仿宋" w:cs="Times New Roman"/>
                <w:sz w:val="22"/>
              </w:rPr>
              <w:t>028-87393250</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30"/>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028-87393060</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9"/>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30"/>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30"/>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30"/>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30"/>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30"/>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30"/>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w:t>
            </w:r>
            <w:r>
              <w:rPr>
                <w:rFonts w:ascii="Times New Roman" w:hAnsi="Times New Roman" w:eastAsia="仿宋" w:cs="Times New Roman"/>
                <w:b/>
                <w:bCs/>
                <w:sz w:val="22"/>
                <w:u w:val="single"/>
              </w:rPr>
              <w:t xml:space="preserve"> </w:t>
            </w:r>
          </w:p>
        </w:tc>
        <w:tc>
          <w:tcPr>
            <w:tcW w:w="2846" w:type="pct"/>
            <w:vAlign w:val="center"/>
          </w:tcPr>
          <w:p w14:paraId="7D3D2FEC">
            <w:pPr>
              <w:rPr>
                <w:rFonts w:ascii="Times New Roman" w:hAnsi="Times New Roman" w:eastAsia="仿宋" w:cs="Times New Roman"/>
                <w:sz w:val="22"/>
                <w:u w:val="single"/>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b/>
                <w:bCs/>
                <w:sz w:val="22"/>
                <w:u w:val="single"/>
                <w:lang w:val="en-US" w:eastAsia="zh-CN"/>
              </w:rPr>
              <w:t>/</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205A2891">
      <w:pPr>
        <w:pStyle w:val="16"/>
        <w:numPr>
          <w:ilvl w:val="0"/>
          <w:numId w:val="0"/>
        </w:numPr>
        <w:spacing w:line="360" w:lineRule="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val="en-US" w:eastAsia="zh-CN"/>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本项目拟确定一名供应商提供虚拟化生产服务器扩容</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b/>
          <w:bCs/>
          <w:sz w:val="24"/>
          <w:szCs w:val="24"/>
          <w:lang w:val="en-US" w:eastAsia="zh-CN"/>
        </w:rPr>
        <w:t>（一）采购清单</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68"/>
        <w:gridCol w:w="2290"/>
        <w:gridCol w:w="1468"/>
        <w:gridCol w:w="840"/>
        <w:gridCol w:w="1688"/>
        <w:gridCol w:w="1495"/>
        <w:gridCol w:w="1495"/>
      </w:tblGrid>
      <w:tr w14:paraId="70711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5" w:hRule="atLeast"/>
        </w:trPr>
        <w:tc>
          <w:tcPr>
            <w:tcW w:w="569" w:type="dxa"/>
            <w:tcBorders>
              <w:top w:val="single" w:color="auto" w:sz="4" w:space="0"/>
              <w:left w:val="single" w:color="auto" w:sz="4" w:space="0"/>
              <w:bottom w:val="single" w:color="000000" w:sz="6" w:space="0"/>
              <w:right w:val="single" w:color="000000" w:sz="6" w:space="0"/>
            </w:tcBorders>
            <w:shd w:val="clear" w:color="auto" w:fill="auto"/>
            <w:tcMar>
              <w:top w:w="0" w:type="dxa"/>
              <w:left w:w="105" w:type="dxa"/>
              <w:bottom w:w="0" w:type="dxa"/>
              <w:right w:w="105" w:type="dxa"/>
            </w:tcMar>
            <w:vAlign w:val="center"/>
          </w:tcPr>
          <w:p w14:paraId="764E2AD4">
            <w:pPr>
              <w:pStyle w:val="14"/>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2290"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73A5EC">
            <w:pPr>
              <w:pStyle w:val="14"/>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名称</w:t>
            </w:r>
          </w:p>
        </w:tc>
        <w:tc>
          <w:tcPr>
            <w:tcW w:w="1468"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D626741">
            <w:pPr>
              <w:pStyle w:val="14"/>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类型</w:t>
            </w:r>
          </w:p>
        </w:tc>
        <w:tc>
          <w:tcPr>
            <w:tcW w:w="840"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72CDE3">
            <w:pPr>
              <w:pStyle w:val="14"/>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数量</w:t>
            </w:r>
          </w:p>
        </w:tc>
        <w:tc>
          <w:tcPr>
            <w:tcW w:w="1688"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2A0F9C">
            <w:pPr>
              <w:pStyle w:val="14"/>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限高单价（万元）</w:t>
            </w:r>
          </w:p>
        </w:tc>
        <w:tc>
          <w:tcPr>
            <w:tcW w:w="1495" w:type="dxa"/>
            <w:tcBorders>
              <w:top w:val="single" w:color="auto" w:sz="4" w:space="0"/>
              <w:left w:val="single" w:color="000000" w:sz="6" w:space="0"/>
              <w:bottom w:val="single" w:color="000000" w:sz="6" w:space="0"/>
              <w:right w:val="single" w:color="auto" w:sz="4" w:space="0"/>
            </w:tcBorders>
            <w:shd w:val="clear" w:color="auto" w:fill="auto"/>
            <w:tcMar>
              <w:top w:w="0" w:type="dxa"/>
              <w:left w:w="105" w:type="dxa"/>
              <w:bottom w:w="0" w:type="dxa"/>
              <w:right w:w="105" w:type="dxa"/>
            </w:tcMar>
            <w:vAlign w:val="center"/>
          </w:tcPr>
          <w:p w14:paraId="05CA299F">
            <w:pPr>
              <w:pStyle w:val="14"/>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限高总价（万元）</w:t>
            </w:r>
          </w:p>
        </w:tc>
        <w:tc>
          <w:tcPr>
            <w:tcW w:w="1495" w:type="dxa"/>
            <w:tcBorders>
              <w:top w:val="single" w:color="auto" w:sz="4" w:space="0"/>
              <w:left w:val="single" w:color="000000" w:sz="6" w:space="0"/>
              <w:bottom w:val="single" w:color="000000" w:sz="6" w:space="0"/>
              <w:right w:val="single" w:color="auto" w:sz="4" w:space="0"/>
            </w:tcBorders>
            <w:shd w:val="clear" w:color="auto" w:fill="auto"/>
            <w:tcMar>
              <w:top w:w="0" w:type="dxa"/>
              <w:left w:w="105" w:type="dxa"/>
              <w:bottom w:w="0" w:type="dxa"/>
              <w:right w:w="105" w:type="dxa"/>
            </w:tcMar>
            <w:vAlign w:val="center"/>
          </w:tcPr>
          <w:p w14:paraId="45DAA217">
            <w:pPr>
              <w:pStyle w:val="14"/>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0F229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5" w:hRule="atLeast"/>
        </w:trPr>
        <w:tc>
          <w:tcPr>
            <w:tcW w:w="569" w:type="dxa"/>
            <w:tcBorders>
              <w:top w:val="nil"/>
              <w:left w:val="single" w:color="auto" w:sz="4" w:space="0"/>
              <w:bottom w:val="single" w:color="auto" w:sz="4" w:space="0"/>
              <w:right w:val="single" w:color="000000" w:sz="6" w:space="0"/>
            </w:tcBorders>
            <w:shd w:val="clear" w:color="auto" w:fill="auto"/>
            <w:tcMar>
              <w:top w:w="0" w:type="dxa"/>
              <w:left w:w="105" w:type="dxa"/>
              <w:bottom w:w="0" w:type="dxa"/>
              <w:right w:w="105" w:type="dxa"/>
            </w:tcMar>
            <w:vAlign w:val="center"/>
          </w:tcPr>
          <w:p w14:paraId="0C19DCF6">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2290" w:type="dxa"/>
            <w:tcBorders>
              <w:top w:val="nil"/>
              <w:left w:val="single" w:color="000000" w:sz="6" w:space="0"/>
              <w:bottom w:val="single" w:color="auto" w:sz="4" w:space="0"/>
              <w:right w:val="single" w:color="000000" w:sz="6" w:space="0"/>
            </w:tcBorders>
            <w:shd w:val="clear" w:color="auto" w:fill="auto"/>
            <w:tcMar>
              <w:top w:w="0" w:type="dxa"/>
              <w:left w:w="105" w:type="dxa"/>
              <w:bottom w:w="0" w:type="dxa"/>
              <w:right w:w="105" w:type="dxa"/>
            </w:tcMar>
            <w:vAlign w:val="center"/>
          </w:tcPr>
          <w:p w14:paraId="5E67FE74">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虚拟化生产存储扩容</w:t>
            </w:r>
          </w:p>
        </w:tc>
        <w:tc>
          <w:tcPr>
            <w:tcW w:w="1468" w:type="dxa"/>
            <w:tcBorders>
              <w:top w:val="nil"/>
              <w:left w:val="single" w:color="000000" w:sz="6" w:space="0"/>
              <w:bottom w:val="single" w:color="auto" w:sz="4" w:space="0"/>
              <w:right w:val="single" w:color="000000" w:sz="6" w:space="0"/>
            </w:tcBorders>
            <w:shd w:val="clear" w:color="auto" w:fill="auto"/>
            <w:tcMar>
              <w:top w:w="0" w:type="dxa"/>
              <w:left w:w="105" w:type="dxa"/>
              <w:bottom w:w="0" w:type="dxa"/>
              <w:right w:w="105" w:type="dxa"/>
            </w:tcMar>
            <w:vAlign w:val="center"/>
          </w:tcPr>
          <w:p w14:paraId="450AC2A2">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存储</w:t>
            </w:r>
          </w:p>
        </w:tc>
        <w:tc>
          <w:tcPr>
            <w:tcW w:w="840" w:type="dxa"/>
            <w:tcBorders>
              <w:top w:val="nil"/>
              <w:left w:val="single" w:color="000000" w:sz="6" w:space="0"/>
              <w:bottom w:val="single" w:color="auto" w:sz="4" w:space="0"/>
              <w:right w:val="single" w:color="000000" w:sz="6" w:space="0"/>
            </w:tcBorders>
            <w:shd w:val="clear" w:color="auto" w:fill="auto"/>
            <w:tcMar>
              <w:top w:w="0" w:type="dxa"/>
              <w:left w:w="105" w:type="dxa"/>
              <w:bottom w:w="0" w:type="dxa"/>
              <w:right w:w="105" w:type="dxa"/>
            </w:tcMar>
            <w:vAlign w:val="center"/>
          </w:tcPr>
          <w:p w14:paraId="191D0A07">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2台</w:t>
            </w:r>
          </w:p>
        </w:tc>
        <w:tc>
          <w:tcPr>
            <w:tcW w:w="1688" w:type="dxa"/>
            <w:tcBorders>
              <w:top w:val="nil"/>
              <w:left w:val="single" w:color="000000" w:sz="6" w:space="0"/>
              <w:bottom w:val="single" w:color="auto" w:sz="4" w:space="0"/>
              <w:right w:val="single" w:color="000000" w:sz="6" w:space="0"/>
            </w:tcBorders>
            <w:shd w:val="clear" w:color="auto" w:fill="auto"/>
            <w:tcMar>
              <w:top w:w="0" w:type="dxa"/>
              <w:left w:w="105" w:type="dxa"/>
              <w:bottom w:w="0" w:type="dxa"/>
              <w:right w:w="105" w:type="dxa"/>
            </w:tcMar>
            <w:vAlign w:val="center"/>
          </w:tcPr>
          <w:p w14:paraId="77B94614">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128.855</w:t>
            </w:r>
          </w:p>
        </w:tc>
        <w:tc>
          <w:tcPr>
            <w:tcW w:w="1495" w:type="dxa"/>
            <w:tcBorders>
              <w:top w:val="nil"/>
              <w:left w:val="single" w:color="000000" w:sz="6" w:space="0"/>
              <w:bottom w:val="single" w:color="auto" w:sz="4" w:space="0"/>
              <w:right w:val="single" w:color="auto" w:sz="4" w:space="0"/>
            </w:tcBorders>
            <w:shd w:val="clear" w:color="auto" w:fill="auto"/>
            <w:tcMar>
              <w:top w:w="0" w:type="dxa"/>
              <w:left w:w="105" w:type="dxa"/>
              <w:bottom w:w="0" w:type="dxa"/>
              <w:right w:w="105" w:type="dxa"/>
            </w:tcMar>
            <w:vAlign w:val="center"/>
          </w:tcPr>
          <w:p w14:paraId="1A22EBD6">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257.71</w:t>
            </w:r>
          </w:p>
        </w:tc>
        <w:tc>
          <w:tcPr>
            <w:tcW w:w="1495" w:type="dxa"/>
            <w:tcBorders>
              <w:top w:val="nil"/>
              <w:left w:val="single" w:color="000000" w:sz="6" w:space="0"/>
              <w:bottom w:val="single" w:color="auto" w:sz="4" w:space="0"/>
              <w:right w:val="single" w:color="auto" w:sz="4" w:space="0"/>
            </w:tcBorders>
            <w:shd w:val="clear" w:color="auto" w:fill="auto"/>
            <w:tcMar>
              <w:top w:w="0" w:type="dxa"/>
              <w:left w:w="105" w:type="dxa"/>
              <w:bottom w:w="0" w:type="dxa"/>
              <w:right w:w="105" w:type="dxa"/>
            </w:tcMar>
            <w:vAlign w:val="center"/>
          </w:tcPr>
          <w:p w14:paraId="76FBC1CD">
            <w:pPr>
              <w:pStyle w:val="14"/>
              <w:keepNext w:val="0"/>
              <w:keepLines w:val="0"/>
              <w:widowControl/>
              <w:suppressLineNumbers w:val="0"/>
              <w:spacing w:line="360" w:lineRule="auto"/>
              <w:jc w:val="center"/>
              <w:rPr>
                <w:rFonts w:hint="eastAsia" w:ascii="仿宋" w:hAnsi="仿宋" w:eastAsia="仿宋" w:cs="仿宋"/>
                <w:sz w:val="24"/>
                <w:szCs w:val="24"/>
              </w:rPr>
            </w:pPr>
          </w:p>
        </w:tc>
      </w:tr>
      <w:tr w14:paraId="2BE24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5" w:hRule="atLeast"/>
        </w:trPr>
        <w:tc>
          <w:tcPr>
            <w:tcW w:w="569"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82EF92D">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2290"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0C28100">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配套软件</w:t>
            </w:r>
          </w:p>
        </w:tc>
        <w:tc>
          <w:tcPr>
            <w:tcW w:w="1468"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8571783">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软件</w:t>
            </w:r>
          </w:p>
        </w:tc>
        <w:tc>
          <w:tcPr>
            <w:tcW w:w="840"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7BE40DF">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2套</w:t>
            </w:r>
          </w:p>
        </w:tc>
        <w:tc>
          <w:tcPr>
            <w:tcW w:w="1688"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5FFC0B8">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12.5</w:t>
            </w:r>
          </w:p>
        </w:tc>
        <w:tc>
          <w:tcPr>
            <w:tcW w:w="1495"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F73EB1">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25</w:t>
            </w:r>
          </w:p>
        </w:tc>
        <w:tc>
          <w:tcPr>
            <w:tcW w:w="1495" w:type="dxa"/>
            <w:tcBorders>
              <w:top w:val="single" w:color="auto" w:sz="4"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B73C69F">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即为软件授权许可</w:t>
            </w:r>
          </w:p>
        </w:tc>
      </w:tr>
      <w:tr w14:paraId="4223E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5" w:hRule="atLeast"/>
        </w:trPr>
        <w:tc>
          <w:tcPr>
            <w:tcW w:w="569"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D13BB2B">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229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2FDD54A">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实施服务</w:t>
            </w:r>
          </w:p>
        </w:tc>
        <w:tc>
          <w:tcPr>
            <w:tcW w:w="1468"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C02557">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服务</w:t>
            </w:r>
          </w:p>
        </w:tc>
        <w:tc>
          <w:tcPr>
            <w:tcW w:w="84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069761">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1项</w:t>
            </w:r>
          </w:p>
        </w:tc>
        <w:tc>
          <w:tcPr>
            <w:tcW w:w="1688"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7A34566">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17.29</w:t>
            </w:r>
          </w:p>
        </w:tc>
        <w:tc>
          <w:tcPr>
            <w:tcW w:w="1495"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CC77BFA">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17.29</w:t>
            </w:r>
          </w:p>
        </w:tc>
        <w:tc>
          <w:tcPr>
            <w:tcW w:w="1495"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6FA750B">
            <w:pPr>
              <w:pStyle w:val="14"/>
              <w:keepNext w:val="0"/>
              <w:keepLines w:val="0"/>
              <w:widowControl/>
              <w:suppressLineNumbers w:val="0"/>
              <w:spacing w:line="360" w:lineRule="auto"/>
              <w:jc w:val="center"/>
              <w:rPr>
                <w:rFonts w:hint="eastAsia" w:ascii="仿宋" w:hAnsi="仿宋" w:eastAsia="仿宋" w:cs="仿宋"/>
                <w:sz w:val="24"/>
                <w:szCs w:val="24"/>
              </w:rPr>
            </w:pPr>
          </w:p>
        </w:tc>
      </w:tr>
    </w:tbl>
    <w:p w14:paraId="09B982B9">
      <w:pPr>
        <w:pStyle w:val="4"/>
        <w:keepNext w:val="0"/>
        <w:keepLines w:val="0"/>
        <w:pageBreakBefore w:val="0"/>
        <w:widowControl/>
        <w:numPr>
          <w:ilvl w:val="0"/>
          <w:numId w:val="0"/>
        </w:numPr>
        <w:suppressLineNumbers w:val="0"/>
        <w:kinsoku/>
        <w:wordWrap/>
        <w:overflowPunct/>
        <w:topLinePunct w:val="0"/>
        <w:autoSpaceDE w:val="0"/>
        <w:bidi w:val="0"/>
        <w:snapToGrid/>
        <w:spacing w:before="0" w:beforeAutospacing="0" w:after="0" w:afterAutospacing="0"/>
        <w:ind w:left="0" w:leftChars="0" w:firstLine="0" w:firstLineChars="0"/>
        <w:jc w:val="both"/>
        <w:textAlignment w:val="auto"/>
        <w:rPr>
          <w:rFonts w:hint="eastAsia" w:cs="Times New Roman"/>
          <w:b w:val="0"/>
          <w:kern w:val="2"/>
          <w:sz w:val="24"/>
          <w:szCs w:val="24"/>
          <w:lang w:val="en-US" w:eastAsia="zh-CN" w:bidi="ar-SA"/>
        </w:rPr>
      </w:pP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一</w:t>
      </w:r>
      <w:r>
        <w:rPr>
          <w:rFonts w:hint="eastAsia" w:ascii="Times New Roman" w:hAnsi="Times New Roman" w:eastAsia="仿宋" w:cs="Times New Roman"/>
          <w:sz w:val="24"/>
          <w:szCs w:val="24"/>
          <w:lang w:eastAsia="zh-CN"/>
        </w:rPr>
        <w:t>）</w:t>
      </w:r>
      <w:r>
        <w:rPr>
          <w:rFonts w:hint="eastAsia" w:cs="Times New Roman"/>
          <w:sz w:val="24"/>
          <w:szCs w:val="24"/>
          <w:lang w:val="en-US" w:eastAsia="zh-CN"/>
        </w:rPr>
        <w:t>技术</w:t>
      </w:r>
      <w:r>
        <w:rPr>
          <w:rFonts w:hint="eastAsia" w:cs="Times New Roman"/>
          <w:b/>
          <w:bCs/>
          <w:kern w:val="2"/>
          <w:sz w:val="24"/>
          <w:szCs w:val="24"/>
          <w:lang w:val="en-US" w:eastAsia="zh-CN" w:bidi="ar-SA"/>
        </w:rPr>
        <w:t>要求</w:t>
      </w:r>
    </w:p>
    <w:p w14:paraId="78540BAC">
      <w:pPr>
        <w:pStyle w:val="16"/>
        <w:numPr>
          <w:ilvl w:val="0"/>
          <w:numId w:val="0"/>
        </w:numPr>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 虚拟化生产存储扩容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41"/>
        <w:gridCol w:w="981"/>
        <w:gridCol w:w="1596"/>
        <w:gridCol w:w="6630"/>
      </w:tblGrid>
      <w:tr w14:paraId="0C7F6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678"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DD4FCF">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103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0A7DCD5">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重要性</w:t>
            </w:r>
          </w:p>
        </w:tc>
        <w:tc>
          <w:tcPr>
            <w:tcW w:w="1688"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CB7B122">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指标项</w:t>
            </w:r>
          </w:p>
        </w:tc>
        <w:tc>
          <w:tcPr>
            <w:tcW w:w="7011"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2655EEA">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指标要求</w:t>
            </w:r>
          </w:p>
        </w:tc>
      </w:tr>
      <w:tr w14:paraId="4471E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10"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FE3FC1">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258DC5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FAE25E0">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磁盘扩展柜架构</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B1E4F4">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采用全NvMe体系结构，全冗余无单点故障设计，兼容现虚拟化业务控制器。</w:t>
            </w:r>
          </w:p>
        </w:tc>
      </w:tr>
      <w:tr w14:paraId="3C2D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90"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5931C1">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8A4749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75F08A3">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磁盘扩展柜</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8402730">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实配与数据中心现有业务存储控制器（型号：NetApp AFF A90，序列号：952434001454、952434001604）兼容的磁盘柜，含24个2.5 英寸NVME驱动器槽位，配置与原系统连接的线缆；</w:t>
            </w:r>
          </w:p>
        </w:tc>
      </w:tr>
      <w:tr w14:paraId="3CBAD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90"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C565C7">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690130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38FE0FB">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互联接口卡</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9160A9E">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每台配置≥2张双端口100G QSFP28互联卡；</w:t>
            </w:r>
          </w:p>
        </w:tc>
      </w:tr>
      <w:tr w14:paraId="5659E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95"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387CB8">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7AF541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ACC7F2E">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兼容性要求</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1C1EE20">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兼容现有业务存储控制器（型号：NetApp AFF A90，序列号：952434001454、952434001604）。应包含与现有存储序列号一致的FCP，iSCSI，NFS、CIFS和S3协议，本次扩容不采用异构存储虚拟化整合或虚拟化软件整合设计。（提供技术白皮书或产品彩页或官方网站截图或国家认可的第三方检测机构出具的检测报告并加盖供应商公章）</w:t>
            </w:r>
          </w:p>
        </w:tc>
      </w:tr>
      <w:tr w14:paraId="01CE2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90"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9796B5">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02D3129">
            <w:pPr>
              <w:keepNext w:val="0"/>
              <w:keepLines w:val="0"/>
              <w:widowControl/>
              <w:suppressLineNumbers w:val="0"/>
              <w:jc w:val="left"/>
              <w:rPr>
                <w:rFonts w:hint="eastAsia" w:ascii="仿宋" w:hAnsi="仿宋" w:eastAsia="仿宋" w:cs="仿宋"/>
                <w:sz w:val="24"/>
                <w:szCs w:val="24"/>
              </w:rPr>
            </w:pP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31DC517">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磁盘保护方式</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F49313">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支持多种RAID磁盘保护方式，至少包括：RAID 5/6/TP等保护技术，能够在线更改RAID级别，调整RAID组大小。</w:t>
            </w:r>
          </w:p>
        </w:tc>
      </w:tr>
      <w:tr w14:paraId="73C9F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415"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A2938E">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9446F0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8592934">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磁盘扩展柜及磁盘要求</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6B26D66">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本次扩容增加的可用磁盘空间</w:t>
            </w:r>
            <w:r>
              <w:rPr>
                <w:rFonts w:hint="eastAsia" w:ascii="仿宋" w:hAnsi="仿宋" w:eastAsia="仿宋" w:cs="仿宋"/>
                <w:color w:val="auto"/>
                <w:sz w:val="24"/>
                <w:szCs w:val="24"/>
              </w:rPr>
              <w:t>≥100TB（非重删压缩），扩容的磁盘和扩展柜均可直接接入现有的业务管理控制器</w:t>
            </w:r>
            <w:r>
              <w:rPr>
                <w:rFonts w:hint="eastAsia" w:ascii="仿宋" w:hAnsi="仿宋" w:eastAsia="仿宋" w:cs="仿宋"/>
                <w:sz w:val="24"/>
                <w:szCs w:val="24"/>
              </w:rPr>
              <w:t>。（提供技术白皮书或产品彩页或官方网站截图或国家认可的第三方检测机构出具的检测报告并加盖供应商公章）</w:t>
            </w:r>
          </w:p>
        </w:tc>
      </w:tr>
      <w:tr w14:paraId="03F40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F239BD">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AE2A561">
            <w:pPr>
              <w:keepNext w:val="0"/>
              <w:keepLines w:val="0"/>
              <w:widowControl/>
              <w:suppressLineNumbers w:val="0"/>
              <w:jc w:val="left"/>
              <w:rPr>
                <w:rFonts w:hint="eastAsia" w:ascii="仿宋" w:hAnsi="仿宋" w:eastAsia="仿宋" w:cs="仿宋"/>
                <w:sz w:val="24"/>
                <w:szCs w:val="24"/>
              </w:rPr>
            </w:pP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B5A9546">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安全可靠性</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8A9A25">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通过实验室多场景故障注入测试、部件冗余仿真测试、破坏性故障切换测试等方式验证出不低于99.9999%的可靠性保证。可提供官网或设备彩页或技术白皮</w:t>
            </w:r>
            <w:r>
              <w:rPr>
                <w:rFonts w:hint="eastAsia" w:ascii="仿宋" w:hAnsi="仿宋" w:eastAsia="仿宋" w:cs="仿宋"/>
                <w:color w:val="auto"/>
                <w:sz w:val="24"/>
                <w:szCs w:val="24"/>
              </w:rPr>
              <w:t>书等方</w:t>
            </w:r>
            <w:r>
              <w:rPr>
                <w:rFonts w:hint="eastAsia" w:ascii="仿宋" w:hAnsi="仿宋" w:eastAsia="仿宋" w:cs="仿宋"/>
                <w:sz w:val="24"/>
                <w:szCs w:val="24"/>
              </w:rPr>
              <w:t>式对结论给与佐证。</w:t>
            </w:r>
          </w:p>
        </w:tc>
      </w:tr>
      <w:tr w14:paraId="67170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35"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A26654">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A187F89">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17FBA67">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系统架构可扩展性</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DB276E3">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系统架构可扩展性：本次存储扩容应具备在线，无需停机的扩充能力，以保证核心应用系统不停机，在集群架构下，扩展盘柜可以通过100Gb线缆直接接入，与现有存储控制器（NetApp AFF A90）相关业务管理控制可连接构建的集群环境。</w:t>
            </w:r>
          </w:p>
        </w:tc>
      </w:tr>
      <w:tr w14:paraId="0C6FF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95"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1C5043">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518BD3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133C026">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双活架构要求</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8C05EE0">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双活架构要求：扩容后，现有双活业务架构下的存储同时工作，并分别在对端拥有一份实时副本，对应用而言提供可同时读写的双活卷。支持任一组件（包括控制器、盘柜）故障或设施故障（包括机柜掉电）情况下应用不中断，具备自动切换能力，本次扩容不采用异构存储虚拟化整合或虚拟化软件整合设计。</w:t>
            </w:r>
          </w:p>
        </w:tc>
      </w:tr>
      <w:tr w14:paraId="7E00C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90" w:hRule="atLeast"/>
        </w:trPr>
        <w:tc>
          <w:tcPr>
            <w:tcW w:w="67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577559">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103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3657525">
            <w:pPr>
              <w:keepNext w:val="0"/>
              <w:keepLines w:val="0"/>
              <w:widowControl/>
              <w:suppressLineNumbers w:val="0"/>
              <w:jc w:val="left"/>
              <w:rPr>
                <w:rFonts w:hint="eastAsia" w:ascii="仿宋" w:hAnsi="仿宋" w:eastAsia="仿宋" w:cs="仿宋"/>
                <w:sz w:val="24"/>
                <w:szCs w:val="24"/>
              </w:rPr>
            </w:pPr>
          </w:p>
        </w:tc>
        <w:tc>
          <w:tcPr>
            <w:tcW w:w="1688"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FDE77A4">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电源模块</w:t>
            </w:r>
          </w:p>
        </w:tc>
        <w:tc>
          <w:tcPr>
            <w:tcW w:w="7011"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8795085">
            <w:pPr>
              <w:pStyle w:val="14"/>
              <w:keepNext w:val="0"/>
              <w:keepLines w:val="0"/>
              <w:widowControl/>
              <w:suppressLineNumbers w:val="0"/>
              <w:spacing w:line="360" w:lineRule="auto"/>
              <w:jc w:val="both"/>
              <w:rPr>
                <w:rFonts w:hint="eastAsia" w:ascii="仿宋" w:hAnsi="仿宋" w:eastAsia="仿宋" w:cs="仿宋"/>
                <w:sz w:val="24"/>
                <w:szCs w:val="24"/>
              </w:rPr>
            </w:pPr>
            <w:r>
              <w:rPr>
                <w:rFonts w:hint="eastAsia" w:ascii="仿宋" w:hAnsi="仿宋" w:eastAsia="仿宋" w:cs="仿宋"/>
                <w:sz w:val="24"/>
                <w:szCs w:val="24"/>
              </w:rPr>
              <w:t>全冗余的电源和风扇，支持在线可热插拔更换，整个系统无任何单点部分。</w:t>
            </w:r>
          </w:p>
        </w:tc>
      </w:tr>
    </w:tbl>
    <w:p w14:paraId="4E9C541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kern w:val="2"/>
          <w:sz w:val="24"/>
          <w:szCs w:val="24"/>
        </w:rPr>
        <w:t>2. 配套软件</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0"/>
        <w:gridCol w:w="970"/>
        <w:gridCol w:w="1311"/>
        <w:gridCol w:w="1606"/>
        <w:gridCol w:w="5251"/>
      </w:tblGrid>
      <w:tr w14:paraId="54CC5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90" w:hRule="atLeast"/>
        </w:trPr>
        <w:tc>
          <w:tcPr>
            <w:tcW w:w="71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72922FF">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11. </w:t>
            </w:r>
          </w:p>
        </w:tc>
        <w:tc>
          <w:tcPr>
            <w:tcW w:w="101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916F7D2">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w:t>
            </w:r>
          </w:p>
        </w:tc>
        <w:tc>
          <w:tcPr>
            <w:tcW w:w="138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0B8310">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配套软件</w:t>
            </w:r>
          </w:p>
        </w:tc>
        <w:tc>
          <w:tcPr>
            <w:tcW w:w="170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0437274">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软件功能</w:t>
            </w:r>
          </w:p>
        </w:tc>
        <w:tc>
          <w:tcPr>
            <w:tcW w:w="560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69CDFB">
            <w:pPr>
              <w:pStyle w:val="14"/>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sz w:val="24"/>
                <w:szCs w:val="24"/>
              </w:rPr>
              <w:t>所有扩展盘需配置与现有控制器序列号相匹配的对应容量且不限制使用期限的功能许可软件：包含重删、压缩、快照快速恢复，克隆，远程容灾（同步异步复制），D2D数据及双活。</w:t>
            </w:r>
          </w:p>
        </w:tc>
      </w:tr>
    </w:tbl>
    <w:p w14:paraId="6B27D3B0">
      <w:pPr>
        <w:pStyle w:val="14"/>
        <w:keepNext w:val="0"/>
        <w:keepLines w:val="0"/>
        <w:widowControl/>
        <w:suppressLineNumbers w:val="0"/>
        <w:rPr>
          <w:rFonts w:hint="eastAsia" w:ascii="仿宋" w:hAnsi="仿宋" w:eastAsia="仿宋" w:cs="仿宋"/>
          <w:kern w:val="2"/>
          <w:sz w:val="24"/>
          <w:szCs w:val="24"/>
        </w:rPr>
      </w:pPr>
      <w:r>
        <w:rPr>
          <w:rFonts w:hint="default" w:ascii="仿宋" w:hAnsi="仿宋" w:eastAsia="仿宋" w:cs="仿宋"/>
          <w:kern w:val="2"/>
          <w:sz w:val="24"/>
          <w:szCs w:val="24"/>
        </w:rPr>
        <w:t>3. </w:t>
      </w:r>
      <w:r>
        <w:rPr>
          <w:rFonts w:hint="eastAsia" w:ascii="仿宋" w:hAnsi="仿宋" w:eastAsia="仿宋" w:cs="仿宋"/>
          <w:kern w:val="2"/>
          <w:sz w:val="24"/>
          <w:szCs w:val="24"/>
        </w:rPr>
        <w:t>实施服务</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33"/>
        <w:gridCol w:w="960"/>
        <w:gridCol w:w="1305"/>
        <w:gridCol w:w="1596"/>
        <w:gridCol w:w="5254"/>
      </w:tblGrid>
      <w:tr w14:paraId="48E0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455" w:hRule="atLeast"/>
        </w:trPr>
        <w:tc>
          <w:tcPr>
            <w:tcW w:w="741" w:type="dxa"/>
            <w:shd w:val="clear" w:color="auto" w:fill="auto"/>
            <w:tcMar>
              <w:top w:w="0" w:type="dxa"/>
              <w:left w:w="105" w:type="dxa"/>
              <w:bottom w:w="0" w:type="dxa"/>
              <w:right w:w="105" w:type="dxa"/>
            </w:tcMar>
            <w:vAlign w:val="center"/>
          </w:tcPr>
          <w:p w14:paraId="36C7196A">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12. </w:t>
            </w:r>
          </w:p>
        </w:tc>
        <w:tc>
          <w:tcPr>
            <w:tcW w:w="1000" w:type="dxa"/>
            <w:shd w:val="clear" w:color="auto" w:fill="auto"/>
            <w:tcMar>
              <w:top w:w="0" w:type="dxa"/>
              <w:left w:w="105" w:type="dxa"/>
              <w:bottom w:w="0" w:type="dxa"/>
              <w:right w:w="105" w:type="dxa"/>
            </w:tcMar>
            <w:vAlign w:val="center"/>
          </w:tcPr>
          <w:p w14:paraId="1A967D7F">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w:t>
            </w:r>
          </w:p>
        </w:tc>
        <w:tc>
          <w:tcPr>
            <w:tcW w:w="1373" w:type="dxa"/>
            <w:shd w:val="clear" w:color="auto" w:fill="auto"/>
            <w:tcMar>
              <w:top w:w="0" w:type="dxa"/>
              <w:left w:w="105" w:type="dxa"/>
              <w:bottom w:w="0" w:type="dxa"/>
              <w:right w:w="105" w:type="dxa"/>
            </w:tcMar>
            <w:vAlign w:val="center"/>
          </w:tcPr>
          <w:p w14:paraId="76B09527">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实施服务</w:t>
            </w:r>
          </w:p>
        </w:tc>
        <w:tc>
          <w:tcPr>
            <w:tcW w:w="1686" w:type="dxa"/>
            <w:shd w:val="clear" w:color="auto" w:fill="auto"/>
            <w:tcMar>
              <w:top w:w="0" w:type="dxa"/>
              <w:left w:w="105" w:type="dxa"/>
              <w:bottom w:w="0" w:type="dxa"/>
              <w:right w:w="105" w:type="dxa"/>
            </w:tcMar>
            <w:vAlign w:val="center"/>
          </w:tcPr>
          <w:p w14:paraId="01A86E69">
            <w:pPr>
              <w:pStyle w:val="14"/>
              <w:keepNext w:val="0"/>
              <w:keepLines w:val="0"/>
              <w:widowControl/>
              <w:suppressLineNumbers w:val="0"/>
              <w:spacing w:line="360" w:lineRule="auto"/>
              <w:jc w:val="center"/>
            </w:pPr>
            <w:r>
              <w:rPr>
                <w:rFonts w:hint="eastAsia" w:ascii="仿宋" w:hAnsi="仿宋" w:eastAsia="仿宋" w:cs="仿宋"/>
                <w:sz w:val="24"/>
                <w:szCs w:val="24"/>
              </w:rPr>
              <w:t>实施能力</w:t>
            </w:r>
          </w:p>
        </w:tc>
        <w:tc>
          <w:tcPr>
            <w:tcW w:w="5614" w:type="dxa"/>
            <w:shd w:val="clear" w:color="auto" w:fill="auto"/>
            <w:tcMar>
              <w:top w:w="0" w:type="dxa"/>
              <w:left w:w="105" w:type="dxa"/>
              <w:bottom w:w="0" w:type="dxa"/>
              <w:right w:w="105" w:type="dxa"/>
            </w:tcMar>
            <w:vAlign w:val="center"/>
          </w:tcPr>
          <w:p w14:paraId="6AC78FC5">
            <w:pPr>
              <w:pStyle w:val="14"/>
              <w:keepNext w:val="0"/>
              <w:keepLines w:val="0"/>
              <w:widowControl/>
              <w:suppressLineNumbers w:val="0"/>
              <w:spacing w:line="360" w:lineRule="auto"/>
              <w:jc w:val="both"/>
            </w:pPr>
            <w:r>
              <w:rPr>
                <w:rFonts w:hint="eastAsia" w:ascii="仿宋" w:hAnsi="仿宋" w:eastAsia="仿宋" w:cs="仿宋"/>
                <w:sz w:val="24"/>
                <w:szCs w:val="24"/>
              </w:rPr>
              <w:t>实施能力：完成存储在线扩容，保障当前存储设备含扩容设备的完好性，并负责按照要求完成存储系统的配置、空间分配，以及与主机的连通性、设备位置调整工作。</w:t>
            </w:r>
          </w:p>
        </w:tc>
      </w:tr>
    </w:tbl>
    <w:p w14:paraId="147A51C3">
      <w:pPr>
        <w:pStyle w:val="16"/>
        <w:numPr>
          <w:ilvl w:val="0"/>
          <w:numId w:val="0"/>
        </w:numPr>
        <w:ind w:firstLine="0" w:firstLineChars="0"/>
        <w:rPr>
          <w:rFonts w:ascii="Times New Roman" w:hAnsi="Times New Roman" w:eastAsia="仿宋" w:cs="Times New Roman"/>
          <w:sz w:val="24"/>
          <w:szCs w:val="24"/>
        </w:rPr>
      </w:pPr>
      <w:r>
        <w:rPr>
          <w:rFonts w:hint="eastAsia" w:ascii="仿宋" w:hAnsi="仿宋" w:eastAsia="仿宋" w:cs="仿宋"/>
          <w:color w:val="auto"/>
          <w:sz w:val="24"/>
          <w:szCs w:val="24"/>
        </w:rPr>
        <w:t>★</w:t>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二</w:t>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服务要求</w:t>
      </w:r>
      <w:r>
        <w:rPr>
          <w:rFonts w:ascii="Times New Roman" w:hAnsi="Times New Roman" w:eastAsia="仿宋" w:cs="Times New Roman"/>
          <w:sz w:val="24"/>
          <w:szCs w:val="24"/>
        </w:rPr>
        <w:cr/>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18"/>
        <w:gridCol w:w="1699"/>
        <w:gridCol w:w="6070"/>
        <w:gridCol w:w="1461"/>
      </w:tblGrid>
      <w:tr w14:paraId="55021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4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32C0716">
            <w:pPr>
              <w:keepNext w:val="0"/>
              <w:keepLines w:val="0"/>
              <w:widowControl/>
              <w:suppressLineNumbers w:val="0"/>
              <w:jc w:val="left"/>
              <w:rPr>
                <w:rFonts w:hint="eastAsia" w:ascii="仿宋" w:hAnsi="仿宋" w:eastAsia="仿宋" w:cs="仿宋"/>
                <w:sz w:val="24"/>
                <w:szCs w:val="24"/>
              </w:rPr>
            </w:pPr>
          </w:p>
        </w:tc>
        <w:tc>
          <w:tcPr>
            <w:tcW w:w="179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25412E1">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6461"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A957944">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51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80FBDF5">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5A737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4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0E4FB8">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1</w:t>
            </w:r>
          </w:p>
        </w:tc>
        <w:tc>
          <w:tcPr>
            <w:tcW w:w="179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AA4B50">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6461"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92AE663">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基本服务至少满足以下内容：</w:t>
            </w:r>
          </w:p>
          <w:p w14:paraId="262ED687">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1、稳定性：</w:t>
            </w:r>
            <w:r>
              <w:rPr>
                <w:rFonts w:hint="eastAsia" w:ascii="仿宋" w:hAnsi="仿宋" w:eastAsia="仿宋" w:cs="仿宋"/>
                <w:sz w:val="24"/>
                <w:szCs w:val="24"/>
              </w:rPr>
              <w:t>服务期内需保障业务稳定，不无故出现崩溃或宕机现象；</w:t>
            </w:r>
          </w:p>
          <w:p w14:paraId="24150275">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2、安全性：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7EBD6059">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3、响应速度：</w:t>
            </w:r>
            <w:r>
              <w:rPr>
                <w:rFonts w:hint="eastAsia" w:ascii="仿宋" w:hAnsi="仿宋" w:eastAsia="仿宋" w:cs="仿宋"/>
                <w:sz w:val="24"/>
                <w:szCs w:val="24"/>
              </w:rPr>
              <w:t>服务期内，采购人通过电话、微信、现场提出的支持需求，供应商须在需求提出的当日完成响应；</w:t>
            </w:r>
          </w:p>
          <w:p w14:paraId="34F59F33">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4、定期巡检：</w:t>
            </w:r>
            <w:r>
              <w:rPr>
                <w:rFonts w:hint="eastAsia" w:ascii="仿宋" w:hAnsi="仿宋" w:eastAsia="仿宋" w:cs="仿宋"/>
                <w:sz w:val="24"/>
                <w:szCs w:val="24"/>
              </w:rPr>
              <w:t>服务期内每季度提供至少1次软硬件服务期巡检报告；</w:t>
            </w:r>
          </w:p>
          <w:p w14:paraId="08EB7EF2">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5、培训服务：服务期内</w:t>
            </w:r>
            <w:r>
              <w:rPr>
                <w:rFonts w:hint="eastAsia" w:ascii="仿宋" w:hAnsi="仿宋" w:eastAsia="仿宋" w:cs="仿宋"/>
                <w:sz w:val="24"/>
                <w:szCs w:val="24"/>
              </w:rPr>
              <w:t>提供≥2次培训服务，并提交培训方案和签到表；</w:t>
            </w:r>
          </w:p>
          <w:p w14:paraId="3BB15AB1">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6、文档服务：</w:t>
            </w:r>
            <w:r>
              <w:rPr>
                <w:rFonts w:hint="eastAsia" w:ascii="仿宋" w:hAnsi="仿宋" w:eastAsia="仿宋" w:cs="仿宋"/>
                <w:sz w:val="24"/>
                <w:szCs w:val="24"/>
              </w:rPr>
              <w:t>无</w:t>
            </w:r>
          </w:p>
          <w:p w14:paraId="501192F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b/>
                <w:bCs/>
                <w:sz w:val="24"/>
                <w:szCs w:val="24"/>
              </w:rPr>
              <w:t>7、 </w:t>
            </w:r>
            <w:r>
              <w:rPr>
                <w:rStyle w:val="21"/>
                <w:rFonts w:hint="eastAsia" w:ascii="仿宋" w:hAnsi="仿宋" w:eastAsia="仿宋" w:cs="仿宋"/>
                <w:sz w:val="24"/>
                <w:szCs w:val="24"/>
              </w:rPr>
              <w:t>人员服务：</w:t>
            </w:r>
            <w:r>
              <w:rPr>
                <w:rFonts w:hint="eastAsia" w:ascii="仿宋" w:hAnsi="仿宋" w:eastAsia="仿宋" w:cs="仿宋"/>
                <w:sz w:val="24"/>
                <w:szCs w:val="24"/>
              </w:rPr>
              <w:t>无</w:t>
            </w:r>
          </w:p>
          <w:p w14:paraId="54B3C53E">
            <w:pPr>
              <w:pStyle w:val="14"/>
              <w:keepNext w:val="0"/>
              <w:keepLines w:val="0"/>
              <w:widowControl/>
              <w:suppressLineNumbers w:val="0"/>
              <w:spacing w:line="240" w:lineRule="auto"/>
              <w:ind w:left="0" w:firstLine="0"/>
              <w:rPr>
                <w:rFonts w:hint="eastAsia" w:ascii="仿宋" w:hAnsi="仿宋" w:eastAsia="仿宋" w:cs="仿宋"/>
                <w:sz w:val="24"/>
                <w:szCs w:val="24"/>
              </w:rPr>
            </w:pPr>
            <w:r>
              <w:rPr>
                <w:rFonts w:hint="eastAsia" w:ascii="仿宋" w:hAnsi="仿宋" w:eastAsia="仿宋" w:cs="仿宋"/>
                <w:b/>
                <w:bCs/>
                <w:sz w:val="24"/>
                <w:szCs w:val="24"/>
              </w:rPr>
              <w:t>8、</w:t>
            </w:r>
            <w:r>
              <w:rPr>
                <w:rStyle w:val="21"/>
                <w:rFonts w:hint="eastAsia" w:ascii="仿宋" w:hAnsi="仿宋" w:eastAsia="仿宋" w:cs="仿宋"/>
                <w:sz w:val="24"/>
                <w:szCs w:val="24"/>
              </w:rPr>
              <w:t>其他：</w:t>
            </w:r>
          </w:p>
          <w:p w14:paraId="008958AA">
            <w:pPr>
              <w:pStyle w:val="14"/>
              <w:keepNext w:val="0"/>
              <w:keepLines w:val="0"/>
              <w:widowControl/>
              <w:suppressLineNumbers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1）服务期内，采购人每月按照四川省人民医院供应商考核指标对供应商行为进行评价考核，考核结果关联最终付款金额。</w:t>
            </w:r>
          </w:p>
          <w:p w14:paraId="487D8D4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）成交供应商应当与本项目相关的第三方保持有痕的沟通，明确项目的具体要求和功能等方面的细节。采购人负责组织、监督和验收，以确保项目的顺利完成。</w:t>
            </w:r>
          </w:p>
          <w:p w14:paraId="22AEEEC9">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3）如涉及因本项目交付的产品造成采购人的经济损失，由成交供应商负责向采购人进行赔偿。</w:t>
            </w:r>
          </w:p>
        </w:tc>
        <w:tc>
          <w:tcPr>
            <w:tcW w:w="1519" w:type="dxa"/>
            <w:vMerge w:val="restart"/>
            <w:tcBorders>
              <w:top w:val="nil"/>
              <w:left w:val="single" w:color="auto" w:sz="6" w:space="0"/>
              <w:right w:val="single" w:color="auto" w:sz="6" w:space="0"/>
            </w:tcBorders>
            <w:shd w:val="clear" w:color="auto" w:fill="auto"/>
            <w:tcMar>
              <w:top w:w="0" w:type="dxa"/>
              <w:left w:w="105" w:type="dxa"/>
              <w:bottom w:w="0" w:type="dxa"/>
              <w:right w:w="105" w:type="dxa"/>
            </w:tcMar>
            <w:vAlign w:val="center"/>
          </w:tcPr>
          <w:p w14:paraId="44621C47">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验收合格之日起，提供不低于5年</w:t>
            </w:r>
          </w:p>
        </w:tc>
      </w:tr>
      <w:tr w14:paraId="4B7DA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4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0E9676">
            <w:pPr>
              <w:pStyle w:val="14"/>
              <w:keepNext w:val="0"/>
              <w:keepLines w:val="0"/>
              <w:widowControl/>
              <w:suppressLineNumbers w:val="0"/>
              <w:spacing w:line="360" w:lineRule="auto"/>
              <w:jc w:val="center"/>
              <w:rPr>
                <w:rStyle w:val="21"/>
                <w:rFonts w:hint="eastAsia" w:ascii="仿宋" w:hAnsi="仿宋" w:eastAsia="仿宋" w:cs="仿宋"/>
                <w:b/>
                <w:bCs w:val="0"/>
                <w:sz w:val="24"/>
                <w:szCs w:val="24"/>
                <w:lang w:val="en-US" w:eastAsia="zh-CN"/>
              </w:rPr>
            </w:pPr>
            <w:r>
              <w:rPr>
                <w:rStyle w:val="21"/>
                <w:rFonts w:hint="eastAsia" w:ascii="仿宋" w:hAnsi="仿宋" w:eastAsia="仿宋" w:cs="仿宋"/>
                <w:b/>
                <w:bCs w:val="0"/>
                <w:sz w:val="24"/>
                <w:szCs w:val="24"/>
                <w:lang w:val="en-US" w:eastAsia="zh-CN"/>
              </w:rPr>
              <w:t>2</w:t>
            </w:r>
          </w:p>
        </w:tc>
        <w:tc>
          <w:tcPr>
            <w:tcW w:w="179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8E3E2C">
            <w:pPr>
              <w:pStyle w:val="14"/>
              <w:keepNext w:val="0"/>
              <w:keepLines w:val="0"/>
              <w:widowControl/>
              <w:suppressLineNumbers w:val="0"/>
              <w:spacing w:line="360" w:lineRule="auto"/>
              <w:jc w:val="center"/>
              <w:rPr>
                <w:rStyle w:val="21"/>
                <w:rFonts w:hint="eastAsia" w:ascii="仿宋" w:hAnsi="仿宋" w:eastAsia="仿宋" w:cs="仿宋"/>
                <w:b/>
                <w:bCs w:val="0"/>
                <w:sz w:val="24"/>
                <w:szCs w:val="24"/>
              </w:rPr>
            </w:pPr>
            <w:r>
              <w:rPr>
                <w:rFonts w:hint="eastAsia" w:ascii="仿宋" w:hAnsi="仿宋" w:eastAsia="仿宋" w:cs="仿宋"/>
                <w:b/>
                <w:bCs w:val="0"/>
                <w:sz w:val="24"/>
                <w:szCs w:val="24"/>
              </w:rPr>
              <w:t>质保服务</w:t>
            </w:r>
          </w:p>
        </w:tc>
        <w:tc>
          <w:tcPr>
            <w:tcW w:w="6461"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FC1DA6">
            <w:pPr>
              <w:pStyle w:val="14"/>
              <w:keepNext w:val="0"/>
              <w:keepLines w:val="0"/>
              <w:widowControl/>
              <w:suppressLineNumbers w:val="0"/>
              <w:spacing w:line="240" w:lineRule="auto"/>
              <w:jc w:val="both"/>
              <w:rPr>
                <w:rFonts w:hint="eastAsia" w:ascii="仿宋" w:hAnsi="仿宋" w:eastAsia="仿宋" w:cs="仿宋"/>
                <w:sz w:val="24"/>
                <w:szCs w:val="24"/>
                <w:lang w:eastAsia="zh-CN"/>
              </w:rPr>
            </w:pPr>
            <w:r>
              <w:rPr>
                <w:rFonts w:hint="eastAsia" w:ascii="仿宋" w:hAnsi="仿宋" w:eastAsia="仿宋" w:cs="仿宋"/>
                <w:sz w:val="24"/>
                <w:szCs w:val="24"/>
              </w:rPr>
              <w:t>保证硬件功能正常运行，提供7*24小时原厂质保服务</w:t>
            </w:r>
            <w:r>
              <w:rPr>
                <w:rFonts w:hint="eastAsia" w:ascii="仿宋" w:hAnsi="仿宋" w:eastAsia="仿宋" w:cs="仿宋"/>
                <w:sz w:val="24"/>
                <w:szCs w:val="24"/>
                <w:lang w:eastAsia="zh-CN"/>
              </w:rPr>
              <w:t>。</w:t>
            </w:r>
          </w:p>
        </w:tc>
        <w:tc>
          <w:tcPr>
            <w:tcW w:w="1519" w:type="dxa"/>
            <w:vMerge w:val="continue"/>
            <w:tcBorders>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5E92D4">
            <w:pPr>
              <w:pStyle w:val="14"/>
              <w:keepNext w:val="0"/>
              <w:keepLines w:val="0"/>
              <w:widowControl/>
              <w:suppressLineNumbers w:val="0"/>
              <w:spacing w:line="360" w:lineRule="auto"/>
              <w:jc w:val="center"/>
              <w:rPr>
                <w:rFonts w:hint="eastAsia" w:ascii="仿宋" w:hAnsi="仿宋" w:eastAsia="仿宋" w:cs="仿宋"/>
                <w:sz w:val="24"/>
                <w:szCs w:val="24"/>
              </w:rPr>
            </w:pPr>
          </w:p>
        </w:tc>
      </w:tr>
    </w:tbl>
    <w:p w14:paraId="0D819697">
      <w:pPr>
        <w:pStyle w:val="16"/>
        <w:numPr>
          <w:ilvl w:val="0"/>
          <w:numId w:val="0"/>
        </w:numPr>
        <w:ind w:firstLine="0" w:firstLineChars="0"/>
        <w:rPr>
          <w:rFonts w:ascii="Times New Roman" w:hAnsi="Times New Roman" w:eastAsia="仿宋" w:cs="Times New Roman"/>
          <w:sz w:val="24"/>
          <w:szCs w:val="24"/>
        </w:rPr>
      </w:pPr>
    </w:p>
    <w:p w14:paraId="750E3FE5">
      <w:pPr>
        <w:spacing w:line="360" w:lineRule="auto"/>
        <w:ind w:left="480" w:hanging="480" w:hangingChars="200"/>
        <w:rPr>
          <w:rFonts w:hint="eastAsia" w:ascii="仿宋" w:hAnsi="仿宋" w:eastAsia="仿宋" w:cs="仿宋"/>
          <w:sz w:val="24"/>
          <w:szCs w:val="24"/>
        </w:rPr>
      </w:pPr>
      <w:r>
        <w:rPr>
          <w:rFonts w:hint="eastAsia" w:ascii="仿宋" w:hAnsi="仿宋" w:eastAsia="仿宋" w:cs="仿宋"/>
          <w:color w:val="auto"/>
          <w:sz w:val="24"/>
          <w:szCs w:val="24"/>
        </w:rPr>
        <w:t>★</w:t>
      </w:r>
      <w:r>
        <w:rPr>
          <w:rFonts w:ascii="Times New Roman" w:hAnsi="Times New Roman" w:eastAsia="仿宋" w:cs="Times New Roman"/>
          <w:b/>
          <w:bCs/>
          <w:sz w:val="24"/>
          <w:szCs w:val="24"/>
        </w:rPr>
        <w:t>四、商务要求：</w:t>
      </w:r>
      <w:r>
        <w:rPr>
          <w:rFonts w:ascii="Times New Roman" w:hAnsi="Times New Roman" w:eastAsia="仿宋" w:cs="Times New Roman"/>
          <w:sz w:val="24"/>
          <w:szCs w:val="24"/>
        </w:rPr>
        <w:cr/>
      </w:r>
      <w:r>
        <w:rPr>
          <w:rFonts w:hint="eastAsia" w:ascii="仿宋" w:hAnsi="仿宋" w:eastAsia="仿宋" w:cs="仿宋"/>
          <w:kern w:val="0"/>
          <w:sz w:val="24"/>
          <w:szCs w:val="24"/>
        </w:rPr>
        <w:t>1. 交付时间：合同签订后生效后40日内，供应商须将所有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628402AA">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2. 交付地点</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本项目涉及四川省人民医院所有院区。</w:t>
      </w:r>
    </w:p>
    <w:p w14:paraId="54544C6E">
      <w:pPr>
        <w:spacing w:line="360" w:lineRule="auto"/>
        <w:ind w:firstLine="480" w:firstLineChars="200"/>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付款条件</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ab/>
      </w:r>
      <w:r>
        <w:rPr>
          <w:rFonts w:hint="eastAsia" w:ascii="仿宋" w:hAnsi="仿宋" w:eastAsia="仿宋" w:cs="仿宋"/>
          <w:kern w:val="0"/>
          <w:sz w:val="24"/>
          <w:szCs w:val="24"/>
        </w:rPr>
        <w:t>验收合格后，供应商须在5日内向采购人出具合法有效票据及其它相关请款资料，采购人自收到上述发票及凭证资料后55日内向供应商支付合同总金额的100%。</w:t>
      </w:r>
    </w:p>
    <w:p w14:paraId="401FF535">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4.</w:t>
      </w:r>
      <w:r>
        <w:rPr>
          <w:rFonts w:hint="eastAsia" w:ascii="仿宋" w:hAnsi="仿宋" w:eastAsia="仿宋" w:cs="仿宋"/>
          <w:sz w:val="24"/>
          <w:szCs w:val="24"/>
          <w:lang w:val="en-US" w:eastAsia="zh-CN"/>
        </w:rPr>
        <w:t>其它要求：由采购人、供应商双方共同开发的项目：采购人、供应商双方共同研发的该系统软件产品，知识产权归采购人、供应商双方共同拥有，软件所有数据归采购人所有。</w:t>
      </w:r>
    </w:p>
    <w:p w14:paraId="361DE3A8">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kern w:val="0"/>
          <w:sz w:val="24"/>
          <w:szCs w:val="24"/>
        </w:rPr>
        <w:t>5.</w:t>
      </w:r>
      <w:r>
        <w:rPr>
          <w:rFonts w:hint="eastAsia" w:ascii="仿宋" w:hAnsi="仿宋" w:eastAsia="仿宋" w:cs="仿宋"/>
          <w:sz w:val="24"/>
          <w:szCs w:val="24"/>
          <w:lang w:val="en-US" w:eastAsia="zh-CN"/>
        </w:rPr>
        <w:t>履约验收方案</w:t>
      </w:r>
    </w:p>
    <w:p w14:paraId="1B0740D4">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0DD99EC2">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23BF5DAF">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3B11CB81">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1A6CFF5B">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(5)履约验收内容：按照基于本项目采购需求编制的采购文件要求及供应商响应文件情况，由供应商向采购人交付的全部内容（不包含本章第三条写明的基本服务）。</w:t>
      </w:r>
    </w:p>
    <w:p w14:paraId="5DBEA0CD">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(6)履约验收时间:供应商完成本项目涉及的所有货物的安装、调试并具备验收条件后，于5日内通知采购人验收，采购人接供应商通知后10日内组织验收。</w:t>
      </w:r>
    </w:p>
    <w:p w14:paraId="3FE7BF5A">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068232A9">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02074A28">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1761CC7B">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57CC608D">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5D33AA81">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453623DD">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2F43BC0A">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678C459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61F63D61">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2E88D548">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6)其它标准：无。</w:t>
      </w:r>
    </w:p>
    <w:p w14:paraId="2A6E3269">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350EEC87">
      <w:pPr>
        <w:spacing w:line="360" w:lineRule="auto"/>
      </w:pPr>
      <w:r>
        <w:rPr>
          <w:rFonts w:hint="default" w:ascii="Times New Roman" w:hAnsi="Times New Roman" w:eastAsia="仿宋" w:cs="Times New Roman"/>
          <w:b/>
          <w:bCs/>
          <w:kern w:val="2"/>
          <w:sz w:val="24"/>
          <w:szCs w:val="24"/>
          <w:lang w:val="en-US" w:eastAsia="zh-CN"/>
        </w:rPr>
        <w:t>五、履约要求</w:t>
      </w:r>
    </w:p>
    <w:p w14:paraId="5081B9E1">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1.实施方案：供应商针对本项目提供的实施方案，包含：（1）产品部署；（2）项目实施总体进度及计划安排；（3）项目人员部署配置方案；（4）安装调试方案；（5）售后服务方案；（6）培训方案。</w:t>
      </w:r>
    </w:p>
    <w:p w14:paraId="6604520F">
      <w:pPr>
        <w:pStyle w:val="16"/>
        <w:ind w:firstLine="0"/>
        <w:rPr>
          <w:rFonts w:hint="eastAsia" w:ascii="仿宋" w:hAnsi="仿宋" w:eastAsia="仿宋" w:cs="仿宋"/>
          <w:b w:val="0"/>
          <w:sz w:val="24"/>
          <w:szCs w:val="24"/>
          <w:vertAlign w:val="baseline"/>
          <w:lang w:val="en-US" w:eastAsia="zh-CN"/>
        </w:rPr>
      </w:pPr>
      <w:r>
        <w:rPr>
          <w:rFonts w:hint="eastAsia" w:ascii="仿宋" w:hAnsi="仿宋" w:eastAsia="仿宋" w:cs="仿宋"/>
          <w:sz w:val="24"/>
          <w:szCs w:val="24"/>
          <w:lang w:val="en-US" w:eastAsia="zh-CN"/>
        </w:rPr>
        <w:t>2.业绩：供应商提供2023年1月1日（含）起至投标截止时间承担过类似业绩（指存储设备或存储实施）项目的有效证明材料。注：提供合同复印件（合同至少含关键页：合同首页、建设内容、金额、签字盖章页），并加盖供应商公章。</w:t>
      </w:r>
    </w:p>
    <w:p w14:paraId="31FFE0F8">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5FB211E8">
      <w:pPr>
        <w:rPr>
          <w:rFonts w:hint="eastAsia" w:ascii="仿宋" w:hAnsi="仿宋" w:eastAsia="仿宋" w:cs="仿宋"/>
          <w:sz w:val="24"/>
          <w:szCs w:val="24"/>
          <w:lang w:eastAsia="zh-CN"/>
        </w:rPr>
      </w:pPr>
      <w:r>
        <w:rPr>
          <w:rFonts w:hint="eastAsia" w:ascii="仿宋" w:hAnsi="仿宋" w:eastAsia="仿宋" w:cs="仿宋"/>
          <w:kern w:val="2"/>
          <w:sz w:val="24"/>
          <w:szCs w:val="24"/>
          <w:lang w:val="en-US" w:eastAsia="zh-CN"/>
        </w:rPr>
        <w:t>附件：供</w:t>
      </w:r>
      <w:r>
        <w:rPr>
          <w:rFonts w:hint="eastAsia" w:ascii="仿宋" w:hAnsi="仿宋" w:eastAsia="仿宋" w:cs="仿宋"/>
          <w:kern w:val="2"/>
          <w:sz w:val="24"/>
          <w:szCs w:val="24"/>
        </w:rPr>
        <w:t>应商</w:t>
      </w:r>
      <w:r>
        <w:rPr>
          <w:rFonts w:hint="eastAsia" w:ascii="仿宋" w:hAnsi="仿宋" w:eastAsia="仿宋" w:cs="仿宋"/>
          <w:kern w:val="2"/>
          <w:sz w:val="24"/>
          <w:szCs w:val="24"/>
          <w:lang w:val="en-US" w:eastAsia="zh-CN"/>
        </w:rPr>
        <w:t>考核</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0D965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520" w:type="dxa"/>
            <w:gridSpan w:val="6"/>
            <w:tcBorders>
              <w:top w:val="single" w:color="auto" w:sz="6" w:space="0"/>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top"/>
          </w:tcPr>
          <w:p w14:paraId="6B859A30">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四川省人民医院供应商考核</w:t>
            </w:r>
          </w:p>
        </w:tc>
      </w:tr>
      <w:tr w14:paraId="7D908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center"/>
          </w:tcPr>
          <w:p w14:paraId="19188F18">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tcBorders>
              <w:top w:val="single" w:color="auto" w:sz="6" w:space="0"/>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center"/>
          </w:tcPr>
          <w:p w14:paraId="3ABF6F13">
            <w:pPr>
              <w:keepNext w:val="0"/>
              <w:keepLines w:val="0"/>
              <w:widowControl/>
              <w:suppressLineNumbers w:val="0"/>
              <w:jc w:val="left"/>
              <w:rPr>
                <w:rFonts w:hint="eastAsia" w:ascii="仿宋" w:hAnsi="仿宋" w:eastAsia="仿宋" w:cs="仿宋"/>
                <w:sz w:val="24"/>
                <w:szCs w:val="24"/>
              </w:rPr>
            </w:pPr>
          </w:p>
        </w:tc>
        <w:tc>
          <w:tcPr>
            <w:tcW w:w="1185" w:type="dxa"/>
            <w:tcBorders>
              <w:top w:val="single" w:color="auto" w:sz="6" w:space="0"/>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center"/>
          </w:tcPr>
          <w:p w14:paraId="0F9AACE6">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tcBorders>
              <w:top w:val="single" w:color="auto" w:sz="6" w:space="0"/>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top"/>
          </w:tcPr>
          <w:p w14:paraId="2599A606">
            <w:pPr>
              <w:keepNext w:val="0"/>
              <w:keepLines w:val="0"/>
              <w:widowControl/>
              <w:suppressLineNumbers w:val="0"/>
              <w:jc w:val="left"/>
              <w:rPr>
                <w:rFonts w:hint="eastAsia" w:ascii="仿宋" w:hAnsi="仿宋" w:eastAsia="仿宋" w:cs="仿宋"/>
                <w:sz w:val="24"/>
                <w:szCs w:val="24"/>
              </w:rPr>
            </w:pPr>
          </w:p>
        </w:tc>
      </w:tr>
      <w:tr w14:paraId="336A4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1095" w:type="dxa"/>
            <w:tcBorders>
              <w:top w:val="nil"/>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center"/>
          </w:tcPr>
          <w:p w14:paraId="1CF81BE9">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tcBorders>
              <w:top w:val="nil"/>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center"/>
          </w:tcPr>
          <w:p w14:paraId="27137564">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tcBorders>
              <w:top w:val="nil"/>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center"/>
          </w:tcPr>
          <w:p w14:paraId="69AD3CA4">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tcBorders>
              <w:top w:val="nil"/>
              <w:left w:val="single" w:color="auto" w:sz="6" w:space="0"/>
              <w:bottom w:val="single" w:color="auto" w:sz="6" w:space="0"/>
              <w:right w:val="single" w:color="auto" w:sz="6" w:space="0"/>
            </w:tcBorders>
            <w:shd w:val="clear" w:color="auto" w:fill="DBE3F4"/>
            <w:tcMar>
              <w:top w:w="0" w:type="dxa"/>
              <w:left w:w="105" w:type="dxa"/>
              <w:bottom w:w="0" w:type="dxa"/>
              <w:right w:w="105" w:type="dxa"/>
            </w:tcMar>
            <w:vAlign w:val="center"/>
          </w:tcPr>
          <w:p w14:paraId="53FC281F">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78DA7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60F55F">
            <w:pPr>
              <w:pStyle w:val="14"/>
              <w:keepNext w:val="0"/>
              <w:keepLines w:val="0"/>
              <w:widowControl/>
              <w:suppressLineNumbers w:val="0"/>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性能质</w:t>
            </w:r>
          </w:p>
          <w:p w14:paraId="11B697E2">
            <w:pPr>
              <w:pStyle w:val="14"/>
              <w:keepNext w:val="0"/>
              <w:keepLines w:val="0"/>
              <w:widowControl/>
              <w:suppressLineNumbers w:val="0"/>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量评价</w:t>
            </w:r>
          </w:p>
          <w:p w14:paraId="04D1AA3B">
            <w:pPr>
              <w:pStyle w:val="14"/>
              <w:keepNext w:val="0"/>
              <w:keepLines w:val="0"/>
              <w:widowControl/>
              <w:suppressLineNumbers w:val="0"/>
              <w:spacing w:after="195" w:afterAutospacing="0"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 </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713BE2">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80798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97E7DE2">
            <w:pPr>
              <w:keepNext w:val="0"/>
              <w:keepLines w:val="0"/>
              <w:widowControl/>
              <w:suppressLineNumbers w:val="0"/>
              <w:jc w:val="left"/>
              <w:rPr>
                <w:rFonts w:hint="eastAsia" w:ascii="仿宋" w:hAnsi="仿宋" w:eastAsia="仿宋" w:cs="仿宋"/>
                <w:sz w:val="24"/>
                <w:szCs w:val="24"/>
              </w:rPr>
            </w:pPr>
          </w:p>
        </w:tc>
      </w:tr>
      <w:tr w14:paraId="074EB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1B25B2">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ABB35E">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39568E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露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034A0F4">
            <w:pPr>
              <w:keepNext w:val="0"/>
              <w:keepLines w:val="0"/>
              <w:widowControl/>
              <w:suppressLineNumbers w:val="0"/>
              <w:jc w:val="left"/>
              <w:rPr>
                <w:rFonts w:hint="eastAsia" w:ascii="仿宋" w:hAnsi="仿宋" w:eastAsia="仿宋" w:cs="仿宋"/>
                <w:sz w:val="24"/>
                <w:szCs w:val="24"/>
              </w:rPr>
            </w:pPr>
          </w:p>
        </w:tc>
      </w:tr>
      <w:tr w14:paraId="06D50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F9A72D">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181BD6">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78275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DB6A663">
            <w:pPr>
              <w:keepNext w:val="0"/>
              <w:keepLines w:val="0"/>
              <w:widowControl/>
              <w:suppressLineNumbers w:val="0"/>
              <w:jc w:val="left"/>
              <w:rPr>
                <w:rFonts w:hint="eastAsia" w:ascii="仿宋" w:hAnsi="仿宋" w:eastAsia="仿宋" w:cs="仿宋"/>
                <w:sz w:val="24"/>
                <w:szCs w:val="24"/>
              </w:rPr>
            </w:pPr>
          </w:p>
        </w:tc>
      </w:tr>
      <w:tr w14:paraId="6E0AA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5"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3988BF">
            <w:pPr>
              <w:pStyle w:val="14"/>
              <w:keepNext w:val="0"/>
              <w:keepLines w:val="0"/>
              <w:widowControl/>
              <w:suppressLineNumbers w:val="0"/>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使用支</w:t>
            </w:r>
          </w:p>
          <w:p w14:paraId="76456274">
            <w:pPr>
              <w:pStyle w:val="14"/>
              <w:keepNext w:val="0"/>
              <w:keepLines w:val="0"/>
              <w:widowControl/>
              <w:suppressLineNumbers w:val="0"/>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47B8FC">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考勤</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F72BDA">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44F3C18">
            <w:pPr>
              <w:keepNext w:val="0"/>
              <w:keepLines w:val="0"/>
              <w:widowControl/>
              <w:suppressLineNumbers w:val="0"/>
              <w:jc w:val="left"/>
              <w:rPr>
                <w:rFonts w:hint="eastAsia" w:ascii="仿宋" w:hAnsi="仿宋" w:eastAsia="仿宋" w:cs="仿宋"/>
                <w:sz w:val="24"/>
                <w:szCs w:val="24"/>
              </w:rPr>
            </w:pPr>
          </w:p>
        </w:tc>
      </w:tr>
      <w:tr w14:paraId="466B6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8CBB89">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F8DCEA">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419A3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2E2F8D5">
            <w:pPr>
              <w:keepNext w:val="0"/>
              <w:keepLines w:val="0"/>
              <w:widowControl/>
              <w:suppressLineNumbers w:val="0"/>
              <w:jc w:val="left"/>
              <w:rPr>
                <w:rFonts w:hint="eastAsia" w:ascii="仿宋" w:hAnsi="仿宋" w:eastAsia="仿宋" w:cs="仿宋"/>
                <w:sz w:val="24"/>
                <w:szCs w:val="24"/>
              </w:rPr>
            </w:pPr>
          </w:p>
        </w:tc>
      </w:tr>
      <w:tr w14:paraId="3A22D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F3C8887">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9EE63A">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备件供应</w:t>
            </w:r>
          </w:p>
          <w:p w14:paraId="3024A1AB">
            <w:pPr>
              <w:pStyle w:val="14"/>
              <w:keepNext w:val="0"/>
              <w:keepLines w:val="0"/>
              <w:widowControl/>
              <w:suppressLineNumbers w:val="0"/>
              <w:spacing w:line="405" w:lineRule="atLeast"/>
              <w:jc w:val="center"/>
              <w:rPr>
                <w:rFonts w:hint="eastAsia" w:ascii="仿宋" w:hAnsi="仿宋" w:eastAsia="仿宋" w:cs="仿宋"/>
                <w:sz w:val="24"/>
                <w:szCs w:val="24"/>
              </w:rPr>
            </w:pPr>
            <w:r>
              <w:rPr>
                <w:rFonts w:hint="eastAsia" w:ascii="仿宋" w:hAnsi="仿宋" w:eastAsia="仿宋" w:cs="仿宋"/>
                <w:sz w:val="24"/>
                <w:szCs w:val="24"/>
              </w:rPr>
              <w:t>（本项仅涉</w:t>
            </w:r>
          </w:p>
          <w:p w14:paraId="1F56D34A">
            <w:pPr>
              <w:pStyle w:val="14"/>
              <w:keepNext w:val="0"/>
              <w:keepLines w:val="0"/>
              <w:widowControl/>
              <w:suppressLineNumbers w:val="0"/>
              <w:spacing w:line="405" w:lineRule="atLeast"/>
              <w:jc w:val="center"/>
              <w:rPr>
                <w:rFonts w:hint="eastAsia" w:ascii="仿宋" w:hAnsi="仿宋" w:eastAsia="仿宋" w:cs="仿宋"/>
                <w:sz w:val="24"/>
                <w:szCs w:val="24"/>
              </w:rPr>
            </w:pPr>
            <w:r>
              <w:rPr>
                <w:rFonts w:hint="eastAsia" w:ascii="仿宋" w:hAnsi="仿宋" w:eastAsia="仿宋" w:cs="仿宋"/>
                <w:sz w:val="24"/>
                <w:szCs w:val="24"/>
              </w:rPr>
              <w:t>及提供硬件</w:t>
            </w:r>
          </w:p>
          <w:p w14:paraId="23264840">
            <w:pPr>
              <w:pStyle w:val="14"/>
              <w:keepNext w:val="0"/>
              <w:keepLines w:val="0"/>
              <w:widowControl/>
              <w:suppressLineNumbers w:val="0"/>
              <w:spacing w:line="405" w:lineRule="atLeast"/>
              <w:jc w:val="center"/>
              <w:rPr>
                <w:rFonts w:hint="eastAsia" w:ascii="仿宋" w:hAnsi="仿宋" w:eastAsia="仿宋" w:cs="仿宋"/>
                <w:sz w:val="24"/>
                <w:szCs w:val="24"/>
              </w:rPr>
            </w:pPr>
            <w:r>
              <w:rPr>
                <w:rFonts w:hint="eastAsia" w:ascii="仿宋" w:hAnsi="仿宋" w:eastAsia="仿宋" w:cs="仿宋"/>
                <w:sz w:val="24"/>
                <w:szCs w:val="24"/>
              </w:rPr>
              <w:t>的供应商）</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67FB96">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A4A87C5">
            <w:pPr>
              <w:keepNext w:val="0"/>
              <w:keepLines w:val="0"/>
              <w:widowControl/>
              <w:suppressLineNumbers w:val="0"/>
              <w:jc w:val="left"/>
              <w:rPr>
                <w:rFonts w:hint="eastAsia" w:ascii="仿宋" w:hAnsi="仿宋" w:eastAsia="仿宋" w:cs="仿宋"/>
                <w:sz w:val="24"/>
                <w:szCs w:val="24"/>
              </w:rPr>
            </w:pPr>
          </w:p>
        </w:tc>
      </w:tr>
      <w:tr w14:paraId="18FBB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5CC2AC">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6ECF34">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49561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C3ECC45">
            <w:pPr>
              <w:keepNext w:val="0"/>
              <w:keepLines w:val="0"/>
              <w:widowControl/>
              <w:suppressLineNumbers w:val="0"/>
              <w:jc w:val="left"/>
              <w:rPr>
                <w:rFonts w:hint="eastAsia" w:ascii="仿宋" w:hAnsi="仿宋" w:eastAsia="仿宋" w:cs="仿宋"/>
                <w:sz w:val="24"/>
                <w:szCs w:val="24"/>
              </w:rPr>
            </w:pPr>
          </w:p>
        </w:tc>
      </w:tr>
      <w:tr w14:paraId="0D847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27ADF0">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A45C72">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302221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1557519">
            <w:pPr>
              <w:keepNext w:val="0"/>
              <w:keepLines w:val="0"/>
              <w:widowControl/>
              <w:suppressLineNumbers w:val="0"/>
              <w:jc w:val="left"/>
              <w:rPr>
                <w:rFonts w:hint="eastAsia" w:ascii="仿宋" w:hAnsi="仿宋" w:eastAsia="仿宋" w:cs="仿宋"/>
                <w:sz w:val="24"/>
                <w:szCs w:val="24"/>
              </w:rPr>
            </w:pPr>
          </w:p>
        </w:tc>
      </w:tr>
      <w:tr w14:paraId="5055A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63059AE">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20265E">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334F2D5">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1D7BB9F">
            <w:pPr>
              <w:keepNext w:val="0"/>
              <w:keepLines w:val="0"/>
              <w:widowControl/>
              <w:suppressLineNumbers w:val="0"/>
              <w:jc w:val="left"/>
              <w:rPr>
                <w:rFonts w:hint="eastAsia" w:ascii="仿宋" w:hAnsi="仿宋" w:eastAsia="仿宋" w:cs="仿宋"/>
                <w:sz w:val="24"/>
                <w:szCs w:val="24"/>
              </w:rPr>
            </w:pPr>
          </w:p>
        </w:tc>
      </w:tr>
      <w:tr w14:paraId="5C3F1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0"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909EE7">
            <w:pPr>
              <w:pStyle w:val="14"/>
              <w:keepNext w:val="0"/>
              <w:keepLines w:val="0"/>
              <w:widowControl/>
              <w:suppressLineNumbers w:val="0"/>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违规违</w:t>
            </w:r>
          </w:p>
          <w:p w14:paraId="48AE14C7">
            <w:pPr>
              <w:pStyle w:val="14"/>
              <w:keepNext w:val="0"/>
              <w:keepLines w:val="0"/>
              <w:widowControl/>
              <w:suppressLineNumbers w:val="0"/>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3057B8">
            <w:pPr>
              <w:pStyle w:val="14"/>
              <w:keepNext w:val="0"/>
              <w:keepLines w:val="0"/>
              <w:widowControl/>
              <w:suppressLineNumbers w:val="0"/>
              <w:spacing w:after="195" w:afterAutospacing="0"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CB315C">
            <w:pPr>
              <w:pStyle w:val="14"/>
              <w:keepNext w:val="0"/>
              <w:keepLines w:val="0"/>
              <w:widowControl/>
              <w:suppressLineNumbers w:val="0"/>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FD7D9D9">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6EFD9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C2E371">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AA2A9A">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F55B1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509495">
            <w:pPr>
              <w:keepNext w:val="0"/>
              <w:keepLines w:val="0"/>
              <w:widowControl/>
              <w:suppressLineNumbers w:val="0"/>
              <w:jc w:val="left"/>
              <w:rPr>
                <w:rFonts w:hint="eastAsia" w:ascii="仿宋" w:hAnsi="仿宋" w:eastAsia="仿宋" w:cs="仿宋"/>
                <w:sz w:val="24"/>
                <w:szCs w:val="24"/>
              </w:rPr>
            </w:pPr>
          </w:p>
        </w:tc>
      </w:tr>
      <w:tr w14:paraId="4B218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36E61C">
            <w:pPr>
              <w:rPr>
                <w:rFonts w:hint="eastAsia" w:ascii="仿宋" w:hAnsi="仿宋" w:eastAsia="仿宋" w:cs="仿宋"/>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8A3422">
            <w:pPr>
              <w:pStyle w:val="14"/>
              <w:keepNext w:val="0"/>
              <w:keepLines w:val="0"/>
              <w:widowControl/>
              <w:suppressLineNumbers w:val="0"/>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927A8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其他不利于医院信息化建设相关行为，视情节严重程度，经采购人讨论酌情扣分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695FFA">
            <w:pPr>
              <w:keepNext w:val="0"/>
              <w:keepLines w:val="0"/>
              <w:widowControl/>
              <w:suppressLineNumbers w:val="0"/>
              <w:jc w:val="left"/>
              <w:rPr>
                <w:rFonts w:hint="eastAsia" w:ascii="仿宋" w:hAnsi="仿宋" w:eastAsia="仿宋" w:cs="仿宋"/>
                <w:sz w:val="24"/>
                <w:szCs w:val="24"/>
              </w:rPr>
            </w:pPr>
          </w:p>
        </w:tc>
      </w:tr>
      <w:tr w14:paraId="3B190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3F057CD">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C33854">
            <w:pPr>
              <w:keepNext w:val="0"/>
              <w:keepLines w:val="0"/>
              <w:widowControl/>
              <w:suppressLineNumbers w:val="0"/>
              <w:jc w:val="left"/>
              <w:rPr>
                <w:rFonts w:hint="eastAsia" w:ascii="仿宋" w:hAnsi="仿宋" w:eastAsia="仿宋" w:cs="仿宋"/>
                <w:sz w:val="24"/>
                <w:szCs w:val="24"/>
              </w:rPr>
            </w:pPr>
          </w:p>
        </w:tc>
      </w:tr>
      <w:tr w14:paraId="5371F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F29B6F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2F8C38">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w:t>
            </w:r>
          </w:p>
          <w:p w14:paraId="7BFCB5F1">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051FEABC">
      <w:pPr>
        <w:pStyle w:val="16"/>
        <w:spacing w:line="360" w:lineRule="auto"/>
        <w:ind w:firstLine="420" w:firstLineChars="200"/>
        <w:rPr>
          <w:rFonts w:hint="eastAsia" w:ascii="仿宋" w:hAnsi="仿宋" w:eastAsia="仿宋" w:cs="仿宋"/>
          <w:sz w:val="21"/>
          <w:szCs w:val="21"/>
        </w:rPr>
      </w:pPr>
    </w:p>
    <w:p w14:paraId="46D441E4">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备注：</w:t>
      </w:r>
    </w:p>
    <w:p w14:paraId="72C0F801">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 服务期内，采购人可按照本项目采购需求内容对应的考核指标对供应商进行考核，具体指标以采购人要求为准；</w:t>
      </w:r>
    </w:p>
    <w:p w14:paraId="55512B0A">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 考核关联最终付款金额，具体计算规则如下：</w:t>
      </w:r>
    </w:p>
    <w:p w14:paraId="7CFA8A1E">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平均扣分=服务期汇总考核扣分之和÷服务期内考核次数</w:t>
      </w:r>
    </w:p>
    <w:p w14:paraId="59C98780">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2）0分&lt;平均扣分≤3分，将对供应商进行诫勉谈话；  </w:t>
      </w:r>
    </w:p>
    <w:p w14:paraId="6B15CBAF">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3）3分&lt;平均扣分≤5分，对供应商提出警告，从合同待支付金额中或履约保证金中扣除合同总金额5%费用，扣完为止；</w:t>
      </w:r>
    </w:p>
    <w:p w14:paraId="1B9E2D78">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4）5分&lt;平均扣分≤10分，对供应商提出严重警告，从合同待支付金额中或履约保证金中扣除合同总金额10%费用，扣完为止；</w:t>
      </w:r>
    </w:p>
    <w:p w14:paraId="1F15A244">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4）10分&lt;平均扣分，视为不合格，终止合同，合同待支付金额不予支付，履约保金不予退还；</w:t>
      </w:r>
    </w:p>
    <w:p w14:paraId="3FFE8B6D">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 供应商出现一票否决时，将对其违法违纪的相关情况汇报院纪委，同时按供应商违约情况取消本次合作，扣除所有剩余款项，履约保证金不予退还，并保留后续追究供应商责任的权利。</w:t>
      </w:r>
    </w:p>
    <w:p w14:paraId="6B256D74">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 如合同待支付金额或履约保证金中无款可扣且考核后出现扣款情况， 供应商承诺在得到采购人考核结果后的10日内向采购人缴纳对应的扣款金额（提供承诺函）。</w:t>
      </w:r>
    </w:p>
    <w:p w14:paraId="74447C5D">
      <w:pPr>
        <w:pStyle w:val="16"/>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 本考核指标最终解释权归四川省医学科学院·四川省人民医院。</w:t>
      </w:r>
    </w:p>
    <w:p w14:paraId="18058335">
      <w:pPr>
        <w:pStyle w:val="16"/>
        <w:ind w:firstLine="420" w:firstLineChars="200"/>
        <w:rPr>
          <w:rFonts w:ascii="Times New Roman" w:hAnsi="Times New Roman" w:eastAsia="仿宋" w:cs="Times New Roman"/>
          <w:sz w:val="24"/>
          <w:szCs w:val="24"/>
        </w:rPr>
      </w:pPr>
      <w:r>
        <w:rPr>
          <w:rFonts w:hint="eastAsia" w:ascii="仿宋" w:hAnsi="仿宋" w:eastAsia="仿宋" w:cs="仿宋"/>
          <w:sz w:val="21"/>
          <w:szCs w:val="21"/>
        </w:rPr>
        <w:t>注：本章中带“</w:t>
      </w:r>
      <w:r>
        <w:rPr>
          <w:rFonts w:hint="eastAsia" w:ascii="仿宋" w:hAnsi="仿宋" w:eastAsia="仿宋" w:cs="仿宋"/>
          <w:b/>
          <w:bCs/>
          <w:sz w:val="21"/>
          <w:szCs w:val="21"/>
        </w:rPr>
        <w:t>★</w:t>
      </w:r>
      <w:r>
        <w:rPr>
          <w:rFonts w:hint="eastAsia" w:ascii="仿宋" w:hAnsi="仿宋" w:eastAsia="仿宋" w:cs="仿宋"/>
          <w:sz w:val="21"/>
          <w:szCs w:val="21"/>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557"/>
        <w:gridCol w:w="825"/>
        <w:gridCol w:w="5775"/>
        <w:gridCol w:w="925"/>
      </w:tblGrid>
      <w:tr w14:paraId="6830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7F4DA47E">
            <w:pPr>
              <w:spacing w:line="360" w:lineRule="auto"/>
              <w:ind w:firstLine="28"/>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556" w:type="dxa"/>
            <w:tcBorders>
              <w:top w:val="single" w:color="auto" w:sz="4" w:space="0"/>
              <w:left w:val="single" w:color="auto" w:sz="4" w:space="0"/>
              <w:bottom w:val="single" w:color="auto" w:sz="4" w:space="0"/>
              <w:right w:val="single" w:color="auto" w:sz="4" w:space="0"/>
            </w:tcBorders>
            <w:vAlign w:val="center"/>
          </w:tcPr>
          <w:p w14:paraId="2B9486A7">
            <w:pPr>
              <w:spacing w:line="360" w:lineRule="auto"/>
              <w:ind w:firstLine="28"/>
              <w:jc w:val="center"/>
              <w:rPr>
                <w:rFonts w:hint="eastAsia" w:ascii="仿宋" w:hAnsi="仿宋" w:eastAsia="仿宋" w:cs="仿宋"/>
                <w:b/>
                <w:bCs/>
                <w:sz w:val="24"/>
                <w:szCs w:val="24"/>
              </w:rPr>
            </w:pPr>
            <w:r>
              <w:rPr>
                <w:rFonts w:hint="eastAsia" w:ascii="仿宋" w:hAnsi="仿宋" w:eastAsia="仿宋" w:cs="仿宋"/>
                <w:b/>
                <w:bCs/>
                <w:sz w:val="24"/>
                <w:szCs w:val="24"/>
              </w:rPr>
              <w:t>评审因素</w:t>
            </w:r>
          </w:p>
        </w:tc>
        <w:tc>
          <w:tcPr>
            <w:tcW w:w="825" w:type="dxa"/>
            <w:tcBorders>
              <w:top w:val="single" w:color="auto" w:sz="4" w:space="0"/>
              <w:left w:val="single" w:color="auto" w:sz="4" w:space="0"/>
              <w:bottom w:val="single" w:color="auto" w:sz="4" w:space="0"/>
              <w:right w:val="single" w:color="auto" w:sz="4" w:space="0"/>
            </w:tcBorders>
            <w:vAlign w:val="center"/>
          </w:tcPr>
          <w:p w14:paraId="1FDBDF58">
            <w:pPr>
              <w:spacing w:line="360" w:lineRule="auto"/>
              <w:ind w:firstLine="28"/>
              <w:jc w:val="center"/>
              <w:rPr>
                <w:rFonts w:hint="eastAsia" w:ascii="仿宋" w:hAnsi="仿宋" w:eastAsia="仿宋" w:cs="仿宋"/>
                <w:b/>
                <w:bCs/>
                <w:sz w:val="24"/>
                <w:szCs w:val="24"/>
              </w:rPr>
            </w:pPr>
            <w:r>
              <w:rPr>
                <w:rFonts w:hint="eastAsia" w:ascii="仿宋" w:hAnsi="仿宋" w:eastAsia="仿宋" w:cs="仿宋"/>
                <w:b/>
                <w:bCs/>
                <w:sz w:val="24"/>
                <w:szCs w:val="24"/>
              </w:rPr>
              <w:t>分值</w:t>
            </w:r>
          </w:p>
        </w:tc>
        <w:tc>
          <w:tcPr>
            <w:tcW w:w="5775" w:type="dxa"/>
            <w:tcBorders>
              <w:top w:val="single" w:color="auto" w:sz="4" w:space="0"/>
              <w:left w:val="single" w:color="auto" w:sz="4" w:space="0"/>
              <w:bottom w:val="single" w:color="auto" w:sz="4" w:space="0"/>
              <w:right w:val="single" w:color="auto" w:sz="4" w:space="0"/>
            </w:tcBorders>
            <w:vAlign w:val="center"/>
          </w:tcPr>
          <w:p w14:paraId="735940A3">
            <w:pPr>
              <w:spacing w:line="360" w:lineRule="auto"/>
              <w:ind w:firstLine="28"/>
              <w:jc w:val="center"/>
              <w:rPr>
                <w:rFonts w:hint="eastAsia" w:ascii="仿宋" w:hAnsi="仿宋" w:eastAsia="仿宋" w:cs="仿宋"/>
                <w:b/>
                <w:bCs/>
                <w:sz w:val="24"/>
                <w:szCs w:val="24"/>
              </w:rPr>
            </w:pPr>
            <w:r>
              <w:rPr>
                <w:rFonts w:hint="eastAsia" w:ascii="仿宋" w:hAnsi="仿宋" w:eastAsia="仿宋" w:cs="仿宋"/>
                <w:b/>
                <w:bCs/>
                <w:sz w:val="24"/>
                <w:szCs w:val="24"/>
              </w:rPr>
              <w:t>评分标准</w:t>
            </w:r>
          </w:p>
        </w:tc>
        <w:tc>
          <w:tcPr>
            <w:tcW w:w="925" w:type="dxa"/>
            <w:tcBorders>
              <w:top w:val="single" w:color="auto" w:sz="4" w:space="0"/>
              <w:left w:val="single" w:color="auto" w:sz="4" w:space="0"/>
              <w:bottom w:val="single" w:color="auto" w:sz="4" w:space="0"/>
              <w:right w:val="single" w:color="auto" w:sz="4" w:space="0"/>
            </w:tcBorders>
            <w:vAlign w:val="center"/>
          </w:tcPr>
          <w:p w14:paraId="1C063ACA">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说明</w:t>
            </w:r>
          </w:p>
        </w:tc>
      </w:tr>
      <w:tr w14:paraId="7B3F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0DE13E65">
            <w:pPr>
              <w:spacing w:line="360" w:lineRule="auto"/>
              <w:ind w:firstLine="28"/>
              <w:jc w:val="center"/>
              <w:rPr>
                <w:rFonts w:hint="eastAsia" w:ascii="仿宋" w:hAnsi="仿宋" w:eastAsia="仿宋" w:cs="仿宋"/>
                <w:sz w:val="24"/>
                <w:szCs w:val="24"/>
              </w:rPr>
            </w:pPr>
            <w:r>
              <w:rPr>
                <w:rFonts w:hint="eastAsia" w:ascii="仿宋" w:hAnsi="仿宋" w:eastAsia="仿宋" w:cs="仿宋"/>
                <w:sz w:val="24"/>
                <w:szCs w:val="24"/>
              </w:rPr>
              <w:t>1</w:t>
            </w:r>
          </w:p>
        </w:tc>
        <w:tc>
          <w:tcPr>
            <w:tcW w:w="1556" w:type="dxa"/>
            <w:tcBorders>
              <w:top w:val="single" w:color="auto" w:sz="4" w:space="0"/>
              <w:left w:val="single" w:color="auto" w:sz="4" w:space="0"/>
              <w:bottom w:val="single" w:color="auto" w:sz="4" w:space="0"/>
              <w:right w:val="single" w:color="auto" w:sz="4" w:space="0"/>
            </w:tcBorders>
            <w:vAlign w:val="center"/>
          </w:tcPr>
          <w:p w14:paraId="6E5FFE10">
            <w:pPr>
              <w:spacing w:line="360" w:lineRule="auto"/>
              <w:ind w:firstLine="28"/>
              <w:jc w:val="center"/>
              <w:rPr>
                <w:rFonts w:hint="default" w:ascii="仿宋" w:hAnsi="仿宋" w:eastAsia="仿宋" w:cs="仿宋"/>
                <w:sz w:val="24"/>
                <w:szCs w:val="24"/>
                <w:lang w:val="en-US" w:eastAsia="zh-CN"/>
              </w:rPr>
            </w:pPr>
            <w:r>
              <w:rPr>
                <w:rFonts w:hint="eastAsia" w:ascii="仿宋" w:hAnsi="仿宋" w:eastAsia="仿宋" w:cs="仿宋"/>
                <w:bCs/>
                <w:sz w:val="24"/>
                <w:szCs w:val="24"/>
                <w:lang w:val="en-US" w:eastAsia="zh-CN"/>
              </w:rPr>
              <w:t>报价35%</w:t>
            </w:r>
          </w:p>
        </w:tc>
        <w:tc>
          <w:tcPr>
            <w:tcW w:w="825" w:type="dxa"/>
            <w:tcBorders>
              <w:top w:val="single" w:color="auto" w:sz="4" w:space="0"/>
              <w:left w:val="single" w:color="auto" w:sz="4" w:space="0"/>
              <w:bottom w:val="single" w:color="auto" w:sz="4" w:space="0"/>
              <w:right w:val="single" w:color="auto" w:sz="4" w:space="0"/>
            </w:tcBorders>
            <w:vAlign w:val="center"/>
          </w:tcPr>
          <w:p w14:paraId="74E5CB0C">
            <w:pPr>
              <w:spacing w:line="360" w:lineRule="auto"/>
              <w:ind w:firstLine="28"/>
              <w:jc w:val="center"/>
              <w:rPr>
                <w:rFonts w:hint="eastAsia" w:ascii="仿宋" w:hAnsi="仿宋" w:eastAsia="仿宋" w:cs="仿宋"/>
                <w:sz w:val="24"/>
                <w:szCs w:val="24"/>
              </w:rPr>
            </w:pPr>
            <w:r>
              <w:rPr>
                <w:rFonts w:hint="eastAsia" w:ascii="仿宋" w:hAnsi="仿宋" w:eastAsia="仿宋" w:cs="仿宋"/>
                <w:bCs/>
                <w:sz w:val="24"/>
                <w:szCs w:val="24"/>
                <w:lang w:val="en-US" w:eastAsia="zh-CN"/>
              </w:rPr>
              <w:t>35</w:t>
            </w:r>
            <w:r>
              <w:rPr>
                <w:rFonts w:hint="eastAsia" w:ascii="仿宋" w:hAnsi="仿宋" w:eastAsia="仿宋" w:cs="仿宋"/>
                <w:bCs/>
                <w:sz w:val="24"/>
                <w:szCs w:val="24"/>
              </w:rPr>
              <w:t>分</w:t>
            </w:r>
          </w:p>
        </w:tc>
        <w:tc>
          <w:tcPr>
            <w:tcW w:w="5775" w:type="dxa"/>
            <w:tcBorders>
              <w:top w:val="single" w:color="auto" w:sz="4" w:space="0"/>
              <w:left w:val="single" w:color="auto" w:sz="4" w:space="0"/>
              <w:bottom w:val="single" w:color="auto" w:sz="4" w:space="0"/>
              <w:right w:val="single" w:color="auto" w:sz="4" w:space="0"/>
            </w:tcBorders>
            <w:vAlign w:val="center"/>
          </w:tcPr>
          <w:p w14:paraId="4611A876">
            <w:pPr>
              <w:spacing w:line="360" w:lineRule="auto"/>
              <w:jc w:val="left"/>
              <w:rPr>
                <w:rFonts w:hint="default" w:ascii="仿宋" w:hAnsi="仿宋" w:eastAsia="仿宋" w:cs="仿宋"/>
                <w:sz w:val="24"/>
                <w:szCs w:val="24"/>
                <w:lang w:val="en-US"/>
              </w:rPr>
            </w:pPr>
            <w:r>
              <w:rPr>
                <w:rFonts w:hint="eastAsia" w:ascii="仿宋" w:hAnsi="仿宋" w:eastAsia="仿宋" w:cs="仿宋"/>
                <w:sz w:val="24"/>
                <w:szCs w:val="24"/>
                <w:highlight w:val="none"/>
              </w:rPr>
              <w:t>以本次最低有效</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报价为基准价，其价格分为满分，</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报价得分=(基准价／</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报价) *</w:t>
            </w:r>
            <w:r>
              <w:rPr>
                <w:rFonts w:hint="eastAsia" w:ascii="仿宋" w:hAnsi="仿宋" w:eastAsia="仿宋" w:cs="仿宋"/>
                <w:sz w:val="24"/>
                <w:szCs w:val="24"/>
                <w:highlight w:val="none"/>
                <w:lang w:val="en-US" w:eastAsia="zh-CN"/>
              </w:rPr>
              <w:t>35。</w:t>
            </w:r>
          </w:p>
        </w:tc>
        <w:tc>
          <w:tcPr>
            <w:tcW w:w="925" w:type="dxa"/>
            <w:tcBorders>
              <w:top w:val="single" w:color="auto" w:sz="4" w:space="0"/>
              <w:left w:val="single" w:color="auto" w:sz="4" w:space="0"/>
              <w:bottom w:val="single" w:color="auto" w:sz="4" w:space="0"/>
              <w:right w:val="single" w:color="auto" w:sz="4" w:space="0"/>
            </w:tcBorders>
            <w:vAlign w:val="center"/>
          </w:tcPr>
          <w:p w14:paraId="32A6A61F">
            <w:pPr>
              <w:spacing w:line="360" w:lineRule="auto"/>
              <w:jc w:val="center"/>
              <w:rPr>
                <w:rFonts w:hint="eastAsia" w:ascii="仿宋" w:hAnsi="仿宋" w:eastAsia="仿宋" w:cs="仿宋"/>
                <w:sz w:val="24"/>
                <w:szCs w:val="24"/>
                <w:lang w:eastAsia="zh-CN"/>
              </w:rPr>
            </w:pPr>
          </w:p>
        </w:tc>
      </w:tr>
      <w:tr w14:paraId="1536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1430453D">
            <w:pPr>
              <w:spacing w:line="360" w:lineRule="auto"/>
              <w:ind w:firstLine="28"/>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556" w:type="dxa"/>
            <w:tcBorders>
              <w:top w:val="single" w:color="auto" w:sz="4" w:space="0"/>
              <w:left w:val="single" w:color="auto" w:sz="4" w:space="0"/>
              <w:bottom w:val="single" w:color="auto" w:sz="4" w:space="0"/>
              <w:right w:val="single" w:color="auto" w:sz="4" w:space="0"/>
            </w:tcBorders>
            <w:vAlign w:val="center"/>
          </w:tcPr>
          <w:p w14:paraId="32D3FB77">
            <w:pPr>
              <w:spacing w:line="360" w:lineRule="auto"/>
              <w:ind w:firstLine="28"/>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技术参数要求45%</w:t>
            </w:r>
          </w:p>
        </w:tc>
        <w:tc>
          <w:tcPr>
            <w:tcW w:w="825" w:type="dxa"/>
            <w:tcBorders>
              <w:top w:val="single" w:color="auto" w:sz="4" w:space="0"/>
              <w:left w:val="single" w:color="auto" w:sz="4" w:space="0"/>
              <w:bottom w:val="single" w:color="auto" w:sz="4" w:space="0"/>
              <w:right w:val="single" w:color="auto" w:sz="4" w:space="0"/>
            </w:tcBorders>
            <w:vAlign w:val="center"/>
          </w:tcPr>
          <w:p w14:paraId="12F9E0E1">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45分</w:t>
            </w:r>
          </w:p>
        </w:tc>
        <w:tc>
          <w:tcPr>
            <w:tcW w:w="5775" w:type="dxa"/>
            <w:tcBorders>
              <w:top w:val="single" w:color="auto" w:sz="4" w:space="0"/>
              <w:left w:val="single" w:color="auto" w:sz="4" w:space="0"/>
              <w:bottom w:val="single" w:color="auto" w:sz="4" w:space="0"/>
              <w:right w:val="single" w:color="auto" w:sz="4" w:space="0"/>
            </w:tcBorders>
            <w:vAlign w:val="center"/>
          </w:tcPr>
          <w:p w14:paraId="7E424833">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供应商响应文件完全符合谈判文件第四章 采购需求 “（二）技术参数”的得45分。</w:t>
            </w:r>
          </w:p>
          <w:p w14:paraId="1D1C4BFC">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带“★”的为实质性要求，不允许有负偏离，不作为评审要求；非“★”的为一般技术参数条款，作为一般评分因素。</w:t>
            </w:r>
          </w:p>
          <w:p w14:paraId="46D494C9">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技术参数条款的响应得分规则如下：</w:t>
            </w:r>
          </w:p>
          <w:p w14:paraId="5E64E209">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一般技术参数条款响应得分=（供应商满足一般技术参数条款的数量÷ 一般技术参数条款的总数量）×45分。</w:t>
            </w:r>
          </w:p>
          <w:p w14:paraId="2C296E88">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注：①得分保留小数点后两位小数，四舍五入。</w:t>
            </w:r>
          </w:p>
          <w:p w14:paraId="64E82320">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②以项数以不能再拆分的最小项为一项。</w:t>
            </w:r>
          </w:p>
          <w:p w14:paraId="4FE971F8">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③若采购文件技术参数中明确需提供相应的证明材料进行佐证的，供应商应按要求提供；否则视为负偏离。</w:t>
            </w:r>
          </w:p>
        </w:tc>
        <w:tc>
          <w:tcPr>
            <w:tcW w:w="925" w:type="dxa"/>
            <w:tcBorders>
              <w:top w:val="single" w:color="auto" w:sz="4" w:space="0"/>
              <w:left w:val="single" w:color="auto" w:sz="4" w:space="0"/>
              <w:bottom w:val="single" w:color="auto" w:sz="4" w:space="0"/>
              <w:right w:val="single" w:color="auto" w:sz="4" w:space="0"/>
            </w:tcBorders>
            <w:vAlign w:val="center"/>
          </w:tcPr>
          <w:p w14:paraId="4910982C">
            <w:pPr>
              <w:spacing w:line="360" w:lineRule="auto"/>
              <w:jc w:val="center"/>
              <w:rPr>
                <w:rFonts w:hint="eastAsia" w:ascii="仿宋" w:hAnsi="仿宋" w:eastAsia="仿宋" w:cs="仿宋"/>
                <w:sz w:val="24"/>
                <w:szCs w:val="24"/>
                <w:lang w:eastAsia="zh-CN"/>
              </w:rPr>
            </w:pPr>
          </w:p>
        </w:tc>
      </w:tr>
      <w:tr w14:paraId="3969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72" w:type="dxa"/>
            <w:tcBorders>
              <w:top w:val="single" w:color="auto" w:sz="4" w:space="0"/>
              <w:left w:val="single" w:color="auto" w:sz="4" w:space="0"/>
              <w:right w:val="single" w:color="auto" w:sz="4" w:space="0"/>
            </w:tcBorders>
            <w:vAlign w:val="center"/>
          </w:tcPr>
          <w:p w14:paraId="143AB941">
            <w:pPr>
              <w:spacing w:line="360" w:lineRule="auto"/>
              <w:ind w:firstLine="28"/>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556" w:type="dxa"/>
            <w:tcBorders>
              <w:top w:val="single" w:color="auto" w:sz="4" w:space="0"/>
              <w:left w:val="single" w:color="auto" w:sz="4" w:space="0"/>
              <w:right w:val="single" w:color="auto" w:sz="4" w:space="0"/>
            </w:tcBorders>
            <w:vAlign w:val="center"/>
          </w:tcPr>
          <w:p w14:paraId="70180820">
            <w:pPr>
              <w:rPr>
                <w:rFonts w:hint="eastAsia" w:ascii="仿宋" w:hAnsi="仿宋" w:eastAsia="仿宋" w:cs="仿宋"/>
                <w:sz w:val="24"/>
                <w:szCs w:val="24"/>
                <w:lang w:val="en-US" w:eastAsia="zh-CN"/>
              </w:rPr>
            </w:pPr>
            <w:r>
              <w:rPr>
                <w:rFonts w:hint="eastAsia" w:ascii="仿宋" w:hAnsi="仿宋" w:eastAsia="仿宋" w:cs="仿宋"/>
                <w:sz w:val="24"/>
                <w:szCs w:val="24"/>
              </w:rPr>
              <w:t>实施方案</w:t>
            </w:r>
            <w:r>
              <w:rPr>
                <w:rFonts w:hint="eastAsia" w:ascii="仿宋" w:hAnsi="仿宋" w:eastAsia="仿宋" w:cs="仿宋"/>
                <w:sz w:val="24"/>
                <w:szCs w:val="24"/>
                <w:lang w:val="en-US" w:eastAsia="zh-CN"/>
              </w:rPr>
              <w:t>12%</w:t>
            </w:r>
          </w:p>
        </w:tc>
        <w:tc>
          <w:tcPr>
            <w:tcW w:w="825" w:type="dxa"/>
            <w:tcBorders>
              <w:top w:val="single" w:color="auto" w:sz="4" w:space="0"/>
              <w:left w:val="single" w:color="auto" w:sz="4" w:space="0"/>
              <w:bottom w:val="single" w:color="auto" w:sz="4" w:space="0"/>
              <w:right w:val="single" w:color="auto" w:sz="4" w:space="0"/>
            </w:tcBorders>
            <w:vAlign w:val="center"/>
          </w:tcPr>
          <w:p w14:paraId="456EA074">
            <w:pPr>
              <w:spacing w:line="360" w:lineRule="auto"/>
              <w:ind w:firstLine="28"/>
              <w:jc w:val="center"/>
              <w:rPr>
                <w:rFonts w:hint="eastAsia" w:ascii="仿宋" w:hAnsi="仿宋" w:eastAsia="仿宋" w:cs="仿宋"/>
                <w:bCs/>
                <w:sz w:val="24"/>
                <w:szCs w:val="24"/>
              </w:rPr>
            </w:pPr>
            <w:r>
              <w:rPr>
                <w:rFonts w:hint="eastAsia" w:ascii="仿宋" w:hAnsi="仿宋" w:eastAsia="仿宋" w:cs="仿宋"/>
                <w:bCs/>
                <w:sz w:val="24"/>
                <w:szCs w:val="24"/>
                <w:lang w:val="en-US" w:eastAsia="zh-CN"/>
              </w:rPr>
              <w:t>12</w:t>
            </w:r>
            <w:r>
              <w:rPr>
                <w:rFonts w:hint="eastAsia" w:ascii="仿宋" w:hAnsi="仿宋" w:eastAsia="仿宋" w:cs="仿宋"/>
                <w:bCs/>
                <w:sz w:val="24"/>
                <w:szCs w:val="24"/>
              </w:rPr>
              <w:t>分</w:t>
            </w:r>
          </w:p>
        </w:tc>
        <w:tc>
          <w:tcPr>
            <w:tcW w:w="5775" w:type="dxa"/>
            <w:tcBorders>
              <w:top w:val="single" w:color="auto" w:sz="4" w:space="0"/>
              <w:left w:val="single" w:color="auto" w:sz="4" w:space="0"/>
              <w:bottom w:val="single" w:color="auto" w:sz="4" w:space="0"/>
              <w:right w:val="single" w:color="auto" w:sz="4" w:space="0"/>
            </w:tcBorders>
            <w:vAlign w:val="center"/>
          </w:tcPr>
          <w:p w14:paraId="785B17AD">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供应商针对本项目提供的实施方案，包含：（1）产品部署；（2）项目实施总体进度及计划安排；（3）项目人员部署配置方案；（4）安装调试方案；（5）售后服务方案；（6）培训方案。涵盖以上内容且不存在缺陷得12分，在此基础上，每缺少一项内容扣2分，每有一处内容存在缺陷扣1分，扣完为止。（内容无缺陷，“内容存在缺陷”是指：①提供的方案中引用法律、规范、标准存在失效或错误；②非专门针对本项目或内容与本项目需求无关；③内容矛盾或表述前后不一致；④复制或套用其他项目内容；以上任意一种情形。）</w:t>
            </w:r>
          </w:p>
        </w:tc>
        <w:tc>
          <w:tcPr>
            <w:tcW w:w="925" w:type="dxa"/>
            <w:tcBorders>
              <w:top w:val="single" w:color="auto" w:sz="4" w:space="0"/>
              <w:left w:val="single" w:color="auto" w:sz="4" w:space="0"/>
              <w:bottom w:val="single" w:color="auto" w:sz="4" w:space="0"/>
              <w:right w:val="single" w:color="auto" w:sz="4" w:space="0"/>
            </w:tcBorders>
            <w:vAlign w:val="center"/>
          </w:tcPr>
          <w:p w14:paraId="119B7DE0">
            <w:pPr>
              <w:pStyle w:val="14"/>
              <w:keepNext w:val="0"/>
              <w:keepLines w:val="0"/>
              <w:widowControl/>
              <w:suppressLineNumbers w:val="0"/>
              <w:spacing w:line="360" w:lineRule="auto"/>
              <w:rPr>
                <w:rFonts w:hint="default" w:ascii="仿宋" w:hAnsi="仿宋" w:eastAsia="仿宋" w:cs="仿宋"/>
                <w:sz w:val="24"/>
                <w:szCs w:val="24"/>
                <w:lang w:val="en-US" w:eastAsia="zh-CN"/>
              </w:rPr>
            </w:pPr>
          </w:p>
        </w:tc>
      </w:tr>
      <w:tr w14:paraId="0F42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1A63A5D5">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1556" w:type="dxa"/>
            <w:tcBorders>
              <w:top w:val="single" w:color="auto" w:sz="4" w:space="0"/>
              <w:left w:val="single" w:color="auto" w:sz="4" w:space="0"/>
              <w:bottom w:val="single" w:color="auto" w:sz="4" w:space="0"/>
              <w:right w:val="single" w:color="auto" w:sz="4" w:space="0"/>
            </w:tcBorders>
            <w:vAlign w:val="center"/>
          </w:tcPr>
          <w:p w14:paraId="2889A079">
            <w:pPr>
              <w:spacing w:line="360" w:lineRule="auto"/>
              <w:ind w:firstLine="28"/>
              <w:jc w:val="center"/>
              <w:rPr>
                <w:rFonts w:hint="default" w:ascii="仿宋" w:hAnsi="仿宋" w:eastAsia="仿宋" w:cs="仿宋"/>
                <w:bCs/>
                <w:sz w:val="24"/>
                <w:szCs w:val="24"/>
                <w:lang w:val="en-US" w:eastAsia="zh-CN"/>
              </w:rPr>
            </w:pPr>
            <w:r>
              <w:rPr>
                <w:rFonts w:hint="eastAsia" w:ascii="仿宋" w:hAnsi="仿宋" w:eastAsia="仿宋" w:cs="仿宋"/>
                <w:sz w:val="24"/>
                <w:szCs w:val="24"/>
                <w:lang w:val="en-US" w:eastAsia="zh-CN"/>
              </w:rPr>
              <w:t>业绩</w:t>
            </w:r>
            <w:r>
              <w:rPr>
                <w:rFonts w:hint="eastAsia" w:ascii="仿宋" w:hAnsi="仿宋" w:eastAsia="仿宋" w:cs="仿宋"/>
                <w:sz w:val="24"/>
                <w:szCs w:val="24"/>
              </w:rPr>
              <w:t xml:space="preserve"> </w:t>
            </w:r>
            <w:r>
              <w:rPr>
                <w:rFonts w:hint="eastAsia" w:ascii="仿宋" w:hAnsi="仿宋" w:eastAsia="仿宋" w:cs="仿宋"/>
                <w:bCs/>
                <w:sz w:val="24"/>
                <w:szCs w:val="24"/>
                <w:lang w:val="en-US" w:eastAsia="zh-CN"/>
              </w:rPr>
              <w:t>8%</w:t>
            </w:r>
          </w:p>
        </w:tc>
        <w:tc>
          <w:tcPr>
            <w:tcW w:w="825" w:type="dxa"/>
            <w:tcBorders>
              <w:top w:val="single" w:color="auto" w:sz="4" w:space="0"/>
              <w:left w:val="single" w:color="auto" w:sz="4" w:space="0"/>
              <w:bottom w:val="single" w:color="auto" w:sz="4" w:space="0"/>
              <w:right w:val="single" w:color="auto" w:sz="4" w:space="0"/>
            </w:tcBorders>
            <w:vAlign w:val="center"/>
          </w:tcPr>
          <w:p w14:paraId="6E0BB123">
            <w:pPr>
              <w:spacing w:line="360" w:lineRule="auto"/>
              <w:ind w:firstLine="28"/>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8分</w:t>
            </w:r>
          </w:p>
        </w:tc>
        <w:tc>
          <w:tcPr>
            <w:tcW w:w="5775" w:type="dxa"/>
            <w:tcBorders>
              <w:top w:val="single" w:color="auto" w:sz="4" w:space="0"/>
              <w:left w:val="single" w:color="auto" w:sz="4" w:space="0"/>
              <w:bottom w:val="single" w:color="auto" w:sz="4" w:space="0"/>
              <w:right w:val="single" w:color="auto" w:sz="4" w:space="0"/>
            </w:tcBorders>
            <w:vAlign w:val="center"/>
          </w:tcPr>
          <w:p w14:paraId="28A75064">
            <w:pPr>
              <w:spacing w:line="360" w:lineRule="auto"/>
              <w:jc w:val="left"/>
              <w:rPr>
                <w:rFonts w:hint="eastAsia" w:ascii="仿宋" w:hAnsi="仿宋" w:eastAsia="仿宋" w:cs="仿宋"/>
                <w:bCs/>
                <w:sz w:val="24"/>
                <w:szCs w:val="24"/>
              </w:rPr>
            </w:pPr>
            <w:r>
              <w:rPr>
                <w:rFonts w:hint="eastAsia" w:ascii="仿宋" w:hAnsi="仿宋" w:eastAsia="仿宋" w:cs="仿宋"/>
                <w:kern w:val="2"/>
                <w:sz w:val="24"/>
                <w:szCs w:val="24"/>
                <w:lang w:val="en-US" w:eastAsia="zh-CN" w:bidi="ar-SA"/>
              </w:rPr>
              <w:t>供应商提供2023年1月1日（含）起至投标截止时间承担过类似业绩（指存储设备或存储实施）项目的有效证明材料</w:t>
            </w:r>
            <w:r>
              <w:rPr>
                <w:rFonts w:hint="eastAsia" w:ascii="仿宋" w:hAnsi="仿宋" w:eastAsia="仿宋" w:cs="仿宋"/>
                <w:bCs/>
                <w:sz w:val="24"/>
                <w:szCs w:val="24"/>
              </w:rPr>
              <w:t>，每个得2分，最高8分。</w:t>
            </w:r>
          </w:p>
          <w:p w14:paraId="4F03C939">
            <w:pPr>
              <w:spacing w:line="360" w:lineRule="auto"/>
              <w:jc w:val="left"/>
              <w:rPr>
                <w:rFonts w:hint="eastAsia" w:ascii="仿宋" w:hAnsi="仿宋" w:eastAsia="仿宋" w:cs="仿宋"/>
                <w:bCs/>
                <w:sz w:val="24"/>
                <w:szCs w:val="24"/>
              </w:rPr>
            </w:pPr>
            <w:r>
              <w:rPr>
                <w:rFonts w:hint="eastAsia" w:ascii="仿宋" w:hAnsi="仿宋" w:eastAsia="仿宋" w:cs="仿宋"/>
                <w:bCs/>
                <w:sz w:val="24"/>
                <w:szCs w:val="24"/>
              </w:rPr>
              <w:t>注：提供合同复印件（合同至少含关键页：合同首页、建设内容、金额、签字盖章页），并加盖供应商公章，缺项或不提供的不得分。</w:t>
            </w:r>
          </w:p>
        </w:tc>
        <w:tc>
          <w:tcPr>
            <w:tcW w:w="925" w:type="dxa"/>
            <w:tcBorders>
              <w:top w:val="single" w:color="auto" w:sz="4" w:space="0"/>
              <w:left w:val="single" w:color="auto" w:sz="4" w:space="0"/>
              <w:bottom w:val="single" w:color="auto" w:sz="4" w:space="0"/>
              <w:right w:val="single" w:color="auto" w:sz="4" w:space="0"/>
            </w:tcBorders>
            <w:vAlign w:val="center"/>
          </w:tcPr>
          <w:p w14:paraId="6267FED6">
            <w:pPr>
              <w:spacing w:line="360" w:lineRule="auto"/>
              <w:jc w:val="center"/>
              <w:rPr>
                <w:rFonts w:hint="eastAsia" w:ascii="仿宋" w:hAnsi="仿宋" w:eastAsia="仿宋" w:cs="仿宋"/>
                <w:bCs/>
                <w:sz w:val="24"/>
                <w:szCs w:val="24"/>
              </w:rPr>
            </w:pPr>
          </w:p>
        </w:tc>
      </w:tr>
    </w:tbl>
    <w:p w14:paraId="04312622">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3"/>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2485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24123"/>
      <w:bookmarkStart w:id="37" w:name="_Toc3558"/>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3023"/>
      <w:bookmarkStart w:id="49" w:name="_Toc16029"/>
      <w:bookmarkStart w:id="50" w:name="_Toc14829"/>
      <w:bookmarkStart w:id="51" w:name="_Toc6482"/>
      <w:bookmarkStart w:id="52" w:name="_Toc21519"/>
      <w:bookmarkStart w:id="53" w:name="_Toc11352"/>
    </w:p>
    <w:p w14:paraId="43B80407">
      <w:pPr>
        <w:rPr>
          <w:rStyle w:val="34"/>
          <w:rFonts w:ascii="Times New Roman" w:hAnsi="Times New Roman" w:eastAsia="仿宋" w:cs="Times New Roman"/>
          <w:b/>
          <w:bCs/>
          <w:sz w:val="32"/>
          <w:szCs w:val="28"/>
        </w:rPr>
      </w:pPr>
      <w:r>
        <w:rPr>
          <w:rStyle w:val="34"/>
          <w:rFonts w:ascii="Times New Roman" w:hAnsi="Times New Roman" w:eastAsia="仿宋" w:cs="Times New Roman"/>
          <w:b/>
          <w:bCs/>
          <w:sz w:val="32"/>
          <w:szCs w:val="28"/>
        </w:rPr>
        <w:br w:type="page"/>
      </w:r>
    </w:p>
    <w:p w14:paraId="057F5DD5">
      <w:pPr>
        <w:pStyle w:val="4"/>
        <w:ind w:firstLine="0"/>
      </w:pPr>
      <w:r>
        <w:t>承诺函</w:t>
      </w:r>
      <w:bookmarkEnd w:id="48"/>
      <w:bookmarkEnd w:id="49"/>
      <w:bookmarkEnd w:id="50"/>
      <w:bookmarkEnd w:id="51"/>
      <w:bookmarkEnd w:id="52"/>
      <w:bookmarkEnd w:id="53"/>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17857"/>
      <w:bookmarkStart w:id="56" w:name="_Toc30971"/>
      <w:bookmarkStart w:id="57" w:name="_Toc4305"/>
      <w:bookmarkStart w:id="58" w:name="_Toc31838"/>
      <w:r>
        <w:rPr>
          <w:rFonts w:ascii="Times New Roman" w:hAnsi="Times New Roman" w:cs="Times New Roman"/>
        </w:rPr>
        <w:br w:type="page"/>
      </w:r>
    </w:p>
    <w:p w14:paraId="72845348">
      <w:pPr>
        <w:pStyle w:val="4"/>
        <w:ind w:firstLine="0"/>
      </w:pPr>
      <w:r>
        <w:t>具有独立承担民事责任的能力</w:t>
      </w:r>
      <w:bookmarkEnd w:id="54"/>
      <w:bookmarkEnd w:id="55"/>
      <w:bookmarkEnd w:id="56"/>
      <w:bookmarkEnd w:id="57"/>
      <w:bookmarkEnd w:id="58"/>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4"/>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76B8A196">
      <w:pPr>
        <w:pStyle w:val="4"/>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3"/>
        <w:ind w:left="420" w:leftChars="200"/>
        <w:jc w:val="both"/>
        <w:rPr>
          <w:rFonts w:ascii="Times New Roman" w:hAnsi="Times New Roman" w:eastAsia="仿宋" w:cs="Times New Roman"/>
          <w:color w:val="auto"/>
        </w:rPr>
      </w:pPr>
    </w:p>
    <w:p w14:paraId="50A012A9">
      <w:pPr>
        <w:pStyle w:val="33"/>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7" w:name="_Toc11351"/>
      <w:bookmarkStart w:id="68" w:name="_Toc15526"/>
      <w:bookmarkStart w:id="69" w:name="_Toc20589"/>
      <w:bookmarkStart w:id="70" w:name="_Toc12015"/>
      <w:bookmarkStart w:id="71" w:name="_Toc25638"/>
      <w:bookmarkStart w:id="72" w:name="_Toc27661"/>
      <w:r>
        <w:rPr>
          <w:rStyle w:val="42"/>
          <w:b/>
        </w:rPr>
        <w:t>法定代表人身份证明书</w:t>
      </w:r>
      <w:bookmarkEnd w:id="67"/>
      <w:bookmarkEnd w:id="68"/>
      <w:bookmarkEnd w:id="69"/>
      <w:bookmarkEnd w:id="70"/>
      <w:bookmarkEnd w:id="71"/>
      <w:bookmarkEnd w:id="72"/>
    </w:p>
    <w:p w14:paraId="0AB454D2">
      <w:pPr>
        <w:pStyle w:val="33"/>
        <w:jc w:val="center"/>
        <w:rPr>
          <w:rFonts w:ascii="Times New Roman" w:hAnsi="Times New Roman" w:eastAsia="仿宋" w:cs="Times New Roman"/>
          <w:color w:val="auto"/>
        </w:rPr>
      </w:pPr>
    </w:p>
    <w:p w14:paraId="43269FBB">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3"/>
        <w:jc w:val="center"/>
        <w:rPr>
          <w:rFonts w:ascii="Times New Roman" w:hAnsi="Times New Roman" w:eastAsia="仿宋" w:cs="Times New Roman"/>
          <w:color w:val="auto"/>
        </w:rPr>
      </w:pPr>
    </w:p>
    <w:p w14:paraId="6757BD29">
      <w:pPr>
        <w:pStyle w:val="33"/>
        <w:jc w:val="center"/>
        <w:rPr>
          <w:rFonts w:ascii="Times New Roman" w:hAnsi="Times New Roman" w:eastAsia="仿宋" w:cs="Times New Roman"/>
          <w:color w:val="auto"/>
        </w:rPr>
      </w:pPr>
    </w:p>
    <w:p w14:paraId="2C00BF0A">
      <w:pPr>
        <w:pStyle w:val="33"/>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3"/>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3"/>
        <w:jc w:val="both"/>
        <w:rPr>
          <w:rFonts w:ascii="Times New Roman" w:hAnsi="Times New Roman" w:eastAsia="仿宋" w:cs="Times New Roman"/>
          <w:color w:val="auto"/>
        </w:rPr>
      </w:pPr>
    </w:p>
    <w:p w14:paraId="46E4D155">
      <w:pPr>
        <w:pStyle w:val="33"/>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3"/>
        <w:jc w:val="center"/>
        <w:rPr>
          <w:rFonts w:ascii="Times New Roman" w:hAnsi="Times New Roman" w:eastAsia="仿宋" w:cs="Times New Roman"/>
          <w:color w:val="auto"/>
        </w:rPr>
      </w:pPr>
    </w:p>
    <w:p w14:paraId="53CC06E9">
      <w:pPr>
        <w:pStyle w:val="33"/>
        <w:jc w:val="center"/>
        <w:rPr>
          <w:rFonts w:ascii="Times New Roman" w:hAnsi="Times New Roman" w:eastAsia="仿宋" w:cs="Times New Roman"/>
          <w:color w:val="auto"/>
        </w:rPr>
      </w:pPr>
    </w:p>
    <w:p w14:paraId="55320CDB">
      <w:pPr>
        <w:pStyle w:val="33"/>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3"/>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3"/>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3"/>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3"/>
        <w:jc w:val="both"/>
        <w:rPr>
          <w:rFonts w:ascii="Times New Roman" w:hAnsi="Times New Roman" w:eastAsia="仿宋" w:cs="Times New Roman"/>
          <w:color w:val="auto"/>
          <w:sz w:val="32"/>
          <w:szCs w:val="32"/>
        </w:rPr>
      </w:pPr>
    </w:p>
    <w:p w14:paraId="31D6EAC3">
      <w:pPr>
        <w:pStyle w:val="33"/>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4"/>
          <w:rFonts w:ascii="Times New Roman" w:hAnsi="Times New Roman" w:eastAsia="仿宋" w:cs="Times New Roman"/>
          <w:b/>
          <w:bCs/>
          <w:color w:val="auto"/>
          <w:kern w:val="2"/>
          <w:sz w:val="32"/>
          <w:szCs w:val="28"/>
        </w:rPr>
        <w:t>法定代表人授权委托书</w:t>
      </w:r>
    </w:p>
    <w:p w14:paraId="1CF8FCEE">
      <w:pPr>
        <w:pStyle w:val="33"/>
        <w:jc w:val="center"/>
        <w:rPr>
          <w:rFonts w:ascii="Times New Roman" w:hAnsi="Times New Roman" w:eastAsia="仿宋" w:cs="Times New Roman"/>
          <w:b/>
          <w:bCs/>
          <w:color w:val="auto"/>
        </w:rPr>
      </w:pPr>
    </w:p>
    <w:p w14:paraId="170BF1E2">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3"/>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3" w:name="_Toc26969"/>
      <w:bookmarkStart w:id="74" w:name="_Toc16435"/>
      <w:bookmarkStart w:id="75" w:name="_Toc12967"/>
      <w:bookmarkStart w:id="76" w:name="_Toc1074"/>
      <w:bookmarkStart w:id="77" w:name="_Toc2041"/>
      <w:bookmarkStart w:id="78" w:name="_Toc23967"/>
      <w:r>
        <w:rPr>
          <w:rStyle w:val="42"/>
          <w:b/>
        </w:rPr>
        <w:t>采购需求偏离表</w:t>
      </w:r>
      <w:bookmarkEnd w:id="73"/>
      <w:bookmarkEnd w:id="74"/>
      <w:bookmarkEnd w:id="75"/>
      <w:bookmarkEnd w:id="76"/>
      <w:bookmarkEnd w:id="77"/>
      <w:bookmarkEnd w:id="78"/>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3"/>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79" w:name="_Toc28634"/>
      <w:bookmarkStart w:id="80" w:name="_Toc1369"/>
      <w:bookmarkStart w:id="81" w:name="_Toc26839"/>
      <w:bookmarkStart w:id="82" w:name="_Toc21082"/>
      <w:bookmarkStart w:id="83" w:name="_Toc31686"/>
      <w:bookmarkStart w:id="84" w:name="_Toc24806"/>
      <w:r>
        <w:rPr>
          <w:rStyle w:val="42"/>
          <w:b/>
        </w:rPr>
        <w:t>评分需要提供的证明材料</w:t>
      </w:r>
      <w:bookmarkEnd w:id="79"/>
      <w:bookmarkEnd w:id="80"/>
      <w:bookmarkEnd w:id="81"/>
      <w:bookmarkEnd w:id="82"/>
      <w:bookmarkEnd w:id="83"/>
      <w:bookmarkEnd w:id="84"/>
    </w:p>
    <w:p w14:paraId="71151EFE">
      <w:pPr>
        <w:pStyle w:val="33"/>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3"/>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4"/>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4"/>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1843"/>
        <w:gridCol w:w="1985"/>
        <w:gridCol w:w="1417"/>
        <w:gridCol w:w="1418"/>
        <w:gridCol w:w="850"/>
        <w:gridCol w:w="567"/>
        <w:gridCol w:w="995"/>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72" w:type="dxa"/>
            <w:vAlign w:val="center"/>
          </w:tcPr>
          <w:p w14:paraId="2CF60CA8">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1843" w:type="dxa"/>
            <w:vAlign w:val="center"/>
          </w:tcPr>
          <w:p w14:paraId="76504FC3">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采购标的名称</w:t>
            </w:r>
          </w:p>
        </w:tc>
        <w:tc>
          <w:tcPr>
            <w:tcW w:w="1985" w:type="dxa"/>
            <w:vAlign w:val="center"/>
          </w:tcPr>
          <w:p w14:paraId="0210D7AA">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响应产品名称</w:t>
            </w:r>
          </w:p>
        </w:tc>
        <w:tc>
          <w:tcPr>
            <w:tcW w:w="1417" w:type="dxa"/>
            <w:vAlign w:val="center"/>
          </w:tcPr>
          <w:p w14:paraId="5B2E56EB">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生产厂家</w:t>
            </w:r>
          </w:p>
        </w:tc>
        <w:tc>
          <w:tcPr>
            <w:tcW w:w="1418" w:type="dxa"/>
            <w:vAlign w:val="center"/>
          </w:tcPr>
          <w:p w14:paraId="1BC95E20">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规格型号</w:t>
            </w:r>
          </w:p>
        </w:tc>
        <w:tc>
          <w:tcPr>
            <w:tcW w:w="850" w:type="dxa"/>
            <w:vAlign w:val="center"/>
          </w:tcPr>
          <w:p w14:paraId="172CB98F">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单价（元）</w:t>
            </w:r>
          </w:p>
        </w:tc>
        <w:tc>
          <w:tcPr>
            <w:tcW w:w="567" w:type="dxa"/>
            <w:vAlign w:val="center"/>
          </w:tcPr>
          <w:p w14:paraId="29D764D0">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995" w:type="dxa"/>
            <w:vAlign w:val="center"/>
          </w:tcPr>
          <w:p w14:paraId="47434C70">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3FA3AA9">
            <w:pPr>
              <w:pStyle w:val="14"/>
              <w:keepNext w:val="0"/>
              <w:keepLines w:val="0"/>
              <w:widowControl/>
              <w:suppressLineNumbers w:val="0"/>
              <w:ind w:left="0" w:leftChars="0" w:right="0" w:rightChars="0"/>
              <w:jc w:val="center"/>
              <w:rPr>
                <w:rFonts w:ascii="Times New Roman" w:hAnsi="Times New Roman" w:eastAsia="仿宋" w:cs="Times New Roman"/>
                <w:szCs w:val="21"/>
              </w:rPr>
            </w:pPr>
            <w:r>
              <w:rPr>
                <w:rFonts w:hint="eastAsia" w:ascii="仿宋" w:hAnsi="仿宋" w:eastAsia="仿宋" w:cs="仿宋"/>
                <w:sz w:val="24"/>
                <w:szCs w:val="24"/>
              </w:rPr>
              <w:t>1</w:t>
            </w:r>
          </w:p>
        </w:tc>
        <w:tc>
          <w:tcPr>
            <w:tcW w:w="1843" w:type="dxa"/>
            <w:vAlign w:val="center"/>
          </w:tcPr>
          <w:p w14:paraId="21A93F89">
            <w:pPr>
              <w:pStyle w:val="14"/>
              <w:keepNext w:val="0"/>
              <w:keepLines w:val="0"/>
              <w:widowControl/>
              <w:suppressLineNumbers w:val="0"/>
              <w:spacing w:line="360" w:lineRule="auto"/>
              <w:ind w:left="0" w:leftChars="0" w:right="0" w:rightChars="0"/>
              <w:jc w:val="center"/>
              <w:rPr>
                <w:rFonts w:ascii="Times New Roman" w:hAnsi="Times New Roman" w:eastAsia="仿宋" w:cs="Times New Roman"/>
                <w:szCs w:val="21"/>
              </w:rPr>
            </w:pPr>
            <w:r>
              <w:rPr>
                <w:rFonts w:hint="eastAsia" w:ascii="仿宋" w:hAnsi="仿宋" w:eastAsia="仿宋" w:cs="仿宋"/>
                <w:sz w:val="24"/>
                <w:szCs w:val="24"/>
              </w:rPr>
              <w:t>虚拟化生产存储扩容</w:t>
            </w:r>
          </w:p>
        </w:tc>
        <w:tc>
          <w:tcPr>
            <w:tcW w:w="1985" w:type="dxa"/>
            <w:vAlign w:val="center"/>
          </w:tcPr>
          <w:p w14:paraId="74F731F3">
            <w:pPr>
              <w:pStyle w:val="2"/>
              <w:spacing w:line="360" w:lineRule="auto"/>
              <w:jc w:val="center"/>
              <w:rPr>
                <w:rFonts w:ascii="Times New Roman" w:hAnsi="Times New Roman" w:eastAsia="仿宋" w:cs="Times New Roman"/>
                <w:szCs w:val="21"/>
              </w:rPr>
            </w:pPr>
            <w:bookmarkStart w:id="95" w:name="_GoBack"/>
            <w:bookmarkEnd w:id="95"/>
          </w:p>
        </w:tc>
        <w:tc>
          <w:tcPr>
            <w:tcW w:w="1417" w:type="dxa"/>
            <w:vAlign w:val="center"/>
          </w:tcPr>
          <w:p w14:paraId="4A44268C">
            <w:pPr>
              <w:pStyle w:val="2"/>
              <w:spacing w:line="360" w:lineRule="auto"/>
              <w:jc w:val="center"/>
              <w:rPr>
                <w:rFonts w:ascii="Times New Roman" w:hAnsi="Times New Roman" w:eastAsia="仿宋" w:cs="Times New Roman"/>
                <w:szCs w:val="21"/>
              </w:rPr>
            </w:pPr>
          </w:p>
        </w:tc>
        <w:tc>
          <w:tcPr>
            <w:tcW w:w="1418" w:type="dxa"/>
            <w:vAlign w:val="center"/>
          </w:tcPr>
          <w:p w14:paraId="338798A9">
            <w:pPr>
              <w:pStyle w:val="2"/>
              <w:spacing w:line="360" w:lineRule="auto"/>
              <w:jc w:val="center"/>
              <w:rPr>
                <w:rFonts w:ascii="Times New Roman" w:hAnsi="Times New Roman" w:eastAsia="仿宋" w:cs="Times New Roman"/>
                <w:szCs w:val="21"/>
              </w:rPr>
            </w:pPr>
          </w:p>
        </w:tc>
        <w:tc>
          <w:tcPr>
            <w:tcW w:w="850" w:type="dxa"/>
            <w:vAlign w:val="center"/>
          </w:tcPr>
          <w:p w14:paraId="73F85007">
            <w:pPr>
              <w:pStyle w:val="2"/>
              <w:spacing w:line="360" w:lineRule="auto"/>
              <w:jc w:val="center"/>
              <w:rPr>
                <w:rFonts w:ascii="Times New Roman" w:hAnsi="Times New Roman" w:eastAsia="仿宋" w:cs="Times New Roman"/>
                <w:szCs w:val="21"/>
              </w:rPr>
            </w:pPr>
          </w:p>
        </w:tc>
        <w:tc>
          <w:tcPr>
            <w:tcW w:w="567" w:type="dxa"/>
            <w:vAlign w:val="center"/>
          </w:tcPr>
          <w:p w14:paraId="18230512">
            <w:pPr>
              <w:pStyle w:val="2"/>
              <w:spacing w:line="360" w:lineRule="auto"/>
              <w:jc w:val="center"/>
              <w:rPr>
                <w:rFonts w:ascii="Times New Roman" w:hAnsi="Times New Roman" w:eastAsia="仿宋" w:cs="Times New Roman"/>
                <w:szCs w:val="21"/>
              </w:rPr>
            </w:pPr>
          </w:p>
        </w:tc>
        <w:tc>
          <w:tcPr>
            <w:tcW w:w="995" w:type="dxa"/>
            <w:vAlign w:val="center"/>
          </w:tcPr>
          <w:p w14:paraId="12864601">
            <w:pPr>
              <w:pStyle w:val="2"/>
              <w:spacing w:line="360" w:lineRule="auto"/>
              <w:jc w:val="center"/>
              <w:rPr>
                <w:rFonts w:ascii="Times New Roman" w:hAnsi="Times New Roman" w:eastAsia="仿宋" w:cs="Times New Roman"/>
                <w:szCs w:val="21"/>
              </w:rPr>
            </w:pPr>
          </w:p>
        </w:tc>
      </w:tr>
      <w:tr w14:paraId="7828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9C89FCB">
            <w:pPr>
              <w:pStyle w:val="14"/>
              <w:keepNext w:val="0"/>
              <w:keepLines w:val="0"/>
              <w:widowControl/>
              <w:suppressLineNumbers w:val="0"/>
              <w:ind w:left="0" w:leftChars="0" w:right="0" w:rightChars="0"/>
              <w:jc w:val="center"/>
              <w:rPr>
                <w:rFonts w:ascii="Times New Roman" w:hAnsi="Times New Roman" w:eastAsia="仿宋" w:cs="Times New Roman"/>
                <w:szCs w:val="21"/>
              </w:rPr>
            </w:pPr>
            <w:r>
              <w:rPr>
                <w:rFonts w:hint="eastAsia" w:ascii="仿宋" w:hAnsi="仿宋" w:eastAsia="仿宋" w:cs="仿宋"/>
                <w:sz w:val="24"/>
                <w:szCs w:val="24"/>
              </w:rPr>
              <w:t>2</w:t>
            </w:r>
          </w:p>
        </w:tc>
        <w:tc>
          <w:tcPr>
            <w:tcW w:w="1843" w:type="dxa"/>
            <w:vAlign w:val="center"/>
          </w:tcPr>
          <w:p w14:paraId="57D47AAC">
            <w:pPr>
              <w:pStyle w:val="14"/>
              <w:keepNext w:val="0"/>
              <w:keepLines w:val="0"/>
              <w:widowControl/>
              <w:suppressLineNumbers w:val="0"/>
              <w:spacing w:line="360" w:lineRule="auto"/>
              <w:ind w:left="0" w:leftChars="0" w:right="0" w:rightChars="0"/>
              <w:jc w:val="center"/>
              <w:rPr>
                <w:rFonts w:hint="eastAsia" w:ascii="Times New Roman" w:hAnsi="Times New Roman" w:eastAsia="仿宋" w:cs="Times New Roman"/>
                <w:szCs w:val="21"/>
              </w:rPr>
            </w:pPr>
            <w:r>
              <w:rPr>
                <w:rFonts w:hint="eastAsia" w:ascii="仿宋" w:hAnsi="仿宋" w:eastAsia="仿宋" w:cs="仿宋"/>
                <w:sz w:val="24"/>
                <w:szCs w:val="24"/>
              </w:rPr>
              <w:t>配套软件</w:t>
            </w:r>
          </w:p>
        </w:tc>
        <w:tc>
          <w:tcPr>
            <w:tcW w:w="1985" w:type="dxa"/>
            <w:vAlign w:val="center"/>
          </w:tcPr>
          <w:p w14:paraId="4479E333">
            <w:pPr>
              <w:pStyle w:val="2"/>
              <w:spacing w:line="360" w:lineRule="auto"/>
              <w:jc w:val="center"/>
              <w:rPr>
                <w:rFonts w:ascii="Times New Roman" w:hAnsi="Times New Roman" w:eastAsia="仿宋" w:cs="Times New Roman"/>
                <w:szCs w:val="21"/>
              </w:rPr>
            </w:pPr>
          </w:p>
        </w:tc>
        <w:tc>
          <w:tcPr>
            <w:tcW w:w="1417" w:type="dxa"/>
            <w:vAlign w:val="center"/>
          </w:tcPr>
          <w:p w14:paraId="50E67D29">
            <w:pPr>
              <w:pStyle w:val="2"/>
              <w:spacing w:line="360" w:lineRule="auto"/>
              <w:jc w:val="center"/>
              <w:rPr>
                <w:rFonts w:ascii="Times New Roman" w:hAnsi="Times New Roman" w:eastAsia="仿宋" w:cs="Times New Roman"/>
                <w:szCs w:val="21"/>
              </w:rPr>
            </w:pPr>
          </w:p>
        </w:tc>
        <w:tc>
          <w:tcPr>
            <w:tcW w:w="1418" w:type="dxa"/>
            <w:vAlign w:val="center"/>
          </w:tcPr>
          <w:p w14:paraId="6456A1E0">
            <w:pPr>
              <w:pStyle w:val="2"/>
              <w:spacing w:line="360" w:lineRule="auto"/>
              <w:jc w:val="center"/>
              <w:rPr>
                <w:rFonts w:ascii="Times New Roman" w:hAnsi="Times New Roman" w:eastAsia="仿宋" w:cs="Times New Roman"/>
                <w:szCs w:val="21"/>
              </w:rPr>
            </w:pPr>
          </w:p>
        </w:tc>
        <w:tc>
          <w:tcPr>
            <w:tcW w:w="850" w:type="dxa"/>
            <w:vAlign w:val="center"/>
          </w:tcPr>
          <w:p w14:paraId="690B6D7F">
            <w:pPr>
              <w:pStyle w:val="2"/>
              <w:spacing w:line="360" w:lineRule="auto"/>
              <w:jc w:val="center"/>
              <w:rPr>
                <w:rFonts w:ascii="Times New Roman" w:hAnsi="Times New Roman" w:eastAsia="仿宋" w:cs="Times New Roman"/>
                <w:szCs w:val="21"/>
              </w:rPr>
            </w:pPr>
          </w:p>
        </w:tc>
        <w:tc>
          <w:tcPr>
            <w:tcW w:w="567" w:type="dxa"/>
            <w:vAlign w:val="center"/>
          </w:tcPr>
          <w:p w14:paraId="1B9EDDB9">
            <w:pPr>
              <w:pStyle w:val="2"/>
              <w:spacing w:line="360" w:lineRule="auto"/>
              <w:jc w:val="center"/>
              <w:rPr>
                <w:rFonts w:ascii="Times New Roman" w:hAnsi="Times New Roman" w:eastAsia="仿宋" w:cs="Times New Roman"/>
                <w:szCs w:val="21"/>
              </w:rPr>
            </w:pPr>
          </w:p>
        </w:tc>
        <w:tc>
          <w:tcPr>
            <w:tcW w:w="995" w:type="dxa"/>
            <w:vAlign w:val="center"/>
          </w:tcPr>
          <w:p w14:paraId="3B933C2A">
            <w:pPr>
              <w:pStyle w:val="2"/>
              <w:spacing w:line="360" w:lineRule="auto"/>
              <w:jc w:val="center"/>
              <w:rPr>
                <w:rFonts w:ascii="Times New Roman" w:hAnsi="Times New Roman" w:eastAsia="仿宋" w:cs="Times New Roman"/>
                <w:szCs w:val="21"/>
              </w:rPr>
            </w:pPr>
          </w:p>
        </w:tc>
      </w:tr>
      <w:tr w14:paraId="578BD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3224E05">
            <w:pPr>
              <w:pStyle w:val="14"/>
              <w:keepNext w:val="0"/>
              <w:keepLines w:val="0"/>
              <w:widowControl/>
              <w:suppressLineNumbers w:val="0"/>
              <w:ind w:left="0" w:leftChars="0" w:right="0" w:rightChars="0"/>
              <w:jc w:val="center"/>
              <w:rPr>
                <w:rFonts w:ascii="Times New Roman" w:hAnsi="Times New Roman" w:eastAsia="仿宋" w:cs="Times New Roman"/>
                <w:szCs w:val="21"/>
              </w:rPr>
            </w:pPr>
            <w:r>
              <w:rPr>
                <w:rFonts w:hint="eastAsia" w:ascii="仿宋" w:hAnsi="仿宋" w:eastAsia="仿宋" w:cs="仿宋"/>
                <w:sz w:val="24"/>
                <w:szCs w:val="24"/>
              </w:rPr>
              <w:t>3</w:t>
            </w:r>
          </w:p>
        </w:tc>
        <w:tc>
          <w:tcPr>
            <w:tcW w:w="1843" w:type="dxa"/>
            <w:vAlign w:val="center"/>
          </w:tcPr>
          <w:p w14:paraId="6E0622B0">
            <w:pPr>
              <w:pStyle w:val="14"/>
              <w:keepNext w:val="0"/>
              <w:keepLines w:val="0"/>
              <w:widowControl/>
              <w:suppressLineNumbers w:val="0"/>
              <w:spacing w:line="360" w:lineRule="auto"/>
              <w:ind w:left="0" w:leftChars="0" w:right="0" w:rightChars="0"/>
              <w:jc w:val="center"/>
              <w:rPr>
                <w:rFonts w:hint="eastAsia" w:ascii="Times New Roman" w:hAnsi="Times New Roman" w:eastAsia="仿宋" w:cs="Times New Roman"/>
                <w:szCs w:val="21"/>
              </w:rPr>
            </w:pPr>
            <w:r>
              <w:rPr>
                <w:rFonts w:hint="eastAsia" w:ascii="仿宋" w:hAnsi="仿宋" w:eastAsia="仿宋" w:cs="仿宋"/>
                <w:sz w:val="24"/>
                <w:szCs w:val="24"/>
              </w:rPr>
              <w:t>实施服务</w:t>
            </w:r>
          </w:p>
        </w:tc>
        <w:tc>
          <w:tcPr>
            <w:tcW w:w="1985" w:type="dxa"/>
            <w:vAlign w:val="center"/>
          </w:tcPr>
          <w:p w14:paraId="7A7E4C85">
            <w:pPr>
              <w:pStyle w:val="2"/>
              <w:spacing w:line="360" w:lineRule="auto"/>
              <w:jc w:val="center"/>
              <w:rPr>
                <w:rFonts w:ascii="Times New Roman" w:hAnsi="Times New Roman" w:eastAsia="仿宋" w:cs="Times New Roman"/>
                <w:szCs w:val="21"/>
              </w:rPr>
            </w:pPr>
          </w:p>
        </w:tc>
        <w:tc>
          <w:tcPr>
            <w:tcW w:w="1417" w:type="dxa"/>
            <w:vAlign w:val="center"/>
          </w:tcPr>
          <w:p w14:paraId="5288616A">
            <w:pPr>
              <w:pStyle w:val="2"/>
              <w:spacing w:line="360" w:lineRule="auto"/>
              <w:jc w:val="center"/>
              <w:rPr>
                <w:rFonts w:ascii="Times New Roman" w:hAnsi="Times New Roman" w:eastAsia="仿宋" w:cs="Times New Roman"/>
                <w:szCs w:val="21"/>
              </w:rPr>
            </w:pPr>
          </w:p>
        </w:tc>
        <w:tc>
          <w:tcPr>
            <w:tcW w:w="1418" w:type="dxa"/>
            <w:vAlign w:val="center"/>
          </w:tcPr>
          <w:p w14:paraId="25303F6A">
            <w:pPr>
              <w:pStyle w:val="2"/>
              <w:spacing w:line="360" w:lineRule="auto"/>
              <w:jc w:val="center"/>
              <w:rPr>
                <w:rFonts w:ascii="Times New Roman" w:hAnsi="Times New Roman" w:eastAsia="仿宋" w:cs="Times New Roman"/>
                <w:szCs w:val="21"/>
              </w:rPr>
            </w:pPr>
          </w:p>
        </w:tc>
        <w:tc>
          <w:tcPr>
            <w:tcW w:w="850" w:type="dxa"/>
            <w:vAlign w:val="center"/>
          </w:tcPr>
          <w:p w14:paraId="3CE78B7C">
            <w:pPr>
              <w:pStyle w:val="2"/>
              <w:spacing w:line="360" w:lineRule="auto"/>
              <w:jc w:val="center"/>
              <w:rPr>
                <w:rFonts w:ascii="Times New Roman" w:hAnsi="Times New Roman" w:eastAsia="仿宋" w:cs="Times New Roman"/>
                <w:szCs w:val="21"/>
              </w:rPr>
            </w:pPr>
          </w:p>
        </w:tc>
        <w:tc>
          <w:tcPr>
            <w:tcW w:w="567" w:type="dxa"/>
            <w:vAlign w:val="center"/>
          </w:tcPr>
          <w:p w14:paraId="04770CC2">
            <w:pPr>
              <w:pStyle w:val="2"/>
              <w:spacing w:line="360" w:lineRule="auto"/>
              <w:jc w:val="center"/>
              <w:rPr>
                <w:rFonts w:ascii="Times New Roman" w:hAnsi="Times New Roman" w:eastAsia="仿宋" w:cs="Times New Roman"/>
                <w:szCs w:val="21"/>
              </w:rPr>
            </w:pPr>
          </w:p>
        </w:tc>
        <w:tc>
          <w:tcPr>
            <w:tcW w:w="995" w:type="dxa"/>
            <w:vAlign w:val="center"/>
          </w:tcPr>
          <w:p w14:paraId="667A5B4D">
            <w:pPr>
              <w:pStyle w:val="2"/>
              <w:spacing w:line="360" w:lineRule="auto"/>
              <w:jc w:val="center"/>
              <w:rPr>
                <w:rFonts w:ascii="Times New Roman" w:hAnsi="Times New Roman" w:eastAsia="仿宋" w:cs="Times New Roman"/>
                <w:szCs w:val="21"/>
              </w:rPr>
            </w:pPr>
          </w:p>
        </w:tc>
      </w:tr>
      <w:tr w14:paraId="35D0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2415" w:type="dxa"/>
            <w:gridSpan w:val="2"/>
            <w:vAlign w:val="center"/>
          </w:tcPr>
          <w:p w14:paraId="4E78903A">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报价合计</w:t>
            </w:r>
          </w:p>
        </w:tc>
        <w:tc>
          <w:tcPr>
            <w:tcW w:w="7232" w:type="dxa"/>
            <w:gridSpan w:val="6"/>
            <w:vAlign w:val="center"/>
          </w:tcPr>
          <w:p w14:paraId="0241EA93">
            <w:pPr>
              <w:spacing w:line="360" w:lineRule="auto"/>
              <w:ind w:firstLine="105" w:firstLineChars="50"/>
              <w:jc w:val="left"/>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 xml:space="preserve">大写：       </w:t>
            </w:r>
            <w:r>
              <w:rPr>
                <w:rFonts w:hint="eastAsia" w:ascii="Times New Roman" w:hAnsi="Times New Roman" w:eastAsia="仿宋" w:cs="Times New Roman"/>
                <w:kern w:val="0"/>
                <w:szCs w:val="21"/>
                <w:lang w:val="zh-TW"/>
              </w:rPr>
              <w:t xml:space="preserve">    </w:t>
            </w:r>
            <w:r>
              <w:rPr>
                <w:rFonts w:ascii="Times New Roman" w:hAnsi="Times New Roman" w:eastAsia="仿宋" w:cs="Times New Roman"/>
                <w:kern w:val="0"/>
                <w:szCs w:val="21"/>
                <w:lang w:val="zh-TW" w:eastAsia="zh-TW"/>
              </w:rPr>
              <w:t>小写：</w:t>
            </w:r>
          </w:p>
        </w:tc>
      </w:tr>
      <w:tr w14:paraId="31A6F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9647" w:type="dxa"/>
            <w:gridSpan w:val="8"/>
            <w:vAlign w:val="center"/>
          </w:tcPr>
          <w:p w14:paraId="452C7A4D">
            <w:pPr>
              <w:spacing w:line="360" w:lineRule="auto"/>
              <w:ind w:firstLine="105" w:firstLineChars="50"/>
              <w:jc w:val="left"/>
              <w:rPr>
                <w:rFonts w:ascii="Times New Roman" w:hAnsi="Times New Roman" w:eastAsia="仿宋" w:cs="Times New Roman"/>
                <w:kern w:val="0"/>
                <w:szCs w:val="21"/>
                <w:lang w:val="zh-TW" w:eastAsia="zh-TW"/>
              </w:rPr>
            </w:pPr>
            <w:r>
              <w:rPr>
                <w:rFonts w:hint="eastAsia" w:ascii="仿宋" w:hAnsi="仿宋" w:eastAsia="仿宋" w:cs="仿宋"/>
                <w:color w:val="auto"/>
                <w:kern w:val="0"/>
                <w:szCs w:val="21"/>
                <w:lang w:val="en-US" w:eastAsia="zh-CN"/>
              </w:rPr>
              <w:t>服务期：</w:t>
            </w:r>
          </w:p>
        </w:tc>
      </w:tr>
    </w:tbl>
    <w:p w14:paraId="048115A0">
      <w:pPr>
        <w:pStyle w:val="2"/>
        <w:rPr>
          <w:rFonts w:ascii="Times New Roman" w:hAnsi="Times New Roman" w:eastAsia="仿宋" w:cs="Times New Roman"/>
          <w:szCs w:val="21"/>
        </w:rPr>
      </w:pPr>
    </w:p>
    <w:p w14:paraId="5FD51B88">
      <w:pPr>
        <w:pStyle w:val="2"/>
        <w:rPr>
          <w:rFonts w:ascii="Times New Roman" w:hAnsi="Times New Roman" w:eastAsia="仿宋" w:cs="Times New Roman"/>
          <w:b/>
          <w:bCs/>
          <w:szCs w:val="21"/>
          <w:lang w:val="zh-TW" w:eastAsia="zh-TW"/>
        </w:rPr>
      </w:pPr>
      <w:r>
        <w:rPr>
          <w:rFonts w:ascii="Times New Roman" w:hAnsi="Times New Roman" w:eastAsia="仿宋" w:cs="Times New Roman"/>
          <w:b/>
          <w:bCs/>
          <w:szCs w:val="21"/>
        </w:rPr>
        <w:t>2.</w:t>
      </w:r>
      <w:r>
        <w:rPr>
          <w:rFonts w:ascii="Times New Roman" w:hAnsi="Times New Roman" w:eastAsia="仿宋" w:cs="Times New Roman"/>
          <w:b/>
          <w:bCs/>
          <w:szCs w:val="21"/>
          <w:lang w:val="zh-TW" w:eastAsia="zh-TW"/>
        </w:rPr>
        <w:t>分项报价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59"/>
        <w:gridCol w:w="2110"/>
        <w:gridCol w:w="1506"/>
        <w:gridCol w:w="1508"/>
        <w:gridCol w:w="904"/>
        <w:gridCol w:w="603"/>
        <w:gridCol w:w="1058"/>
      </w:tblGrid>
      <w:tr w14:paraId="2CDD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1843" w:type="dxa"/>
            <w:vAlign w:val="center"/>
          </w:tcPr>
          <w:p w14:paraId="0D8E1257">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w:t>
            </w:r>
            <w:r>
              <w:rPr>
                <w:rFonts w:ascii="Times New Roman" w:hAnsi="Times New Roman" w:eastAsia="仿宋" w:cs="Times New Roman"/>
                <w:kern w:val="0"/>
                <w:szCs w:val="21"/>
                <w:lang w:val="zh-TW" w:eastAsia="zh-TW"/>
              </w:rPr>
              <w:t>名称</w:t>
            </w:r>
          </w:p>
        </w:tc>
        <w:tc>
          <w:tcPr>
            <w:tcW w:w="1985" w:type="dxa"/>
            <w:vAlign w:val="center"/>
          </w:tcPr>
          <w:p w14:paraId="1E625698">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分项报价内容</w:t>
            </w:r>
          </w:p>
        </w:tc>
        <w:tc>
          <w:tcPr>
            <w:tcW w:w="1417" w:type="dxa"/>
            <w:vAlign w:val="center"/>
          </w:tcPr>
          <w:p w14:paraId="3DA0C788">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生产厂家</w:t>
            </w:r>
          </w:p>
        </w:tc>
        <w:tc>
          <w:tcPr>
            <w:tcW w:w="1418" w:type="dxa"/>
            <w:vAlign w:val="center"/>
          </w:tcPr>
          <w:p w14:paraId="5C137CBA">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规格型号</w:t>
            </w:r>
          </w:p>
        </w:tc>
        <w:tc>
          <w:tcPr>
            <w:tcW w:w="850" w:type="dxa"/>
            <w:vAlign w:val="center"/>
          </w:tcPr>
          <w:p w14:paraId="72A4E0FB">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w:t>
            </w:r>
            <w:r>
              <w:rPr>
                <w:rFonts w:hint="eastAsia" w:ascii="Times New Roman" w:hAnsi="Times New Roman" w:eastAsia="仿宋" w:cs="Times New Roman"/>
                <w:kern w:val="0"/>
                <w:szCs w:val="21"/>
                <w:lang w:val="zh-TW" w:eastAsia="zh-TW"/>
              </w:rPr>
              <w:t>价</w:t>
            </w:r>
            <w:r>
              <w:rPr>
                <w:rFonts w:ascii="Times New Roman" w:hAnsi="Times New Roman" w:eastAsia="仿宋" w:cs="Times New Roman"/>
                <w:kern w:val="0"/>
                <w:szCs w:val="21"/>
                <w:lang w:val="zh-TW" w:eastAsia="zh-TW"/>
              </w:rPr>
              <w:t>（元）</w:t>
            </w:r>
          </w:p>
        </w:tc>
        <w:tc>
          <w:tcPr>
            <w:tcW w:w="567" w:type="dxa"/>
            <w:vAlign w:val="center"/>
          </w:tcPr>
          <w:p w14:paraId="3A57EF3A">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995" w:type="dxa"/>
            <w:vAlign w:val="center"/>
          </w:tcPr>
          <w:p w14:paraId="5A814914">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r>
      <w:tr w14:paraId="171E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451C5036">
            <w:pPr>
              <w:pStyle w:val="2"/>
              <w:jc w:val="center"/>
              <w:rPr>
                <w:rFonts w:ascii="Times New Roman" w:hAnsi="Times New Roman" w:eastAsia="仿宋" w:cs="Times New Roman"/>
                <w:szCs w:val="21"/>
              </w:rPr>
            </w:pPr>
          </w:p>
        </w:tc>
        <w:tc>
          <w:tcPr>
            <w:tcW w:w="1985" w:type="dxa"/>
            <w:vAlign w:val="center"/>
          </w:tcPr>
          <w:p w14:paraId="6A3E00C8">
            <w:pPr>
              <w:pStyle w:val="2"/>
              <w:jc w:val="center"/>
              <w:rPr>
                <w:rFonts w:ascii="Times New Roman" w:hAnsi="Times New Roman" w:eastAsia="仿宋" w:cs="Times New Roman"/>
                <w:szCs w:val="21"/>
              </w:rPr>
            </w:pPr>
          </w:p>
        </w:tc>
        <w:tc>
          <w:tcPr>
            <w:tcW w:w="1417" w:type="dxa"/>
            <w:vAlign w:val="center"/>
          </w:tcPr>
          <w:p w14:paraId="67B0D856">
            <w:pPr>
              <w:pStyle w:val="2"/>
              <w:jc w:val="center"/>
              <w:rPr>
                <w:rFonts w:ascii="Times New Roman" w:hAnsi="Times New Roman" w:eastAsia="仿宋" w:cs="Times New Roman"/>
                <w:szCs w:val="21"/>
              </w:rPr>
            </w:pPr>
          </w:p>
        </w:tc>
        <w:tc>
          <w:tcPr>
            <w:tcW w:w="1418" w:type="dxa"/>
            <w:vAlign w:val="center"/>
          </w:tcPr>
          <w:p w14:paraId="066859BA">
            <w:pPr>
              <w:pStyle w:val="2"/>
              <w:jc w:val="center"/>
              <w:rPr>
                <w:rFonts w:ascii="Times New Roman" w:hAnsi="Times New Roman" w:eastAsia="仿宋" w:cs="Times New Roman"/>
                <w:szCs w:val="21"/>
              </w:rPr>
            </w:pPr>
          </w:p>
        </w:tc>
        <w:tc>
          <w:tcPr>
            <w:tcW w:w="850" w:type="dxa"/>
            <w:vAlign w:val="center"/>
          </w:tcPr>
          <w:p w14:paraId="6C46D90F">
            <w:pPr>
              <w:pStyle w:val="2"/>
              <w:jc w:val="center"/>
              <w:rPr>
                <w:rFonts w:ascii="Times New Roman" w:hAnsi="Times New Roman" w:eastAsia="仿宋" w:cs="Times New Roman"/>
                <w:szCs w:val="21"/>
              </w:rPr>
            </w:pPr>
          </w:p>
        </w:tc>
        <w:tc>
          <w:tcPr>
            <w:tcW w:w="567" w:type="dxa"/>
            <w:vAlign w:val="center"/>
          </w:tcPr>
          <w:p w14:paraId="7501FFE5">
            <w:pPr>
              <w:pStyle w:val="2"/>
              <w:jc w:val="center"/>
              <w:rPr>
                <w:rFonts w:ascii="Times New Roman" w:hAnsi="Times New Roman" w:eastAsia="仿宋" w:cs="Times New Roman"/>
                <w:szCs w:val="21"/>
              </w:rPr>
            </w:pPr>
          </w:p>
        </w:tc>
        <w:tc>
          <w:tcPr>
            <w:tcW w:w="995" w:type="dxa"/>
            <w:vAlign w:val="center"/>
          </w:tcPr>
          <w:p w14:paraId="68C2E029">
            <w:pPr>
              <w:pStyle w:val="2"/>
              <w:jc w:val="center"/>
              <w:rPr>
                <w:rFonts w:ascii="Times New Roman" w:hAnsi="Times New Roman" w:eastAsia="仿宋" w:cs="Times New Roman"/>
                <w:szCs w:val="21"/>
              </w:rPr>
            </w:pPr>
          </w:p>
        </w:tc>
      </w:tr>
      <w:tr w14:paraId="260D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076F3292">
            <w:pPr>
              <w:pStyle w:val="2"/>
              <w:jc w:val="center"/>
              <w:rPr>
                <w:rFonts w:ascii="Times New Roman" w:hAnsi="Times New Roman" w:eastAsia="仿宋" w:cs="Times New Roman"/>
                <w:szCs w:val="21"/>
              </w:rPr>
            </w:pPr>
          </w:p>
        </w:tc>
        <w:tc>
          <w:tcPr>
            <w:tcW w:w="1985" w:type="dxa"/>
            <w:vAlign w:val="center"/>
          </w:tcPr>
          <w:p w14:paraId="4FF3BCB7">
            <w:pPr>
              <w:pStyle w:val="2"/>
              <w:jc w:val="center"/>
              <w:rPr>
                <w:rFonts w:ascii="Times New Roman" w:hAnsi="Times New Roman" w:eastAsia="仿宋" w:cs="Times New Roman"/>
                <w:szCs w:val="21"/>
              </w:rPr>
            </w:pPr>
          </w:p>
        </w:tc>
        <w:tc>
          <w:tcPr>
            <w:tcW w:w="1417" w:type="dxa"/>
            <w:vAlign w:val="center"/>
          </w:tcPr>
          <w:p w14:paraId="549BA2BA">
            <w:pPr>
              <w:pStyle w:val="2"/>
              <w:jc w:val="center"/>
              <w:rPr>
                <w:rFonts w:ascii="Times New Roman" w:hAnsi="Times New Roman" w:eastAsia="仿宋" w:cs="Times New Roman"/>
                <w:szCs w:val="21"/>
              </w:rPr>
            </w:pPr>
          </w:p>
        </w:tc>
        <w:tc>
          <w:tcPr>
            <w:tcW w:w="1418" w:type="dxa"/>
            <w:vAlign w:val="center"/>
          </w:tcPr>
          <w:p w14:paraId="71BEA923">
            <w:pPr>
              <w:pStyle w:val="2"/>
              <w:jc w:val="center"/>
              <w:rPr>
                <w:rFonts w:ascii="Times New Roman" w:hAnsi="Times New Roman" w:eastAsia="仿宋" w:cs="Times New Roman"/>
                <w:szCs w:val="21"/>
              </w:rPr>
            </w:pPr>
          </w:p>
        </w:tc>
        <w:tc>
          <w:tcPr>
            <w:tcW w:w="850" w:type="dxa"/>
            <w:vAlign w:val="center"/>
          </w:tcPr>
          <w:p w14:paraId="3A6B8F50">
            <w:pPr>
              <w:pStyle w:val="2"/>
              <w:jc w:val="center"/>
              <w:rPr>
                <w:rFonts w:ascii="Times New Roman" w:hAnsi="Times New Roman" w:eastAsia="仿宋" w:cs="Times New Roman"/>
                <w:szCs w:val="21"/>
              </w:rPr>
            </w:pPr>
          </w:p>
        </w:tc>
        <w:tc>
          <w:tcPr>
            <w:tcW w:w="567" w:type="dxa"/>
            <w:vAlign w:val="center"/>
          </w:tcPr>
          <w:p w14:paraId="4B65C39B">
            <w:pPr>
              <w:pStyle w:val="2"/>
              <w:jc w:val="center"/>
              <w:rPr>
                <w:rFonts w:ascii="Times New Roman" w:hAnsi="Times New Roman" w:eastAsia="仿宋" w:cs="Times New Roman"/>
                <w:szCs w:val="21"/>
              </w:rPr>
            </w:pPr>
          </w:p>
        </w:tc>
        <w:tc>
          <w:tcPr>
            <w:tcW w:w="995" w:type="dxa"/>
            <w:vAlign w:val="center"/>
          </w:tcPr>
          <w:p w14:paraId="1A0DFF75">
            <w:pPr>
              <w:pStyle w:val="2"/>
              <w:jc w:val="center"/>
              <w:rPr>
                <w:rFonts w:ascii="Times New Roman" w:hAnsi="Times New Roman" w:eastAsia="仿宋" w:cs="Times New Roman"/>
                <w:szCs w:val="21"/>
              </w:rPr>
            </w:pPr>
          </w:p>
        </w:tc>
      </w:tr>
      <w:tr w14:paraId="55BE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7D415413">
            <w:pPr>
              <w:pStyle w:val="2"/>
              <w:jc w:val="center"/>
              <w:rPr>
                <w:rFonts w:ascii="Times New Roman" w:hAnsi="Times New Roman" w:eastAsia="仿宋" w:cs="Times New Roman"/>
                <w:szCs w:val="21"/>
              </w:rPr>
            </w:pPr>
          </w:p>
        </w:tc>
        <w:tc>
          <w:tcPr>
            <w:tcW w:w="1985" w:type="dxa"/>
            <w:vAlign w:val="center"/>
          </w:tcPr>
          <w:p w14:paraId="4E436A4B">
            <w:pPr>
              <w:pStyle w:val="2"/>
              <w:jc w:val="center"/>
              <w:rPr>
                <w:rFonts w:ascii="Times New Roman" w:hAnsi="Times New Roman" w:eastAsia="仿宋" w:cs="Times New Roman"/>
                <w:szCs w:val="21"/>
              </w:rPr>
            </w:pPr>
          </w:p>
        </w:tc>
        <w:tc>
          <w:tcPr>
            <w:tcW w:w="1417" w:type="dxa"/>
            <w:vAlign w:val="center"/>
          </w:tcPr>
          <w:p w14:paraId="0B518FCC">
            <w:pPr>
              <w:pStyle w:val="2"/>
              <w:jc w:val="center"/>
              <w:rPr>
                <w:rFonts w:ascii="Times New Roman" w:hAnsi="Times New Roman" w:eastAsia="仿宋" w:cs="Times New Roman"/>
                <w:szCs w:val="21"/>
              </w:rPr>
            </w:pPr>
          </w:p>
        </w:tc>
        <w:tc>
          <w:tcPr>
            <w:tcW w:w="1418" w:type="dxa"/>
            <w:vAlign w:val="center"/>
          </w:tcPr>
          <w:p w14:paraId="530642B3">
            <w:pPr>
              <w:pStyle w:val="2"/>
              <w:jc w:val="center"/>
              <w:rPr>
                <w:rFonts w:ascii="Times New Roman" w:hAnsi="Times New Roman" w:eastAsia="仿宋" w:cs="Times New Roman"/>
                <w:szCs w:val="21"/>
              </w:rPr>
            </w:pPr>
          </w:p>
        </w:tc>
        <w:tc>
          <w:tcPr>
            <w:tcW w:w="850" w:type="dxa"/>
            <w:vAlign w:val="center"/>
          </w:tcPr>
          <w:p w14:paraId="3239B2B5">
            <w:pPr>
              <w:pStyle w:val="2"/>
              <w:jc w:val="center"/>
              <w:rPr>
                <w:rFonts w:ascii="Times New Roman" w:hAnsi="Times New Roman" w:eastAsia="仿宋" w:cs="Times New Roman"/>
                <w:szCs w:val="21"/>
              </w:rPr>
            </w:pPr>
          </w:p>
        </w:tc>
        <w:tc>
          <w:tcPr>
            <w:tcW w:w="567" w:type="dxa"/>
            <w:vAlign w:val="center"/>
          </w:tcPr>
          <w:p w14:paraId="6A898FE2">
            <w:pPr>
              <w:pStyle w:val="2"/>
              <w:jc w:val="center"/>
              <w:rPr>
                <w:rFonts w:ascii="Times New Roman" w:hAnsi="Times New Roman" w:eastAsia="仿宋" w:cs="Times New Roman"/>
                <w:szCs w:val="21"/>
              </w:rPr>
            </w:pPr>
          </w:p>
        </w:tc>
        <w:tc>
          <w:tcPr>
            <w:tcW w:w="995" w:type="dxa"/>
            <w:vAlign w:val="center"/>
          </w:tcPr>
          <w:p w14:paraId="3A61D1E7">
            <w:pPr>
              <w:pStyle w:val="2"/>
              <w:jc w:val="center"/>
              <w:rPr>
                <w:rFonts w:ascii="Times New Roman" w:hAnsi="Times New Roman" w:eastAsia="仿宋" w:cs="Times New Roman"/>
                <w:szCs w:val="21"/>
              </w:rPr>
            </w:pPr>
          </w:p>
        </w:tc>
      </w:tr>
      <w:tr w14:paraId="39E03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058DC83F">
            <w:pPr>
              <w:pStyle w:val="2"/>
              <w:jc w:val="center"/>
              <w:rPr>
                <w:rFonts w:ascii="Times New Roman" w:hAnsi="Times New Roman" w:eastAsia="仿宋" w:cs="Times New Roman"/>
                <w:szCs w:val="21"/>
              </w:rPr>
            </w:pPr>
          </w:p>
        </w:tc>
        <w:tc>
          <w:tcPr>
            <w:tcW w:w="1985" w:type="dxa"/>
            <w:vAlign w:val="center"/>
          </w:tcPr>
          <w:p w14:paraId="2B47C3BF">
            <w:pPr>
              <w:pStyle w:val="2"/>
              <w:jc w:val="center"/>
              <w:rPr>
                <w:rFonts w:ascii="Times New Roman" w:hAnsi="Times New Roman" w:eastAsia="仿宋" w:cs="Times New Roman"/>
                <w:szCs w:val="21"/>
              </w:rPr>
            </w:pPr>
          </w:p>
        </w:tc>
        <w:tc>
          <w:tcPr>
            <w:tcW w:w="1417" w:type="dxa"/>
            <w:vAlign w:val="center"/>
          </w:tcPr>
          <w:p w14:paraId="7B2D4C54">
            <w:pPr>
              <w:pStyle w:val="2"/>
              <w:jc w:val="center"/>
              <w:rPr>
                <w:rFonts w:ascii="Times New Roman" w:hAnsi="Times New Roman" w:eastAsia="仿宋" w:cs="Times New Roman"/>
                <w:szCs w:val="21"/>
              </w:rPr>
            </w:pPr>
          </w:p>
        </w:tc>
        <w:tc>
          <w:tcPr>
            <w:tcW w:w="1418" w:type="dxa"/>
            <w:vAlign w:val="center"/>
          </w:tcPr>
          <w:p w14:paraId="13D61978">
            <w:pPr>
              <w:pStyle w:val="2"/>
              <w:jc w:val="center"/>
              <w:rPr>
                <w:rFonts w:ascii="Times New Roman" w:hAnsi="Times New Roman" w:eastAsia="仿宋" w:cs="Times New Roman"/>
                <w:szCs w:val="21"/>
              </w:rPr>
            </w:pPr>
          </w:p>
        </w:tc>
        <w:tc>
          <w:tcPr>
            <w:tcW w:w="850" w:type="dxa"/>
            <w:vAlign w:val="center"/>
          </w:tcPr>
          <w:p w14:paraId="179BDA1A">
            <w:pPr>
              <w:pStyle w:val="2"/>
              <w:jc w:val="center"/>
              <w:rPr>
                <w:rFonts w:ascii="Times New Roman" w:hAnsi="Times New Roman" w:eastAsia="仿宋" w:cs="Times New Roman"/>
                <w:szCs w:val="21"/>
              </w:rPr>
            </w:pPr>
          </w:p>
        </w:tc>
        <w:tc>
          <w:tcPr>
            <w:tcW w:w="567" w:type="dxa"/>
            <w:vAlign w:val="center"/>
          </w:tcPr>
          <w:p w14:paraId="510AD230">
            <w:pPr>
              <w:pStyle w:val="2"/>
              <w:jc w:val="center"/>
              <w:rPr>
                <w:rFonts w:ascii="Times New Roman" w:hAnsi="Times New Roman" w:eastAsia="仿宋" w:cs="Times New Roman"/>
                <w:szCs w:val="21"/>
              </w:rPr>
            </w:pPr>
          </w:p>
        </w:tc>
        <w:tc>
          <w:tcPr>
            <w:tcW w:w="995" w:type="dxa"/>
            <w:vAlign w:val="center"/>
          </w:tcPr>
          <w:p w14:paraId="272E64DD">
            <w:pPr>
              <w:pStyle w:val="2"/>
              <w:jc w:val="center"/>
              <w:rPr>
                <w:rFonts w:ascii="Times New Roman" w:hAnsi="Times New Roman" w:eastAsia="仿宋" w:cs="Times New Roman"/>
                <w:szCs w:val="21"/>
              </w:rPr>
            </w:pPr>
          </w:p>
        </w:tc>
      </w:tr>
    </w:tbl>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2"/>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r>
        <w:rPr>
          <w:rFonts w:hint="eastAsia" w:ascii="Times New Roman" w:hAnsi="Times New Roman" w:eastAsia="仿宋" w:cs="Times New Roman"/>
          <w:b w:val="0"/>
          <w:bCs w:val="0"/>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4"/>
        <w:ind w:firstLine="0"/>
      </w:pPr>
      <w:r>
        <w:t>供应商认为需要提供的其他材料</w:t>
      </w:r>
      <w:bookmarkEnd w:id="85"/>
      <w:bookmarkEnd w:id="86"/>
      <w:bookmarkEnd w:id="87"/>
      <w:bookmarkEnd w:id="89"/>
      <w:bookmarkEnd w:id="90"/>
      <w:bookmarkEnd w:id="91"/>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3"/>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15A23546">
      <w:pPr>
        <w:pStyle w:val="43"/>
        <w:spacing w:line="360" w:lineRule="auto"/>
        <w:rPr>
          <w:rFonts w:hint="eastAsia" w:ascii="仿宋" w:hAnsi="仿宋" w:eastAsia="仿宋" w:cs="仿宋"/>
          <w:kern w:val="0"/>
          <w:sz w:val="44"/>
          <w:szCs w:val="44"/>
          <w:lang w:bidi="ar"/>
        </w:rPr>
      </w:pPr>
      <w:r>
        <w:rPr>
          <w:rFonts w:hint="eastAsia" w:ascii="仿宋" w:hAnsi="仿宋" w:eastAsia="仿宋" w:cs="仿宋"/>
          <w:kern w:val="0"/>
          <w:sz w:val="44"/>
          <w:szCs w:val="44"/>
          <w:lang w:bidi="ar"/>
        </w:rPr>
        <w:t>********采购协议</w:t>
      </w:r>
    </w:p>
    <w:p w14:paraId="0AE2858A">
      <w:pPr>
        <w:spacing w:line="360" w:lineRule="auto"/>
        <w:jc w:val="center"/>
        <w:rPr>
          <w:rFonts w:hint="eastAsia" w:ascii="仿宋" w:hAnsi="仿宋" w:eastAsia="仿宋" w:cs="仿宋"/>
          <w:b/>
          <w:sz w:val="36"/>
        </w:rPr>
      </w:pPr>
    </w:p>
    <w:p w14:paraId="2F29C112">
      <w:pPr>
        <w:spacing w:line="360" w:lineRule="auto"/>
        <w:rPr>
          <w:rFonts w:hint="eastAsia" w:ascii="仿宋" w:hAnsi="仿宋" w:eastAsia="仿宋" w:cs="仿宋"/>
          <w:sz w:val="24"/>
        </w:rPr>
        <w:sectPr>
          <w:headerReference r:id="rId6" w:type="default"/>
          <w:footerReference r:id="rId7" w:type="default"/>
          <w:footerReference r:id="rId8" w:type="even"/>
          <w:pgSz w:w="11906" w:h="16838"/>
          <w:pgMar w:top="1134" w:right="1134" w:bottom="1134" w:left="1134" w:header="0" w:footer="567" w:gutter="0"/>
          <w:pgNumType w:fmt="decimal" w:start="1"/>
          <w:cols w:space="425" w:num="1"/>
          <w:docGrid w:linePitch="312" w:charSpace="0"/>
        </w:sectPr>
      </w:pPr>
    </w:p>
    <w:p w14:paraId="6FE0A362">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合同编号：CGZX-YXX20212940</w:t>
      </w:r>
    </w:p>
    <w:p w14:paraId="17E8CA42">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签订地点：四川省成都市</w:t>
      </w:r>
    </w:p>
    <w:p w14:paraId="58A40FEE">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签订时间：</w:t>
      </w:r>
      <w:r>
        <w:rPr>
          <w:rFonts w:hint="eastAsia" w:ascii="仿宋" w:hAnsi="仿宋" w:eastAsia="仿宋" w:cs="仿宋"/>
          <w:color w:val="000000"/>
          <w:kern w:val="0"/>
          <w:sz w:val="24"/>
          <w:szCs w:val="24"/>
          <w:lang w:val="en-US" w:eastAsia="zh-CN"/>
        </w:rPr>
        <w:t>2026</w:t>
      </w:r>
      <w:r>
        <w:rPr>
          <w:rFonts w:hint="eastAsia" w:ascii="仿宋" w:hAnsi="仿宋" w:eastAsia="仿宋" w:cs="仿宋"/>
          <w:color w:val="000000"/>
          <w:kern w:val="0"/>
          <w:sz w:val="24"/>
          <w:szCs w:val="24"/>
        </w:rPr>
        <w:t xml:space="preserve"> 年   月   日</w:t>
      </w:r>
    </w:p>
    <w:p w14:paraId="29040204">
      <w:pPr>
        <w:spacing w:line="480" w:lineRule="exact"/>
        <w:rPr>
          <w:rFonts w:hint="eastAsia" w:ascii="仿宋" w:hAnsi="仿宋" w:eastAsia="仿宋" w:cs="仿宋"/>
          <w:color w:val="000000"/>
          <w:kern w:val="0"/>
          <w:sz w:val="24"/>
          <w:szCs w:val="24"/>
        </w:rPr>
      </w:pPr>
    </w:p>
    <w:p w14:paraId="19CE2427">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采购人（以下简称甲方）：四川省人民医院</w:t>
      </w:r>
    </w:p>
    <w:p w14:paraId="144DB7B3">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地址：四川省成都市一环路西二段 32 号</w:t>
      </w:r>
    </w:p>
    <w:p w14:paraId="048D051B">
      <w:pPr>
        <w:spacing w:line="480" w:lineRule="exact"/>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rPr>
        <w:t>电话：028-8739</w:t>
      </w:r>
      <w:r>
        <w:rPr>
          <w:rFonts w:hint="eastAsia" w:ascii="仿宋" w:hAnsi="仿宋" w:eastAsia="仿宋" w:cs="仿宋"/>
          <w:color w:val="000000"/>
          <w:kern w:val="0"/>
          <w:sz w:val="24"/>
          <w:szCs w:val="24"/>
          <w:lang w:val="en-US" w:eastAsia="zh-CN"/>
        </w:rPr>
        <w:t>3060</w:t>
      </w:r>
    </w:p>
    <w:p w14:paraId="31097D54">
      <w:pPr>
        <w:spacing w:line="480" w:lineRule="exact"/>
        <w:rPr>
          <w:rFonts w:hint="eastAsia" w:ascii="仿宋" w:hAnsi="仿宋" w:eastAsia="仿宋" w:cs="仿宋"/>
          <w:b/>
          <w:bCs/>
          <w:color w:val="000000"/>
          <w:kern w:val="0"/>
          <w:sz w:val="24"/>
          <w:szCs w:val="24"/>
          <w:lang w:val="en-US" w:eastAsia="zh-CN"/>
        </w:rPr>
      </w:pPr>
      <w:r>
        <w:rPr>
          <w:rFonts w:hint="eastAsia" w:ascii="仿宋" w:hAnsi="仿宋" w:eastAsia="仿宋" w:cs="仿宋"/>
          <w:color w:val="000000"/>
          <w:kern w:val="0"/>
          <w:sz w:val="24"/>
          <w:szCs w:val="24"/>
        </w:rPr>
        <w:t>联系人：</w:t>
      </w:r>
      <w:r>
        <w:rPr>
          <w:rFonts w:hint="eastAsia" w:ascii="仿宋" w:hAnsi="仿宋" w:eastAsia="仿宋" w:cs="仿宋"/>
          <w:color w:val="000000"/>
          <w:kern w:val="0"/>
          <w:sz w:val="24"/>
          <w:szCs w:val="24"/>
          <w:lang w:val="en-US" w:eastAsia="zh-CN"/>
        </w:rPr>
        <w:t>王霞</w:t>
      </w:r>
    </w:p>
    <w:p w14:paraId="5419D2E9">
      <w:pPr>
        <w:spacing w:line="480" w:lineRule="exact"/>
        <w:rPr>
          <w:rFonts w:hint="eastAsia" w:ascii="仿宋" w:hAnsi="仿宋" w:eastAsia="仿宋" w:cs="仿宋"/>
          <w:color w:val="000000"/>
          <w:kern w:val="0"/>
          <w:sz w:val="24"/>
          <w:szCs w:val="24"/>
        </w:rPr>
      </w:pPr>
    </w:p>
    <w:p w14:paraId="7DBD14D9">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乙方：中国农业银行股份有限公司成都光华支行</w:t>
      </w:r>
    </w:p>
    <w:p w14:paraId="59D5D1BA">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地址：四川省成都市小南街3号</w:t>
      </w:r>
    </w:p>
    <w:p w14:paraId="7ADBA103">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电话：028-63930892</w:t>
      </w:r>
    </w:p>
    <w:p w14:paraId="56BCE520">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联系人：黄觅</w:t>
      </w:r>
    </w:p>
    <w:p w14:paraId="27AEF257">
      <w:pPr>
        <w:spacing w:line="480" w:lineRule="exact"/>
        <w:rPr>
          <w:rFonts w:hint="eastAsia" w:ascii="仿宋" w:hAnsi="仿宋" w:eastAsia="仿宋" w:cs="仿宋"/>
          <w:color w:val="000000"/>
          <w:kern w:val="0"/>
          <w:sz w:val="24"/>
          <w:szCs w:val="24"/>
        </w:rPr>
      </w:pPr>
    </w:p>
    <w:p w14:paraId="7D93B4CA">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丙方：********公司</w:t>
      </w:r>
    </w:p>
    <w:p w14:paraId="268BAAA3">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w:t>
      </w:r>
    </w:p>
    <w:p w14:paraId="571DEF6D">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移动电话：*****</w:t>
      </w:r>
    </w:p>
    <w:p w14:paraId="32771BFD">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联系人：******</w:t>
      </w:r>
    </w:p>
    <w:p w14:paraId="1E798843">
      <w:pPr>
        <w:spacing w:line="360" w:lineRule="auto"/>
        <w:rPr>
          <w:rFonts w:hint="eastAsia" w:ascii="仿宋" w:hAnsi="仿宋" w:eastAsia="仿宋" w:cs="仿宋"/>
          <w:sz w:val="24"/>
        </w:rPr>
      </w:pPr>
    </w:p>
    <w:p w14:paraId="376D3387">
      <w:pPr>
        <w:widowControl/>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rPr>
        <w:t>甲乙丙三方确认就“**********”采购项目（项目编号：  ）甲方向丙方购买本合同中写明的货物/ 服务事项，根据《中华人民共和国民法典》等法律法规及本项目的相关采购文件，甲、乙、 丙三方同意签订本合同。详细技术说明及其他有关合同项目的特定信息由合同附件予以说明， 合同附件及本项目的相关采购文件均为本合同不可分割的部分。三方同意共同遵守以下条款。</w:t>
      </w:r>
    </w:p>
    <w:p w14:paraId="735E9CEE">
      <w:pPr>
        <w:spacing w:line="360" w:lineRule="auto"/>
        <w:rPr>
          <w:rFonts w:hint="eastAsia" w:ascii="仿宋" w:hAnsi="仿宋" w:eastAsia="仿宋" w:cs="仿宋"/>
          <w:b/>
          <w:bCs/>
          <w:sz w:val="18"/>
          <w:szCs w:val="24"/>
        </w:rPr>
      </w:pPr>
      <w:r>
        <w:rPr>
          <w:rFonts w:hint="eastAsia" w:ascii="仿宋" w:hAnsi="仿宋" w:eastAsia="仿宋" w:cs="仿宋"/>
          <w:b/>
          <w:sz w:val="24"/>
          <w:szCs w:val="24"/>
        </w:rPr>
        <w:t>一、项目内容</w:t>
      </w:r>
    </w:p>
    <w:tbl>
      <w:tblPr>
        <w:tblStyle w:val="18"/>
        <w:tblW w:w="100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245"/>
        <w:gridCol w:w="408"/>
        <w:gridCol w:w="1017"/>
        <w:gridCol w:w="636"/>
        <w:gridCol w:w="534"/>
        <w:gridCol w:w="1200"/>
        <w:gridCol w:w="937"/>
        <w:gridCol w:w="1075"/>
        <w:gridCol w:w="1291"/>
      </w:tblGrid>
      <w:tr w14:paraId="02603A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0FB73CF7">
            <w:pPr>
              <w:adjustRightInd w:val="0"/>
              <w:snapToGrid w:val="0"/>
              <w:spacing w:line="360" w:lineRule="auto"/>
              <w:ind w:firstLine="210" w:firstLineChars="100"/>
              <w:rPr>
                <w:rFonts w:hint="eastAsia" w:ascii="仿宋" w:hAnsi="仿宋" w:eastAsia="仿宋" w:cs="仿宋"/>
              </w:rPr>
            </w:pPr>
            <w:permStart w:id="0" w:edGrp="everyone" w:colFirst="0" w:colLast="0"/>
            <w:permStart w:id="1" w:edGrp="everyone" w:colFirst="1" w:colLast="1"/>
            <w:permStart w:id="2" w:edGrp="everyone" w:colFirst="2" w:colLast="2"/>
            <w:permStart w:id="3" w:edGrp="everyone" w:colFirst="3" w:colLast="3"/>
            <w:permStart w:id="4" w:edGrp="everyone" w:colFirst="4" w:colLast="4"/>
            <w:permStart w:id="5" w:edGrp="everyone" w:colFirst="7" w:colLast="7"/>
            <w:r>
              <w:rPr>
                <w:rFonts w:hint="eastAsia" w:ascii="仿宋" w:hAnsi="仿宋" w:eastAsia="仿宋" w:cs="仿宋"/>
              </w:rPr>
              <w:t>名称</w:t>
            </w:r>
          </w:p>
        </w:tc>
        <w:tc>
          <w:tcPr>
            <w:tcW w:w="1245" w:type="dxa"/>
            <w:tcBorders>
              <w:top w:val="single" w:color="auto" w:sz="4" w:space="0"/>
              <w:left w:val="single" w:color="auto" w:sz="4" w:space="0"/>
              <w:bottom w:val="single" w:color="auto" w:sz="4" w:space="0"/>
              <w:right w:val="single" w:color="auto" w:sz="4" w:space="0"/>
            </w:tcBorders>
            <w:vAlign w:val="center"/>
          </w:tcPr>
          <w:p w14:paraId="03AA95CB">
            <w:pPr>
              <w:adjustRightInd w:val="0"/>
              <w:snapToGrid w:val="0"/>
              <w:spacing w:line="360" w:lineRule="auto"/>
              <w:jc w:val="center"/>
              <w:rPr>
                <w:rFonts w:hint="eastAsia" w:ascii="仿宋" w:hAnsi="仿宋" w:eastAsia="仿宋" w:cs="仿宋"/>
              </w:rPr>
            </w:pPr>
            <w:r>
              <w:rPr>
                <w:rFonts w:hint="eastAsia" w:ascii="仿宋" w:hAnsi="仿宋" w:eastAsia="仿宋" w:cs="仿宋"/>
              </w:rPr>
              <w:t>品牌</w:t>
            </w:r>
          </w:p>
        </w:tc>
        <w:tc>
          <w:tcPr>
            <w:tcW w:w="1425" w:type="dxa"/>
            <w:gridSpan w:val="2"/>
            <w:tcBorders>
              <w:top w:val="single" w:color="auto" w:sz="4" w:space="0"/>
              <w:left w:val="single" w:color="auto" w:sz="4" w:space="0"/>
              <w:bottom w:val="single" w:color="auto" w:sz="4" w:space="0"/>
              <w:right w:val="single" w:color="auto" w:sz="4" w:space="0"/>
            </w:tcBorders>
            <w:vAlign w:val="center"/>
          </w:tcPr>
          <w:p w14:paraId="424139DA">
            <w:pPr>
              <w:adjustRightInd w:val="0"/>
              <w:snapToGrid w:val="0"/>
              <w:spacing w:line="360" w:lineRule="auto"/>
              <w:jc w:val="center"/>
              <w:rPr>
                <w:rFonts w:hint="eastAsia" w:ascii="仿宋" w:hAnsi="仿宋" w:eastAsia="仿宋" w:cs="仿宋"/>
              </w:rPr>
            </w:pPr>
            <w:r>
              <w:rPr>
                <w:rFonts w:hint="eastAsia" w:ascii="仿宋" w:hAnsi="仿宋" w:eastAsia="仿宋" w:cs="仿宋"/>
              </w:rPr>
              <w:t>产地</w:t>
            </w:r>
          </w:p>
        </w:tc>
        <w:tc>
          <w:tcPr>
            <w:tcW w:w="1170" w:type="dxa"/>
            <w:gridSpan w:val="2"/>
            <w:tcBorders>
              <w:top w:val="single" w:color="auto" w:sz="4" w:space="0"/>
              <w:left w:val="single" w:color="auto" w:sz="4" w:space="0"/>
              <w:bottom w:val="single" w:color="auto" w:sz="4" w:space="0"/>
              <w:right w:val="single" w:color="auto" w:sz="4" w:space="0"/>
            </w:tcBorders>
            <w:vAlign w:val="center"/>
          </w:tcPr>
          <w:p w14:paraId="5B55475F">
            <w:pPr>
              <w:adjustRightInd w:val="0"/>
              <w:snapToGrid w:val="0"/>
              <w:spacing w:line="360" w:lineRule="auto"/>
              <w:jc w:val="center"/>
              <w:rPr>
                <w:rFonts w:hint="eastAsia" w:ascii="仿宋" w:hAnsi="仿宋" w:eastAsia="仿宋" w:cs="仿宋"/>
              </w:rPr>
            </w:pPr>
            <w:r>
              <w:rPr>
                <w:rFonts w:hint="eastAsia" w:ascii="仿宋" w:hAnsi="仿宋" w:eastAsia="仿宋" w:cs="仿宋"/>
              </w:rPr>
              <w:t>规格型号</w:t>
            </w:r>
          </w:p>
        </w:tc>
        <w:tc>
          <w:tcPr>
            <w:tcW w:w="1200" w:type="dxa"/>
            <w:tcBorders>
              <w:top w:val="single" w:color="auto" w:sz="4" w:space="0"/>
              <w:left w:val="single" w:color="auto" w:sz="4" w:space="0"/>
              <w:bottom w:val="single" w:color="auto" w:sz="4" w:space="0"/>
              <w:right w:val="single" w:color="auto" w:sz="4" w:space="0"/>
            </w:tcBorders>
            <w:vAlign w:val="center"/>
          </w:tcPr>
          <w:p w14:paraId="719FE5EB">
            <w:pPr>
              <w:adjustRightInd w:val="0"/>
              <w:snapToGrid w:val="0"/>
              <w:spacing w:line="360" w:lineRule="auto"/>
              <w:jc w:val="center"/>
              <w:rPr>
                <w:rFonts w:hint="eastAsia" w:ascii="仿宋" w:hAnsi="仿宋" w:eastAsia="仿宋" w:cs="仿宋"/>
              </w:rPr>
            </w:pPr>
            <w:r>
              <w:rPr>
                <w:rFonts w:hint="eastAsia" w:ascii="仿宋" w:hAnsi="仿宋" w:eastAsia="仿宋" w:cs="仿宋"/>
              </w:rPr>
              <w:t>数量</w:t>
            </w:r>
          </w:p>
        </w:tc>
        <w:tc>
          <w:tcPr>
            <w:tcW w:w="937" w:type="dxa"/>
            <w:tcBorders>
              <w:top w:val="single" w:color="auto" w:sz="4" w:space="0"/>
              <w:left w:val="single" w:color="auto" w:sz="4" w:space="0"/>
              <w:bottom w:val="single" w:color="auto" w:sz="4" w:space="0"/>
              <w:right w:val="single" w:color="auto" w:sz="4" w:space="0"/>
            </w:tcBorders>
          </w:tcPr>
          <w:p w14:paraId="1E44637B">
            <w:pPr>
              <w:adjustRightInd w:val="0"/>
              <w:snapToGrid w:val="0"/>
              <w:spacing w:line="360" w:lineRule="auto"/>
              <w:jc w:val="center"/>
              <w:rPr>
                <w:rFonts w:hint="eastAsia" w:ascii="仿宋" w:hAnsi="仿宋" w:eastAsia="仿宋" w:cs="仿宋"/>
              </w:rPr>
            </w:pPr>
            <w:r>
              <w:rPr>
                <w:rFonts w:hint="eastAsia" w:ascii="仿宋" w:hAnsi="仿宋" w:eastAsia="仿宋" w:cs="仿宋"/>
              </w:rPr>
              <w:t>单位</w:t>
            </w:r>
          </w:p>
        </w:tc>
        <w:tc>
          <w:tcPr>
            <w:tcW w:w="1075" w:type="dxa"/>
            <w:tcBorders>
              <w:top w:val="single" w:color="auto" w:sz="4" w:space="0"/>
              <w:left w:val="single" w:color="auto" w:sz="4" w:space="0"/>
              <w:bottom w:val="single" w:color="auto" w:sz="4" w:space="0"/>
              <w:right w:val="single" w:color="auto" w:sz="4" w:space="0"/>
            </w:tcBorders>
          </w:tcPr>
          <w:p w14:paraId="40A929F2">
            <w:pPr>
              <w:adjustRightInd w:val="0"/>
              <w:snapToGrid w:val="0"/>
              <w:spacing w:line="360" w:lineRule="auto"/>
              <w:jc w:val="center"/>
              <w:rPr>
                <w:rFonts w:hint="eastAsia" w:ascii="仿宋" w:hAnsi="仿宋" w:eastAsia="仿宋" w:cs="仿宋"/>
              </w:rPr>
            </w:pPr>
            <w:r>
              <w:rPr>
                <w:rFonts w:hint="eastAsia" w:ascii="仿宋" w:hAnsi="仿宋" w:eastAsia="仿宋" w:cs="仿宋"/>
              </w:rPr>
              <w:t>单/总价</w:t>
            </w:r>
          </w:p>
        </w:tc>
        <w:tc>
          <w:tcPr>
            <w:tcW w:w="1291" w:type="dxa"/>
            <w:tcBorders>
              <w:top w:val="single" w:color="auto" w:sz="4" w:space="0"/>
              <w:left w:val="single" w:color="auto" w:sz="4" w:space="0"/>
              <w:bottom w:val="single" w:color="auto" w:sz="4" w:space="0"/>
              <w:right w:val="single" w:color="auto" w:sz="4" w:space="0"/>
            </w:tcBorders>
            <w:vAlign w:val="center"/>
          </w:tcPr>
          <w:p w14:paraId="34BAEE99">
            <w:pPr>
              <w:adjustRightInd w:val="0"/>
              <w:snapToGrid w:val="0"/>
              <w:spacing w:line="360" w:lineRule="auto"/>
              <w:jc w:val="center"/>
              <w:rPr>
                <w:rFonts w:hint="eastAsia" w:ascii="仿宋" w:hAnsi="仿宋" w:eastAsia="仿宋" w:cs="仿宋"/>
              </w:rPr>
            </w:pPr>
            <w:r>
              <w:rPr>
                <w:rFonts w:hint="eastAsia" w:ascii="仿宋" w:hAnsi="仿宋" w:eastAsia="仿宋" w:cs="仿宋"/>
              </w:rPr>
              <w:t>备注</w:t>
            </w:r>
          </w:p>
        </w:tc>
      </w:tr>
      <w:permEnd w:id="0"/>
      <w:permEnd w:id="1"/>
      <w:permEnd w:id="2"/>
      <w:permEnd w:id="3"/>
      <w:permEnd w:id="4"/>
      <w:permEnd w:id="5"/>
      <w:tr w14:paraId="037A87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40B3EED2">
            <w:pPr>
              <w:adjustRightInd w:val="0"/>
              <w:snapToGrid w:val="0"/>
              <w:spacing w:line="360" w:lineRule="auto"/>
              <w:jc w:val="center"/>
              <w:rPr>
                <w:rFonts w:hint="eastAsia" w:ascii="仿宋" w:hAnsi="仿宋" w:eastAsia="仿宋" w:cs="仿宋"/>
                <w:sz w:val="22"/>
                <w:u w:val="single"/>
              </w:rPr>
            </w:pPr>
            <w:permStart w:id="6" w:edGrp="everyone" w:colFirst="0" w:colLast="0"/>
            <w:permStart w:id="7" w:edGrp="everyone" w:colFirst="1" w:colLast="1"/>
            <w:permStart w:id="8" w:edGrp="everyone" w:colFirst="2" w:colLast="2"/>
            <w:permStart w:id="9" w:edGrp="everyone" w:colFirst="3" w:colLast="3"/>
            <w:permStart w:id="10" w:edGrp="everyone" w:colFirst="4" w:colLast="4"/>
            <w:permStart w:id="11" w:edGrp="everyone" w:colFirst="7" w:colLast="7"/>
            <w:r>
              <w:rPr>
                <w:rFonts w:hint="eastAsia" w:ascii="仿宋" w:hAnsi="仿宋" w:eastAsia="仿宋" w:cs="仿宋"/>
                <w:color w:val="000000"/>
                <w:kern w:val="0"/>
                <w:sz w:val="24"/>
                <w:szCs w:val="24"/>
              </w:rPr>
              <w:t xml:space="preserve">  </w:t>
            </w:r>
          </w:p>
        </w:tc>
        <w:tc>
          <w:tcPr>
            <w:tcW w:w="1245" w:type="dxa"/>
            <w:tcBorders>
              <w:top w:val="single" w:color="auto" w:sz="4" w:space="0"/>
              <w:left w:val="single" w:color="auto" w:sz="4" w:space="0"/>
              <w:bottom w:val="single" w:color="auto" w:sz="4" w:space="0"/>
              <w:right w:val="single" w:color="auto" w:sz="4" w:space="0"/>
            </w:tcBorders>
            <w:shd w:val="clear" w:color="A4A4A4" w:fill="auto"/>
            <w:vAlign w:val="center"/>
          </w:tcPr>
          <w:p w14:paraId="51DDCAD4">
            <w:pPr>
              <w:adjustRightInd w:val="0"/>
              <w:snapToGrid w:val="0"/>
              <w:spacing w:line="360" w:lineRule="auto"/>
              <w:jc w:val="center"/>
              <w:rPr>
                <w:rFonts w:hint="eastAsia" w:ascii="仿宋" w:hAnsi="仿宋" w:eastAsia="仿宋" w:cs="仿宋"/>
              </w:rPr>
            </w:pPr>
          </w:p>
        </w:tc>
        <w:tc>
          <w:tcPr>
            <w:tcW w:w="1425"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44BAFE02">
            <w:pPr>
              <w:adjustRightInd w:val="0"/>
              <w:snapToGrid w:val="0"/>
              <w:spacing w:line="360" w:lineRule="auto"/>
              <w:jc w:val="center"/>
              <w:rPr>
                <w:rFonts w:hint="eastAsia" w:ascii="仿宋" w:hAnsi="仿宋" w:eastAsia="仿宋" w:cs="仿宋"/>
              </w:rPr>
            </w:pPr>
          </w:p>
        </w:tc>
        <w:tc>
          <w:tcPr>
            <w:tcW w:w="1170"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54AF6825">
            <w:pPr>
              <w:adjustRightInd w:val="0"/>
              <w:snapToGrid w:val="0"/>
              <w:spacing w:line="360" w:lineRule="auto"/>
              <w:jc w:val="center"/>
              <w:rPr>
                <w:rFonts w:hint="eastAsia" w:ascii="仿宋" w:hAnsi="仿宋" w:eastAsia="仿宋" w:cs="仿宋"/>
              </w:rPr>
            </w:pPr>
          </w:p>
        </w:tc>
        <w:tc>
          <w:tcPr>
            <w:tcW w:w="1200" w:type="dxa"/>
            <w:tcBorders>
              <w:top w:val="single" w:color="auto" w:sz="4" w:space="0"/>
              <w:left w:val="single" w:color="auto" w:sz="4" w:space="0"/>
              <w:bottom w:val="single" w:color="auto" w:sz="4" w:space="0"/>
              <w:right w:val="single" w:color="auto" w:sz="4" w:space="0"/>
            </w:tcBorders>
            <w:shd w:val="clear" w:color="A4A4A4" w:fill="auto"/>
            <w:vAlign w:val="center"/>
          </w:tcPr>
          <w:p w14:paraId="683B2FFA">
            <w:pPr>
              <w:adjustRightInd w:val="0"/>
              <w:snapToGrid w:val="0"/>
              <w:spacing w:line="360" w:lineRule="auto"/>
              <w:ind w:firstLine="105" w:firstLineChars="50"/>
              <w:jc w:val="center"/>
              <w:rPr>
                <w:rFonts w:hint="eastAsia" w:ascii="仿宋" w:hAnsi="仿宋" w:eastAsia="仿宋" w:cs="仿宋"/>
              </w:rPr>
            </w:pPr>
          </w:p>
        </w:tc>
        <w:tc>
          <w:tcPr>
            <w:tcW w:w="937" w:type="dxa"/>
            <w:tcBorders>
              <w:top w:val="single" w:color="auto" w:sz="4" w:space="0"/>
              <w:left w:val="single" w:color="auto" w:sz="4" w:space="0"/>
              <w:bottom w:val="single" w:color="auto" w:sz="4" w:space="0"/>
              <w:right w:val="single" w:color="auto" w:sz="4" w:space="0"/>
            </w:tcBorders>
            <w:shd w:val="clear" w:color="A4A4A4" w:fill="auto"/>
          </w:tcPr>
          <w:p w14:paraId="41AC702C">
            <w:pPr>
              <w:adjustRightInd w:val="0"/>
              <w:snapToGrid w:val="0"/>
              <w:spacing w:line="360" w:lineRule="auto"/>
              <w:jc w:val="center"/>
              <w:rPr>
                <w:rFonts w:hint="eastAsia" w:ascii="仿宋" w:hAnsi="仿宋" w:eastAsia="仿宋" w:cs="仿宋"/>
                <w:sz w:val="22"/>
              </w:rPr>
            </w:pPr>
          </w:p>
        </w:tc>
        <w:tc>
          <w:tcPr>
            <w:tcW w:w="1075" w:type="dxa"/>
            <w:tcBorders>
              <w:top w:val="single" w:color="auto" w:sz="4" w:space="0"/>
              <w:left w:val="single" w:color="auto" w:sz="4" w:space="0"/>
              <w:bottom w:val="single" w:color="auto" w:sz="4" w:space="0"/>
              <w:right w:val="single" w:color="auto" w:sz="4" w:space="0"/>
            </w:tcBorders>
            <w:shd w:val="clear" w:color="A4A4A4" w:fill="auto"/>
          </w:tcPr>
          <w:p w14:paraId="0F582679">
            <w:pPr>
              <w:adjustRightInd w:val="0"/>
              <w:snapToGrid w:val="0"/>
              <w:spacing w:line="360" w:lineRule="auto"/>
              <w:jc w:val="center"/>
              <w:rPr>
                <w:rFonts w:hint="eastAsia" w:ascii="仿宋" w:hAnsi="仿宋" w:eastAsia="仿宋" w:cs="仿宋"/>
                <w:sz w:val="22"/>
              </w:rPr>
            </w:pPr>
          </w:p>
        </w:tc>
        <w:tc>
          <w:tcPr>
            <w:tcW w:w="1291" w:type="dxa"/>
            <w:tcBorders>
              <w:top w:val="single" w:color="auto" w:sz="4" w:space="0"/>
              <w:left w:val="single" w:color="auto" w:sz="4" w:space="0"/>
              <w:bottom w:val="single" w:color="auto" w:sz="4" w:space="0"/>
              <w:right w:val="single" w:color="auto" w:sz="4" w:space="0"/>
            </w:tcBorders>
            <w:shd w:val="clear" w:color="A4A4A4" w:fill="auto"/>
            <w:vAlign w:val="center"/>
          </w:tcPr>
          <w:p w14:paraId="43C8A54E">
            <w:pPr>
              <w:adjustRightInd w:val="0"/>
              <w:snapToGrid w:val="0"/>
              <w:spacing w:line="360" w:lineRule="auto"/>
              <w:jc w:val="center"/>
              <w:rPr>
                <w:rFonts w:hint="eastAsia" w:ascii="仿宋" w:hAnsi="仿宋" w:eastAsia="仿宋" w:cs="仿宋"/>
                <w:sz w:val="22"/>
              </w:rPr>
            </w:pPr>
          </w:p>
        </w:tc>
      </w:tr>
      <w:permEnd w:id="6"/>
      <w:permEnd w:id="7"/>
      <w:permEnd w:id="8"/>
      <w:permEnd w:id="9"/>
      <w:permEnd w:id="10"/>
      <w:permEnd w:id="11"/>
      <w:tr w14:paraId="26DCB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0EB7294C">
            <w:pPr>
              <w:adjustRightInd w:val="0"/>
              <w:snapToGrid w:val="0"/>
              <w:spacing w:line="360" w:lineRule="auto"/>
              <w:jc w:val="center"/>
              <w:rPr>
                <w:rFonts w:hint="eastAsia" w:ascii="仿宋" w:hAnsi="仿宋" w:eastAsia="仿宋" w:cs="仿宋"/>
              </w:rPr>
            </w:pPr>
            <w:permStart w:id="12" w:edGrp="everyone" w:colFirst="0" w:colLast="0"/>
            <w:permStart w:id="13" w:edGrp="everyone" w:colFirst="3" w:colLast="3"/>
            <w:r>
              <w:rPr>
                <w:rFonts w:hint="eastAsia" w:ascii="仿宋" w:hAnsi="仿宋" w:eastAsia="仿宋" w:cs="仿宋"/>
              </w:rPr>
              <w:t>技术参数</w:t>
            </w:r>
          </w:p>
          <w:p w14:paraId="23B7F9D7">
            <w:pPr>
              <w:adjustRightInd w:val="0"/>
              <w:snapToGrid w:val="0"/>
              <w:spacing w:line="360" w:lineRule="auto"/>
              <w:jc w:val="center"/>
              <w:rPr>
                <w:rFonts w:hint="eastAsia" w:ascii="仿宋" w:hAnsi="仿宋" w:eastAsia="仿宋" w:cs="仿宋"/>
              </w:rPr>
            </w:pPr>
            <w:r>
              <w:rPr>
                <w:rFonts w:hint="eastAsia" w:ascii="仿宋" w:hAnsi="仿宋" w:eastAsia="仿宋" w:cs="仿宋"/>
              </w:rPr>
              <w:t>（可另附附件）</w:t>
            </w: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63F86D8B">
            <w:pPr>
              <w:adjustRightInd w:val="0"/>
              <w:snapToGrid w:val="0"/>
              <w:spacing w:line="360" w:lineRule="auto"/>
              <w:jc w:val="left"/>
              <w:rPr>
                <w:rFonts w:hint="eastAsia" w:ascii="仿宋" w:hAnsi="仿宋" w:eastAsia="仿宋" w:cs="仿宋"/>
                <w:color w:val="000000"/>
                <w:kern w:val="0"/>
                <w:sz w:val="24"/>
                <w:szCs w:val="24"/>
              </w:rPr>
            </w:pP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4C8F4F6D">
            <w:pPr>
              <w:adjustRightInd w:val="0"/>
              <w:snapToGrid w:val="0"/>
              <w:spacing w:line="360" w:lineRule="auto"/>
              <w:jc w:val="left"/>
              <w:rPr>
                <w:rFonts w:hint="eastAsia" w:ascii="仿宋" w:hAnsi="仿宋" w:eastAsia="仿宋" w:cs="仿宋"/>
                <w:color w:val="000000"/>
                <w:kern w:val="0"/>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30E6F1F3">
            <w:pPr>
              <w:adjustRightInd w:val="0"/>
              <w:snapToGrid w:val="0"/>
              <w:spacing w:line="360" w:lineRule="auto"/>
              <w:jc w:val="left"/>
              <w:rPr>
                <w:rFonts w:hint="eastAsia" w:ascii="仿宋" w:hAnsi="仿宋" w:eastAsia="仿宋" w:cs="仿宋"/>
              </w:rPr>
            </w:pPr>
            <w:r>
              <w:rPr>
                <w:rFonts w:hint="eastAsia" w:ascii="仿宋" w:hAnsi="仿宋" w:eastAsia="仿宋" w:cs="仿宋"/>
                <w:color w:val="000000"/>
                <w:kern w:val="0"/>
                <w:sz w:val="24"/>
                <w:szCs w:val="24"/>
              </w:rPr>
              <w:t xml:space="preserve">    </w:t>
            </w:r>
          </w:p>
        </w:tc>
      </w:tr>
      <w:permEnd w:id="12"/>
      <w:permEnd w:id="13"/>
      <w:tr w14:paraId="6297EF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restart"/>
            <w:tcBorders>
              <w:top w:val="single" w:color="auto" w:sz="4" w:space="0"/>
              <w:left w:val="single" w:color="auto" w:sz="4" w:space="0"/>
              <w:right w:val="single" w:color="auto" w:sz="4" w:space="0"/>
            </w:tcBorders>
            <w:shd w:val="clear" w:color="A4A4A4" w:fill="auto"/>
            <w:vAlign w:val="center"/>
          </w:tcPr>
          <w:p w14:paraId="7CC8A62D">
            <w:pPr>
              <w:adjustRightInd w:val="0"/>
              <w:snapToGrid w:val="0"/>
              <w:spacing w:line="360" w:lineRule="auto"/>
              <w:jc w:val="center"/>
              <w:rPr>
                <w:rFonts w:hint="eastAsia" w:ascii="仿宋" w:hAnsi="仿宋" w:eastAsia="仿宋" w:cs="仿宋"/>
              </w:rPr>
            </w:pPr>
            <w:r>
              <w:rPr>
                <w:rFonts w:hint="eastAsia" w:ascii="仿宋" w:hAnsi="仿宋" w:eastAsia="仿宋" w:cs="仿宋"/>
              </w:rPr>
              <w:t>服务期</w:t>
            </w:r>
          </w:p>
        </w:tc>
        <w:tc>
          <w:tcPr>
            <w:tcW w:w="1653" w:type="dxa"/>
            <w:gridSpan w:val="2"/>
            <w:tcBorders>
              <w:top w:val="single" w:color="auto" w:sz="4" w:space="0"/>
              <w:left w:val="single" w:color="auto" w:sz="4" w:space="0"/>
              <w:right w:val="single" w:color="auto" w:sz="4" w:space="0"/>
            </w:tcBorders>
            <w:shd w:val="clear" w:color="A4A4A4" w:fill="auto"/>
          </w:tcPr>
          <w:p w14:paraId="389C01C3">
            <w:pPr>
              <w:adjustRightInd w:val="0"/>
              <w:snapToGrid w:val="0"/>
              <w:spacing w:line="360" w:lineRule="auto"/>
              <w:jc w:val="left"/>
              <w:rPr>
                <w:rFonts w:hint="eastAsia" w:ascii="仿宋" w:hAnsi="仿宋" w:eastAsia="仿宋" w:cs="仿宋"/>
              </w:rPr>
            </w:pPr>
          </w:p>
        </w:tc>
        <w:tc>
          <w:tcPr>
            <w:tcW w:w="1653" w:type="dxa"/>
            <w:gridSpan w:val="2"/>
            <w:tcBorders>
              <w:top w:val="single" w:color="auto" w:sz="4" w:space="0"/>
              <w:left w:val="single" w:color="auto" w:sz="4" w:space="0"/>
              <w:right w:val="single" w:color="auto" w:sz="4" w:space="0"/>
            </w:tcBorders>
            <w:shd w:val="clear" w:color="A4A4A4" w:fill="auto"/>
          </w:tcPr>
          <w:p w14:paraId="53FC6197">
            <w:pPr>
              <w:adjustRightInd w:val="0"/>
              <w:snapToGrid w:val="0"/>
              <w:spacing w:line="360" w:lineRule="auto"/>
              <w:jc w:val="left"/>
              <w:rPr>
                <w:rFonts w:hint="eastAsia" w:ascii="仿宋" w:hAnsi="仿宋" w:eastAsia="仿宋" w:cs="仿宋"/>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1438D033">
            <w:pPr>
              <w:adjustRightInd w:val="0"/>
              <w:snapToGrid w:val="0"/>
              <w:spacing w:line="360" w:lineRule="auto"/>
              <w:jc w:val="left"/>
              <w:rPr>
                <w:rFonts w:hint="eastAsia" w:ascii="仿宋" w:hAnsi="仿宋" w:eastAsia="仿宋" w:cs="仿宋"/>
              </w:rPr>
            </w:pPr>
          </w:p>
        </w:tc>
      </w:tr>
      <w:tr w14:paraId="27DF8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continue"/>
            <w:tcBorders>
              <w:left w:val="single" w:color="auto" w:sz="4" w:space="0"/>
              <w:bottom w:val="single" w:color="auto" w:sz="4" w:space="0"/>
              <w:right w:val="single" w:color="auto" w:sz="4" w:space="0"/>
            </w:tcBorders>
            <w:shd w:val="clear" w:color="A4A4A4" w:fill="auto"/>
            <w:vAlign w:val="center"/>
          </w:tcPr>
          <w:p w14:paraId="79BA73E0">
            <w:pPr>
              <w:adjustRightInd w:val="0"/>
              <w:snapToGrid w:val="0"/>
              <w:spacing w:line="360" w:lineRule="auto"/>
              <w:jc w:val="center"/>
              <w:rPr>
                <w:rFonts w:hint="eastAsia" w:ascii="仿宋" w:hAnsi="仿宋" w:eastAsia="仿宋" w:cs="仿宋"/>
              </w:rPr>
            </w:pPr>
          </w:p>
        </w:tc>
        <w:tc>
          <w:tcPr>
            <w:tcW w:w="1653" w:type="dxa"/>
            <w:gridSpan w:val="2"/>
            <w:tcBorders>
              <w:left w:val="single" w:color="auto" w:sz="4" w:space="0"/>
              <w:bottom w:val="single" w:color="auto" w:sz="4" w:space="0"/>
              <w:right w:val="single" w:color="auto" w:sz="4" w:space="0"/>
            </w:tcBorders>
            <w:shd w:val="clear" w:color="A4A4A4" w:fill="auto"/>
          </w:tcPr>
          <w:p w14:paraId="00FC5463">
            <w:pPr>
              <w:adjustRightInd w:val="0"/>
              <w:snapToGrid w:val="0"/>
              <w:spacing w:line="360" w:lineRule="auto"/>
              <w:jc w:val="left"/>
              <w:rPr>
                <w:rFonts w:hint="eastAsia" w:ascii="仿宋" w:hAnsi="仿宋" w:eastAsia="仿宋" w:cs="仿宋"/>
              </w:rPr>
            </w:pPr>
          </w:p>
        </w:tc>
        <w:tc>
          <w:tcPr>
            <w:tcW w:w="1653" w:type="dxa"/>
            <w:gridSpan w:val="2"/>
            <w:tcBorders>
              <w:left w:val="single" w:color="auto" w:sz="4" w:space="0"/>
              <w:bottom w:val="single" w:color="auto" w:sz="4" w:space="0"/>
              <w:right w:val="single" w:color="auto" w:sz="4" w:space="0"/>
            </w:tcBorders>
            <w:shd w:val="clear" w:color="A4A4A4" w:fill="auto"/>
          </w:tcPr>
          <w:p w14:paraId="6B3DFEC1">
            <w:pPr>
              <w:adjustRightInd w:val="0"/>
              <w:snapToGrid w:val="0"/>
              <w:spacing w:line="360" w:lineRule="auto"/>
              <w:jc w:val="left"/>
              <w:rPr>
                <w:rFonts w:hint="eastAsia" w:ascii="仿宋" w:hAnsi="仿宋" w:eastAsia="仿宋" w:cs="仿宋"/>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44631312">
            <w:pPr>
              <w:adjustRightInd w:val="0"/>
              <w:snapToGrid w:val="0"/>
              <w:spacing w:line="360" w:lineRule="auto"/>
              <w:jc w:val="left"/>
              <w:rPr>
                <w:rFonts w:hint="eastAsia" w:ascii="仿宋" w:hAnsi="仿宋" w:eastAsia="仿宋" w:cs="仿宋"/>
              </w:rPr>
            </w:pPr>
            <w:r>
              <w:rPr>
                <w:rFonts w:hint="eastAsia" w:ascii="仿宋" w:hAnsi="仿宋" w:eastAsia="仿宋" w:cs="仿宋"/>
              </w:rPr>
              <w:t>系统售后技术支持期：自本项目验收合格之日起至</w:t>
            </w:r>
            <w:permStart w:id="14" w:edGrp="everyone"/>
            <w:r>
              <w:rPr>
                <w:rFonts w:hint="eastAsia" w:ascii="仿宋" w:hAnsi="仿宋" w:eastAsia="仿宋" w:cs="仿宋"/>
                <w:u w:val="single"/>
              </w:rPr>
              <w:t>***</w:t>
            </w:r>
            <w:permEnd w:id="14"/>
            <w:r>
              <w:rPr>
                <w:rFonts w:hint="eastAsia" w:ascii="仿宋" w:hAnsi="仿宋" w:eastAsia="仿宋" w:cs="仿宋"/>
              </w:rPr>
              <w:t>年止</w:t>
            </w:r>
          </w:p>
        </w:tc>
      </w:tr>
    </w:tbl>
    <w:p w14:paraId="44540B26">
      <w:pPr>
        <w:spacing w:line="360" w:lineRule="auto"/>
        <w:rPr>
          <w:rFonts w:hint="eastAsia" w:ascii="仿宋" w:hAnsi="仿宋" w:eastAsia="仿宋" w:cs="仿宋"/>
          <w:b/>
          <w:sz w:val="24"/>
          <w:szCs w:val="24"/>
        </w:rPr>
      </w:pPr>
      <w:r>
        <w:rPr>
          <w:rFonts w:hint="eastAsia" w:ascii="仿宋" w:hAnsi="仿宋" w:eastAsia="仿宋" w:cs="仿宋"/>
          <w:b/>
          <w:sz w:val="24"/>
          <w:szCs w:val="24"/>
        </w:rPr>
        <w:t>甲乙双方对上述设备/软件的品牌、生产商、规格型号、数量、单价、总价的选择即确认，向丙方购买设备/软件。</w:t>
      </w:r>
    </w:p>
    <w:p w14:paraId="673C8DCA">
      <w:pPr>
        <w:spacing w:line="360" w:lineRule="auto"/>
        <w:rPr>
          <w:rFonts w:hint="eastAsia" w:ascii="仿宋" w:hAnsi="仿宋" w:eastAsia="仿宋" w:cs="仿宋"/>
          <w:b/>
          <w:sz w:val="24"/>
          <w:szCs w:val="24"/>
        </w:rPr>
      </w:pPr>
      <w:r>
        <w:rPr>
          <w:rFonts w:hint="eastAsia" w:ascii="仿宋" w:hAnsi="仿宋" w:eastAsia="仿宋" w:cs="仿宋"/>
          <w:b/>
          <w:sz w:val="24"/>
          <w:szCs w:val="24"/>
        </w:rPr>
        <w:t>二、合同总价</w:t>
      </w:r>
    </w:p>
    <w:p w14:paraId="1918682F">
      <w:pPr>
        <w:spacing w:line="360" w:lineRule="auto"/>
        <w:ind w:firstLine="480" w:firstLineChars="200"/>
        <w:rPr>
          <w:rFonts w:hint="eastAsia" w:ascii="仿宋" w:hAnsi="仿宋" w:eastAsia="仿宋" w:cs="仿宋"/>
          <w:b/>
          <w:sz w:val="24"/>
          <w:szCs w:val="24"/>
        </w:rPr>
      </w:pPr>
      <w:r>
        <w:rPr>
          <w:rFonts w:hint="eastAsia" w:ascii="仿宋" w:hAnsi="仿宋" w:eastAsia="仿宋" w:cs="仿宋"/>
          <w:color w:val="000000"/>
          <w:kern w:val="0"/>
          <w:sz w:val="24"/>
          <w:szCs w:val="24"/>
        </w:rPr>
        <w:t>合同总价（含税）为人民币：******元，大写人民币:*****；该合同总价已包含硬件和软件开发、人工、包装、运输、安装、调试及验收后维保等相关服务的全部含税费用，甲、乙双方无需向丙方支付任何额外费用。</w:t>
      </w:r>
    </w:p>
    <w:p w14:paraId="586198D5">
      <w:pPr>
        <w:spacing w:line="360" w:lineRule="auto"/>
        <w:rPr>
          <w:rFonts w:hint="eastAsia" w:ascii="仿宋" w:hAnsi="仿宋" w:eastAsia="仿宋" w:cs="仿宋"/>
          <w:b/>
          <w:sz w:val="24"/>
          <w:szCs w:val="24"/>
        </w:rPr>
      </w:pPr>
      <w:r>
        <w:rPr>
          <w:rFonts w:hint="eastAsia" w:ascii="仿宋" w:hAnsi="仿宋" w:eastAsia="仿宋" w:cs="仿宋"/>
          <w:b/>
          <w:sz w:val="24"/>
          <w:szCs w:val="24"/>
        </w:rPr>
        <w:t>三、付款方式</w:t>
      </w:r>
    </w:p>
    <w:p w14:paraId="33310157">
      <w:pPr>
        <w:numPr>
          <w:ilvl w:val="0"/>
          <w:numId w:val="11"/>
        </w:numPr>
        <w:autoSpaceDE w:val="0"/>
        <w:autoSpaceDN w:val="0"/>
        <w:adjustRightInd w:val="0"/>
        <w:spacing w:line="480" w:lineRule="exact"/>
        <w:ind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本合同以人民币转账形式付款。本合同不含税价人民币</w:t>
      </w:r>
      <w:permStart w:id="15" w:edGrp="everyone"/>
      <w:r>
        <w:rPr>
          <w:rFonts w:hint="eastAsia" w:ascii="仿宋" w:hAnsi="仿宋" w:eastAsia="仿宋" w:cs="仿宋"/>
          <w:color w:val="000000"/>
          <w:kern w:val="0"/>
          <w:sz w:val="28"/>
          <w:szCs w:val="28"/>
        </w:rPr>
        <w:t>***</w:t>
      </w:r>
      <w:permEnd w:id="15"/>
      <w:r>
        <w:rPr>
          <w:rFonts w:hint="eastAsia" w:ascii="仿宋" w:hAnsi="仿宋" w:eastAsia="仿宋" w:cs="仿宋"/>
          <w:color w:val="000000"/>
          <w:kern w:val="0"/>
          <w:sz w:val="28"/>
          <w:szCs w:val="28"/>
        </w:rPr>
        <w:t>元，税额人民币</w:t>
      </w:r>
      <w:permStart w:id="16" w:edGrp="everyone"/>
      <w:r>
        <w:rPr>
          <w:rFonts w:hint="eastAsia" w:ascii="仿宋" w:hAnsi="仿宋" w:eastAsia="仿宋" w:cs="仿宋"/>
          <w:color w:val="000000"/>
          <w:kern w:val="0"/>
          <w:sz w:val="28"/>
          <w:szCs w:val="28"/>
        </w:rPr>
        <w:t>***元；价税合计人民币***元，大写人民币***圆整。</w:t>
      </w:r>
      <w:permEnd w:id="16"/>
    </w:p>
    <w:p w14:paraId="7A0D37E6">
      <w:pPr>
        <w:numPr>
          <w:ilvl w:val="0"/>
          <w:numId w:val="11"/>
        </w:numPr>
        <w:autoSpaceDE w:val="0"/>
        <w:autoSpaceDN w:val="0"/>
        <w:adjustRightInd w:val="0"/>
        <w:spacing w:line="480" w:lineRule="exact"/>
        <w:ind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合同签订完成，乙方接到甲方付款通知书以及丙方符合财务结算的相关有效票据后</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日内，向丙方支付合同金额的**%，人民币****元，大写人民币****。</w:t>
      </w:r>
    </w:p>
    <w:p w14:paraId="682675D4">
      <w:pPr>
        <w:numPr>
          <w:ilvl w:val="0"/>
          <w:numId w:val="11"/>
        </w:numPr>
        <w:autoSpaceDE w:val="0"/>
        <w:autoSpaceDN w:val="0"/>
        <w:adjustRightInd w:val="0"/>
        <w:spacing w:line="480" w:lineRule="exact"/>
        <w:ind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验收合格之日，乙方接到甲方付款通知书以及丙方相关票据和请款资料后</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日内，向丙方支付合同金额**%，人民币****元，大写人民币****。</w:t>
      </w:r>
    </w:p>
    <w:p w14:paraId="268328D9">
      <w:pPr>
        <w:numPr>
          <w:ilvl w:val="0"/>
          <w:numId w:val="11"/>
        </w:numPr>
        <w:autoSpaceDE w:val="0"/>
        <w:autoSpaceDN w:val="0"/>
        <w:adjustRightInd w:val="0"/>
        <w:spacing w:line="480" w:lineRule="exact"/>
        <w:ind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丙方指定的收款账户信息如下，如有变更，丙方应当在变更后3日内通知甲方和乙方，否则由此造成的损失，甲方乙方不承担：</w:t>
      </w:r>
    </w:p>
    <w:p w14:paraId="10C2D6B7">
      <w:pPr>
        <w:autoSpaceDE w:val="0"/>
        <w:autoSpaceDN w:val="0"/>
        <w:adjustRightInd w:val="0"/>
        <w:spacing w:line="480" w:lineRule="exact"/>
        <w:ind w:left="426" w:leftChars="203"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户名：</w:t>
      </w:r>
    </w:p>
    <w:p w14:paraId="1DB3E1B4">
      <w:pPr>
        <w:autoSpaceDE w:val="0"/>
        <w:autoSpaceDN w:val="0"/>
        <w:adjustRightInd w:val="0"/>
        <w:spacing w:line="480" w:lineRule="exact"/>
        <w:ind w:left="426" w:leftChars="203"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开户行：</w:t>
      </w:r>
    </w:p>
    <w:p w14:paraId="18E68B36">
      <w:pPr>
        <w:autoSpaceDE w:val="0"/>
        <w:autoSpaceDN w:val="0"/>
        <w:adjustRightInd w:val="0"/>
        <w:spacing w:line="480" w:lineRule="exact"/>
        <w:ind w:left="426" w:leftChars="203"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账号：</w:t>
      </w:r>
    </w:p>
    <w:p w14:paraId="5F7761C5">
      <w:pPr>
        <w:autoSpaceDE w:val="0"/>
        <w:autoSpaceDN w:val="0"/>
        <w:adjustRightInd w:val="0"/>
        <w:spacing w:line="480" w:lineRule="exact"/>
        <w:ind w:firstLine="560"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5.</w:t>
      </w:r>
      <w:r>
        <w:rPr>
          <w:rFonts w:hint="eastAsia" w:ascii="仿宋" w:hAnsi="仿宋" w:eastAsia="仿宋" w:cs="仿宋"/>
          <w:color w:val="000000"/>
          <w:kern w:val="0"/>
          <w:sz w:val="24"/>
          <w:szCs w:val="24"/>
        </w:rPr>
        <w:t xml:space="preserve"> 甲丙两方在确认验收合格后*个工作日内，丙方应按国家有关规定开具合规的发票，否则，乙方有权拒绝付款，并不因此而承担违约责任。</w:t>
      </w:r>
    </w:p>
    <w:p w14:paraId="01EEA387">
      <w:pPr>
        <w:spacing w:line="360" w:lineRule="auto"/>
        <w:rPr>
          <w:rFonts w:hint="eastAsia" w:ascii="仿宋" w:hAnsi="仿宋" w:eastAsia="仿宋" w:cs="仿宋"/>
          <w:b/>
          <w:sz w:val="24"/>
          <w:szCs w:val="24"/>
        </w:rPr>
      </w:pPr>
      <w:r>
        <w:rPr>
          <w:rFonts w:hint="eastAsia" w:ascii="仿宋" w:hAnsi="仿宋" w:eastAsia="仿宋" w:cs="仿宋"/>
          <w:b/>
          <w:sz w:val="24"/>
          <w:szCs w:val="24"/>
        </w:rPr>
        <w:t>四、交付地点、方式</w:t>
      </w:r>
    </w:p>
    <w:p w14:paraId="3B04272B">
      <w:pPr>
        <w:pStyle w:val="44"/>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交货地点：</w:t>
      </w:r>
      <w:permStart w:id="17" w:edGrp="everyone"/>
      <w:r>
        <w:rPr>
          <w:rFonts w:hint="eastAsia" w:ascii="仿宋" w:hAnsi="仿宋" w:eastAsia="仿宋" w:cs="仿宋"/>
          <w:sz w:val="24"/>
        </w:rPr>
        <w:t>甲方指定地点</w:t>
      </w:r>
    </w:p>
    <w:permEnd w:id="17"/>
    <w:p w14:paraId="295F6E26">
      <w:pPr>
        <w:pStyle w:val="44"/>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rPr>
        <w:t>交货方式</w:t>
      </w:r>
      <w:r>
        <w:rPr>
          <w:rFonts w:hint="eastAsia" w:ascii="仿宋" w:hAnsi="仿宋" w:eastAsia="仿宋" w:cs="仿宋"/>
          <w:sz w:val="24"/>
          <w:szCs w:val="24"/>
        </w:rPr>
        <w:t>：</w:t>
      </w:r>
      <w:permStart w:id="18" w:edGrp="everyone"/>
      <w:r>
        <w:rPr>
          <w:rFonts w:hint="eastAsia" w:ascii="仿宋" w:hAnsi="仿宋" w:eastAsia="仿宋" w:cs="仿宋"/>
          <w:sz w:val="24"/>
          <w:szCs w:val="24"/>
        </w:rPr>
        <w:t>丙方上门安装</w:t>
      </w:r>
    </w:p>
    <w:permEnd w:id="18"/>
    <w:p w14:paraId="4D1163E6">
      <w:pPr>
        <w:spacing w:line="360" w:lineRule="auto"/>
        <w:rPr>
          <w:rFonts w:hint="eastAsia" w:ascii="仿宋" w:hAnsi="仿宋" w:eastAsia="仿宋" w:cs="仿宋"/>
          <w:sz w:val="24"/>
        </w:rPr>
      </w:pPr>
      <w:r>
        <w:rPr>
          <w:rFonts w:hint="eastAsia" w:ascii="仿宋" w:hAnsi="仿宋" w:eastAsia="仿宋" w:cs="仿宋"/>
          <w:sz w:val="24"/>
        </w:rPr>
        <w:t>丙方按照甲方要求，保证在甲方通知安装后*日内由丙方送至甲方指定地点，包装费、运输费用、保险费用及验收合格前的风险均由丙方负责。</w:t>
      </w:r>
    </w:p>
    <w:p w14:paraId="2F323BF5">
      <w:pPr>
        <w:spacing w:line="360" w:lineRule="auto"/>
        <w:rPr>
          <w:rFonts w:hint="eastAsia" w:ascii="仿宋" w:hAnsi="仿宋" w:eastAsia="仿宋" w:cs="仿宋"/>
          <w:b/>
          <w:sz w:val="24"/>
          <w:szCs w:val="24"/>
        </w:rPr>
      </w:pPr>
    </w:p>
    <w:p w14:paraId="3532F1D5">
      <w:pPr>
        <w:spacing w:line="360" w:lineRule="auto"/>
        <w:rPr>
          <w:rFonts w:hint="eastAsia" w:ascii="仿宋" w:hAnsi="仿宋" w:eastAsia="仿宋" w:cs="仿宋"/>
          <w:b/>
          <w:sz w:val="24"/>
          <w:szCs w:val="24"/>
        </w:rPr>
      </w:pPr>
      <w:r>
        <w:rPr>
          <w:rFonts w:hint="eastAsia" w:ascii="仿宋" w:hAnsi="仿宋" w:eastAsia="仿宋" w:cs="仿宋"/>
          <w:b/>
          <w:sz w:val="24"/>
          <w:szCs w:val="24"/>
        </w:rPr>
        <w:t>五、安装调试及培训</w:t>
      </w:r>
    </w:p>
    <w:p w14:paraId="7E744B52">
      <w:pPr>
        <w:spacing w:line="360" w:lineRule="auto"/>
        <w:rPr>
          <w:rFonts w:hint="eastAsia" w:ascii="仿宋" w:hAnsi="仿宋" w:eastAsia="仿宋" w:cs="仿宋"/>
          <w:sz w:val="24"/>
        </w:rPr>
      </w:pPr>
      <w:r>
        <w:rPr>
          <w:rFonts w:hint="eastAsia" w:ascii="仿宋" w:hAnsi="仿宋" w:eastAsia="仿宋" w:cs="仿宋"/>
          <w:sz w:val="24"/>
        </w:rPr>
        <w:t>1、丙方交货后</w:t>
      </w:r>
      <w:permStart w:id="19" w:edGrp="everyone"/>
      <w:r>
        <w:rPr>
          <w:rFonts w:hint="eastAsia" w:ascii="仿宋" w:hAnsi="仿宋" w:eastAsia="仿宋" w:cs="仿宋"/>
          <w:sz w:val="24"/>
          <w:u w:val="single"/>
        </w:rPr>
        <w:t xml:space="preserve"> *** </w:t>
      </w:r>
      <w:permEnd w:id="19"/>
      <w:r>
        <w:rPr>
          <w:rFonts w:hint="eastAsia" w:ascii="仿宋" w:hAnsi="仿宋" w:eastAsia="仿宋" w:cs="仿宋"/>
          <w:sz w:val="24"/>
        </w:rPr>
        <w:t>日内，由丙方指派专业人员完成安装以及调试工作。</w:t>
      </w:r>
    </w:p>
    <w:p w14:paraId="4E7A8BEA">
      <w:pPr>
        <w:spacing w:line="360" w:lineRule="auto"/>
        <w:rPr>
          <w:rFonts w:hint="eastAsia" w:ascii="仿宋" w:hAnsi="仿宋" w:eastAsia="仿宋" w:cs="仿宋"/>
          <w:sz w:val="24"/>
        </w:rPr>
      </w:pPr>
      <w:r>
        <w:rPr>
          <w:rFonts w:hint="eastAsia" w:ascii="仿宋" w:hAnsi="仿宋" w:eastAsia="仿宋" w:cs="仿宋"/>
          <w:sz w:val="24"/>
        </w:rPr>
        <w:t>2、丙方应针对软件的特点对甲方人员在软件的性能、原理、操作要领、维修和保养等方面进行培训，并保证其熟悉软件的基本操作。</w:t>
      </w:r>
    </w:p>
    <w:p w14:paraId="4E56650D">
      <w:pPr>
        <w:spacing w:line="360" w:lineRule="auto"/>
        <w:rPr>
          <w:rFonts w:hint="eastAsia" w:ascii="仿宋" w:hAnsi="仿宋" w:eastAsia="仿宋" w:cs="仿宋"/>
          <w:sz w:val="24"/>
        </w:rPr>
      </w:pPr>
      <w:r>
        <w:rPr>
          <w:rFonts w:hint="eastAsia" w:ascii="仿宋" w:hAnsi="仿宋" w:eastAsia="仿宋" w:cs="仿宋"/>
          <w:sz w:val="24"/>
        </w:rPr>
        <w:t>3、安装测试所需要的材料和测试样品等均由丙方负责提供。</w:t>
      </w:r>
    </w:p>
    <w:p w14:paraId="636F83C7">
      <w:pPr>
        <w:spacing w:line="360" w:lineRule="auto"/>
        <w:rPr>
          <w:rFonts w:hint="eastAsia" w:ascii="仿宋" w:hAnsi="仿宋" w:eastAsia="仿宋" w:cs="仿宋"/>
          <w:sz w:val="24"/>
          <w:szCs w:val="24"/>
        </w:rPr>
      </w:pPr>
      <w:r>
        <w:rPr>
          <w:rFonts w:hint="eastAsia" w:ascii="仿宋" w:hAnsi="仿宋" w:eastAsia="仿宋" w:cs="仿宋"/>
          <w:sz w:val="24"/>
        </w:rPr>
        <w:t>4、期间涉及的交通费、膳食费、住宿费及其他一切费用均由丙方负责。</w:t>
      </w:r>
    </w:p>
    <w:p w14:paraId="481F6440">
      <w:pPr>
        <w:spacing w:line="360" w:lineRule="auto"/>
        <w:rPr>
          <w:rFonts w:hint="eastAsia" w:ascii="仿宋" w:hAnsi="仿宋" w:eastAsia="仿宋" w:cs="仿宋"/>
          <w:b/>
          <w:sz w:val="24"/>
          <w:szCs w:val="24"/>
        </w:rPr>
      </w:pPr>
    </w:p>
    <w:p w14:paraId="7755C7DC">
      <w:pPr>
        <w:spacing w:line="360" w:lineRule="auto"/>
        <w:rPr>
          <w:rFonts w:hint="eastAsia" w:ascii="仿宋" w:hAnsi="仿宋" w:eastAsia="仿宋" w:cs="仿宋"/>
          <w:b/>
          <w:sz w:val="24"/>
          <w:szCs w:val="24"/>
        </w:rPr>
      </w:pPr>
      <w:r>
        <w:rPr>
          <w:rFonts w:hint="eastAsia" w:ascii="仿宋" w:hAnsi="仿宋" w:eastAsia="仿宋" w:cs="仿宋"/>
          <w:b/>
          <w:sz w:val="24"/>
          <w:szCs w:val="24"/>
        </w:rPr>
        <w:t>六、软件验收</w:t>
      </w:r>
    </w:p>
    <w:p w14:paraId="30E1303E">
      <w:pPr>
        <w:spacing w:line="360" w:lineRule="auto"/>
        <w:rPr>
          <w:rFonts w:hint="eastAsia" w:ascii="仿宋" w:hAnsi="仿宋" w:eastAsia="仿宋" w:cs="仿宋"/>
          <w:sz w:val="24"/>
        </w:rPr>
      </w:pPr>
      <w:r>
        <w:rPr>
          <w:rFonts w:hint="eastAsia" w:ascii="仿宋" w:hAnsi="仿宋" w:eastAsia="仿宋" w:cs="仿宋"/>
          <w:sz w:val="24"/>
        </w:rPr>
        <w:t>1、验收时间：丙方完成安装及调试后</w:t>
      </w:r>
      <w:permStart w:id="20" w:edGrp="everyone"/>
      <w:r>
        <w:rPr>
          <w:rFonts w:hint="eastAsia" w:ascii="仿宋" w:hAnsi="仿宋" w:eastAsia="仿宋" w:cs="仿宋"/>
          <w:sz w:val="24"/>
          <w:u w:val="single"/>
        </w:rPr>
        <w:t xml:space="preserve"> *** </w:t>
      </w:r>
      <w:permEnd w:id="20"/>
      <w:r>
        <w:rPr>
          <w:rFonts w:hint="eastAsia" w:ascii="仿宋" w:hAnsi="仿宋" w:eastAsia="仿宋" w:cs="仿宋"/>
          <w:sz w:val="24"/>
        </w:rPr>
        <w:t>个工作日内，由甲方指定人员完成验收。</w:t>
      </w:r>
    </w:p>
    <w:p w14:paraId="4A0494F6">
      <w:pPr>
        <w:spacing w:line="360" w:lineRule="auto"/>
        <w:rPr>
          <w:rFonts w:hint="eastAsia" w:ascii="仿宋" w:hAnsi="仿宋" w:eastAsia="仿宋" w:cs="仿宋"/>
          <w:sz w:val="24"/>
        </w:rPr>
      </w:pPr>
      <w:r>
        <w:rPr>
          <w:rFonts w:hint="eastAsia" w:ascii="仿宋" w:hAnsi="仿宋" w:eastAsia="仿宋" w:cs="仿宋"/>
          <w:sz w:val="24"/>
        </w:rPr>
        <w:t>2、验收方式：按国家（行业）最高标准，以及本项目采购文件的质量要求和技术指标与出厂标准的最高标准。甲方指定人员对软件质量进行验收。</w:t>
      </w:r>
    </w:p>
    <w:p w14:paraId="2CD3846D">
      <w:pPr>
        <w:spacing w:line="360" w:lineRule="auto"/>
        <w:rPr>
          <w:rFonts w:hint="eastAsia" w:ascii="仿宋" w:hAnsi="仿宋" w:eastAsia="仿宋" w:cs="仿宋"/>
          <w:sz w:val="24"/>
        </w:rPr>
      </w:pPr>
      <w:r>
        <w:rPr>
          <w:rFonts w:hint="eastAsia" w:ascii="仿宋" w:hAnsi="仿宋" w:eastAsia="仿宋" w:cs="仿宋"/>
          <w:sz w:val="24"/>
        </w:rPr>
        <w:t>3、甲方在验收中如发现软件的型号、规格、包装和质量等不符合本合同约定的，自软件验收完成后</w:t>
      </w:r>
      <w:permStart w:id="21" w:edGrp="everyone"/>
      <w:r>
        <w:rPr>
          <w:rFonts w:hint="eastAsia" w:ascii="仿宋" w:hAnsi="仿宋" w:eastAsia="仿宋" w:cs="仿宋"/>
          <w:sz w:val="24"/>
          <w:u w:val="single"/>
        </w:rPr>
        <w:t xml:space="preserve"> *** </w:t>
      </w:r>
      <w:permEnd w:id="21"/>
      <w:r>
        <w:rPr>
          <w:rFonts w:hint="eastAsia" w:ascii="仿宋" w:hAnsi="仿宋" w:eastAsia="仿宋" w:cs="仿宋"/>
          <w:sz w:val="24"/>
        </w:rPr>
        <w:t>个工作日内向丙方提出书面异议。丙方在接到甲方书面异议后，应在</w:t>
      </w:r>
      <w:permStart w:id="22" w:edGrp="everyone"/>
      <w:r>
        <w:rPr>
          <w:rFonts w:hint="eastAsia" w:ascii="仿宋" w:hAnsi="仿宋" w:eastAsia="仿宋" w:cs="仿宋"/>
          <w:sz w:val="24"/>
          <w:u w:val="single"/>
        </w:rPr>
        <w:t xml:space="preserve"> *** </w:t>
      </w:r>
      <w:permEnd w:id="22"/>
      <w:r>
        <w:rPr>
          <w:rFonts w:hint="eastAsia" w:ascii="仿宋" w:hAnsi="仿宋" w:eastAsia="仿宋" w:cs="仿宋"/>
          <w:sz w:val="24"/>
        </w:rPr>
        <w:t>个工作日内负责处理并通知甲方处理情况，否则，即视为丙方已接受甲方提出的异议和处理意见。</w:t>
      </w:r>
    </w:p>
    <w:p w14:paraId="498C0205">
      <w:pPr>
        <w:spacing w:line="360" w:lineRule="auto"/>
        <w:rPr>
          <w:rFonts w:hint="eastAsia" w:ascii="仿宋" w:hAnsi="仿宋" w:eastAsia="仿宋" w:cs="仿宋"/>
          <w:sz w:val="24"/>
        </w:rPr>
      </w:pPr>
      <w:r>
        <w:rPr>
          <w:rFonts w:hint="eastAsia" w:ascii="仿宋" w:hAnsi="仿宋" w:eastAsia="仿宋" w:cs="仿宋"/>
          <w:sz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1B364B0B">
      <w:pPr>
        <w:spacing w:line="360" w:lineRule="auto"/>
        <w:rPr>
          <w:rFonts w:hint="eastAsia" w:ascii="仿宋" w:hAnsi="仿宋" w:eastAsia="仿宋" w:cs="仿宋"/>
          <w:sz w:val="24"/>
        </w:rPr>
      </w:pPr>
      <w:r>
        <w:rPr>
          <w:rFonts w:hint="eastAsia" w:ascii="仿宋" w:hAnsi="仿宋" w:eastAsia="仿宋" w:cs="仿宋"/>
          <w:sz w:val="24"/>
        </w:rPr>
        <w:t>5、如软件经丙方</w:t>
      </w:r>
      <w:permStart w:id="23" w:edGrp="everyone"/>
      <w:r>
        <w:rPr>
          <w:rFonts w:hint="eastAsia" w:ascii="仿宋" w:hAnsi="仿宋" w:eastAsia="仿宋" w:cs="仿宋"/>
          <w:sz w:val="24"/>
          <w:u w:val="single"/>
        </w:rPr>
        <w:t>***</w:t>
      </w:r>
      <w:permEnd w:id="23"/>
      <w:r>
        <w:rPr>
          <w:rFonts w:hint="eastAsia" w:ascii="仿宋" w:hAnsi="仿宋" w:eastAsia="仿宋" w:cs="仿宋"/>
          <w:sz w:val="24"/>
        </w:rPr>
        <w:t>次维护仍不能达到合同约定的质量标准，甲方有权退货，并视作丙方不能交付软件而须支付违约赔偿金给甲方，甲方还可依法追究丙方的违约责任。</w:t>
      </w:r>
    </w:p>
    <w:p w14:paraId="0CE99494">
      <w:pPr>
        <w:spacing w:line="360" w:lineRule="auto"/>
        <w:rPr>
          <w:rFonts w:hint="eastAsia" w:ascii="仿宋" w:hAnsi="仿宋" w:eastAsia="仿宋" w:cs="仿宋"/>
          <w:b/>
          <w:sz w:val="24"/>
          <w:szCs w:val="24"/>
        </w:rPr>
      </w:pPr>
    </w:p>
    <w:p w14:paraId="77F5B25A">
      <w:pPr>
        <w:spacing w:line="360" w:lineRule="auto"/>
        <w:rPr>
          <w:rFonts w:hint="eastAsia" w:ascii="仿宋" w:hAnsi="仿宋" w:eastAsia="仿宋" w:cs="仿宋"/>
          <w:b/>
          <w:sz w:val="24"/>
          <w:szCs w:val="24"/>
        </w:rPr>
      </w:pPr>
      <w:r>
        <w:rPr>
          <w:rFonts w:hint="eastAsia" w:ascii="仿宋" w:hAnsi="仿宋" w:eastAsia="仿宋" w:cs="仿宋"/>
          <w:b/>
          <w:sz w:val="24"/>
          <w:szCs w:val="24"/>
        </w:rPr>
        <w:t>七、软件退换</w:t>
      </w:r>
    </w:p>
    <w:p w14:paraId="27C81691">
      <w:pPr>
        <w:spacing w:line="360" w:lineRule="auto"/>
        <w:rPr>
          <w:rFonts w:hint="eastAsia" w:ascii="仿宋" w:hAnsi="仿宋" w:eastAsia="仿宋" w:cs="仿宋"/>
          <w:sz w:val="24"/>
        </w:rPr>
      </w:pPr>
      <w:r>
        <w:rPr>
          <w:rFonts w:hint="eastAsia" w:ascii="仿宋" w:hAnsi="仿宋" w:eastAsia="仿宋" w:cs="仿宋"/>
          <w:sz w:val="24"/>
        </w:rPr>
        <w:t>1、甲方根据本合同第六条提出书面异议的，如果丙方在上述约定时间内未能按照甲方要求进行处理的，则甲方有权要求退货或换货，丙方在收到甲方的书面退换货通知后</w:t>
      </w:r>
      <w:permStart w:id="24" w:edGrp="everyone"/>
      <w:r>
        <w:rPr>
          <w:rFonts w:hint="eastAsia" w:ascii="仿宋" w:hAnsi="仿宋" w:eastAsia="仿宋" w:cs="仿宋"/>
          <w:sz w:val="24"/>
          <w:u w:val="single"/>
        </w:rPr>
        <w:t xml:space="preserve"> *** </w:t>
      </w:r>
      <w:permEnd w:id="24"/>
      <w:r>
        <w:rPr>
          <w:rFonts w:hint="eastAsia" w:ascii="仿宋" w:hAnsi="仿宋" w:eastAsia="仿宋" w:cs="仿宋"/>
          <w:sz w:val="24"/>
          <w:u w:val="single"/>
        </w:rPr>
        <w:t xml:space="preserve"> </w:t>
      </w:r>
      <w:r>
        <w:rPr>
          <w:rFonts w:hint="eastAsia" w:ascii="仿宋" w:hAnsi="仿宋" w:eastAsia="仿宋" w:cs="仿宋"/>
          <w:sz w:val="24"/>
        </w:rPr>
        <w:t>个工作日内完成退货或换货。</w:t>
      </w:r>
    </w:p>
    <w:p w14:paraId="4216737F">
      <w:pPr>
        <w:spacing w:line="360" w:lineRule="auto"/>
        <w:rPr>
          <w:rFonts w:hint="eastAsia" w:ascii="仿宋" w:hAnsi="仿宋" w:eastAsia="仿宋" w:cs="仿宋"/>
          <w:sz w:val="24"/>
        </w:rPr>
      </w:pPr>
      <w:r>
        <w:rPr>
          <w:rFonts w:hint="eastAsia" w:ascii="仿宋" w:hAnsi="仿宋" w:eastAsia="仿宋" w:cs="仿宋"/>
          <w:sz w:val="24"/>
        </w:rPr>
        <w:t>2、软件交付甲方使用后，若甲方在生产作业过程中发现软件确实存在以下问题的，甲方有权退还软件并且解除本合同，同时丙方须退还乙方的所付款项。存在的情况为：</w:t>
      </w:r>
    </w:p>
    <w:p w14:paraId="7259992A">
      <w:pPr>
        <w:spacing w:line="360" w:lineRule="auto"/>
        <w:rPr>
          <w:rFonts w:hint="eastAsia" w:ascii="仿宋" w:hAnsi="仿宋" w:eastAsia="仿宋" w:cs="仿宋"/>
          <w:sz w:val="24"/>
        </w:rPr>
      </w:pPr>
      <w:r>
        <w:rPr>
          <w:rFonts w:hint="eastAsia" w:ascii="仿宋" w:hAnsi="仿宋" w:eastAsia="仿宋" w:cs="仿宋"/>
          <w:sz w:val="24"/>
        </w:rPr>
        <w:t>（1）软件不能正常安装的；</w:t>
      </w:r>
    </w:p>
    <w:p w14:paraId="7255CBC7">
      <w:pPr>
        <w:spacing w:line="360" w:lineRule="auto"/>
        <w:rPr>
          <w:rFonts w:hint="eastAsia" w:ascii="仿宋" w:hAnsi="仿宋" w:eastAsia="仿宋" w:cs="仿宋"/>
          <w:sz w:val="24"/>
        </w:rPr>
      </w:pPr>
      <w:r>
        <w:rPr>
          <w:rFonts w:hint="eastAsia" w:ascii="仿宋" w:hAnsi="仿宋" w:eastAsia="仿宋" w:cs="仿宋"/>
          <w:sz w:val="24"/>
        </w:rPr>
        <w:t>（2）软件的使用会影响甲方操作系统的稳定或其他软件的正常使用的；</w:t>
      </w:r>
    </w:p>
    <w:p w14:paraId="6077844E">
      <w:pPr>
        <w:spacing w:line="360" w:lineRule="auto"/>
        <w:rPr>
          <w:rFonts w:hint="eastAsia" w:ascii="仿宋" w:hAnsi="仿宋" w:eastAsia="仿宋" w:cs="仿宋"/>
          <w:sz w:val="24"/>
        </w:rPr>
      </w:pPr>
      <w:r>
        <w:rPr>
          <w:rFonts w:hint="eastAsia" w:ascii="仿宋" w:hAnsi="仿宋" w:eastAsia="仿宋" w:cs="仿宋"/>
          <w:sz w:val="24"/>
        </w:rPr>
        <w:t>（3）软件的实际使用功能不能达到丙方软件承诺的功能，而丙方不能在</w:t>
      </w:r>
      <w:permStart w:id="25" w:edGrp="everyone"/>
      <w:r>
        <w:rPr>
          <w:rFonts w:hint="eastAsia" w:ascii="仿宋" w:hAnsi="仿宋" w:eastAsia="仿宋" w:cs="仿宋"/>
          <w:sz w:val="24"/>
          <w:u w:val="single"/>
        </w:rPr>
        <w:t>***</w:t>
      </w:r>
      <w:permEnd w:id="25"/>
      <w:r>
        <w:rPr>
          <w:rFonts w:hint="eastAsia" w:ascii="仿宋" w:hAnsi="仿宋" w:eastAsia="仿宋" w:cs="仿宋"/>
          <w:sz w:val="24"/>
        </w:rPr>
        <w:t>个工作日内解决的。</w:t>
      </w:r>
    </w:p>
    <w:p w14:paraId="641B9DA5">
      <w:pPr>
        <w:spacing w:line="360" w:lineRule="auto"/>
        <w:rPr>
          <w:rFonts w:hint="eastAsia" w:ascii="仿宋" w:hAnsi="仿宋" w:eastAsia="仿宋" w:cs="仿宋"/>
          <w:sz w:val="24"/>
        </w:rPr>
      </w:pPr>
      <w:r>
        <w:rPr>
          <w:rFonts w:hint="eastAsia" w:ascii="仿宋" w:hAnsi="仿宋" w:eastAsia="仿宋" w:cs="仿宋"/>
          <w:sz w:val="24"/>
        </w:rPr>
        <w:t>3、甲方根据本合同条款提出退货或解除合同的，丙方应在收到甲方通知后</w:t>
      </w:r>
      <w:permStart w:id="26" w:edGrp="everyone"/>
      <w:r>
        <w:rPr>
          <w:rFonts w:hint="eastAsia" w:ascii="仿宋" w:hAnsi="仿宋" w:eastAsia="仿宋" w:cs="仿宋"/>
          <w:sz w:val="24"/>
          <w:u w:val="single"/>
        </w:rPr>
        <w:t>***</w:t>
      </w:r>
      <w:permEnd w:id="26"/>
      <w:r>
        <w:rPr>
          <w:rFonts w:hint="eastAsia" w:ascii="仿宋" w:hAnsi="仿宋" w:eastAsia="仿宋" w:cs="仿宋"/>
          <w:sz w:val="24"/>
        </w:rPr>
        <w:t>个工作日内退还乙方全部已付款项。</w:t>
      </w:r>
    </w:p>
    <w:p w14:paraId="127B9FB5">
      <w:pPr>
        <w:spacing w:line="360" w:lineRule="auto"/>
        <w:rPr>
          <w:rFonts w:hint="eastAsia" w:ascii="仿宋" w:hAnsi="仿宋" w:eastAsia="仿宋" w:cs="仿宋"/>
          <w:b/>
          <w:sz w:val="24"/>
          <w:szCs w:val="24"/>
        </w:rPr>
      </w:pPr>
    </w:p>
    <w:p w14:paraId="2BAA9149">
      <w:pPr>
        <w:spacing w:line="360" w:lineRule="auto"/>
        <w:rPr>
          <w:rFonts w:hint="eastAsia" w:ascii="仿宋" w:hAnsi="仿宋" w:eastAsia="仿宋" w:cs="仿宋"/>
          <w:b/>
          <w:sz w:val="24"/>
          <w:szCs w:val="24"/>
        </w:rPr>
      </w:pPr>
      <w:r>
        <w:rPr>
          <w:rFonts w:hint="eastAsia" w:ascii="仿宋" w:hAnsi="仿宋" w:eastAsia="仿宋" w:cs="仿宋"/>
          <w:b/>
          <w:sz w:val="24"/>
          <w:szCs w:val="24"/>
        </w:rPr>
        <w:t>八、维护升级、售后服务</w:t>
      </w:r>
    </w:p>
    <w:p w14:paraId="49946FA4">
      <w:pPr>
        <w:pStyle w:val="44"/>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质保期（至验收合格之日起）：</w:t>
      </w:r>
      <w:permStart w:id="27" w:edGrp="everyone"/>
      <w:r>
        <w:rPr>
          <w:rFonts w:hint="eastAsia" w:ascii="仿宋" w:hAnsi="仿宋" w:eastAsia="仿宋" w:cs="仿宋"/>
          <w:sz w:val="24"/>
          <w:szCs w:val="24"/>
        </w:rPr>
        <w:t>***</w:t>
      </w:r>
      <w:permEnd w:id="27"/>
      <w:r>
        <w:rPr>
          <w:rFonts w:hint="eastAsia" w:ascii="仿宋" w:hAnsi="仿宋" w:eastAsia="仿宋" w:cs="仿宋"/>
          <w:sz w:val="24"/>
          <w:szCs w:val="24"/>
        </w:rPr>
        <w:t>年</w:t>
      </w:r>
    </w:p>
    <w:p w14:paraId="5E8BC36A">
      <w:pPr>
        <w:pStyle w:val="44"/>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服务内容：（1）电话支持 （2）</w:t>
      </w:r>
      <w:r>
        <w:rPr>
          <w:rFonts w:hint="eastAsia" w:ascii="仿宋" w:hAnsi="仿宋" w:eastAsia="仿宋" w:cs="仿宋"/>
          <w:color w:val="000000"/>
          <w:sz w:val="24"/>
          <w:szCs w:val="24"/>
        </w:rPr>
        <w:t>远程技术支持 （3）现场服务</w:t>
      </w:r>
    </w:p>
    <w:p w14:paraId="32D4955F">
      <w:pPr>
        <w:pStyle w:val="44"/>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color w:val="000000"/>
          <w:sz w:val="24"/>
          <w:szCs w:val="24"/>
        </w:rPr>
        <w:t>报修响应方案：在质量保证期内，</w:t>
      </w:r>
      <w:r>
        <w:rPr>
          <w:rFonts w:hint="eastAsia" w:ascii="仿宋" w:hAnsi="仿宋" w:eastAsia="仿宋" w:cs="仿宋"/>
          <w:sz w:val="24"/>
        </w:rPr>
        <w:t>丙</w:t>
      </w:r>
      <w:r>
        <w:rPr>
          <w:rFonts w:hint="eastAsia" w:ascii="仿宋" w:hAnsi="仿宋" w:eastAsia="仿宋" w:cs="仿宋"/>
          <w:color w:val="000000"/>
          <w:sz w:val="24"/>
          <w:szCs w:val="24"/>
        </w:rPr>
        <w:t>方提供技术服务、升级服务并负责对运行中出现软件故障进行处理，根据实际故障情况</w:t>
      </w:r>
      <w:r>
        <w:rPr>
          <w:rFonts w:hint="eastAsia" w:ascii="仿宋" w:hAnsi="仿宋" w:eastAsia="仿宋" w:cs="仿宋"/>
          <w:sz w:val="24"/>
        </w:rPr>
        <w:t>丙</w:t>
      </w:r>
      <w:r>
        <w:rPr>
          <w:rFonts w:hint="eastAsia" w:ascii="仿宋" w:hAnsi="仿宋" w:eastAsia="仿宋" w:cs="仿宋"/>
          <w:color w:val="000000"/>
          <w:sz w:val="24"/>
          <w:szCs w:val="24"/>
        </w:rPr>
        <w:t>方派员负责查找故障原因并将系统恢复到正常运行状态。</w:t>
      </w:r>
      <w:r>
        <w:rPr>
          <w:rFonts w:hint="eastAsia" w:ascii="仿宋" w:hAnsi="仿宋" w:eastAsia="仿宋" w:cs="仿宋"/>
          <w:sz w:val="24"/>
        </w:rPr>
        <w:t>丙</w:t>
      </w:r>
      <w:r>
        <w:rPr>
          <w:rFonts w:hint="eastAsia" w:ascii="仿宋" w:hAnsi="仿宋" w:eastAsia="仿宋" w:cs="仿宋"/>
          <w:color w:val="000000"/>
          <w:sz w:val="24"/>
          <w:szCs w:val="24"/>
        </w:rPr>
        <w:t>方向业主方提供 7*24 小时的服务响应，保证业主方可以随时找到相应的技术人员，</w:t>
      </w:r>
      <w:r>
        <w:rPr>
          <w:rFonts w:hint="eastAsia" w:ascii="仿宋" w:hAnsi="仿宋" w:eastAsia="仿宋" w:cs="仿宋"/>
          <w:sz w:val="24"/>
        </w:rPr>
        <w:t>丙</w:t>
      </w:r>
      <w:r>
        <w:rPr>
          <w:rFonts w:hint="eastAsia" w:ascii="仿宋" w:hAnsi="仿宋" w:eastAsia="仿宋" w:cs="仿宋"/>
          <w:color w:val="000000"/>
          <w:sz w:val="24"/>
          <w:szCs w:val="24"/>
        </w:rPr>
        <w:t>方在接到用户电话、传真等通知后，30分钟内响应，将安排维保人员以在24小时之内赴现场分析故障原因，制定故障排除方案，最终排除故障，实际发生的全部费用由</w:t>
      </w:r>
      <w:r>
        <w:rPr>
          <w:rFonts w:hint="eastAsia" w:ascii="仿宋" w:hAnsi="仿宋" w:eastAsia="仿宋" w:cs="仿宋"/>
          <w:sz w:val="24"/>
        </w:rPr>
        <w:t>丙</w:t>
      </w:r>
      <w:r>
        <w:rPr>
          <w:rFonts w:hint="eastAsia" w:ascii="仿宋" w:hAnsi="仿宋" w:eastAsia="仿宋" w:cs="仿宋"/>
          <w:color w:val="000000"/>
          <w:sz w:val="24"/>
          <w:szCs w:val="24"/>
        </w:rPr>
        <w:t>方承担（包括交通费和住宿费等）。特殊情况无法修复的，质保期内</w:t>
      </w:r>
      <w:r>
        <w:rPr>
          <w:rFonts w:hint="eastAsia" w:ascii="仿宋" w:hAnsi="仿宋" w:eastAsia="仿宋" w:cs="仿宋"/>
          <w:sz w:val="24"/>
        </w:rPr>
        <w:t>丙</w:t>
      </w:r>
      <w:r>
        <w:rPr>
          <w:rFonts w:hint="eastAsia" w:ascii="仿宋" w:hAnsi="仿宋" w:eastAsia="仿宋" w:cs="仿宋"/>
          <w:color w:val="000000"/>
          <w:sz w:val="24"/>
          <w:szCs w:val="24"/>
        </w:rPr>
        <w:t>方无条件更换软件；或采取使系统可正常运转的措施。</w:t>
      </w:r>
      <w:r>
        <w:rPr>
          <w:rFonts w:hint="eastAsia" w:ascii="仿宋" w:hAnsi="仿宋" w:eastAsia="仿宋" w:cs="仿宋"/>
          <w:sz w:val="24"/>
        </w:rPr>
        <w:t>丙</w:t>
      </w:r>
      <w:r>
        <w:rPr>
          <w:rFonts w:hint="eastAsia" w:ascii="仿宋" w:hAnsi="仿宋" w:eastAsia="仿宋" w:cs="仿宋"/>
          <w:color w:val="000000"/>
          <w:sz w:val="24"/>
          <w:szCs w:val="24"/>
        </w:rPr>
        <w:t>方在故障修复同时，应提交详细的故障分析报告，并提出如何积极防范此种故障的建议。</w:t>
      </w:r>
    </w:p>
    <w:p w14:paraId="20732B84">
      <w:pPr>
        <w:pStyle w:val="44"/>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rPr>
        <w:t>维护升级标准：只要甲方需要丙方有义务更新软件至最新版。</w:t>
      </w:r>
    </w:p>
    <w:p w14:paraId="7D591DCC">
      <w:pPr>
        <w:spacing w:line="360" w:lineRule="auto"/>
        <w:rPr>
          <w:rFonts w:hint="eastAsia" w:ascii="仿宋" w:hAnsi="仿宋" w:eastAsia="仿宋" w:cs="仿宋"/>
          <w:sz w:val="24"/>
          <w:szCs w:val="24"/>
        </w:rPr>
      </w:pPr>
    </w:p>
    <w:p w14:paraId="5ED919D0">
      <w:pPr>
        <w:spacing w:line="360" w:lineRule="auto"/>
        <w:rPr>
          <w:rFonts w:hint="eastAsia" w:ascii="仿宋" w:hAnsi="仿宋" w:eastAsia="仿宋" w:cs="仿宋"/>
          <w:b/>
          <w:sz w:val="24"/>
          <w:szCs w:val="24"/>
        </w:rPr>
      </w:pPr>
      <w:r>
        <w:rPr>
          <w:rFonts w:hint="eastAsia" w:ascii="仿宋" w:hAnsi="仿宋" w:eastAsia="仿宋" w:cs="仿宋"/>
          <w:b/>
          <w:sz w:val="24"/>
          <w:szCs w:val="24"/>
        </w:rPr>
        <w:t>九、责任和义务</w:t>
      </w:r>
    </w:p>
    <w:p w14:paraId="49C02065">
      <w:pPr>
        <w:pStyle w:val="44"/>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甲方责任：甲方需准备好安装软件的环境，</w:t>
      </w:r>
      <w:r>
        <w:rPr>
          <w:rFonts w:hint="eastAsia" w:ascii="仿宋" w:hAnsi="仿宋" w:eastAsia="仿宋" w:cs="仿宋"/>
          <w:sz w:val="24"/>
        </w:rPr>
        <w:t>丙</w:t>
      </w:r>
      <w:r>
        <w:rPr>
          <w:rFonts w:hint="eastAsia" w:ascii="仿宋" w:hAnsi="仿宋" w:eastAsia="仿宋" w:cs="仿宋"/>
          <w:color w:val="000000"/>
          <w:sz w:val="24"/>
          <w:szCs w:val="24"/>
        </w:rPr>
        <w:t>方需对甲方准备工作进行协助、指导。</w:t>
      </w:r>
    </w:p>
    <w:p w14:paraId="6AA7A8BE">
      <w:pPr>
        <w:pStyle w:val="44"/>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乙方责任：根据合同约定、甲方付款确认书</w:t>
      </w:r>
      <w:r>
        <w:rPr>
          <w:rFonts w:hint="eastAsia" w:ascii="仿宋" w:hAnsi="仿宋" w:eastAsia="仿宋" w:cs="仿宋"/>
          <w:sz w:val="24"/>
          <w:szCs w:val="24"/>
        </w:rPr>
        <w:t>以及丙方提供的符合财务结算的相关票据，向丙方进行支付。</w:t>
      </w:r>
    </w:p>
    <w:p w14:paraId="3D016A00">
      <w:pPr>
        <w:pStyle w:val="44"/>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sz w:val="24"/>
        </w:rPr>
        <w:t>丙</w:t>
      </w:r>
      <w:r>
        <w:rPr>
          <w:rFonts w:hint="eastAsia" w:ascii="仿宋" w:hAnsi="仿宋" w:eastAsia="仿宋" w:cs="仿宋"/>
          <w:color w:val="000000"/>
          <w:sz w:val="24"/>
          <w:szCs w:val="24"/>
        </w:rPr>
        <w:t>方责任：</w:t>
      </w:r>
    </w:p>
    <w:p w14:paraId="7A4C47D4">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sz w:val="24"/>
        </w:rPr>
        <w:t>丙</w:t>
      </w:r>
      <w:r>
        <w:rPr>
          <w:rFonts w:hint="eastAsia" w:ascii="仿宋" w:hAnsi="仿宋" w:eastAsia="仿宋" w:cs="仿宋"/>
          <w:sz w:val="24"/>
          <w:szCs w:val="24"/>
        </w:rPr>
        <w:t>方保证其提供给甲方的软件产品享受厂方升级政策范围内的升级和一切改良。</w:t>
      </w:r>
      <w:r>
        <w:rPr>
          <w:rFonts w:hint="eastAsia" w:ascii="仿宋" w:hAnsi="仿宋" w:eastAsia="仿宋" w:cs="仿宋"/>
          <w:color w:val="000000"/>
          <w:sz w:val="24"/>
          <w:szCs w:val="24"/>
        </w:rPr>
        <w:t xml:space="preserve"> </w:t>
      </w:r>
    </w:p>
    <w:p w14:paraId="5B6C9B4E">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sz w:val="24"/>
        </w:rPr>
        <w:t>丙</w:t>
      </w:r>
      <w:r>
        <w:rPr>
          <w:rFonts w:hint="eastAsia" w:ascii="仿宋" w:hAnsi="仿宋" w:eastAsia="仿宋" w:cs="仿宋"/>
          <w:sz w:val="24"/>
          <w:szCs w:val="24"/>
        </w:rPr>
        <w:t>方必须保证本合同所述软件是丙方目前的最新版本。</w:t>
      </w:r>
    </w:p>
    <w:p w14:paraId="708EF2F3">
      <w:pPr>
        <w:spacing w:line="360" w:lineRule="auto"/>
        <w:rPr>
          <w:rFonts w:hint="eastAsia" w:ascii="仿宋" w:hAnsi="仿宋" w:eastAsia="仿宋" w:cs="仿宋"/>
          <w:sz w:val="24"/>
          <w:szCs w:val="24"/>
        </w:rPr>
      </w:pPr>
      <w:r>
        <w:rPr>
          <w:rFonts w:hint="eastAsia" w:ascii="仿宋" w:hAnsi="仿宋" w:eastAsia="仿宋" w:cs="仿宋"/>
          <w:color w:val="000000"/>
          <w:sz w:val="24"/>
          <w:szCs w:val="24"/>
        </w:rPr>
        <w:t>（3）</w:t>
      </w:r>
      <w:r>
        <w:rPr>
          <w:rFonts w:hint="eastAsia" w:ascii="仿宋" w:hAnsi="仿宋" w:eastAsia="仿宋" w:cs="仿宋"/>
          <w:sz w:val="24"/>
        </w:rPr>
        <w:t>丙</w:t>
      </w:r>
      <w:r>
        <w:rPr>
          <w:rFonts w:hint="eastAsia" w:ascii="仿宋" w:hAnsi="仿宋" w:eastAsia="仿宋" w:cs="仿宋"/>
          <w:sz w:val="24"/>
          <w:szCs w:val="24"/>
        </w:rPr>
        <w:t>方负责以软件功能的升级、维护和文档更新。</w:t>
      </w:r>
    </w:p>
    <w:p w14:paraId="370B3888">
      <w:pPr>
        <w:spacing w:line="360" w:lineRule="auto"/>
        <w:rPr>
          <w:rFonts w:hint="eastAsia" w:ascii="仿宋" w:hAnsi="仿宋" w:eastAsia="仿宋" w:cs="仿宋"/>
          <w:sz w:val="24"/>
          <w:szCs w:val="24"/>
        </w:rPr>
      </w:pPr>
      <w:r>
        <w:rPr>
          <w:rFonts w:hint="eastAsia" w:ascii="仿宋" w:hAnsi="仿宋" w:eastAsia="仿宋" w:cs="仿宋"/>
          <w:sz w:val="24"/>
          <w:szCs w:val="24"/>
        </w:rPr>
        <w:t>（4）如甲方以后有需要对软件进行改动的，</w:t>
      </w:r>
      <w:r>
        <w:rPr>
          <w:rFonts w:hint="eastAsia" w:ascii="仿宋" w:hAnsi="仿宋" w:eastAsia="仿宋" w:cs="仿宋"/>
          <w:sz w:val="24"/>
        </w:rPr>
        <w:t>丙</w:t>
      </w:r>
      <w:r>
        <w:rPr>
          <w:rFonts w:hint="eastAsia" w:ascii="仿宋" w:hAnsi="仿宋" w:eastAsia="仿宋" w:cs="仿宋"/>
          <w:sz w:val="24"/>
          <w:szCs w:val="24"/>
        </w:rPr>
        <w:t>方免费进行改良。</w:t>
      </w:r>
    </w:p>
    <w:p w14:paraId="448494BE">
      <w:pPr>
        <w:spacing w:line="360" w:lineRule="auto"/>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rPr>
        <w:t>丙</w:t>
      </w:r>
      <w:r>
        <w:rPr>
          <w:rFonts w:hint="eastAsia" w:ascii="仿宋" w:hAnsi="仿宋" w:eastAsia="仿宋" w:cs="仿宋"/>
          <w:sz w:val="24"/>
          <w:szCs w:val="24"/>
        </w:rPr>
        <w:t>方保证其软件系统不带有定期的密码输入。</w:t>
      </w:r>
    </w:p>
    <w:p w14:paraId="2D4B26F9">
      <w:pPr>
        <w:spacing w:line="360" w:lineRule="auto"/>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rPr>
        <w:t>丙</w:t>
      </w:r>
      <w:r>
        <w:rPr>
          <w:rFonts w:hint="eastAsia" w:ascii="仿宋" w:hAnsi="仿宋" w:eastAsia="仿宋" w:cs="仿宋"/>
          <w:sz w:val="24"/>
          <w:szCs w:val="24"/>
        </w:rPr>
        <w:t>方的软件不可隐含任何恶意功能，包括但不限于病毒、蠕虫和特洛伊木马等程序，也不可以于未经甲方及其相关联</w:t>
      </w:r>
      <w:r>
        <w:rPr>
          <w:rFonts w:hint="eastAsia" w:ascii="仿宋" w:hAnsi="仿宋" w:eastAsia="仿宋" w:cs="仿宋"/>
        </w:rPr>
        <w:fldChar w:fldCharType="begin"/>
      </w:r>
      <w:r>
        <w:rPr>
          <w:rFonts w:hint="eastAsia" w:ascii="仿宋" w:hAnsi="仿宋" w:eastAsia="仿宋" w:cs="仿宋"/>
        </w:rPr>
        <w:instrText xml:space="preserve"> HYPERLINK "https://v.66law.cn/shuofa/gsf/gsfgd/" \t "_blank" \o "公司" </w:instrText>
      </w:r>
      <w:r>
        <w:rPr>
          <w:rFonts w:hint="eastAsia" w:ascii="仿宋" w:hAnsi="仿宋" w:eastAsia="仿宋" w:cs="仿宋"/>
        </w:rPr>
        <w:fldChar w:fldCharType="separate"/>
      </w:r>
      <w:r>
        <w:rPr>
          <w:rFonts w:hint="eastAsia" w:ascii="仿宋" w:hAnsi="仿宋" w:eastAsia="仿宋" w:cs="仿宋"/>
          <w:sz w:val="24"/>
          <w:szCs w:val="24"/>
        </w:rPr>
        <w:t>公司</w:t>
      </w:r>
      <w:r>
        <w:rPr>
          <w:rFonts w:hint="eastAsia" w:ascii="仿宋" w:hAnsi="仿宋" w:eastAsia="仿宋" w:cs="仿宋"/>
          <w:sz w:val="24"/>
          <w:szCs w:val="24"/>
        </w:rPr>
        <w:fldChar w:fldCharType="end"/>
      </w:r>
      <w:r>
        <w:rPr>
          <w:rFonts w:hint="eastAsia" w:ascii="仿宋" w:hAnsi="仿宋" w:eastAsia="仿宋" w:cs="仿宋"/>
          <w:sz w:val="24"/>
          <w:szCs w:val="24"/>
        </w:rPr>
        <w:t>授权下透过软件收集和扩散任何甲方及其相关联公司之数据各信息。</w:t>
      </w:r>
    </w:p>
    <w:p w14:paraId="3722F227">
      <w:pPr>
        <w:spacing w:line="360" w:lineRule="auto"/>
        <w:rPr>
          <w:rFonts w:hint="eastAsia" w:ascii="仿宋" w:hAnsi="仿宋" w:eastAsia="仿宋" w:cs="仿宋"/>
          <w:sz w:val="24"/>
        </w:rPr>
      </w:pPr>
      <w:r>
        <w:rPr>
          <w:rFonts w:hint="eastAsia" w:ascii="仿宋" w:hAnsi="仿宋" w:eastAsia="仿宋" w:cs="仿宋"/>
          <w:sz w:val="24"/>
          <w:szCs w:val="24"/>
        </w:rPr>
        <w:t>（7）</w:t>
      </w:r>
      <w:r>
        <w:rPr>
          <w:rFonts w:hint="eastAsia" w:ascii="仿宋" w:hAnsi="仿宋" w:eastAsia="仿宋" w:cs="仿宋"/>
          <w:sz w:val="24"/>
        </w:rPr>
        <w:t>丙方提供的软件服务需要严格遵守相关网络信息安全规定。</w:t>
      </w:r>
      <w:permStart w:id="28" w:edGrp="everyone"/>
      <w:permEnd w:id="28"/>
    </w:p>
    <w:p w14:paraId="52B097E3">
      <w:pPr>
        <w:spacing w:line="360" w:lineRule="auto"/>
        <w:rPr>
          <w:rFonts w:hint="eastAsia" w:ascii="仿宋" w:hAnsi="仿宋" w:eastAsia="仿宋" w:cs="仿宋"/>
          <w:color w:val="000000"/>
          <w:sz w:val="24"/>
          <w:szCs w:val="24"/>
        </w:rPr>
      </w:pPr>
      <w:r>
        <w:rPr>
          <w:rFonts w:hint="eastAsia" w:ascii="仿宋" w:hAnsi="仿宋" w:eastAsia="仿宋" w:cs="仿宋"/>
          <w:sz w:val="24"/>
        </w:rPr>
        <w:t>（8）丙方工作人员若因操作失误导致系统故障、数据遗失的，丙方应负责调试系统至正常使用状态并恢复数据，由此造成甲方损失的，丙方应承担赔偿责任。</w:t>
      </w:r>
    </w:p>
    <w:p w14:paraId="5BBFB183">
      <w:pPr>
        <w:spacing w:line="360" w:lineRule="auto"/>
        <w:rPr>
          <w:rFonts w:hint="eastAsia" w:ascii="仿宋" w:hAnsi="仿宋" w:eastAsia="仿宋" w:cs="仿宋"/>
          <w:sz w:val="24"/>
          <w:szCs w:val="24"/>
        </w:rPr>
      </w:pPr>
    </w:p>
    <w:p w14:paraId="6409C475">
      <w:pPr>
        <w:spacing w:line="360" w:lineRule="auto"/>
        <w:rPr>
          <w:rFonts w:hint="eastAsia" w:ascii="仿宋" w:hAnsi="仿宋" w:eastAsia="仿宋" w:cs="仿宋"/>
          <w:b/>
          <w:sz w:val="24"/>
          <w:szCs w:val="24"/>
        </w:rPr>
      </w:pPr>
      <w:r>
        <w:rPr>
          <w:rFonts w:hint="eastAsia" w:ascii="仿宋" w:hAnsi="仿宋" w:eastAsia="仿宋" w:cs="仿宋"/>
          <w:b/>
          <w:sz w:val="24"/>
          <w:szCs w:val="24"/>
        </w:rPr>
        <w:t>十、保证条款</w:t>
      </w:r>
    </w:p>
    <w:p w14:paraId="65C29C7C">
      <w:pPr>
        <w:spacing w:line="360" w:lineRule="auto"/>
        <w:rPr>
          <w:rFonts w:hint="eastAsia" w:ascii="仿宋" w:hAnsi="仿宋" w:eastAsia="仿宋" w:cs="仿宋"/>
          <w:sz w:val="24"/>
        </w:rPr>
      </w:pPr>
      <w:r>
        <w:rPr>
          <w:rFonts w:hint="eastAsia" w:ascii="仿宋" w:hAnsi="仿宋" w:eastAsia="仿宋" w:cs="仿宋"/>
          <w:sz w:val="24"/>
        </w:rPr>
        <w:t>1、丙方保证交付甲方的软件来源合法。</w:t>
      </w:r>
    </w:p>
    <w:p w14:paraId="75FA3508">
      <w:pPr>
        <w:spacing w:line="360" w:lineRule="auto"/>
        <w:rPr>
          <w:rFonts w:hint="eastAsia" w:ascii="仿宋" w:hAnsi="仿宋" w:eastAsia="仿宋" w:cs="仿宋"/>
          <w:sz w:val="24"/>
        </w:rPr>
      </w:pPr>
      <w:r>
        <w:rPr>
          <w:rFonts w:hint="eastAsia" w:ascii="仿宋" w:hAnsi="仿宋" w:eastAsia="仿宋" w:cs="仿宋"/>
          <w:sz w:val="24"/>
        </w:rPr>
        <w:t>2、丙方保证提供给甲方的软件不侵犯任何第三方的合法权益，包括但不限于</w:t>
      </w:r>
      <w:r>
        <w:rPr>
          <w:rFonts w:hint="eastAsia" w:ascii="仿宋" w:hAnsi="仿宋" w:eastAsia="仿宋" w:cs="仿宋"/>
        </w:rPr>
        <w:fldChar w:fldCharType="begin"/>
      </w:r>
      <w:r>
        <w:rPr>
          <w:rFonts w:hint="eastAsia" w:ascii="仿宋" w:hAnsi="仿宋" w:eastAsia="仿宋" w:cs="仿宋"/>
        </w:rPr>
        <w:instrText xml:space="preserve"> HYPERLINK "https://www.66law.cn/special/shangbiaochaxun/" \t "_blank" \o "商标权" </w:instrText>
      </w:r>
      <w:r>
        <w:rPr>
          <w:rFonts w:hint="eastAsia" w:ascii="仿宋" w:hAnsi="仿宋" w:eastAsia="仿宋" w:cs="仿宋"/>
        </w:rPr>
        <w:fldChar w:fldCharType="separate"/>
      </w:r>
      <w:r>
        <w:rPr>
          <w:rFonts w:hint="eastAsia" w:ascii="仿宋" w:hAnsi="仿宋" w:eastAsia="仿宋" w:cs="仿宋"/>
          <w:sz w:val="24"/>
        </w:rPr>
        <w:t>商标权</w:t>
      </w:r>
      <w:r>
        <w:rPr>
          <w:rFonts w:hint="eastAsia" w:ascii="仿宋" w:hAnsi="仿宋" w:eastAsia="仿宋" w:cs="仿宋"/>
          <w:sz w:val="24"/>
        </w:rPr>
        <w:fldChar w:fldCharType="end"/>
      </w:r>
      <w:r>
        <w:rPr>
          <w:rFonts w:hint="eastAsia" w:ascii="仿宋" w:hAnsi="仿宋" w:eastAsia="仿宋" w:cs="仿宋"/>
          <w:sz w:val="24"/>
        </w:rPr>
        <w:t>、专利权或</w:t>
      </w:r>
      <w:r>
        <w:rPr>
          <w:rFonts w:hint="eastAsia" w:ascii="仿宋" w:hAnsi="仿宋" w:eastAsia="仿宋" w:cs="仿宋"/>
        </w:rPr>
        <w:fldChar w:fldCharType="begin"/>
      </w:r>
      <w:r>
        <w:rPr>
          <w:rFonts w:hint="eastAsia" w:ascii="仿宋" w:hAnsi="仿宋" w:eastAsia="仿宋" w:cs="仿宋"/>
        </w:rPr>
        <w:instrText xml:space="preserve"> HYPERLINK "https://www.66law.cn/special/symm/" \t "_blank" \o "商业秘密" </w:instrText>
      </w:r>
      <w:r>
        <w:rPr>
          <w:rFonts w:hint="eastAsia" w:ascii="仿宋" w:hAnsi="仿宋" w:eastAsia="仿宋" w:cs="仿宋"/>
        </w:rPr>
        <w:fldChar w:fldCharType="separate"/>
      </w:r>
      <w:r>
        <w:rPr>
          <w:rFonts w:hint="eastAsia" w:ascii="仿宋" w:hAnsi="仿宋" w:eastAsia="仿宋" w:cs="仿宋"/>
          <w:sz w:val="24"/>
        </w:rPr>
        <w:t>商业秘密</w:t>
      </w:r>
      <w:r>
        <w:rPr>
          <w:rFonts w:hint="eastAsia" w:ascii="仿宋" w:hAnsi="仿宋" w:eastAsia="仿宋" w:cs="仿宋"/>
          <w:sz w:val="24"/>
        </w:rPr>
        <w:fldChar w:fldCharType="end"/>
      </w:r>
      <w:r>
        <w:rPr>
          <w:rFonts w:hint="eastAsia" w:ascii="仿宋" w:hAnsi="仿宋" w:eastAsia="仿宋" w:cs="仿宋"/>
          <w:sz w:val="24"/>
        </w:rPr>
        <w:t>等。如出现第三方对甲方使用或销售本合同软件提出所有权异议、索赔等情况的，甲方有权拒绝并立即通知丙方，由丙方自行处理由此导致的问题，并且丙方应在自行承担相关费用的情况下按照甲方之要求采取必要的补救措施确保甲方的损失降至最低。</w:t>
      </w:r>
    </w:p>
    <w:p w14:paraId="1AD17B01">
      <w:pPr>
        <w:spacing w:line="360" w:lineRule="auto"/>
        <w:rPr>
          <w:rFonts w:hint="eastAsia" w:ascii="仿宋" w:hAnsi="仿宋" w:eastAsia="仿宋" w:cs="仿宋"/>
          <w:sz w:val="24"/>
        </w:rPr>
      </w:pPr>
      <w:r>
        <w:rPr>
          <w:rFonts w:hint="eastAsia" w:ascii="仿宋" w:hAnsi="仿宋" w:eastAsia="仿宋" w:cs="仿宋"/>
          <w:sz w:val="24"/>
        </w:rPr>
        <w:t>3、如丙方出现不履行义务、迟延履行义务或其他瑕疵履行的，因此而产生的费用和导致甲方损失的责任均由丙方承担。</w:t>
      </w:r>
    </w:p>
    <w:p w14:paraId="71689C05">
      <w:pPr>
        <w:spacing w:line="360" w:lineRule="auto"/>
        <w:rPr>
          <w:rFonts w:hint="eastAsia" w:ascii="仿宋" w:hAnsi="仿宋" w:eastAsia="仿宋" w:cs="仿宋"/>
          <w:b/>
          <w:sz w:val="24"/>
          <w:szCs w:val="24"/>
        </w:rPr>
      </w:pPr>
    </w:p>
    <w:p w14:paraId="553650AB">
      <w:pPr>
        <w:spacing w:line="360" w:lineRule="auto"/>
        <w:rPr>
          <w:rFonts w:hint="eastAsia" w:ascii="仿宋" w:hAnsi="仿宋" w:eastAsia="仿宋" w:cs="仿宋"/>
          <w:b/>
          <w:sz w:val="24"/>
          <w:szCs w:val="24"/>
        </w:rPr>
      </w:pPr>
      <w:r>
        <w:rPr>
          <w:rFonts w:hint="eastAsia" w:ascii="仿宋" w:hAnsi="仿宋" w:eastAsia="仿宋" w:cs="仿宋"/>
          <w:b/>
          <w:sz w:val="24"/>
          <w:szCs w:val="24"/>
        </w:rPr>
        <w:t>十一、违约条款</w:t>
      </w:r>
    </w:p>
    <w:p w14:paraId="1FC19CD8">
      <w:pPr>
        <w:spacing w:line="360" w:lineRule="auto"/>
        <w:rPr>
          <w:rFonts w:hint="eastAsia" w:ascii="仿宋" w:hAnsi="仿宋" w:eastAsia="仿宋" w:cs="仿宋"/>
          <w:sz w:val="24"/>
        </w:rPr>
      </w:pPr>
      <w:r>
        <w:rPr>
          <w:rFonts w:hint="eastAsia" w:ascii="仿宋" w:hAnsi="仿宋" w:eastAsia="仿宋" w:cs="仿宋"/>
          <w:sz w:val="24"/>
        </w:rPr>
        <w:t>1、丙方交付的软件质量不符合合同规定的，丙方应向甲方支付合同总价的百分之拾的违约金，并须在合同规定的交货时间内更换合格的软件给甲方，否则，视作丙方不能交付软件而违约，按本条本款下述第“2”项规定由丙方偿付违约赔偿金给甲方。</w:t>
      </w:r>
    </w:p>
    <w:p w14:paraId="61AAD372">
      <w:pPr>
        <w:spacing w:line="360" w:lineRule="auto"/>
        <w:rPr>
          <w:rFonts w:hint="eastAsia" w:ascii="仿宋" w:hAnsi="仿宋" w:eastAsia="仿宋" w:cs="仿宋"/>
          <w:sz w:val="24"/>
        </w:rPr>
      </w:pPr>
      <w:r>
        <w:rPr>
          <w:rFonts w:hint="eastAsia" w:ascii="仿宋" w:hAnsi="仿宋" w:eastAsia="仿宋" w:cs="仿宋"/>
          <w:sz w:val="24"/>
        </w:rPr>
        <w:t>2、丙方不能交付软件或逾期交付软件而违约的，除应及时交足软件外，应向甲方偿付逾期交货部分货款总额的万分之五/天的违约金；逾期交货超过叁拾天，甲方有权终止合同，丙方则应按合同总价的百分之拾的款额向甲方偿付赔偿金，并须全额退还乙方已经付给丙方的货款及其利息。</w:t>
      </w:r>
    </w:p>
    <w:p w14:paraId="717EB977">
      <w:pPr>
        <w:spacing w:line="360" w:lineRule="auto"/>
        <w:rPr>
          <w:rFonts w:hint="eastAsia" w:ascii="仿宋" w:hAnsi="仿宋" w:eastAsia="仿宋" w:cs="仿宋"/>
          <w:sz w:val="24"/>
        </w:rPr>
      </w:pPr>
      <w:r>
        <w:rPr>
          <w:rFonts w:hint="eastAsia" w:ascii="仿宋" w:hAnsi="仿宋" w:eastAsia="仿宋" w:cs="仿宋"/>
          <w:sz w:val="24"/>
        </w:rPr>
        <w:t>3、丙方软件经甲方送交具有法定资格条件的质量技术监督机构检测后，如检测结果认定软件质量不符合本合同规定标准的，则视为丙方没有按时交货而违约，丙方须在柒天内无条件更换合格的软件，如逾期不能更换合格的软件，甲方有权终止本合同，丙方应另付合同总价的百分之拾的赔偿金给甲方。</w:t>
      </w:r>
    </w:p>
    <w:p w14:paraId="259E1081">
      <w:pPr>
        <w:spacing w:line="360" w:lineRule="auto"/>
        <w:rPr>
          <w:rFonts w:hint="eastAsia" w:ascii="仿宋" w:hAnsi="仿宋" w:eastAsia="仿宋" w:cs="仿宋"/>
          <w:sz w:val="24"/>
        </w:rPr>
      </w:pPr>
      <w:r>
        <w:rPr>
          <w:rFonts w:hint="eastAsia" w:ascii="仿宋" w:hAnsi="仿宋" w:eastAsia="仿宋" w:cs="仿宋"/>
          <w:sz w:val="24"/>
        </w:rPr>
        <w:t>4、丙方保证本合同软件的权利无瑕疵，包括软件所有权及知识产权等权利无瑕疵。如任何第三方经法院（或仲裁机构）裁决有权对上述软件主张权利或国家机关依法对软件进行没收查处的，丙方除应向乙方返还已收款项外，还应另按合同总价的百分之拾向甲方支付违约金并赔偿因此给甲方造成的一切损失。</w:t>
      </w:r>
    </w:p>
    <w:p w14:paraId="3BEBEB85">
      <w:pPr>
        <w:spacing w:line="360" w:lineRule="auto"/>
        <w:rPr>
          <w:rFonts w:hint="eastAsia" w:ascii="仿宋" w:hAnsi="仿宋" w:eastAsia="仿宋" w:cs="仿宋"/>
          <w:sz w:val="24"/>
        </w:rPr>
      </w:pPr>
      <w:r>
        <w:rPr>
          <w:rFonts w:hint="eastAsia" w:ascii="仿宋" w:hAnsi="仿宋" w:eastAsia="仿宋" w:cs="仿宋"/>
          <w:sz w:val="24"/>
        </w:rPr>
        <w:t>5、甲乙丙三方因违约偿付的违约金不足以弥补非违约方损失的，还应按非违约方损失尚未弥补的部分，支付赔偿金给非违约方。</w:t>
      </w:r>
    </w:p>
    <w:p w14:paraId="64B7322B">
      <w:pPr>
        <w:spacing w:line="360" w:lineRule="auto"/>
        <w:rPr>
          <w:rFonts w:hint="eastAsia" w:ascii="仿宋" w:hAnsi="仿宋" w:eastAsia="仿宋" w:cs="仿宋"/>
          <w:sz w:val="24"/>
        </w:rPr>
      </w:pPr>
      <w:r>
        <w:rPr>
          <w:rFonts w:hint="eastAsia" w:ascii="仿宋" w:hAnsi="仿宋" w:eastAsia="仿宋" w:cs="仿宋"/>
          <w:sz w:val="24"/>
        </w:rPr>
        <w:t>6、丙方提供的软件服务需要严格遵守相关网络信息安全规定。未经甲方允许，丙方不能擅自将系统中甲方的相关信息以任何形式透露给第三方，若有相关行为，甲方将依法追究其法律责任。</w:t>
      </w:r>
    </w:p>
    <w:p w14:paraId="630C8831">
      <w:pPr>
        <w:spacing w:line="360" w:lineRule="auto"/>
        <w:rPr>
          <w:rFonts w:hint="eastAsia" w:ascii="仿宋" w:hAnsi="仿宋" w:eastAsia="仿宋" w:cs="仿宋"/>
          <w:sz w:val="22"/>
          <w:szCs w:val="22"/>
        </w:rPr>
      </w:pPr>
    </w:p>
    <w:p w14:paraId="72D1A134">
      <w:pPr>
        <w:spacing w:line="360" w:lineRule="auto"/>
        <w:rPr>
          <w:rFonts w:hint="eastAsia" w:ascii="仿宋" w:hAnsi="仿宋" w:eastAsia="仿宋" w:cs="仿宋"/>
          <w:b/>
          <w:sz w:val="24"/>
          <w:szCs w:val="24"/>
        </w:rPr>
      </w:pPr>
      <w:r>
        <w:rPr>
          <w:rFonts w:hint="eastAsia" w:ascii="仿宋" w:hAnsi="仿宋" w:eastAsia="仿宋" w:cs="仿宋"/>
          <w:b/>
          <w:sz w:val="24"/>
          <w:szCs w:val="24"/>
        </w:rPr>
        <w:t>十二、不可抗力</w:t>
      </w:r>
    </w:p>
    <w:p w14:paraId="6F224D2F">
      <w:pPr>
        <w:spacing w:line="360" w:lineRule="auto"/>
        <w:rPr>
          <w:rFonts w:hint="eastAsia" w:ascii="仿宋" w:hAnsi="仿宋" w:eastAsia="仿宋" w:cs="仿宋"/>
          <w:sz w:val="24"/>
        </w:rPr>
      </w:pPr>
      <w:r>
        <w:rPr>
          <w:rFonts w:hint="eastAsia" w:ascii="仿宋" w:hAnsi="仿宋" w:eastAsia="仿宋" w:cs="仿宋"/>
          <w:sz w:val="24"/>
        </w:rPr>
        <w:t>1、不可抗力包括影响合同义务的执行的严重火灾、水灾、台风、地震、罢工等。</w:t>
      </w:r>
    </w:p>
    <w:p w14:paraId="11F809AD">
      <w:pPr>
        <w:spacing w:line="360" w:lineRule="auto"/>
        <w:rPr>
          <w:rFonts w:hint="eastAsia" w:ascii="仿宋" w:hAnsi="仿宋" w:eastAsia="仿宋" w:cs="仿宋"/>
          <w:sz w:val="24"/>
        </w:rPr>
      </w:pPr>
      <w:r>
        <w:rPr>
          <w:rFonts w:hint="eastAsia" w:ascii="仿宋" w:hAnsi="仿宋" w:eastAsia="仿宋" w:cs="仿宋"/>
          <w:sz w:val="24"/>
        </w:rPr>
        <w:t xml:space="preserve">2、不可抗力事故受到影响的一方应在 </w:t>
      </w:r>
      <w:permStart w:id="29" w:edGrp="everyone"/>
      <w:r>
        <w:rPr>
          <w:rFonts w:hint="eastAsia" w:ascii="仿宋" w:hAnsi="仿宋" w:eastAsia="仿宋" w:cs="仿宋"/>
          <w:sz w:val="24"/>
        </w:rPr>
        <w:t>***</w:t>
      </w:r>
      <w:permEnd w:id="29"/>
      <w:r>
        <w:rPr>
          <w:rFonts w:hint="eastAsia" w:ascii="仿宋" w:hAnsi="仿宋" w:eastAsia="仿宋" w:cs="仿宋"/>
          <w:sz w:val="24"/>
        </w:rPr>
        <w:t xml:space="preserve"> 个工作日内通知对方，并出具相关证明。当不可抗力事故消除后，受到影响的一方应尽快书面通知其他方。</w:t>
      </w:r>
    </w:p>
    <w:p w14:paraId="7397E03A">
      <w:pPr>
        <w:spacing w:line="360" w:lineRule="auto"/>
        <w:rPr>
          <w:rFonts w:hint="eastAsia" w:ascii="仿宋" w:hAnsi="仿宋" w:eastAsia="仿宋" w:cs="仿宋"/>
          <w:sz w:val="24"/>
        </w:rPr>
      </w:pPr>
      <w:r>
        <w:rPr>
          <w:rFonts w:hint="eastAsia" w:ascii="仿宋" w:hAnsi="仿宋" w:eastAsia="仿宋" w:cs="仿宋"/>
          <w:sz w:val="24"/>
        </w:rPr>
        <w:t>3、由于不可抗力事故而影响合同履行的，但不影响合同目的实现的，可延迟履行合同期限，延迟时间相当于事故所影响的时间。若不可抗力原因影响本合同执行时间超过3个月，三方就合同签订履行事宜另行协商。</w:t>
      </w:r>
    </w:p>
    <w:p w14:paraId="2481FB9F">
      <w:pPr>
        <w:spacing w:line="360" w:lineRule="auto"/>
        <w:rPr>
          <w:rFonts w:hint="eastAsia" w:ascii="仿宋" w:hAnsi="仿宋" w:eastAsia="仿宋" w:cs="仿宋"/>
          <w:b/>
          <w:sz w:val="24"/>
          <w:szCs w:val="24"/>
        </w:rPr>
      </w:pPr>
    </w:p>
    <w:p w14:paraId="299EC1A1">
      <w:pPr>
        <w:spacing w:line="360" w:lineRule="auto"/>
        <w:rPr>
          <w:rFonts w:hint="eastAsia" w:ascii="仿宋" w:hAnsi="仿宋" w:eastAsia="仿宋" w:cs="仿宋"/>
          <w:b/>
          <w:bCs/>
          <w:sz w:val="24"/>
          <w:szCs w:val="22"/>
        </w:rPr>
      </w:pPr>
      <w:r>
        <w:rPr>
          <w:rFonts w:hint="eastAsia" w:ascii="仿宋" w:hAnsi="仿宋" w:eastAsia="仿宋" w:cs="仿宋"/>
          <w:b/>
          <w:sz w:val="24"/>
          <w:szCs w:val="24"/>
        </w:rPr>
        <w:t>十三、</w:t>
      </w:r>
      <w:r>
        <w:rPr>
          <w:rFonts w:hint="eastAsia" w:ascii="仿宋" w:hAnsi="仿宋" w:eastAsia="仿宋" w:cs="仿宋"/>
          <w:b/>
          <w:bCs/>
          <w:sz w:val="24"/>
          <w:szCs w:val="22"/>
        </w:rPr>
        <w:t>知识产权及数据隐私保护</w:t>
      </w:r>
    </w:p>
    <w:p w14:paraId="4A77002D">
      <w:pPr>
        <w:spacing w:line="360" w:lineRule="auto"/>
        <w:rPr>
          <w:rFonts w:hint="eastAsia" w:ascii="仿宋" w:hAnsi="仿宋" w:eastAsia="仿宋" w:cs="仿宋"/>
          <w:sz w:val="24"/>
        </w:rPr>
      </w:pPr>
      <w:r>
        <w:rPr>
          <w:rFonts w:hint="eastAsia" w:ascii="仿宋" w:hAnsi="仿宋" w:eastAsia="仿宋" w:cs="仿宋"/>
          <w:sz w:val="24"/>
        </w:rPr>
        <w:t>1、丙方必须对本合同履行过程中知悉的甲方的商业技术秘密、经营秘密、患者隐私数据等甲方未公开的信息负保密义务，不得向任何第三方透露，不得用作本协议以外的其他用途。否则，丙方应赔偿甲方因此造成的经济损失，包括但不限于实际损失、可得利益损失及为此支付的律师代理费用、诉讼费、公告费、公证费、保全费等。保密期为永久。损失无法计算的，甲丙双方同意按照合同金额的10倍计算违约金，甲丙双方均不认为该违约金过高。</w:t>
      </w:r>
    </w:p>
    <w:p w14:paraId="524E8B26">
      <w:pPr>
        <w:spacing w:line="360" w:lineRule="auto"/>
        <w:rPr>
          <w:rFonts w:hint="eastAsia" w:ascii="仿宋" w:hAnsi="仿宋" w:eastAsia="仿宋" w:cs="仿宋"/>
          <w:sz w:val="24"/>
        </w:rPr>
      </w:pPr>
      <w:r>
        <w:rPr>
          <w:rFonts w:hint="eastAsia" w:ascii="仿宋" w:hAnsi="仿宋" w:eastAsia="仿宋" w:cs="仿宋"/>
          <w:sz w:val="24"/>
        </w:rPr>
        <w:t>2、任何一方在未征得对方书面同意，不得将本合同的权利或义务转让给第三方。否则，违约方按照合同金额</w:t>
      </w:r>
      <w:permStart w:id="30" w:edGrp="everyone"/>
      <w:r>
        <w:rPr>
          <w:rFonts w:hint="eastAsia" w:ascii="仿宋" w:hAnsi="仿宋" w:eastAsia="仿宋" w:cs="仿宋"/>
          <w:sz w:val="24"/>
          <w:u w:val="single"/>
        </w:rPr>
        <w:t xml:space="preserve">   </w:t>
      </w:r>
      <w:permEnd w:id="30"/>
      <w:r>
        <w:rPr>
          <w:rFonts w:hint="eastAsia" w:ascii="仿宋" w:hAnsi="仿宋" w:eastAsia="仿宋" w:cs="仿宋"/>
          <w:sz w:val="24"/>
        </w:rPr>
        <w:t>%支付违约金，违约金不足以弥补非违约方损失的，违约方予以补足。</w:t>
      </w:r>
    </w:p>
    <w:p w14:paraId="2A3D119D">
      <w:pPr>
        <w:spacing w:line="360" w:lineRule="auto"/>
        <w:rPr>
          <w:rFonts w:hint="eastAsia" w:ascii="仿宋" w:hAnsi="仿宋" w:eastAsia="仿宋" w:cs="仿宋"/>
          <w:sz w:val="24"/>
        </w:rPr>
      </w:pPr>
      <w:r>
        <w:rPr>
          <w:rFonts w:hint="eastAsia" w:ascii="仿宋" w:hAnsi="仿宋" w:eastAsia="仿宋" w:cs="仿宋"/>
          <w:sz w:val="24"/>
        </w:rPr>
        <w:t>3、</w:t>
      </w:r>
      <w:permStart w:id="31" w:edGrp="everyone"/>
      <w:r>
        <w:rPr>
          <w:rFonts w:hint="eastAsia" w:ascii="仿宋" w:hAnsi="仿宋" w:eastAsia="仿宋" w:cs="仿宋"/>
          <w:sz w:val="24"/>
        </w:rPr>
        <w:t>甲、丙双方共同研发的该系统软件产品，知识产权归甲、丙双方共同拥有，软件所有数据归甲方所有。</w:t>
      </w:r>
      <w:permEnd w:id="31"/>
    </w:p>
    <w:p w14:paraId="03D98197">
      <w:pPr>
        <w:spacing w:line="360" w:lineRule="auto"/>
        <w:rPr>
          <w:rFonts w:hint="eastAsia" w:ascii="仿宋" w:hAnsi="仿宋" w:eastAsia="仿宋" w:cs="仿宋"/>
          <w:sz w:val="24"/>
        </w:rPr>
      </w:pPr>
    </w:p>
    <w:p w14:paraId="4A4D3142">
      <w:pPr>
        <w:spacing w:line="360" w:lineRule="auto"/>
        <w:rPr>
          <w:rFonts w:hint="eastAsia" w:ascii="仿宋" w:hAnsi="仿宋" w:eastAsia="仿宋" w:cs="仿宋"/>
          <w:b/>
          <w:sz w:val="24"/>
          <w:szCs w:val="24"/>
        </w:rPr>
      </w:pPr>
      <w:r>
        <w:rPr>
          <w:rFonts w:hint="eastAsia" w:ascii="仿宋" w:hAnsi="仿宋" w:eastAsia="仿宋" w:cs="仿宋"/>
          <w:b/>
          <w:sz w:val="24"/>
          <w:szCs w:val="24"/>
        </w:rPr>
        <w:t>十四、廉洁约定</w:t>
      </w:r>
    </w:p>
    <w:p w14:paraId="0E677BA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33009FB9">
      <w:pPr>
        <w:spacing w:line="360" w:lineRule="auto"/>
        <w:ind w:firstLine="480" w:firstLineChars="200"/>
        <w:rPr>
          <w:rFonts w:hint="eastAsia" w:ascii="仿宋" w:hAnsi="仿宋" w:eastAsia="仿宋" w:cs="仿宋"/>
          <w:sz w:val="24"/>
          <w:szCs w:val="24"/>
        </w:rPr>
      </w:pPr>
    </w:p>
    <w:p w14:paraId="39FC4A0F">
      <w:pPr>
        <w:spacing w:line="360" w:lineRule="auto"/>
        <w:rPr>
          <w:rFonts w:hint="eastAsia" w:ascii="仿宋" w:hAnsi="仿宋" w:eastAsia="仿宋" w:cs="仿宋"/>
          <w:b/>
          <w:sz w:val="24"/>
          <w:szCs w:val="24"/>
        </w:rPr>
      </w:pPr>
      <w:r>
        <w:rPr>
          <w:rFonts w:hint="eastAsia" w:ascii="仿宋" w:hAnsi="仿宋" w:eastAsia="仿宋" w:cs="仿宋"/>
          <w:b/>
          <w:sz w:val="24"/>
          <w:szCs w:val="24"/>
        </w:rPr>
        <w:t>十五、合同生效</w:t>
      </w:r>
    </w:p>
    <w:p w14:paraId="1EB1F0BA">
      <w:pPr>
        <w:pStyle w:val="44"/>
        <w:numPr>
          <w:ilvl w:val="0"/>
          <w:numId w:val="15"/>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本合同在甲乙丙三方法定代表人、负责人或授权代表签字并加盖单位公章或合同专用章后生效。</w:t>
      </w:r>
    </w:p>
    <w:p w14:paraId="2B6CC9CB">
      <w:pPr>
        <w:pStyle w:val="44"/>
        <w:numPr>
          <w:ilvl w:val="0"/>
          <w:numId w:val="15"/>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本合同一式</w:t>
      </w:r>
      <w:permStart w:id="32" w:edGrp="everyone"/>
      <w:r>
        <w:rPr>
          <w:rFonts w:hint="eastAsia" w:ascii="仿宋" w:hAnsi="仿宋" w:eastAsia="仿宋" w:cs="仿宋"/>
          <w:sz w:val="24"/>
          <w:szCs w:val="24"/>
          <w:u w:val="single"/>
        </w:rPr>
        <w:t>***</w:t>
      </w:r>
      <w:permEnd w:id="32"/>
      <w:r>
        <w:rPr>
          <w:rFonts w:hint="eastAsia" w:ascii="仿宋" w:hAnsi="仿宋" w:eastAsia="仿宋" w:cs="仿宋"/>
          <w:sz w:val="24"/>
          <w:szCs w:val="24"/>
        </w:rPr>
        <w:t>份，甲方执四份，乙方执</w:t>
      </w:r>
      <w:permStart w:id="33" w:edGrp="everyone"/>
      <w:r>
        <w:rPr>
          <w:rFonts w:hint="eastAsia" w:ascii="仿宋" w:hAnsi="仿宋" w:eastAsia="仿宋" w:cs="仿宋"/>
          <w:sz w:val="24"/>
          <w:szCs w:val="24"/>
          <w:u w:val="single"/>
        </w:rPr>
        <w:t>四</w:t>
      </w:r>
      <w:permEnd w:id="33"/>
      <w:r>
        <w:rPr>
          <w:rFonts w:hint="eastAsia" w:ascii="仿宋" w:hAnsi="仿宋" w:eastAsia="仿宋" w:cs="仿宋"/>
          <w:sz w:val="24"/>
          <w:szCs w:val="24"/>
        </w:rPr>
        <w:t>份，丙方</w:t>
      </w:r>
      <w:permStart w:id="34" w:edGrp="everyone"/>
      <w:r>
        <w:rPr>
          <w:rFonts w:hint="eastAsia" w:ascii="仿宋" w:hAnsi="仿宋" w:eastAsia="仿宋" w:cs="仿宋"/>
          <w:sz w:val="24"/>
          <w:szCs w:val="24"/>
          <w:u w:val="single"/>
        </w:rPr>
        <w:t>***</w:t>
      </w:r>
      <w:permEnd w:id="34"/>
      <w:r>
        <w:rPr>
          <w:rFonts w:hint="eastAsia" w:ascii="仿宋" w:hAnsi="仿宋" w:eastAsia="仿宋" w:cs="仿宋"/>
          <w:sz w:val="24"/>
          <w:szCs w:val="24"/>
        </w:rPr>
        <w:t xml:space="preserve"> 份。</w:t>
      </w:r>
    </w:p>
    <w:p w14:paraId="07862965">
      <w:pPr>
        <w:spacing w:line="360" w:lineRule="auto"/>
        <w:rPr>
          <w:rFonts w:hint="eastAsia" w:ascii="仿宋" w:hAnsi="仿宋" w:eastAsia="仿宋" w:cs="仿宋"/>
          <w:sz w:val="24"/>
          <w:szCs w:val="24"/>
        </w:rPr>
      </w:pPr>
    </w:p>
    <w:p w14:paraId="40EEC775">
      <w:pPr>
        <w:spacing w:line="360" w:lineRule="auto"/>
        <w:rPr>
          <w:rFonts w:hint="eastAsia" w:ascii="仿宋" w:hAnsi="仿宋" w:eastAsia="仿宋" w:cs="仿宋"/>
          <w:sz w:val="32"/>
          <w:szCs w:val="32"/>
        </w:rPr>
      </w:pPr>
      <w:r>
        <w:rPr>
          <w:rFonts w:hint="eastAsia" w:ascii="仿宋" w:hAnsi="仿宋" w:eastAsia="仿宋" w:cs="仿宋"/>
          <w:b/>
          <w:sz w:val="24"/>
          <w:szCs w:val="24"/>
        </w:rPr>
        <w:t>十六、争议解决方式</w:t>
      </w:r>
    </w:p>
    <w:p w14:paraId="23669D16">
      <w:pPr>
        <w:pStyle w:val="44"/>
        <w:numPr>
          <w:ilvl w:val="0"/>
          <w:numId w:val="16"/>
        </w:numPr>
        <w:tabs>
          <w:tab w:val="left" w:pos="540"/>
        </w:tabs>
        <w:spacing w:after="120" w:afterLines="50" w:line="360" w:lineRule="auto"/>
        <w:ind w:firstLineChars="0"/>
        <w:outlineLvl w:val="2"/>
        <w:rPr>
          <w:rFonts w:hint="eastAsia" w:ascii="仿宋" w:hAnsi="仿宋" w:eastAsia="仿宋" w:cs="仿宋"/>
          <w:sz w:val="24"/>
          <w:szCs w:val="24"/>
        </w:rPr>
      </w:pPr>
      <w:r>
        <w:rPr>
          <w:rFonts w:hint="eastAsia" w:ascii="仿宋" w:hAnsi="仿宋" w:eastAsia="仿宋" w:cs="仿宋"/>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32A516B5">
      <w:pPr>
        <w:pStyle w:val="44"/>
        <w:numPr>
          <w:ilvl w:val="0"/>
          <w:numId w:val="16"/>
        </w:numPr>
        <w:tabs>
          <w:tab w:val="left" w:pos="540"/>
        </w:tabs>
        <w:spacing w:after="120" w:afterLines="50" w:line="360" w:lineRule="auto"/>
        <w:ind w:firstLineChars="0"/>
        <w:outlineLvl w:val="2"/>
        <w:rPr>
          <w:rFonts w:hint="eastAsia" w:ascii="仿宋" w:hAnsi="仿宋" w:eastAsia="仿宋" w:cs="仿宋"/>
          <w:sz w:val="24"/>
          <w:szCs w:val="24"/>
        </w:rPr>
      </w:pPr>
      <w:r>
        <w:rPr>
          <w:rFonts w:hint="eastAsia" w:ascii="仿宋" w:hAnsi="仿宋" w:eastAsia="仿宋" w:cs="仿宋"/>
          <w:sz w:val="24"/>
          <w:szCs w:val="24"/>
        </w:rPr>
        <w:t>合同履行期间,若双方发生争议，可协商或由有关部门调解解决，协商或调解不成的，任何一方均有权向甲方住所地管辖权的人民法院起诉。</w:t>
      </w:r>
    </w:p>
    <w:p w14:paraId="0264DCB3">
      <w:pPr>
        <w:tabs>
          <w:tab w:val="left" w:pos="540"/>
        </w:tabs>
        <w:spacing w:after="120" w:afterLines="50" w:line="360" w:lineRule="auto"/>
        <w:outlineLvl w:val="2"/>
        <w:rPr>
          <w:rFonts w:hint="eastAsia" w:ascii="仿宋" w:hAnsi="仿宋" w:eastAsia="仿宋" w:cs="仿宋"/>
          <w:sz w:val="24"/>
          <w:szCs w:val="24"/>
        </w:rPr>
      </w:pPr>
    </w:p>
    <w:p w14:paraId="72736251">
      <w:pPr>
        <w:spacing w:line="360" w:lineRule="auto"/>
        <w:rPr>
          <w:rFonts w:hint="eastAsia" w:ascii="仿宋" w:hAnsi="仿宋" w:eastAsia="仿宋" w:cs="仿宋"/>
          <w:b/>
          <w:sz w:val="24"/>
          <w:szCs w:val="24"/>
        </w:rPr>
      </w:pPr>
      <w:r>
        <w:rPr>
          <w:rFonts w:hint="eastAsia" w:ascii="仿宋" w:hAnsi="仿宋" w:eastAsia="仿宋" w:cs="仿宋"/>
          <w:b/>
          <w:sz w:val="24"/>
          <w:szCs w:val="24"/>
        </w:rPr>
        <w:t>十七、双方需要说明的其他事项（如有）</w:t>
      </w:r>
    </w:p>
    <w:p w14:paraId="4F8FAC79">
      <w:pPr>
        <w:spacing w:line="360" w:lineRule="auto"/>
        <w:ind w:firstLine="480" w:firstLineChars="200"/>
        <w:rPr>
          <w:rFonts w:hint="eastAsia" w:ascii="仿宋" w:hAnsi="仿宋" w:eastAsia="仿宋" w:cs="仿宋"/>
          <w:sz w:val="24"/>
          <w:szCs w:val="24"/>
        </w:rPr>
      </w:pPr>
      <w:permStart w:id="35" w:edGrp="everyone"/>
      <w:r>
        <w:rPr>
          <w:rFonts w:hint="eastAsia" w:ascii="仿宋" w:hAnsi="仿宋" w:eastAsia="仿宋" w:cs="仿宋"/>
          <w:sz w:val="24"/>
          <w:szCs w:val="24"/>
        </w:rPr>
        <w:t>协议内容应符合各方行业的监管要求，若遇国家监管政策调整导致任何一方不能继续履约，合同当事人有权解除或终止协议，且不承担违约或损失赔偿责任等相关条款。</w:t>
      </w:r>
    </w:p>
    <w:permEnd w:id="35"/>
    <w:p w14:paraId="55D86FDA">
      <w:pPr>
        <w:spacing w:line="360" w:lineRule="auto"/>
        <w:outlineLvl w:val="0"/>
        <w:rPr>
          <w:rFonts w:hint="eastAsia" w:ascii="仿宋" w:hAnsi="仿宋" w:eastAsia="仿宋" w:cs="仿宋"/>
          <w:b/>
          <w:bCs/>
          <w:sz w:val="24"/>
          <w:szCs w:val="24"/>
        </w:rPr>
      </w:pPr>
      <w:r>
        <w:rPr>
          <w:rFonts w:hint="eastAsia" w:ascii="仿宋" w:hAnsi="仿宋" w:eastAsia="仿宋" w:cs="仿宋"/>
          <w:b/>
          <w:bCs/>
          <w:sz w:val="24"/>
          <w:szCs w:val="24"/>
        </w:rPr>
        <w:t>（以下无正文）</w:t>
      </w:r>
    </w:p>
    <w:p w14:paraId="6B47EC7D">
      <w:pPr>
        <w:spacing w:line="360" w:lineRule="auto"/>
        <w:outlineLvl w:val="0"/>
        <w:rPr>
          <w:rFonts w:hint="eastAsia" w:ascii="仿宋" w:hAnsi="仿宋" w:eastAsia="仿宋" w:cs="仿宋"/>
          <w:b/>
          <w:bCs/>
          <w:sz w:val="24"/>
          <w:szCs w:val="24"/>
        </w:rPr>
      </w:pPr>
      <w:permStart w:id="36" w:edGrp="everyone"/>
    </w:p>
    <w:permEnd w:id="36"/>
    <w:p w14:paraId="41485FA3">
      <w:pPr>
        <w:spacing w:line="360" w:lineRule="auto"/>
        <w:outlineLvl w:val="0"/>
        <w:rPr>
          <w:rFonts w:hint="eastAsia" w:ascii="仿宋" w:hAnsi="仿宋" w:eastAsia="仿宋" w:cs="仿宋"/>
          <w:b/>
          <w:bCs/>
          <w:sz w:val="24"/>
          <w:szCs w:val="24"/>
        </w:rPr>
      </w:pPr>
    </w:p>
    <w:p w14:paraId="1089BD2B">
      <w:pPr>
        <w:spacing w:line="360" w:lineRule="auto"/>
        <w:outlineLvl w:val="0"/>
        <w:rPr>
          <w:rFonts w:hint="eastAsia" w:ascii="仿宋" w:hAnsi="仿宋" w:eastAsia="仿宋" w:cs="仿宋"/>
          <w:b/>
          <w:bCs/>
          <w:sz w:val="24"/>
          <w:szCs w:val="24"/>
        </w:rPr>
        <w:sectPr>
          <w:headerReference r:id="rId9" w:type="default"/>
          <w:footerReference r:id="rId10" w:type="default"/>
          <w:type w:val="continuous"/>
          <w:pgSz w:w="11906" w:h="16838"/>
          <w:pgMar w:top="851" w:right="1134" w:bottom="851" w:left="1134" w:header="0" w:footer="567" w:gutter="0"/>
          <w:pgNumType w:fmt="decimal"/>
          <w:cols w:space="425" w:num="1"/>
          <w:docGrid w:linePitch="312" w:charSpace="0"/>
        </w:sectPr>
      </w:pPr>
      <w:r>
        <w:rPr>
          <w:rFonts w:hint="eastAsia" w:ascii="仿宋" w:hAnsi="仿宋" w:eastAsia="仿宋" w:cs="仿宋"/>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1C1D5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F2AE301">
            <w:pPr>
              <w:spacing w:line="360" w:lineRule="auto"/>
              <w:rPr>
                <w:rFonts w:hint="eastAsia" w:ascii="仿宋" w:hAnsi="仿宋" w:eastAsia="仿宋" w:cs="仿宋"/>
                <w:sz w:val="24"/>
                <w:szCs w:val="24"/>
              </w:rPr>
            </w:pPr>
            <w:r>
              <w:rPr>
                <w:rFonts w:hint="eastAsia" w:ascii="仿宋" w:hAnsi="仿宋" w:eastAsia="仿宋" w:cs="仿宋"/>
                <w:sz w:val="24"/>
                <w:szCs w:val="24"/>
              </w:rPr>
              <w:t>甲方：四川省人民医院</w:t>
            </w:r>
          </w:p>
          <w:p w14:paraId="7B5362AB">
            <w:pPr>
              <w:spacing w:line="360" w:lineRule="auto"/>
              <w:rPr>
                <w:rFonts w:hint="eastAsia" w:ascii="仿宋" w:hAnsi="仿宋" w:eastAsia="仿宋" w:cs="仿宋"/>
                <w:sz w:val="24"/>
                <w:szCs w:val="24"/>
              </w:rPr>
            </w:pPr>
            <w:r>
              <w:rPr>
                <w:rFonts w:hint="eastAsia" w:ascii="仿宋" w:hAnsi="仿宋" w:eastAsia="仿宋" w:cs="仿宋"/>
                <w:sz w:val="24"/>
                <w:szCs w:val="24"/>
              </w:rPr>
              <w:t>法定代表人（授权代表）：</w:t>
            </w:r>
          </w:p>
        </w:tc>
        <w:tc>
          <w:tcPr>
            <w:tcW w:w="4927" w:type="dxa"/>
            <w:vAlign w:val="center"/>
          </w:tcPr>
          <w:p w14:paraId="48FD3AFF">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乙方：</w:t>
            </w:r>
            <w:permStart w:id="37" w:edGrp="everyone"/>
          </w:p>
          <w:permEnd w:id="37"/>
          <w:p w14:paraId="35CD32A9">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负责人（授权代表）：</w:t>
            </w:r>
          </w:p>
        </w:tc>
      </w:tr>
      <w:tr w14:paraId="29A24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CC8090C">
            <w:pPr>
              <w:spacing w:line="360" w:lineRule="auto"/>
              <w:rPr>
                <w:rFonts w:hint="eastAsia" w:ascii="仿宋" w:hAnsi="仿宋" w:eastAsia="仿宋" w:cs="仿宋"/>
                <w:sz w:val="24"/>
                <w:szCs w:val="24"/>
              </w:rPr>
            </w:pPr>
          </w:p>
        </w:tc>
        <w:tc>
          <w:tcPr>
            <w:tcW w:w="4927" w:type="dxa"/>
            <w:vAlign w:val="center"/>
          </w:tcPr>
          <w:p w14:paraId="110FE3C9">
            <w:pPr>
              <w:spacing w:line="360" w:lineRule="auto"/>
              <w:outlineLvl w:val="0"/>
              <w:rPr>
                <w:rFonts w:hint="eastAsia" w:ascii="仿宋" w:hAnsi="仿宋" w:eastAsia="仿宋" w:cs="仿宋"/>
                <w:sz w:val="24"/>
                <w:szCs w:val="24"/>
              </w:rPr>
            </w:pPr>
          </w:p>
        </w:tc>
      </w:tr>
      <w:tr w14:paraId="2DA18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50CAEBBE">
            <w:pPr>
              <w:spacing w:line="360" w:lineRule="auto"/>
              <w:rPr>
                <w:rFonts w:hint="eastAsia" w:ascii="仿宋" w:hAnsi="仿宋" w:eastAsia="仿宋" w:cs="仿宋"/>
                <w:sz w:val="24"/>
                <w:szCs w:val="24"/>
              </w:rPr>
            </w:pPr>
          </w:p>
        </w:tc>
        <w:tc>
          <w:tcPr>
            <w:tcW w:w="4927" w:type="dxa"/>
            <w:vAlign w:val="center"/>
          </w:tcPr>
          <w:p w14:paraId="13C2A786">
            <w:pPr>
              <w:spacing w:line="360" w:lineRule="auto"/>
              <w:outlineLvl w:val="0"/>
              <w:rPr>
                <w:rFonts w:hint="eastAsia" w:ascii="仿宋" w:hAnsi="仿宋" w:eastAsia="仿宋" w:cs="仿宋"/>
                <w:sz w:val="24"/>
                <w:szCs w:val="24"/>
              </w:rPr>
            </w:pPr>
          </w:p>
        </w:tc>
      </w:tr>
      <w:tr w14:paraId="67435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9F0477C">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927" w:type="dxa"/>
            <w:vAlign w:val="center"/>
          </w:tcPr>
          <w:p w14:paraId="01F320F0">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签约日期：     年   月   日</w:t>
            </w:r>
          </w:p>
        </w:tc>
      </w:tr>
      <w:tr w14:paraId="56C13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4ED985">
            <w:pPr>
              <w:spacing w:line="360" w:lineRule="auto"/>
              <w:outlineLvl w:val="0"/>
              <w:rPr>
                <w:rFonts w:hint="eastAsia" w:ascii="仿宋" w:hAnsi="仿宋" w:eastAsia="仿宋" w:cs="仿宋"/>
                <w:sz w:val="24"/>
                <w:szCs w:val="24"/>
              </w:rPr>
            </w:pPr>
            <w:permStart w:id="38" w:edGrp="everyone"/>
            <w:r>
              <w:rPr>
                <w:rFonts w:hint="eastAsia" w:ascii="仿宋" w:hAnsi="仿宋" w:eastAsia="仿宋" w:cs="仿宋"/>
                <w:sz w:val="24"/>
                <w:szCs w:val="24"/>
              </w:rPr>
              <w:t>丙方：</w:t>
            </w:r>
          </w:p>
          <w:p w14:paraId="74FB7883">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法定代表人（授权代表）：</w:t>
            </w:r>
          </w:p>
        </w:tc>
        <w:tc>
          <w:tcPr>
            <w:tcW w:w="4927" w:type="dxa"/>
            <w:vAlign w:val="center"/>
          </w:tcPr>
          <w:p w14:paraId="6E4B3871">
            <w:pPr>
              <w:spacing w:line="360" w:lineRule="auto"/>
              <w:outlineLvl w:val="0"/>
              <w:rPr>
                <w:rFonts w:hint="eastAsia" w:ascii="仿宋" w:hAnsi="仿宋" w:eastAsia="仿宋" w:cs="仿宋"/>
                <w:sz w:val="24"/>
                <w:szCs w:val="24"/>
              </w:rPr>
            </w:pPr>
          </w:p>
        </w:tc>
      </w:tr>
      <w:tr w14:paraId="1122B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D143A2C">
            <w:pPr>
              <w:spacing w:line="360" w:lineRule="auto"/>
              <w:outlineLvl w:val="0"/>
              <w:rPr>
                <w:rFonts w:hint="eastAsia" w:ascii="仿宋" w:hAnsi="仿宋" w:eastAsia="仿宋" w:cs="仿宋"/>
                <w:sz w:val="24"/>
                <w:szCs w:val="24"/>
              </w:rPr>
            </w:pPr>
          </w:p>
        </w:tc>
        <w:tc>
          <w:tcPr>
            <w:tcW w:w="4927" w:type="dxa"/>
            <w:vAlign w:val="center"/>
          </w:tcPr>
          <w:p w14:paraId="1C089AAE">
            <w:pPr>
              <w:spacing w:line="360" w:lineRule="auto"/>
              <w:outlineLvl w:val="0"/>
              <w:rPr>
                <w:rFonts w:hint="eastAsia" w:ascii="仿宋" w:hAnsi="仿宋" w:eastAsia="仿宋" w:cs="仿宋"/>
                <w:sz w:val="24"/>
                <w:szCs w:val="24"/>
              </w:rPr>
            </w:pPr>
          </w:p>
        </w:tc>
      </w:tr>
      <w:tr w14:paraId="01D26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D27FD31">
            <w:pPr>
              <w:spacing w:line="360" w:lineRule="auto"/>
              <w:outlineLvl w:val="0"/>
              <w:rPr>
                <w:rFonts w:hint="eastAsia" w:ascii="仿宋" w:hAnsi="仿宋" w:eastAsia="仿宋" w:cs="仿宋"/>
                <w:sz w:val="24"/>
                <w:szCs w:val="24"/>
              </w:rPr>
            </w:pPr>
          </w:p>
        </w:tc>
        <w:tc>
          <w:tcPr>
            <w:tcW w:w="4927" w:type="dxa"/>
            <w:vAlign w:val="center"/>
          </w:tcPr>
          <w:p w14:paraId="02293492">
            <w:pPr>
              <w:spacing w:line="360" w:lineRule="auto"/>
              <w:outlineLvl w:val="0"/>
              <w:rPr>
                <w:rFonts w:hint="eastAsia" w:ascii="仿宋" w:hAnsi="仿宋" w:eastAsia="仿宋" w:cs="仿宋"/>
                <w:sz w:val="24"/>
                <w:szCs w:val="24"/>
              </w:rPr>
            </w:pPr>
          </w:p>
        </w:tc>
      </w:tr>
      <w:tr w14:paraId="703C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04F89B0">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927" w:type="dxa"/>
            <w:vAlign w:val="center"/>
          </w:tcPr>
          <w:p w14:paraId="0661C7DA">
            <w:pPr>
              <w:spacing w:line="360" w:lineRule="auto"/>
              <w:outlineLvl w:val="0"/>
              <w:rPr>
                <w:rFonts w:hint="eastAsia" w:ascii="仿宋" w:hAnsi="仿宋" w:eastAsia="仿宋" w:cs="仿宋"/>
                <w:sz w:val="24"/>
                <w:szCs w:val="24"/>
              </w:rPr>
            </w:pPr>
          </w:p>
        </w:tc>
      </w:tr>
      <w:permEnd w:id="38"/>
    </w:tbl>
    <w:p w14:paraId="64D5F804">
      <w:pPr>
        <w:spacing w:line="460" w:lineRule="exact"/>
        <w:outlineLvl w:val="0"/>
        <w:rPr>
          <w:rFonts w:hint="eastAsia" w:ascii="仿宋" w:hAnsi="仿宋" w:eastAsia="仿宋" w:cs="仿宋"/>
          <w:sz w:val="24"/>
          <w:szCs w:val="24"/>
        </w:rPr>
      </w:pPr>
      <w:r>
        <w:rPr>
          <w:rFonts w:hint="eastAsia" w:ascii="仿宋" w:hAnsi="仿宋" w:eastAsia="仿宋" w:cs="仿宋"/>
          <w:sz w:val="24"/>
          <w:szCs w:val="24"/>
        </w:rPr>
        <w:t>附件：</w:t>
      </w:r>
      <w:permStart w:id="39" w:edGrp="everyone"/>
      <w:r>
        <w:rPr>
          <w:rFonts w:hint="eastAsia" w:ascii="仿宋" w:hAnsi="仿宋" w:eastAsia="仿宋" w:cs="仿宋"/>
          <w:sz w:val="24"/>
          <w:szCs w:val="24"/>
        </w:rPr>
        <w:t>开发期的安排</w:t>
      </w:r>
      <w:permEnd w:id="39"/>
    </w:p>
    <w:p w14:paraId="29BD5499">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5"/>
          <w:rFonts w:ascii="Times New Roman" w:hAnsi="Times New Roman" w:eastAsia="宋体" w:cs="Times New Roman"/>
          <w:b/>
          <w:bCs/>
          <w:sz w:val="32"/>
          <w:szCs w:val="32"/>
        </w:rPr>
      </w:pPr>
      <w:r>
        <w:rPr>
          <w:rFonts w:ascii="Times New Roman" w:hAnsi="Times New Roman" w:cs="Times New Roman"/>
        </w:rPr>
        <w:t>年   月   日</w:t>
      </w:r>
    </w:p>
    <w:p w14:paraId="27852A60">
      <w:pPr>
        <w:pStyle w:val="28"/>
        <w:rPr>
          <w:rFonts w:ascii="Times New Roman" w:hAnsi="Times New Roman"/>
        </w:rPr>
      </w:pPr>
    </w:p>
    <w:sectPr>
      <w:headerReference r:id="rId11" w:type="default"/>
      <w:footerReference r:id="rId12"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22AC584-712A-4DBC-8C4E-107D0A59D9D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D901E05-0989-490D-94BB-761DC874C03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419EFBB-8694-4480-80D4-78C7500AD684}"/>
  </w:font>
  <w:font w:name="FangSong_GB2312">
    <w:altName w:val="仿宋"/>
    <w:panose1 w:val="020B0604020202020204"/>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64AAC2D-E84E-4855-A70A-775D8B632690}"/>
  </w:font>
  <w:font w:name="Segoe UI Symbol">
    <w:panose1 w:val="020B0502040204020203"/>
    <w:charset w:val="00"/>
    <w:family w:val="swiss"/>
    <w:pitch w:val="default"/>
    <w:sig w:usb0="800001E3" w:usb1="1200FFEF" w:usb2="00040000" w:usb3="04000000" w:csb0="00000001" w:csb1="40000000"/>
    <w:embedRegular r:id="rId5" w:fontKey="{BD297BCB-5065-4F3A-9237-776BF0A3282A}"/>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02FC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C8A8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71C8A8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443DE">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329C74F7">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34CBB">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E157D">
                          <w:pPr>
                            <w:pStyle w:val="11"/>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BAE157D">
                    <w:pPr>
                      <w:pStyle w:val="11"/>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9D93E">
    <w:pPr>
      <w:pStyle w:val="12"/>
      <w:pBdr>
        <w:bottom w:val="single" w:color="auto" w:sz="4" w:space="1"/>
      </w:pBdr>
      <w:jc w:val="right"/>
      <w:rPr>
        <w:rFonts w:hint="eastAsia" w:ascii="Times New Roman" w:hAnsi="Times New Roman" w:cs="Times New Roman"/>
      </w:rPr>
    </w:pPr>
  </w:p>
  <w:p w14:paraId="0997E77B">
    <w:pPr>
      <w:pStyle w:val="12"/>
      <w:pBdr>
        <w:bottom w:val="single" w:color="auto" w:sz="4" w:space="1"/>
      </w:pBdr>
      <w:jc w:val="right"/>
      <w:rPr>
        <w:rFonts w:hint="eastAsia" w:ascii="Times New Roman" w:hAnsi="Times New Roman" w:cs="Times New Roman"/>
      </w:rPr>
    </w:pPr>
  </w:p>
  <w:p w14:paraId="4B3756D1">
    <w:pPr>
      <w:pStyle w:val="12"/>
      <w:pBdr>
        <w:bottom w:val="single" w:color="auto" w:sz="4" w:space="1"/>
      </w:pBdr>
      <w:jc w:val="right"/>
      <w:rPr>
        <w:rFonts w:hint="eastAsia" w:ascii="Times New Roman" w:hAnsi="Times New Roman" w:cs="Times New Roman"/>
      </w:rPr>
    </w:pPr>
  </w:p>
  <w:p w14:paraId="25E6FF7B">
    <w:pPr>
      <w:pStyle w:val="12"/>
      <w:pBdr>
        <w:bottom w:val="single" w:color="auto" w:sz="4" w:space="1"/>
      </w:pBdr>
      <w:jc w:val="right"/>
      <w:rPr>
        <w:rFonts w:hint="eastAsia" w:ascii="Times New Roman" w:hAnsi="Times New Roman" w:cs="Times New Roman"/>
      </w:rPr>
    </w:pPr>
  </w:p>
  <w:p w14:paraId="6F5B8B6E">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D47A0">
    <w:pPr>
      <w:pStyle w:val="12"/>
      <w:pBdr>
        <w:bottom w:val="single" w:color="auto" w:sz="4" w:space="1"/>
      </w:pBdr>
      <w:jc w:val="right"/>
      <w:rPr>
        <w:rFonts w:hint="eastAsia" w:ascii="Times New Roman" w:hAnsi="Times New Roman" w:cs="Times New Roman"/>
      </w:rPr>
    </w:pPr>
  </w:p>
  <w:p w14:paraId="615EFD42">
    <w:pPr>
      <w:pStyle w:val="12"/>
      <w:pBdr>
        <w:bottom w:val="single" w:color="auto" w:sz="4" w:space="1"/>
      </w:pBdr>
      <w:jc w:val="right"/>
      <w:rPr>
        <w:rFonts w:hint="eastAsia" w:ascii="Times New Roman" w:hAnsi="Times New Roman" w:cs="Times New Roman"/>
      </w:rPr>
    </w:pPr>
  </w:p>
  <w:p w14:paraId="03DE1A62">
    <w:pPr>
      <w:pStyle w:val="12"/>
      <w:pBdr>
        <w:bottom w:val="single" w:color="auto" w:sz="4" w:space="1"/>
      </w:pBdr>
      <w:jc w:val="right"/>
      <w:rPr>
        <w:rFonts w:hint="eastAsia" w:ascii="Times New Roman" w:hAnsi="Times New Roman" w:cs="Times New Roman"/>
      </w:rPr>
    </w:pPr>
  </w:p>
  <w:p w14:paraId="34D1BEC0">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F712D09"/>
    <w:multiLevelType w:val="singleLevel"/>
    <w:tmpl w:val="1F712D09"/>
    <w:lvl w:ilvl="0" w:tentative="0">
      <w:start w:val="1"/>
      <w:numFmt w:val="decimal"/>
      <w:lvlText w:val="(%1)"/>
      <w:lvlJc w:val="left"/>
      <w:pPr>
        <w:ind w:left="218" w:hanging="425"/>
      </w:pPr>
      <w:rPr>
        <w:rFonts w:hint="default"/>
      </w:rPr>
    </w:lvl>
  </w:abstractNum>
  <w:abstractNum w:abstractNumId="6">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3A69C7D9"/>
    <w:multiLevelType w:val="singleLevel"/>
    <w:tmpl w:val="3A69C7D9"/>
    <w:lvl w:ilvl="0" w:tentative="0">
      <w:start w:val="1"/>
      <w:numFmt w:val="decimal"/>
      <w:lvlText w:val="(%1)"/>
      <w:lvlJc w:val="left"/>
      <w:pPr>
        <w:ind w:left="425" w:hanging="425"/>
      </w:pPr>
      <w:rPr>
        <w:rFonts w:hint="default"/>
      </w:rPr>
    </w:lvl>
  </w:abstractNum>
  <w:abstractNum w:abstractNumId="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40188F49"/>
    <w:multiLevelType w:val="singleLevel"/>
    <w:tmpl w:val="40188F49"/>
    <w:lvl w:ilvl="0" w:tentative="0">
      <w:start w:val="1"/>
      <w:numFmt w:val="decimal"/>
      <w:suff w:val="nothing"/>
      <w:lvlText w:val="%1．"/>
      <w:lvlJc w:val="left"/>
      <w:pPr>
        <w:ind w:left="0" w:firstLine="400"/>
      </w:pPr>
      <w:rPr>
        <w:rFonts w:hint="default"/>
      </w:rPr>
    </w:lvl>
  </w:abstractNum>
  <w:abstractNum w:abstractNumId="10">
    <w:nsid w:val="5B407AE3"/>
    <w:multiLevelType w:val="multilevel"/>
    <w:tmpl w:val="5B407AE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2"/>
  </w:num>
  <w:num w:numId="3">
    <w:abstractNumId w:val="8"/>
  </w:num>
  <w:num w:numId="4">
    <w:abstractNumId w:val="14"/>
  </w:num>
  <w:num w:numId="5">
    <w:abstractNumId w:val="5"/>
  </w:num>
  <w:num w:numId="6">
    <w:abstractNumId w:val="11"/>
  </w:num>
  <w:num w:numId="7">
    <w:abstractNumId w:val="7"/>
  </w:num>
  <w:num w:numId="8">
    <w:abstractNumId w:val="1"/>
  </w:num>
  <w:num w:numId="9">
    <w:abstractNumId w:val="0"/>
  </w:num>
  <w:num w:numId="10">
    <w:abstractNumId w:val="3"/>
  </w:num>
  <w:num w:numId="11">
    <w:abstractNumId w:val="9"/>
  </w:num>
  <w:num w:numId="12">
    <w:abstractNumId w:val="10"/>
  </w:num>
  <w:num w:numId="13">
    <w:abstractNumId w:val="4"/>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7B1232"/>
    <w:rsid w:val="078A573C"/>
    <w:rsid w:val="093A3733"/>
    <w:rsid w:val="0B4508AE"/>
    <w:rsid w:val="0CF161C9"/>
    <w:rsid w:val="0E0B7FF0"/>
    <w:rsid w:val="0F904004"/>
    <w:rsid w:val="10E47154"/>
    <w:rsid w:val="117A5014"/>
    <w:rsid w:val="127F05A0"/>
    <w:rsid w:val="135F136E"/>
    <w:rsid w:val="136D78F8"/>
    <w:rsid w:val="15CC4977"/>
    <w:rsid w:val="162A4F7D"/>
    <w:rsid w:val="16A82A66"/>
    <w:rsid w:val="1994787E"/>
    <w:rsid w:val="1BCC54CD"/>
    <w:rsid w:val="1DD000AF"/>
    <w:rsid w:val="1E09745A"/>
    <w:rsid w:val="1E176351"/>
    <w:rsid w:val="203F5011"/>
    <w:rsid w:val="22935D1D"/>
    <w:rsid w:val="23D4489F"/>
    <w:rsid w:val="262001B9"/>
    <w:rsid w:val="26316159"/>
    <w:rsid w:val="27B87AF9"/>
    <w:rsid w:val="27E80EA9"/>
    <w:rsid w:val="280414A1"/>
    <w:rsid w:val="28570368"/>
    <w:rsid w:val="29C5318E"/>
    <w:rsid w:val="2B502F98"/>
    <w:rsid w:val="2C9A0A9E"/>
    <w:rsid w:val="2DA70D65"/>
    <w:rsid w:val="3427766B"/>
    <w:rsid w:val="343706EB"/>
    <w:rsid w:val="351A08D0"/>
    <w:rsid w:val="35AE7EF0"/>
    <w:rsid w:val="36334CE5"/>
    <w:rsid w:val="36972F00"/>
    <w:rsid w:val="38453315"/>
    <w:rsid w:val="3A551407"/>
    <w:rsid w:val="3B033C36"/>
    <w:rsid w:val="3E5D4E8E"/>
    <w:rsid w:val="3FE25336"/>
    <w:rsid w:val="41076015"/>
    <w:rsid w:val="42075FF8"/>
    <w:rsid w:val="42842020"/>
    <w:rsid w:val="43814D8F"/>
    <w:rsid w:val="467D6586"/>
    <w:rsid w:val="468567BB"/>
    <w:rsid w:val="470822BD"/>
    <w:rsid w:val="4782487D"/>
    <w:rsid w:val="4B31068E"/>
    <w:rsid w:val="4BA55220"/>
    <w:rsid w:val="4BAD0151"/>
    <w:rsid w:val="4C184E09"/>
    <w:rsid w:val="4C8F75A2"/>
    <w:rsid w:val="4DAD4403"/>
    <w:rsid w:val="4E8C008E"/>
    <w:rsid w:val="4FEF758C"/>
    <w:rsid w:val="50771A9C"/>
    <w:rsid w:val="51C47F6D"/>
    <w:rsid w:val="5455382C"/>
    <w:rsid w:val="58DB4E75"/>
    <w:rsid w:val="5D0A3490"/>
    <w:rsid w:val="5D7E0D39"/>
    <w:rsid w:val="5E9D3F29"/>
    <w:rsid w:val="60384CD1"/>
    <w:rsid w:val="60655808"/>
    <w:rsid w:val="60F86CEE"/>
    <w:rsid w:val="63A9427A"/>
    <w:rsid w:val="63D462B1"/>
    <w:rsid w:val="641A3596"/>
    <w:rsid w:val="649E6E57"/>
    <w:rsid w:val="64D96647"/>
    <w:rsid w:val="655B51E5"/>
    <w:rsid w:val="65E40ADA"/>
    <w:rsid w:val="66330B86"/>
    <w:rsid w:val="66E22203"/>
    <w:rsid w:val="68AA6162"/>
    <w:rsid w:val="68B812C9"/>
    <w:rsid w:val="68D4417F"/>
    <w:rsid w:val="69D50CF4"/>
    <w:rsid w:val="6C487AFD"/>
    <w:rsid w:val="6CB24363"/>
    <w:rsid w:val="6EA93466"/>
    <w:rsid w:val="6FCF0795"/>
    <w:rsid w:val="70342931"/>
    <w:rsid w:val="71381023"/>
    <w:rsid w:val="71696852"/>
    <w:rsid w:val="73714961"/>
    <w:rsid w:val="754D1D92"/>
    <w:rsid w:val="758350A9"/>
    <w:rsid w:val="76784FFE"/>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basedOn w:val="1"/>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9"/>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4"/>
    <w:qFormat/>
    <w:uiPriority w:val="0"/>
    <w:pPr>
      <w:spacing w:after="120" w:line="480" w:lineRule="auto"/>
      <w:ind w:left="420" w:leftChars="200"/>
    </w:pPr>
    <w:rPr>
      <w:szCs w:val="20"/>
    </w:rPr>
  </w:style>
  <w:style w:type="paragraph" w:styleId="10">
    <w:name w:val="Balloon Text"/>
    <w:basedOn w:val="1"/>
    <w:link w:val="41"/>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40"/>
    <w:qFormat/>
    <w:uiPriority w:val="0"/>
    <w:rPr>
      <w:b/>
      <w:bCs/>
    </w:rPr>
  </w:style>
  <w:style w:type="paragraph" w:styleId="16">
    <w:name w:val="Body Text First Indent"/>
    <w:basedOn w:val="2"/>
    <w:link w:val="35"/>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FollowedHyperlink"/>
    <w:basedOn w:val="20"/>
    <w:qFormat/>
    <w:uiPriority w:val="0"/>
    <w:rPr>
      <w:color w:val="800080"/>
      <w:u w:val="none"/>
    </w:rPr>
  </w:style>
  <w:style w:type="character" w:styleId="24">
    <w:name w:val="Hyperlink"/>
    <w:basedOn w:val="20"/>
    <w:qFormat/>
    <w:uiPriority w:val="0"/>
    <w:rPr>
      <w:color w:val="0000FF"/>
      <w:u w:val="none"/>
    </w:rPr>
  </w:style>
  <w:style w:type="character" w:styleId="25">
    <w:name w:val="annotation reference"/>
    <w:basedOn w:val="20"/>
    <w:qFormat/>
    <w:uiPriority w:val="0"/>
    <w:rPr>
      <w:sz w:val="21"/>
      <w:szCs w:val="21"/>
    </w:rPr>
  </w:style>
  <w:style w:type="paragraph" w:customStyle="1" w:styleId="26">
    <w:name w:val="标题 5（有编号）（绿盟科技）"/>
    <w:basedOn w:val="27"/>
    <w:next w:val="28"/>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9"/>
    <w:qFormat/>
    <w:uiPriority w:val="0"/>
    <w:rPr>
      <w:szCs w:val="20"/>
    </w:rPr>
  </w:style>
  <w:style w:type="character" w:customStyle="1" w:styleId="35">
    <w:name w:val="Body Text First Indent Char"/>
    <w:link w:val="16"/>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7"/>
    <w:qFormat/>
    <w:uiPriority w:val="99"/>
    <w:rPr>
      <w:rFonts w:ascii="宋体" w:hAnsi="Times New Roman"/>
      <w:kern w:val="0"/>
      <w:sz w:val="21"/>
      <w:szCs w:val="24"/>
    </w:rPr>
  </w:style>
  <w:style w:type="character" w:customStyle="1" w:styleId="39">
    <w:name w:val="Comment Text Char"/>
    <w:basedOn w:val="20"/>
    <w:link w:val="7"/>
    <w:qFormat/>
    <w:uiPriority w:val="0"/>
    <w:rPr>
      <w:kern w:val="2"/>
      <w:sz w:val="21"/>
      <w:szCs w:val="22"/>
    </w:rPr>
  </w:style>
  <w:style w:type="character" w:customStyle="1" w:styleId="40">
    <w:name w:val="Comment Subject Char"/>
    <w:basedOn w:val="39"/>
    <w:link w:val="15"/>
    <w:qFormat/>
    <w:uiPriority w:val="0"/>
    <w:rPr>
      <w:b/>
      <w:bCs/>
      <w:kern w:val="2"/>
      <w:sz w:val="21"/>
      <w:szCs w:val="22"/>
    </w:rPr>
  </w:style>
  <w:style w:type="character" w:customStyle="1" w:styleId="41">
    <w:name w:val="Balloon Text Char"/>
    <w:basedOn w:val="20"/>
    <w:link w:val="10"/>
    <w:qFormat/>
    <w:uiPriority w:val="0"/>
    <w:rPr>
      <w:kern w:val="2"/>
      <w:sz w:val="18"/>
      <w:szCs w:val="18"/>
    </w:rPr>
  </w:style>
  <w:style w:type="character" w:customStyle="1" w:styleId="42">
    <w:name w:val="Heading 2 Char"/>
    <w:link w:val="4"/>
    <w:qFormat/>
    <w:uiPriority w:val="0"/>
    <w:rPr>
      <w:rFonts w:ascii="Times New Roman" w:hAnsi="Times New Roman" w:eastAsia="仿宋" w:cs="Times New Roman"/>
      <w:b/>
      <w:sz w:val="32"/>
    </w:rPr>
  </w:style>
  <w:style w:type="paragraph" w:customStyle="1" w:styleId="43">
    <w:name w:val="sht标题1"/>
    <w:basedOn w:val="1"/>
    <w:next w:val="3"/>
    <w:qFormat/>
    <w:uiPriority w:val="0"/>
    <w:pPr>
      <w:jc w:val="center"/>
    </w:pPr>
    <w:rPr>
      <w:rFonts w:eastAsia="黑体"/>
      <w:b/>
      <w:sz w:val="52"/>
      <w:szCs w:val="24"/>
    </w:rPr>
  </w:style>
  <w:style w:type="paragraph" w:customStyle="1" w:styleId="44">
    <w:name w:val="列出段落1"/>
    <w:basedOn w:val="1"/>
    <w:qFormat/>
    <w:uiPriority w:val="0"/>
    <w:pPr>
      <w:ind w:firstLine="420" w:firstLineChars="200"/>
    </w:pPr>
  </w:style>
  <w:style w:type="character" w:customStyle="1" w:styleId="45">
    <w:name w:val="tmpztreemove_arrow"/>
    <w:basedOn w:val="20"/>
    <w:qFormat/>
    <w:uiPriority w:val="0"/>
  </w:style>
  <w:style w:type="character" w:customStyle="1" w:styleId="46">
    <w:name w:val="button"/>
    <w:basedOn w:val="20"/>
    <w:qFormat/>
    <w:uiPriority w:val="0"/>
  </w:style>
  <w:style w:type="character" w:customStyle="1" w:styleId="47">
    <w:name w:val="tips[data-v-2a725926]"/>
    <w:basedOn w:val="20"/>
    <w:qFormat/>
    <w:uiPriority w:val="0"/>
  </w:style>
  <w:style w:type="character" w:customStyle="1" w:styleId="48">
    <w:name w:val="tips[data-v-39386422]"/>
    <w:basedOn w:val="20"/>
    <w:qFormat/>
    <w:uiPriority w:val="0"/>
  </w:style>
  <w:style w:type="character" w:customStyle="1" w:styleId="49">
    <w:name w:val="hover1"/>
    <w:basedOn w:val="20"/>
    <w:qFormat/>
    <w:uiPriority w:val="0"/>
    <w:rPr>
      <w:shd w:val="clear" w:fill="EEEEEE"/>
    </w:rPr>
  </w:style>
  <w:style w:type="character" w:customStyle="1" w:styleId="50">
    <w:name w:val="hover2"/>
    <w:basedOn w:val="20"/>
    <w:qFormat/>
    <w:uiPriority w:val="0"/>
    <w:rPr>
      <w:shd w:val="clear" w:fill="EEEEEE"/>
    </w:rPr>
  </w:style>
  <w:style w:type="character" w:customStyle="1" w:styleId="51">
    <w:name w:val="hover3"/>
    <w:basedOn w:val="20"/>
    <w:qFormat/>
    <w:uiPriority w:val="0"/>
    <w:rPr>
      <w:shd w:val="clear" w:fill="EEEEE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1299</Words>
  <Characters>1390</Characters>
  <Lines>72</Lines>
  <Paragraphs>20</Paragraphs>
  <TotalTime>0</TotalTime>
  <ScaleCrop>false</ScaleCrop>
  <LinksUpToDate>false</LinksUpToDate>
  <CharactersWithSpaces>1460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2026-09-30T09:00:08Z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2AEF012C46F2436B83C79D7930517C78_13</vt:lpwstr>
  </property>
  <property fmtid="{D5CDD505-2E9C-101B-9397-08002B2CF9AE}" pid="4" name="KSOTemplateDocerSaveRecord">
    <vt:lpwstr>eyJoZGlkIjoiNDc0MTk5M2JkMmE1NDI4NDczMTFjZTZjODJmMzdhNjkiLCJ1c2VySWQiOiIyMTIzMTcyNzYifQ==</vt:lpwstr>
  </property>
</Properties>
</file>