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2026年电测听仪等一批</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1919"/>
      <w:bookmarkStart w:id="1" w:name="_Toc471310326"/>
      <w:bookmarkStart w:id="2" w:name="_Toc20358"/>
      <w:bookmarkStart w:id="3" w:name="_Toc62832406"/>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46"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7"/>
        <w:gridCol w:w="1879"/>
        <w:gridCol w:w="7316"/>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74"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82"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7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0"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7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0"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2026年电测听仪等一批</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CGZX-YXZ2026</w:t>
            </w:r>
            <w:r>
              <w:rPr>
                <w:rFonts w:hint="eastAsia" w:ascii="Times New Roman" w:hAnsi="Times New Roman" w:eastAsia="仿宋" w:cs="Times New Roman"/>
                <w:sz w:val="22"/>
              </w:rPr>
              <w:t>1610</w:t>
            </w:r>
            <w:r>
              <w:rPr>
                <w:rFonts w:hint="eastAsia" w:ascii="Times New Roman" w:hAnsi="Times New Roman" w:eastAsia="仿宋" w:cs="Times New Roman"/>
                <w:sz w:val="22"/>
                <w:lang w:val="en-US" w:eastAsia="zh-CN"/>
              </w:rPr>
              <w:t>-1612</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82"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315000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82"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82"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82"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7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7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continue"/>
            <w:vAlign w:val="center"/>
          </w:tcPr>
          <w:p>
            <w:pPr>
              <w:spacing w:line="360" w:lineRule="auto"/>
              <w:jc w:val="center"/>
              <w:rPr>
                <w:rFonts w:ascii="Times New Roman" w:hAnsi="Times New Roman" w:eastAsia="仿宋" w:cs="Times New Roman"/>
                <w:kern w:val="0"/>
                <w:sz w:val="22"/>
              </w:rPr>
            </w:pPr>
          </w:p>
        </w:tc>
        <w:tc>
          <w:tcPr>
            <w:tcW w:w="7282"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82"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7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82"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7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continue"/>
            <w:vAlign w:val="center"/>
          </w:tcPr>
          <w:p>
            <w:pPr>
              <w:pStyle w:val="28"/>
              <w:spacing w:line="360" w:lineRule="auto"/>
              <w:jc w:val="center"/>
              <w:rPr>
                <w:rFonts w:ascii="Times New Roman" w:hAnsi="Times New Roman" w:eastAsia="仿宋" w:cs="Times New Roman"/>
                <w:sz w:val="22"/>
                <w:szCs w:val="22"/>
              </w:rPr>
            </w:pPr>
          </w:p>
        </w:tc>
        <w:tc>
          <w:tcPr>
            <w:tcW w:w="7282"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合同金额的10%；</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p>
          <w:p>
            <w:pPr>
              <w:pStyle w:val="28"/>
              <w:numPr>
                <w:ilvl w:val="0"/>
                <w:numId w:val="0"/>
              </w:numPr>
              <w:tabs>
                <w:tab w:val="left" w:pos="220"/>
              </w:tabs>
              <w:autoSpaceDE/>
              <w:autoSpaceDN/>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pPr>
              <w:pStyle w:val="28"/>
              <w:numPr>
                <w:ilvl w:val="0"/>
                <w:numId w:val="0"/>
              </w:numPr>
              <w:tabs>
                <w:tab w:val="left" w:pos="220"/>
              </w:tabs>
              <w:spacing w:line="360" w:lineRule="auto"/>
              <w:ind w:left="210" w:leftChars="100" w:firstLine="10"/>
              <w:jc w:val="both"/>
              <w:rPr>
                <w:rFonts w:hint="eastAsia" w:ascii="Times New Roman" w:hAnsi="Times New Roman" w:eastAsia="仿宋" w:cs="Times New Roman"/>
                <w:b w:val="0"/>
                <w:sz w:val="22"/>
                <w:szCs w:val="22"/>
                <w:vertAlign w:val="baseline"/>
                <w:lang w:val="zh-CN" w:eastAsia="zh-CN"/>
              </w:rPr>
            </w:pPr>
            <w:r>
              <w:rPr>
                <w:rFonts w:hint="eastAsia" w:ascii="Times New Roman" w:hAnsi="Times New Roman" w:eastAsia="仿宋" w:cs="Times New Roman"/>
                <w:sz w:val="22"/>
                <w:szCs w:val="22"/>
                <w:lang w:val="en-US" w:eastAsia="zh-CN"/>
              </w:rPr>
              <w:t>（</w:t>
            </w:r>
            <w:r>
              <w:rPr>
                <w:rFonts w:hint="eastAsia" w:ascii="Times New Roman" w:hAnsi="Times New Roman" w:eastAsia="仿宋" w:cs="Times New Roman"/>
                <w:sz w:val="22"/>
                <w:szCs w:val="22"/>
                <w:lang w:val="zh-CN" w:eastAsia="zh-CN"/>
              </w:rPr>
              <w:t>1）</w:t>
            </w:r>
            <w:r>
              <w:rPr>
                <w:rFonts w:hint="eastAsia" w:ascii="Times New Roman" w:hAnsi="Times New Roman" w:eastAsia="仿宋" w:cs="Times New Roman"/>
                <w:b w:val="0"/>
                <w:sz w:val="22"/>
                <w:szCs w:val="22"/>
                <w:vertAlign w:val="baseline"/>
                <w:lang w:val="zh-CN" w:eastAsia="zh-CN"/>
              </w:rPr>
              <w:t>供应商拒绝履行与采购人订立的合同；</w:t>
            </w:r>
          </w:p>
          <w:p>
            <w:pPr>
              <w:pStyle w:val="28"/>
              <w:numPr>
                <w:ilvl w:val="0"/>
                <w:numId w:val="0"/>
              </w:numPr>
              <w:tabs>
                <w:tab w:val="left" w:pos="220"/>
              </w:tabs>
              <w:spacing w:line="360" w:lineRule="auto"/>
              <w:ind w:left="210" w:leftChars="100" w:firstLine="10"/>
              <w:jc w:val="both"/>
              <w:rPr>
                <w:rFonts w:hint="eastAsia" w:ascii="Times New Roman" w:hAnsi="Times New Roman" w:eastAsia="仿宋" w:cs="Times New Roman"/>
                <w:b w:val="0"/>
                <w:sz w:val="22"/>
                <w:szCs w:val="22"/>
                <w:vertAlign w:val="baseline"/>
                <w:lang w:val="zh-CN" w:eastAsia="zh-CN"/>
              </w:rPr>
            </w:pPr>
            <w:r>
              <w:rPr>
                <w:rFonts w:hint="eastAsia" w:ascii="Times New Roman" w:hAnsi="Times New Roman" w:eastAsia="仿宋" w:cs="Times New Roman"/>
                <w:b w:val="0"/>
                <w:sz w:val="22"/>
                <w:szCs w:val="22"/>
                <w:vertAlign w:val="baseline"/>
                <w:lang w:val="zh-CN" w:eastAsia="zh-CN"/>
              </w:rPr>
              <w:t>（</w:t>
            </w:r>
            <w:r>
              <w:rPr>
                <w:rFonts w:hint="eastAsia" w:ascii="Times New Roman" w:hAnsi="Times New Roman" w:eastAsia="仿宋" w:cs="Times New Roman"/>
                <w:b w:val="0"/>
                <w:sz w:val="22"/>
                <w:szCs w:val="22"/>
                <w:vertAlign w:val="baseline"/>
                <w:lang w:val="en-US" w:eastAsia="zh-CN"/>
              </w:rPr>
              <w:t>2</w:t>
            </w:r>
            <w:r>
              <w:rPr>
                <w:rFonts w:hint="eastAsia" w:ascii="Times New Roman" w:hAnsi="Times New Roman" w:eastAsia="仿宋" w:cs="Times New Roman"/>
                <w:b w:val="0"/>
                <w:sz w:val="22"/>
                <w:szCs w:val="22"/>
                <w:vertAlign w:val="baseline"/>
                <w:lang w:val="zh-CN" w:eastAsia="zh-CN"/>
              </w:rPr>
              <w:t>）因供应商严重违约或其它违法违规行为等情形，导致双方无法继续履约；</w:t>
            </w:r>
          </w:p>
          <w:p>
            <w:pPr>
              <w:pStyle w:val="28"/>
              <w:numPr>
                <w:ilvl w:val="0"/>
                <w:numId w:val="0"/>
              </w:numPr>
              <w:tabs>
                <w:tab w:val="left" w:pos="220"/>
              </w:tabs>
              <w:spacing w:line="360" w:lineRule="auto"/>
              <w:ind w:left="210" w:leftChars="100" w:firstLine="10"/>
              <w:jc w:val="both"/>
              <w:rPr>
                <w:rFonts w:hint="eastAsia" w:ascii="新宋体" w:hAnsi="新宋体" w:eastAsia="新宋体" w:cs="新宋体"/>
                <w:b w:val="0"/>
                <w:sz w:val="24"/>
                <w:szCs w:val="24"/>
                <w:vertAlign w:val="baseline"/>
                <w:lang w:val="en-US" w:eastAsia="zh-CN"/>
              </w:rPr>
            </w:pPr>
            <w:r>
              <w:rPr>
                <w:rFonts w:hint="eastAsia" w:ascii="Times New Roman" w:hAnsi="Times New Roman" w:eastAsia="仿宋" w:cs="Times New Roman"/>
                <w:b w:val="0"/>
                <w:sz w:val="22"/>
                <w:szCs w:val="22"/>
                <w:vertAlign w:val="baseline"/>
                <w:lang w:val="zh-CN" w:eastAsia="zh-CN"/>
              </w:rPr>
              <w:t>（</w:t>
            </w:r>
            <w:r>
              <w:rPr>
                <w:rFonts w:hint="eastAsia" w:ascii="Times New Roman" w:hAnsi="Times New Roman" w:eastAsia="仿宋" w:cs="Times New Roman"/>
                <w:b w:val="0"/>
                <w:sz w:val="22"/>
                <w:szCs w:val="22"/>
                <w:vertAlign w:val="baseline"/>
                <w:lang w:val="en-US" w:eastAsia="zh-CN"/>
              </w:rPr>
              <w:t>3</w:t>
            </w:r>
            <w:r>
              <w:rPr>
                <w:rFonts w:hint="eastAsia" w:ascii="Times New Roman" w:hAnsi="Times New Roman" w:eastAsia="仿宋" w:cs="Times New Roman"/>
                <w:b w:val="0"/>
                <w:sz w:val="22"/>
                <w:szCs w:val="22"/>
                <w:vertAlign w:val="baseline"/>
                <w:lang w:val="zh-CN" w:eastAsia="zh-CN"/>
              </w:rPr>
              <w:t>）其它情形：无</w:t>
            </w:r>
            <w:r>
              <w:rPr>
                <w:rFonts w:hint="eastAsia" w:ascii="新宋体" w:hAnsi="新宋体" w:eastAsia="新宋体" w:cs="新宋体"/>
                <w:b w:val="0"/>
                <w:sz w:val="24"/>
                <w:szCs w:val="24"/>
                <w:vertAlign w:val="baseline"/>
                <w:lang w:val="en-US"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82"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sz w:val="24"/>
          <w:szCs w:val="24"/>
          <w:vertAlign w:val="baseline"/>
          <w:lang w:val="en-US" w:eastAsia="zh-CN"/>
        </w:rPr>
        <w:t>电测听仪</w:t>
      </w:r>
      <w:r>
        <w:rPr>
          <w:rFonts w:hint="eastAsia" w:ascii="Times New Roman" w:hAnsi="Times New Roman" w:eastAsia="仿宋" w:cs="Times New Roman"/>
          <w:sz w:val="24"/>
          <w:szCs w:val="24"/>
          <w:lang w:eastAsia="zh-CN"/>
        </w:rPr>
        <w:t>、</w:t>
      </w:r>
      <w:r>
        <w:rPr>
          <w:rFonts w:hint="eastAsia"/>
          <w:sz w:val="24"/>
          <w:szCs w:val="24"/>
          <w:vertAlign w:val="baseline"/>
          <w:lang w:val="en-US" w:eastAsia="zh-CN"/>
        </w:rPr>
        <w:t>声导抗仪</w:t>
      </w:r>
      <w:r>
        <w:rPr>
          <w:rFonts w:hint="eastAsia" w:ascii="Times New Roman" w:hAnsi="Times New Roman" w:eastAsia="仿宋" w:cs="Times New Roman"/>
          <w:sz w:val="24"/>
          <w:szCs w:val="24"/>
          <w:lang w:eastAsia="zh-CN"/>
        </w:rPr>
        <w:t>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1362"/>
        <w:gridCol w:w="994"/>
        <w:gridCol w:w="874"/>
        <w:gridCol w:w="1325"/>
        <w:gridCol w:w="1308"/>
        <w:gridCol w:w="971"/>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5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04"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4"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5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8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7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0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100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58"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04" w:type="pct"/>
            <w:vAlign w:val="center"/>
          </w:tcPr>
          <w:p>
            <w:pPr>
              <w:pStyle w:val="7"/>
              <w:widowControl w:val="0"/>
              <w:numPr>
                <w:ilvl w:val="0"/>
                <w:numId w:val="0"/>
              </w:numPr>
              <w:ind w:left="0" w:leftChars="0" w:firstLine="0" w:firstLineChars="0"/>
              <w:jc w:val="center"/>
              <w:rPr>
                <w:rFonts w:hint="eastAsia" w:ascii="仿宋" w:hAnsi="仿宋" w:eastAsia="仿宋" w:cs="仿宋"/>
                <w:b/>
                <w:color w:val="auto"/>
                <w:kern w:val="2"/>
                <w:sz w:val="24"/>
                <w:szCs w:val="24"/>
                <w:vertAlign w:val="baseline"/>
                <w:lang w:val="en-US" w:eastAsia="zh-CN" w:bidi="ar-SA"/>
              </w:rPr>
            </w:pPr>
            <w:r>
              <w:rPr>
                <w:rFonts w:hint="eastAsia" w:ascii="仿宋" w:hAnsi="仿宋" w:eastAsia="仿宋" w:cs="仿宋"/>
                <w:sz w:val="24"/>
                <w:szCs w:val="24"/>
                <w:vertAlign w:val="baseline"/>
                <w:lang w:val="en-US" w:eastAsia="zh-CN"/>
              </w:rPr>
              <w:t>电测听仪</w:t>
            </w:r>
          </w:p>
        </w:tc>
        <w:tc>
          <w:tcPr>
            <w:tcW w:w="514"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5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85"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17.5</w:t>
            </w:r>
          </w:p>
        </w:tc>
        <w:tc>
          <w:tcPr>
            <w:tcW w:w="676"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17.5</w:t>
            </w:r>
          </w:p>
        </w:tc>
        <w:tc>
          <w:tcPr>
            <w:tcW w:w="50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c>
          <w:tcPr>
            <w:tcW w:w="100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58"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704"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声导抗仪</w:t>
            </w:r>
          </w:p>
        </w:tc>
        <w:tc>
          <w:tcPr>
            <w:tcW w:w="514"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5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85"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676"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50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c>
          <w:tcPr>
            <w:tcW w:w="100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2"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0" w:firstLineChars="0"/>
        <w:rPr>
          <w:rFonts w:hint="eastAsia" w:ascii="仿宋" w:hAnsi="仿宋" w:eastAsia="仿宋" w:cs="仿宋"/>
          <w:b/>
          <w:bCs/>
          <w:sz w:val="24"/>
          <w:szCs w:val="24"/>
          <w:vertAlign w:val="baseline"/>
          <w:lang w:val="en-US" w:eastAsia="zh-CN"/>
        </w:rPr>
      </w:pPr>
      <w:r>
        <w:rPr>
          <w:rFonts w:hint="eastAsia"/>
          <w:b/>
          <w:bCs/>
          <w:sz w:val="24"/>
          <w:szCs w:val="24"/>
          <w:vertAlign w:val="baseline"/>
          <w:lang w:val="en-US" w:eastAsia="zh-CN"/>
        </w:rPr>
        <w:t>电测听仪</w:t>
      </w:r>
      <w:r>
        <w:rPr>
          <w:rFonts w:hint="eastAsia" w:ascii="仿宋" w:hAnsi="仿宋" w:eastAsia="仿宋" w:cs="仿宋"/>
          <w:b/>
          <w:bCs/>
          <w:sz w:val="24"/>
          <w:szCs w:val="24"/>
          <w:vertAlign w:val="baseline"/>
          <w:lang w:val="en-US"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1.▲具备气导检测、骨导检测、言语检测、声场检测、可听对比度阈值检测功能。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2.具备≥2</w:t>
      </w:r>
      <w:bookmarkStart w:id="117" w:name="_GoBack"/>
      <w:bookmarkEnd w:id="117"/>
      <w:r>
        <w:rPr>
          <w:rFonts w:hint="eastAsia" w:ascii="仿宋" w:hAnsi="仿宋" w:eastAsia="仿宋" w:cs="仿宋"/>
          <w:sz w:val="24"/>
          <w:szCs w:val="24"/>
          <w:vertAlign w:val="baseline"/>
          <w:lang w:val="en-US" w:eastAsia="zh-CN"/>
        </w:rPr>
        <w:t>个独立检测通道，具备双通道检测功能。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3.频率检测范围：满足125Hz-8000Hz；</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4.▲输出强度调节范围：气导满足-10dBHL—120dBHL, 骨导满足-10dBHL—80dBHL。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5.▲具备≥3个步进档位可调：1dB、2dB、5dB。</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6.具备检测参数自定义设置功能。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7.具备患者授话通讯和回话通讯功能。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8.具备手动纯音给声功能和持续纯音给声功能。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9.具备单脉冲纯音给声功能和多脉冲纯音给声功能。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10.支持连接电脑操作控制，具备专用操作控制软件。</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11.支持打印检测报告，可自定义检测报告内容。</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12.▲具备内置式功放功能。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13.至少支持以下输入信号：纯音、啭音、窄带噪声、儿童噪声、麦克风声。</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14.支持波形数据文件导入。</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15.至少具备以下接口：USB接口、声场接口、气导耳机接口、骨导耳机接口、患者应答接口、患者回话接口、麦克风接口。</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16.具备全中文操作界面。</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17.▲主机设计使用年限≥7年。</w:t>
      </w:r>
    </w:p>
    <w:p>
      <w:pPr>
        <w:pStyle w:val="14"/>
        <w:keepNext w:val="0"/>
        <w:keepLines w:val="0"/>
        <w:widowControl/>
        <w:suppressLineNumbers w:val="0"/>
        <w:spacing w:before="0" w:beforeAutospacing="0" w:after="0" w:afterAutospacing="0" w:line="288" w:lineRule="auto"/>
        <w:ind w:left="0" w:right="0" w:firstLine="0" w:firstLineChars="0"/>
        <w:rPr>
          <w:rFonts w:hint="eastAsia" w:ascii="仿宋" w:hAnsi="仿宋" w:eastAsia="仿宋" w:cs="仿宋"/>
          <w:sz w:val="24"/>
          <w:szCs w:val="24"/>
          <w:vertAlign w:val="baseline"/>
          <w:lang w:val="en-US" w:eastAsia="zh-CN"/>
        </w:rPr>
      </w:pPr>
      <w:r>
        <w:rPr>
          <w:rFonts w:hint="eastAsia"/>
          <w:b/>
          <w:bCs/>
          <w:sz w:val="24"/>
          <w:szCs w:val="24"/>
          <w:vertAlign w:val="baseline"/>
          <w:lang w:val="en-US" w:eastAsia="zh-CN"/>
        </w:rPr>
        <w:t>声导抗仪</w:t>
      </w:r>
      <w:r>
        <w:rPr>
          <w:rFonts w:hint="eastAsia" w:ascii="仿宋" w:hAnsi="仿宋" w:eastAsia="仿宋" w:cs="仿宋"/>
          <w:b/>
          <w:bCs/>
          <w:sz w:val="24"/>
          <w:szCs w:val="24"/>
          <w:vertAlign w:val="baseline"/>
          <w:lang w:val="en-US"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1.▲至少具备以下检测功能：鼓室图检测、同侧声和对侧声反射检测、同侧声和对侧声反射衰减检测、完整鼓膜咽鼓管检测。</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2.采用无极气泵技术，支持探头密封不严的情况下进行检测。</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3.采用自适应泵速设计，可自动调节泵速，检测不受环境大气压变化影响。</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4.▲支持模块化功能扩展，支持扩展升级以下功能：诊断型耳声发射检测、宽频声阻抗检测（频率范围满足226Hz-8000Hz）、自动听性脑干反应检测。</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5.探测音频率：226Hz±1Hz，探测音强度：85dB SPL±1dB SPL。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6.具备自动增益AGC控制功能。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7.▲气压安全限制范围：-750 daPa—+550 daPa范围内。</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8.具备手动气压控制和自动气压控制功能。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9.加压速度具备≥3档可调：慢速、中速、快速，具备加压速度自动控制功能。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10.声顺值检测范围：满足0.1ml—8.0ml。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11.同侧刺激声至少具备以下声音类型：纯音、窄带噪声、宽频噪声、高频噪声，低频噪声；纯音频率≥5档可调：500Hz、1000Hz、2000Hz、3000Hz、4000Hz；窄带噪声≥4档可调：1000Hz、2000Hz、3000Hz、4000Hz。</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12.对侧刺激声至少具备以下声音类型：纯音、窄带噪声、宽频噪声、高频噪声，低频噪声；纯音频率≥8档可调：250Hz、500Hz、1000Hz、2000Hz、3000Hz、4000Hz、6000Hz、8000Hz；窄带噪声≥8档可调：250Hz、500Hz、1000Hz、2000Hz、3000Hz、4000Hz、6000Hz、8000Hz。</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13.同侧刺激强度调节范围：0.5kHz—2kHz频率下满足60dB HL—105dB HL；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14.1kHz频率下满足60dB HL—110dB HL；3kHz—4kHz频率下满足60dB HL—100dB HL。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15.同侧刺激强度调节范围：125kHz频率下满足60dB HL—70dB HL；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16.250Hz频率下满足60dB HL—110dB HL；500Hz—6kHz频率下满足60dB HL—120dB HL；8kHz频率下满足60dB HL—110dB HL。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17.声反射衰减时间调节范围：满足10s—30s。</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18.具备手动验证自动检测数据功能，具备手动控制激励电平功能。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19.具备声反射阈值自动搜索功能。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20.▲支持单机操作控制和连接电脑操作控制，支持USB连接和蓝牙连接电脑，具备专用操作控制软件。</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21.▲具备≥1GB存储卡。</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22.支持打印检测报告，可自定义检测报告内容。</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23.具备全中文操作界面。</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24.▲主机设计使用年限≥7年。</w:t>
      </w:r>
    </w:p>
    <w:p>
      <w:pPr>
        <w:pStyle w:val="14"/>
        <w:widowControl/>
        <w:numPr>
          <w:ilvl w:val="0"/>
          <w:numId w:val="0"/>
        </w:numPr>
        <w:spacing w:before="0" w:beforeAutospacing="0" w:after="0" w:afterAutospacing="0" w:line="288" w:lineRule="auto"/>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2.交付地点：四川省人民医院（本部）</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3.质保期：验收合格后不低于5年，响应的质保期不得超过响应产品的官方技术文件中写明的最长使用寿命（不包括易损附件的使用寿命），否则，视为虚假响应，供应商须承担相应后果。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（2）如在质保期内出现质量问题，供应商须在接到通知后2小时内响应，24小时内到场维修，并承担相关费用</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（3）如设备在质保期内因同一故障经供应商两次维修仍不能达到合同约定的技术要求及国家法律法规规定的质量标准，采购人有权要求供应商更换全新设备或退货，并追究供应商违约责任</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lang w:val="en-US" w:eastAsia="zh-CN"/>
        </w:rPr>
        <w:t>9.供应商须在投标文件中单独提供配置清单（不同产品分别提供，格式详见投标文件格式），采购人将以此为依据进行验收。 技术参数中采购人的实质性配置要求包含的内容须在分项报价明细表中分别报价，除此之外，若涉及设备正常运行所需的其他配置内容，供应商应在配置清单中分别列明其涉及的产品名称、型号（若有）、数量即可，并根据响应产品的实际情况确定是否单独报价。</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lang w:val="en-US" w:eastAsia="zh-CN"/>
        </w:rPr>
        <w:t>10.供应商提供的产品的生产日期与到货日期时间间隔不超过6个月，供应商提供承诺函，格式自拟。</w:t>
      </w:r>
    </w:p>
    <w:p>
      <w:pPr>
        <w:pStyle w:val="16"/>
        <w:adjustRightInd w:val="0"/>
        <w:spacing w:before="0" w:after="0" w:line="288"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4"/>
        <w:widowControl/>
        <w:numPr>
          <w:ilvl w:val="0"/>
          <w:numId w:val="0"/>
        </w:numPr>
        <w:spacing w:beforeAutospacing="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仿宋" w:hAnsi="仿宋" w:eastAsia="仿宋" w:cs="仿宋"/>
          <w:b w:val="0"/>
          <w:kern w:val="2"/>
          <w:sz w:val="24"/>
          <w:szCs w:val="24"/>
          <w:vertAlign w:val="baseline"/>
          <w:lang w:val="en-US" w:eastAsia="zh-CN"/>
        </w:rPr>
        <w:t>。</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rPr>
      </w:pPr>
      <w:r>
        <w:rPr>
          <w:rFonts w:hint="eastAsia" w:ascii="仿宋" w:hAnsi="仿宋" w:eastAsia="仿宋" w:cs="仿宋"/>
          <w:kern w:val="2"/>
          <w:sz w:val="24"/>
          <w:szCs w:val="24"/>
          <w:lang w:val="en-US" w:eastAsia="zh-CN"/>
        </w:rPr>
        <w:t>2.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3094"/>
      <w:bookmarkStart w:id="20" w:name="_Toc28171"/>
      <w:bookmarkStart w:id="21" w:name="_Toc22827"/>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29819"/>
      <w:bookmarkStart w:id="23" w:name="_Toc4960"/>
      <w:bookmarkStart w:id="24" w:name="_Toc5913"/>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19851"/>
      <w:bookmarkStart w:id="26" w:name="_Toc9428"/>
      <w:bookmarkStart w:id="27" w:name="_Toc30609"/>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9041"/>
      <w:bookmarkStart w:id="29" w:name="_Toc1544"/>
      <w:bookmarkStart w:id="30" w:name="_Toc32352"/>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1472"/>
      <w:bookmarkStart w:id="32" w:name="_Toc24097"/>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7163"/>
      <w:bookmarkStart w:id="34" w:name="_Toc24859"/>
      <w:bookmarkStart w:id="35" w:name="_Toc32749"/>
      <w:bookmarkStart w:id="36" w:name="_Toc1690"/>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6803"/>
      <w:bookmarkStart w:id="38" w:name="_Toc24123"/>
      <w:bookmarkStart w:id="39" w:name="_Toc3558"/>
      <w:bookmarkStart w:id="40" w:name="_Toc17905"/>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5996"/>
      <w:bookmarkStart w:id="42" w:name="_Toc27526"/>
      <w:bookmarkStart w:id="43" w:name="_Toc2989"/>
      <w:bookmarkStart w:id="44" w:name="_Toc27135"/>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19987"/>
      <w:bookmarkStart w:id="46" w:name="_Toc7233"/>
      <w:bookmarkStart w:id="47" w:name="_Toc2031"/>
      <w:bookmarkStart w:id="48" w:name="_Toc5056"/>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16029"/>
      <w:bookmarkStart w:id="51" w:name="_Toc21519"/>
      <w:bookmarkStart w:id="52" w:name="_Toc14829"/>
      <w:bookmarkStart w:id="53" w:name="_Toc11352"/>
      <w:bookmarkStart w:id="54" w:name="_Toc6482"/>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31838"/>
      <w:bookmarkStart w:id="56" w:name="_Toc30971"/>
      <w:bookmarkStart w:id="57" w:name="_Toc4305"/>
      <w:bookmarkStart w:id="58" w:name="_Toc17857"/>
      <w:bookmarkStart w:id="59" w:name="_Toc22676"/>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27186"/>
      <w:bookmarkStart w:id="61" w:name="_Toc15613"/>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706"/>
      <w:bookmarkStart w:id="64" w:name="_Toc13904"/>
      <w:bookmarkStart w:id="65" w:name="_Toc25357"/>
    </w:p>
    <w:p>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20589"/>
      <w:bookmarkStart w:id="69" w:name="_Toc25638"/>
      <w:bookmarkStart w:id="70" w:name="_Toc27661"/>
      <w:bookmarkStart w:id="71" w:name="_Toc11351"/>
      <w:bookmarkStart w:id="72" w:name="_Toc15526"/>
      <w:bookmarkStart w:id="73" w:name="_Toc12015"/>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1074"/>
      <w:bookmarkStart w:id="75" w:name="_Toc2041"/>
      <w:bookmarkStart w:id="76" w:name="_Toc16435"/>
      <w:bookmarkStart w:id="77" w:name="_Toc26969"/>
      <w:bookmarkStart w:id="78" w:name="_Toc12967"/>
      <w:bookmarkStart w:id="79" w:name="_Toc23967"/>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1369"/>
      <w:bookmarkStart w:id="81" w:name="_Toc24806"/>
      <w:bookmarkStart w:id="82" w:name="_Toc26839"/>
      <w:bookmarkStart w:id="83" w:name="_Toc21082"/>
      <w:bookmarkStart w:id="84" w:name="_Toc28634"/>
      <w:bookmarkStart w:id="85" w:name="_Toc31686"/>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2605"/>
      <w:bookmarkStart w:id="87" w:name="_Toc3871"/>
      <w:bookmarkStart w:id="88" w:name="_Toc24494"/>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0"/>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1"/>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pPr>
        <w:rPr>
          <w:rFonts w:ascii="Times New Roman" w:hAnsi="Times New Roman" w:eastAsia="仿宋" w:cs="Times New Roman"/>
          <w:sz w:val="24"/>
          <w:szCs w:val="24"/>
          <w:u w:val="single"/>
        </w:rPr>
      </w:pPr>
      <w:bookmarkStart w:id="109" w:name="_Toc14685"/>
      <w:bookmarkStart w:id="110" w:name="_Toc30002"/>
      <w:bookmarkStart w:id="111" w:name="_Toc29032"/>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2"/>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9"/>
      <w:bookmarkEnd w:id="110"/>
      <w:bookmarkEnd w:id="11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20691"/>
      <w:bookmarkStart w:id="113"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7"/>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bookmarkStart w:id="115" w:name="OLE_LINK18"/>
      <w:bookmarkStart w:id="116"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29"/>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0"/>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9BF75E9-09D2-4300-AA0B-03F15DA0B78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D7D41A3-8FD6-4811-8124-95C0B0BFDBF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7B03CD1-3EAF-471B-8BBA-76721C6CFCC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新宋体">
    <w:panose1 w:val="02010609030101010101"/>
    <w:charset w:val="86"/>
    <w:family w:val="auto"/>
    <w:pitch w:val="default"/>
    <w:sig w:usb0="00000203" w:usb1="288F0000" w:usb2="00000006" w:usb3="00000000" w:csb0="00040001" w:csb1="00000000"/>
    <w:embedRegular r:id="rId4" w:fontKey="{9AA2623F-FBA3-41F7-9750-8A50B6C06C4B}"/>
  </w:font>
  <w:font w:name="Cambria Math">
    <w:panose1 w:val="02040503050406030204"/>
    <w:charset w:val="00"/>
    <w:family w:val="roman"/>
    <w:pitch w:val="default"/>
    <w:sig w:usb0="E00006FF" w:usb1="420024FF" w:usb2="02000000" w:usb3="00000000" w:csb0="2000019F" w:csb1="00000000"/>
    <w:embedRegular r:id="rId5" w:fontKey="{29A33D44-5483-49A1-BCC1-CF316AC7228C}"/>
  </w:font>
  <w:font w:name="Segoe UI Symbol">
    <w:panose1 w:val="020B0502040204020203"/>
    <w:charset w:val="00"/>
    <w:family w:val="swiss"/>
    <w:pitch w:val="default"/>
    <w:sig w:usb0="800001E3" w:usb1="1200FFEF" w:usb2="00040000" w:usb3="04000000" w:csb0="00000001" w:csb1="40000000"/>
    <w:embedRegular r:id="rId6" w:fontKey="{E4067CE9-DB34-4D2E-AD7F-CC91FDC10B07}"/>
  </w:font>
  <w:font w:name="Wingdings 2">
    <w:altName w:val="Wingdings"/>
    <w:panose1 w:val="05020102010507070707"/>
    <w:charset w:val="4D"/>
    <w:family w:val="decorative"/>
    <w:pitch w:val="default"/>
    <w:sig w:usb0="00000000" w:usb1="00000000" w:usb2="00000000" w:usb3="00000000" w:csb0="80000000" w:csb1="00000000"/>
    <w:embedRegular r:id="rId7" w:fontKey="{63290072-9D4A-4AB1-889C-2A093E75C37E}"/>
  </w:font>
  <w:font w:name="Songti SC">
    <w:altName w:val="宋体"/>
    <w:panose1 w:val="02010600040101010101"/>
    <w:charset w:val="86"/>
    <w:family w:val="auto"/>
    <w:pitch w:val="default"/>
    <w:sig w:usb0="00000000" w:usb1="00000000" w:usb2="00000010" w:usb3="00000000" w:csb0="0004009F" w:csb1="00000000"/>
    <w:embedRegular r:id="rId8" w:fontKey="{738DF9A5-E487-44A7-B1D0-E6FCB500A9CC}"/>
  </w:font>
  <w:font w:name="微软雅黑">
    <w:panose1 w:val="020B0503020204020204"/>
    <w:charset w:val="86"/>
    <w:family w:val="auto"/>
    <w:pitch w:val="default"/>
    <w:sig w:usb0="80000287" w:usb1="2ACF3C50" w:usb2="00000016" w:usb3="00000000" w:csb0="0004001F" w:csb1="00000000"/>
    <w:embedRegular r:id="rId9" w:fontKey="{A5B2C10B-5666-4290-AD11-54B91C2F0D36}"/>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5207F64"/>
    <w:multiLevelType w:val="singleLevel"/>
    <w:tmpl w:val="25207F64"/>
    <w:lvl w:ilvl="0" w:tentative="0">
      <w:start w:val="3"/>
      <w:numFmt w:val="decimal"/>
      <w:lvlText w:val="%1."/>
      <w:lvlJc w:val="left"/>
      <w:pPr>
        <w:tabs>
          <w:tab w:val="left" w:pos="312"/>
        </w:tabs>
      </w:p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3"/>
  </w:num>
  <w:num w:numId="3">
    <w:abstractNumId w:val="20"/>
  </w:num>
  <w:num w:numId="4">
    <w:abstractNumId w:val="29"/>
  </w:num>
  <w:num w:numId="5">
    <w:abstractNumId w:val="12"/>
  </w:num>
  <w:num w:numId="6">
    <w:abstractNumId w:val="19"/>
  </w:num>
  <w:num w:numId="7">
    <w:abstractNumId w:val="2"/>
  </w:num>
  <w:num w:numId="8">
    <w:abstractNumId w:val="0"/>
  </w:num>
  <w:num w:numId="9">
    <w:abstractNumId w:val="4"/>
  </w:num>
  <w:num w:numId="10">
    <w:abstractNumId w:val="1"/>
  </w:num>
  <w:num w:numId="11">
    <w:abstractNumId w:val="13"/>
  </w:num>
  <w:num w:numId="12">
    <w:abstractNumId w:val="10"/>
  </w:num>
  <w:num w:numId="13">
    <w:abstractNumId w:val="17"/>
  </w:num>
  <w:num w:numId="14">
    <w:abstractNumId w:val="6"/>
  </w:num>
  <w:num w:numId="15">
    <w:abstractNumId w:val="30"/>
  </w:num>
  <w:num w:numId="16">
    <w:abstractNumId w:val="28"/>
  </w:num>
  <w:num w:numId="17">
    <w:abstractNumId w:val="23"/>
  </w:num>
  <w:num w:numId="18">
    <w:abstractNumId w:val="8"/>
  </w:num>
  <w:num w:numId="19">
    <w:abstractNumId w:val="14"/>
  </w:num>
  <w:num w:numId="20">
    <w:abstractNumId w:val="7"/>
  </w:num>
  <w:num w:numId="21">
    <w:abstractNumId w:val="15"/>
  </w:num>
  <w:num w:numId="22">
    <w:abstractNumId w:val="26"/>
  </w:num>
  <w:num w:numId="23">
    <w:abstractNumId w:val="25"/>
  </w:num>
  <w:num w:numId="24">
    <w:abstractNumId w:val="21"/>
  </w:num>
  <w:num w:numId="25">
    <w:abstractNumId w:val="18"/>
  </w:num>
  <w:num w:numId="26">
    <w:abstractNumId w:val="9"/>
  </w:num>
  <w:num w:numId="27">
    <w:abstractNumId w:val="5"/>
  </w:num>
  <w:num w:numId="28">
    <w:abstractNumId w:val="11"/>
  </w:num>
  <w:num w:numId="29">
    <w:abstractNumId w:val="24"/>
  </w:num>
  <w:num w:numId="30">
    <w:abstractNumId w:val="27"/>
  </w:num>
  <w:num w:numId="31">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186A33"/>
    <w:rsid w:val="058C78B0"/>
    <w:rsid w:val="05E13064"/>
    <w:rsid w:val="078A573C"/>
    <w:rsid w:val="093A3733"/>
    <w:rsid w:val="0B4508AE"/>
    <w:rsid w:val="0CA62C24"/>
    <w:rsid w:val="0CF161C9"/>
    <w:rsid w:val="0D2F228D"/>
    <w:rsid w:val="0E0B7FF0"/>
    <w:rsid w:val="0E320E7D"/>
    <w:rsid w:val="0F904004"/>
    <w:rsid w:val="117A5014"/>
    <w:rsid w:val="127F05A0"/>
    <w:rsid w:val="136D78F8"/>
    <w:rsid w:val="15CC4977"/>
    <w:rsid w:val="162A4F7D"/>
    <w:rsid w:val="16A82A66"/>
    <w:rsid w:val="1994787E"/>
    <w:rsid w:val="1ADC0421"/>
    <w:rsid w:val="1BA318B5"/>
    <w:rsid w:val="1BCC54CD"/>
    <w:rsid w:val="1DD000AF"/>
    <w:rsid w:val="1DD261D8"/>
    <w:rsid w:val="1E09745A"/>
    <w:rsid w:val="1E176351"/>
    <w:rsid w:val="1EE3035C"/>
    <w:rsid w:val="22935D1D"/>
    <w:rsid w:val="23D4489F"/>
    <w:rsid w:val="262001B9"/>
    <w:rsid w:val="27B87AF9"/>
    <w:rsid w:val="27BE001F"/>
    <w:rsid w:val="27E80EA9"/>
    <w:rsid w:val="280414A1"/>
    <w:rsid w:val="28570368"/>
    <w:rsid w:val="29C5318E"/>
    <w:rsid w:val="2B502F98"/>
    <w:rsid w:val="2C9A0A9E"/>
    <w:rsid w:val="2DA70D65"/>
    <w:rsid w:val="33BB64B3"/>
    <w:rsid w:val="3427766B"/>
    <w:rsid w:val="343706EB"/>
    <w:rsid w:val="351A08D0"/>
    <w:rsid w:val="35CC78FE"/>
    <w:rsid w:val="36177EDE"/>
    <w:rsid w:val="36334CE5"/>
    <w:rsid w:val="39C443D2"/>
    <w:rsid w:val="3A551407"/>
    <w:rsid w:val="3B033C36"/>
    <w:rsid w:val="3E5D4E8E"/>
    <w:rsid w:val="3EC679B7"/>
    <w:rsid w:val="3FE25336"/>
    <w:rsid w:val="41076015"/>
    <w:rsid w:val="42075FF8"/>
    <w:rsid w:val="42842020"/>
    <w:rsid w:val="468567BB"/>
    <w:rsid w:val="4782487D"/>
    <w:rsid w:val="48DC673C"/>
    <w:rsid w:val="4B31068E"/>
    <w:rsid w:val="4BA55220"/>
    <w:rsid w:val="4BAD0151"/>
    <w:rsid w:val="4C184E09"/>
    <w:rsid w:val="4C8F75A2"/>
    <w:rsid w:val="4DAD4403"/>
    <w:rsid w:val="4E0B0B8B"/>
    <w:rsid w:val="4E8C008E"/>
    <w:rsid w:val="4FD07798"/>
    <w:rsid w:val="4FEF758C"/>
    <w:rsid w:val="50771A9C"/>
    <w:rsid w:val="51C47F6D"/>
    <w:rsid w:val="520879A0"/>
    <w:rsid w:val="5455382C"/>
    <w:rsid w:val="5D0A3490"/>
    <w:rsid w:val="5D7E0D39"/>
    <w:rsid w:val="5E9D3F29"/>
    <w:rsid w:val="60384CD1"/>
    <w:rsid w:val="60655808"/>
    <w:rsid w:val="60F86CEE"/>
    <w:rsid w:val="63A9427A"/>
    <w:rsid w:val="63D462B1"/>
    <w:rsid w:val="641A3596"/>
    <w:rsid w:val="64D96647"/>
    <w:rsid w:val="64ED255E"/>
    <w:rsid w:val="655B51E5"/>
    <w:rsid w:val="65E40ADA"/>
    <w:rsid w:val="66330B86"/>
    <w:rsid w:val="66E22203"/>
    <w:rsid w:val="674A2A33"/>
    <w:rsid w:val="68AA6162"/>
    <w:rsid w:val="68B812C9"/>
    <w:rsid w:val="69547F42"/>
    <w:rsid w:val="69D50CF4"/>
    <w:rsid w:val="6C487AFD"/>
    <w:rsid w:val="6CB24363"/>
    <w:rsid w:val="6CDC5C6C"/>
    <w:rsid w:val="6EA93466"/>
    <w:rsid w:val="6FCF0795"/>
    <w:rsid w:val="71381023"/>
    <w:rsid w:val="71696852"/>
    <w:rsid w:val="73714961"/>
    <w:rsid w:val="74B2063B"/>
    <w:rsid w:val="754D1D92"/>
    <w:rsid w:val="758350A9"/>
    <w:rsid w:val="79260424"/>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1230</Words>
  <Characters>1300</Characters>
  <Lines>72</Lines>
  <Paragraphs>20</Paragraphs>
  <TotalTime>1</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2026-11-05T01:22:47Z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81E041114AA649CD9EEFBEBB97A468CD_13</vt:lpwstr>
  </property>
  <property fmtid="{D5CDD505-2E9C-101B-9397-08002B2CF9AE}" pid="4" name="KSOTemplateDocerSaveRecord">
    <vt:lpwstr>eyJoZGlkIjoiZTE3YzY5ZGRmMGZjYjE3ZTA2OTZlNGYxY2RlMGIzMDkiLCJ1c2VySWQiOiI3MDMxOTM4MzkifQ==</vt:lpwstr>
  </property>
</Properties>
</file>