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科研采购平台采购项目（2）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20358"/>
      <w:bookmarkStart w:id="1" w:name="_Toc471310326"/>
      <w:bookmarkStart w:id="2" w:name="_Toc62832406"/>
      <w:bookmarkStart w:id="3" w:name="_Toc1907"/>
      <w:bookmarkStart w:id="4" w:name="_Toc21919"/>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四川省人民医院科研采购平台采购项目（</w:t>
            </w:r>
            <w:r>
              <w:rPr>
                <w:rFonts w:hint="eastAsia" w:ascii="Times New Roman" w:hAnsi="Times New Roman" w:eastAsia="仿宋" w:cs="Times New Roman"/>
                <w:sz w:val="22"/>
                <w:lang w:val="en-US" w:eastAsia="zh-CN"/>
              </w:rPr>
              <w:t>2）</w:t>
            </w:r>
            <w:bookmarkStart w:id="107" w:name="_GoBack"/>
            <w:bookmarkEnd w:id="107"/>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CGZX-KYB20261227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w:t>
            </w:r>
            <w:r>
              <w:rPr>
                <w:rFonts w:hint="eastAsia" w:ascii="Times New Roman" w:hAnsi="Times New Roman" w:eastAsia="仿宋" w:cs="Times New Roman"/>
                <w:sz w:val="22"/>
              </w:rPr>
              <w:t>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科研部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曹老师 028-87393265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4154"/>
      <w:bookmarkStart w:id="7" w:name="_Toc14460"/>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886"/>
        <w:gridCol w:w="6054"/>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351"/>
        <w:gridCol w:w="6589"/>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4D93FA83">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17B89D50">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本项目拟确定一家供应商运营和开发四川省人民医院科研采购平台，为采购人提供公开、透明、高效、便捷、优质优价的采购与管理等服务。平台供应商须提供可满足教学科研所需的低值易耗品及相关服务（以下简称“耗材”），具体包括但不限于生物试剂、化学试剂、实验材料、实验动物、小型仪器等科研经费的采购商品，实现对科研和教学物资采购的全流程管理，规范采购行为，提高科研和教学资金的使用效率。</w:t>
      </w:r>
    </w:p>
    <w:p w14:paraId="146AA466">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二、技术服务要求</w:t>
      </w:r>
    </w:p>
    <w:p w14:paraId="26EFB8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（一）系统平台与总体技术要求</w:t>
      </w:r>
    </w:p>
    <w:p w14:paraId="774DBF0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1.在采购流程设置，依据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的内控管理要求，灵活设置采购流程，从“选择科研试剂耗材→与供应商协商议价→发起采购任务→采购审批→货到验收→结算报销”环节（具体可根据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要求进行设计和完善），保障整个采购前、中、后程序规范，控制严密，过程透明，责任明晰，流程留痕。</w:t>
      </w:r>
    </w:p>
    <w:p w14:paraId="515B87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2.采购平台以第三方电子商务的形式实现，平台内商品明码标价，有完整的商品基本信息，包括但不限于商品品牌、规格、价格、货号、货期、内外包装彩页等。可提供大宗耗材交易的大客户价。</w:t>
      </w:r>
    </w:p>
    <w:p w14:paraId="5FCB86C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3.满足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采购品类齐全的基本需求，并可根据用户需求不断补充完善供应商库。对于采购平台中没有，且又符合线上销售要求的线下自主采购的商品，协助</w:t>
      </w:r>
      <w:r>
        <w:rPr>
          <w:rFonts w:hint="eastAsia" w:ascii="仿宋" w:hAnsi="仿宋" w:eastAsia="仿宋"/>
          <w:b w:val="0"/>
          <w:bCs w:val="0"/>
          <w:sz w:val="24"/>
          <w:szCs w:val="24"/>
          <w:lang w:val="en-US" w:eastAsia="zh-CN"/>
        </w:rPr>
        <w:t>第三方</w:t>
      </w:r>
      <w:r>
        <w:rPr>
          <w:rFonts w:hint="eastAsia" w:ascii="仿宋" w:hAnsi="仿宋" w:eastAsia="仿宋"/>
          <w:b w:val="0"/>
          <w:bCs w:val="0"/>
          <w:sz w:val="24"/>
          <w:szCs w:val="24"/>
        </w:rPr>
        <w:t>供应商做好上线销售的相关工作，在保障交易平台合理、合法运营的基础上，提升系统服务效能。</w:t>
      </w:r>
    </w:p>
    <w:p w14:paraId="057D456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(二)功能需求</w:t>
      </w:r>
    </w:p>
    <w:p w14:paraId="2874921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1.商品展示模块</w:t>
      </w:r>
    </w:p>
    <w:p w14:paraId="42B5B4A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将供应商提供的产品进行合理分类，有条理并图文并茂地展示给采购用户。</w:t>
      </w:r>
    </w:p>
    <w:p w14:paraId="322EF04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①产品目录：通过产品分级目录展示商品信息，用户可以通过目录手工定位意向商品。</w:t>
      </w:r>
    </w:p>
    <w:p w14:paraId="0FA65C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②产品搜索：用户可以根据商品名称，型号，品牌，供应商名称等关键字进行模糊或精确搜索，找到意向商品。</w:t>
      </w:r>
    </w:p>
    <w:p w14:paraId="51C84F5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③产品筛选：可根据销量、价格区间、发货地等条件进行筛选，供用户快速进行选择。</w:t>
      </w:r>
    </w:p>
    <w:p w14:paraId="0E02911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④商城页面具备多语言切换功能，支持中文版和英文版两种语言模式。确保国际用户能够顺畅阅读商品信息、导航菜单、促销活动等内容，适应不同语言用户的购物需求。</w:t>
      </w:r>
    </w:p>
    <w:p w14:paraId="30464F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2.用户管理模块</w:t>
      </w:r>
    </w:p>
    <w:p w14:paraId="0955BF5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用户管理模块协助管理用户信息，为用户提供注册、登录、密码修改/重置、启用/停用等基本功能外，还提供：</w:t>
      </w:r>
    </w:p>
    <w:p w14:paraId="6BF967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①为用户配置不同角色，以及对角色设置不同模块的访问、操作权限。</w:t>
      </w:r>
    </w:p>
    <w:p w14:paraId="1BF32FC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组织架构管理：遵循医院的现有的组织机构管理模式，设置三级及以上管理模式（医院-科室-人员）。医院级管理员具有平台最高权限，可进行科室、人员管理管理；科室可对部门内部课题组或者成员进行管理；课题组负责人对本课题组进行管理。</w:t>
      </w:r>
    </w:p>
    <w:p w14:paraId="35A3CEA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以上两个子模块皆支持批量新增、修改以提高医院管理员工作效率。</w:t>
      </w:r>
    </w:p>
    <w:p w14:paraId="666AE88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▲3.供应商入驻管理模块</w:t>
      </w:r>
    </w:p>
    <w:p w14:paraId="543C4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为保证入驻供应商的质量，提供供应商入驻两级审核机制。第一级由采购平台对供应商进行严格的资质审核，包括但不限于营业执照、代理授权书等文件的审核；第二级由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审核。</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可实时查看供应商资质，按自有标准进行资质审核，并可指定培训考试内容，供应商经培训并系统考试合格后方可申请入驻。</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可对供应商做入围有效期限管理，超过时间，可停用该供货商，该供货商的商品自动下架。</w:t>
      </w:r>
    </w:p>
    <w:p w14:paraId="09482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4.直采模块 </w:t>
      </w:r>
    </w:p>
    <w:p w14:paraId="5D9F0F4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直采过程应类似于淘宝、京东等主流电商平台，符合用户使用习惯，提供轻松、快捷的使用体验，并可通过比较价格、查看商品评价等途径有效地控制采购成本，保证采购的商品质量。</w:t>
      </w:r>
    </w:p>
    <w:p w14:paraId="518169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5.价格指导及管控模块</w:t>
      </w:r>
    </w:p>
    <w:p w14:paraId="31B71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①采购平台可统计</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年度采购同一商品成交均价，对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予以提醒，进一步协助</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降低采购成本。</w:t>
      </w:r>
    </w:p>
    <w:p w14:paraId="1C175F7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提交采购申请单时可与供应商进一步议价，供应商可对采购申请单所列商品进行价格修改；</w:t>
      </w:r>
    </w:p>
    <w:p w14:paraId="47809C8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③采购平台具备线上商品价格管控功能，可按照</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管理要求对各分类商品进行价格区间限制。</w:t>
      </w:r>
    </w:p>
    <w:p w14:paraId="6E557A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601A482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6.询价竞价模块</w:t>
      </w:r>
    </w:p>
    <w:p w14:paraId="33964B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提供询价竞价功能，</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按照自己的需求发布采购信息。采用一次竞价、暗标形式，供应商只能看到自己的出价情况，采购人在截标后才可看到所有供应商的全部应标。</w:t>
      </w:r>
    </w:p>
    <w:p w14:paraId="2C28299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7.商品验收模块</w:t>
      </w:r>
    </w:p>
    <w:p w14:paraId="304217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当采购的商品到货时，①支持多种验收方式：课题组任意成员验收;课题组交叉验收，形成互相约束机制;</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所指定的统一验收人员进行验收。</w:t>
      </w:r>
    </w:p>
    <w:p w14:paraId="45C88F0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②支持验收人通过网页端/微信端拍照验收。</w:t>
      </w:r>
    </w:p>
    <w:p w14:paraId="3B5F8D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③地址标签管理：</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可以配置多个地址标签。系统支持</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进行多院验收、入库管理。</w:t>
      </w:r>
    </w:p>
    <w:p w14:paraId="58D6A7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8.出入库系统</w:t>
      </w:r>
    </w:p>
    <w:p w14:paraId="3EB6A5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①提供出入库库存管理系统。</w:t>
      </w:r>
    </w:p>
    <w:p w14:paraId="6C22E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②按照</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的库存管理架构，最少支持2级库房。</w:t>
      </w:r>
    </w:p>
    <w:p w14:paraId="35D20B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③可根据采购商品品类自动归集所属库房，按照管理要求，实现试剂、耗材、实验动物、普通危险化学品、管制类等商品自动分类入库。</w:t>
      </w:r>
    </w:p>
    <w:p w14:paraId="375E2B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▲9.多级审批模块</w:t>
      </w:r>
    </w:p>
    <w:p w14:paraId="78DE9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①对于在线采购申请单、竞价申请单、竞价初选结果提供多级审批机制；</w:t>
      </w:r>
    </w:p>
    <w:p w14:paraId="044BB30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②支持按金额对每个级别的审批规则进行定制；</w:t>
      </w:r>
    </w:p>
    <w:p w14:paraId="46D5604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③支持按照商品品类、经费类型、收货地址等要求进行审批配置；</w:t>
      </w:r>
    </w:p>
    <w:p w14:paraId="2264C61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④支持对验收、结算过程增加审批配置。</w:t>
      </w:r>
    </w:p>
    <w:p w14:paraId="14F1016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▲10.钉钉及微信消息推送及审批</w:t>
      </w:r>
    </w:p>
    <w:p w14:paraId="42A6513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提供多种客户端消息推送。对于采购申请、竞价审批、出入库申请等审批环节进行提醒，实时推送至微信或钉钉进行审批，并通知审批结果。且可根据</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微信公众号提醒及审批。（需要截图证明）</w:t>
      </w:r>
    </w:p>
    <w:p w14:paraId="5224DA7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▲11.采购各个环节效率管理</w:t>
      </w:r>
    </w:p>
    <w:p w14:paraId="2FC163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针对系统长期运行中可能存在的审批不便、发货迟缓、验收拖延、结算超时的情况，有相关提效功能。（需要截图证明）</w:t>
      </w:r>
    </w:p>
    <w:p w14:paraId="62F0883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12.采购结算模块</w:t>
      </w:r>
    </w:p>
    <w:p w14:paraId="531ECF8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提供多种结算方式，如课题组自结算、供应商汇总统一结算、无纸化结算等多种结算方式，提供电子签名服务，电子签名可作为审批记录直接打印,大大减少采购用户和财务人员报销和结算工作量，提高结算效率（需提供相关案例资料）。（需要截图证明）</w:t>
      </w:r>
    </w:p>
    <w:p w14:paraId="142496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13.经费预算管理模块</w:t>
      </w:r>
    </w:p>
    <w:p w14:paraId="7AA2C4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实施动态监管，确保经费合理规范使用。①支持对可使用的经费项目，进行预算控制，对于在途的采购订单，冻结经费避免超支。②支持对课题组成员设置经费使用授权与审批授权，可设置单次授权审批额度和授权总额，并支持设置授权期限。（需要截图证明及演示）</w:t>
      </w:r>
    </w:p>
    <w:p w14:paraId="0B8ADDF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14.采购退换货模块</w:t>
      </w:r>
    </w:p>
    <w:p w14:paraId="521DA5F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出现商品不符合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要求等情况需退货时，提供退货换货模块，用户可自主完成完成整个退换货流程。</w:t>
      </w:r>
    </w:p>
    <w:p w14:paraId="18B996B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cs="仿宋"/>
          <w:b/>
          <w:bCs/>
          <w:sz w:val="24"/>
          <w:szCs w:val="24"/>
          <w:lang w:val="en-US" w:eastAsia="zh-CN"/>
        </w:rPr>
        <w:t>1</w:t>
      </w:r>
      <w:r>
        <w:rPr>
          <w:rFonts w:hint="eastAsia" w:ascii="仿宋" w:hAnsi="仿宋" w:eastAsia="仿宋"/>
          <w:b w:val="0"/>
          <w:bCs w:val="0"/>
          <w:sz w:val="24"/>
          <w:szCs w:val="24"/>
        </w:rPr>
        <w:t>5.商品营销模块</w:t>
      </w:r>
    </w:p>
    <w:p w14:paraId="02C895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平台支持团购、优惠券、限时活动等供应商发起的营销活动，可进一步降低</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的采购成本。</w:t>
      </w:r>
    </w:p>
    <w:p w14:paraId="52C28E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16.评价及留言模块</w:t>
      </w:r>
    </w:p>
    <w:p w14:paraId="50D017B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采购用户可对完成采购的商品进行评级和评价，以供其他采购用户进行参考，互相协助购买质优商品。</w:t>
      </w:r>
    </w:p>
    <w:p w14:paraId="5DD528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17.在线和电话客服</w:t>
      </w:r>
    </w:p>
    <w:p w14:paraId="357C510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平台提供电话客服、在线客服、人工智能客服等多种客户服务，大大提高访客对话机率及坐席的问候达到率；能够很好的解答客户在使用本平台过程中遇到的问题。</w:t>
      </w:r>
    </w:p>
    <w:p w14:paraId="1D8155E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18.历史查询</w:t>
      </w:r>
    </w:p>
    <w:p w14:paraId="24B2526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对于所有的采购、验货签收、领用、出入库、结算、退货、竞价历史记录，用户登录，信息修改等都有详细日志以供查询。</w:t>
      </w:r>
    </w:p>
    <w:p w14:paraId="5CE8E84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19.统计模块</w:t>
      </w:r>
    </w:p>
    <w:p w14:paraId="50222C9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了方便管理部门的监管，平台支持个性化统计功能定制，能生成和导出多维度（全单位，各课题组，各供应商以及商品）的交易统计数据，并生成可视化数据看板。包括但不限于采购单，竞价单，结算单，出入库单、领用单。（需要截图证明及演示）</w:t>
      </w:r>
    </w:p>
    <w:p w14:paraId="45F1B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20.危险化学品采购管理</w:t>
      </w:r>
    </w:p>
    <w:p w14:paraId="2E3DDF4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拥有危险化学品闭环管理流程，包括危险化学品的商品审核、采购审批、存量管理、危废物回收、安全巡检、数据及统计和数据看板等功能。（需要截图证明及演示）</w:t>
      </w:r>
    </w:p>
    <w:p w14:paraId="2742062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21.危险化学品采购备案</w:t>
      </w:r>
    </w:p>
    <w:p w14:paraId="23E621A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可以实现平台采购管制类化学品后，自动完成公安系统线上快速备案。（需要截图证明）</w:t>
      </w:r>
    </w:p>
    <w:p w14:paraId="2DF6C1B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22.线下采购管理模块</w:t>
      </w:r>
    </w:p>
    <w:p w14:paraId="3C14D5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支持用户通过自报价的方式在平台登记商品，并进行统一管理，同时线下供应商不收取交易费用。</w:t>
      </w:r>
    </w:p>
    <w:p w14:paraId="192C167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23.实验室安全巡检系统</w:t>
      </w:r>
    </w:p>
    <w:p w14:paraId="4228DE2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申请人需具备实验室安全巡检功能，可实现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实验室安全管理检查信息化，操作便捷流畅。（需要截图证明及演示）</w:t>
      </w:r>
    </w:p>
    <w:p w14:paraId="1DD498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24.审计筛查</w:t>
      </w:r>
    </w:p>
    <w:p w14:paraId="711A6C8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风险订单筛查：申请人需要有利用大数据对平台的采购行为进行风险筛查功能，对于敏感采购行为可以进行包括提前限制采购、进行采购风险提醒、以及对风险订单暂停流程进行核查等功能。</w:t>
      </w:r>
    </w:p>
    <w:p w14:paraId="4391D64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订单抽检：可定期抽检订单，检查验收上传图片是否规范，抽检结果将发生消息通知警告验收人，提醒验收人规范流程。</w:t>
      </w:r>
    </w:p>
    <w:p w14:paraId="4E8D3FF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7B04C0A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25.政府采购品目管控功能</w:t>
      </w:r>
    </w:p>
    <w:p w14:paraId="36B8B0D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用户发起采购时，自动检测该经费对同一品目年度内累计采购金额，对同一年度同一经费同一品目的商品采购金额达到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规定的采购限额的，系统自动提醒该经费已经达到限额，并限制其采购。（需要截图证明及演示）</w:t>
      </w:r>
    </w:p>
    <w:p w14:paraId="0881FC3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26.科研服务采购解决方案</w:t>
      </w:r>
    </w:p>
    <w:p w14:paraId="75C00AB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针对科研服务采购提供响应解决方案，可通过竞价获取服务方案后，再用方案竞价进行最终技术服务报价，以确保报价符合服务要求。（需要截图证明及演示）</w:t>
      </w:r>
    </w:p>
    <w:p w14:paraId="03714E3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▲27.合规管控能力</w:t>
      </w:r>
    </w:p>
    <w:p w14:paraId="6E24A77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系统需具备行业领先的采购合规管控与稳定运行能力，内置供应商管理、全流程风险预警、廉政提醒专属功能，支持集中可视化展示快上快下订单、价格偏离、订单异常状态、账户异常、供应商分布异常、累计金额超标六类异常实时数量，分模块建立异常订单、异常行为分类台账，完整留存订单溯源、账号异常登录等全维度明细数据，实现采购违规行为全程可查、风险可预警、轨迹可追溯。（需要截图证明）</w:t>
      </w:r>
    </w:p>
    <w:p w14:paraId="430FE55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28.AI辅助科研采购管理</w:t>
      </w:r>
    </w:p>
    <w:p w14:paraId="0BE7A8E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平台利用AI大模型开发赋能采购的相关工具，如AI智能客服、AI辅助商品审核、AI多模型智能对话工具，为科研工作提质增效。（需要截图证明及演示）</w:t>
      </w:r>
    </w:p>
    <w:p w14:paraId="18AA553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cs="仿宋"/>
          <w:b w:val="0"/>
          <w:bCs w:val="0"/>
          <w:sz w:val="24"/>
          <w:szCs w:val="24"/>
        </w:rPr>
        <w:t>●</w:t>
      </w:r>
      <w:r>
        <w:rPr>
          <w:rFonts w:hint="eastAsia" w:ascii="仿宋" w:hAnsi="仿宋" w:eastAsia="仿宋"/>
          <w:b w:val="0"/>
          <w:bCs w:val="0"/>
          <w:sz w:val="24"/>
          <w:szCs w:val="24"/>
        </w:rPr>
        <w:t>29.科研人员信息化辅助工具</w:t>
      </w:r>
    </w:p>
    <w:p w14:paraId="56B0B0C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有助于科研资源共享协作、提高科研资源利用效率的工具，生物序列示意图、生物医学通用绘图平台，</w:t>
      </w:r>
      <w:r>
        <w:rPr>
          <w:rFonts w:hint="eastAsia" w:ascii="仿宋" w:hAnsi="仿宋" w:eastAsia="仿宋"/>
          <w:b w:val="0"/>
          <w:bCs w:val="0"/>
          <w:sz w:val="24"/>
          <w:szCs w:val="24"/>
          <w:lang w:val="en-US" w:eastAsia="zh-CN"/>
        </w:rPr>
        <w:t>文献头条</w:t>
      </w:r>
      <w:r>
        <w:rPr>
          <w:rFonts w:hint="eastAsia" w:ascii="仿宋" w:hAnsi="仿宋" w:eastAsia="仿宋"/>
          <w:b w:val="0"/>
          <w:bCs w:val="0"/>
          <w:sz w:val="24"/>
          <w:szCs w:val="24"/>
        </w:rPr>
        <w:t>有助于科研人员交流实验技术的工具，有助于科研诚信建设的辅助工具。（需要截图证明</w:t>
      </w:r>
      <w:r>
        <w:rPr>
          <w:rFonts w:hint="eastAsia" w:ascii="仿宋" w:hAnsi="仿宋" w:eastAsia="仿宋"/>
          <w:b w:val="0"/>
          <w:bCs w:val="0"/>
          <w:sz w:val="24"/>
          <w:szCs w:val="24"/>
          <w:lang w:val="en-US" w:eastAsia="zh-CN"/>
        </w:rPr>
        <w:t>及演示</w:t>
      </w:r>
      <w:r>
        <w:rPr>
          <w:rFonts w:hint="eastAsia" w:ascii="仿宋" w:hAnsi="仿宋" w:eastAsia="仿宋"/>
          <w:b w:val="0"/>
          <w:bCs w:val="0"/>
          <w:sz w:val="24"/>
          <w:szCs w:val="24"/>
        </w:rPr>
        <w:t>）</w:t>
      </w:r>
    </w:p>
    <w:p w14:paraId="29DB4B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（三）供应商管理要求</w:t>
      </w:r>
    </w:p>
    <w:p w14:paraId="5A3253A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对即将入驻的供应商实行供应商门槛准入机制。通过在线或线下对供应商进行全面审核来评估供应商的资质和服务能力，包括但不限于营业执照、品牌代理、服务申明等资质，保证平台良好的供应商环境，为用户提供优质的服务。</w:t>
      </w:r>
    </w:p>
    <w:p w14:paraId="340FA6D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对供应商进行定期的等级认证。依据供应商在平台的各项表现（包括但不限于销量、售后服务、配送速度、投诉情况）对供应商进行服务能力的整体动态考核，并公开考核等级结果。考核未达标的供应商予以清理清退，保证整个平台优质的服务质量，切实维护广大用户的利益。</w:t>
      </w:r>
    </w:p>
    <w:p w14:paraId="5601C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3.商品审核：只有通过审核的供应商才可以上传、发售、更新、停售商品，上传发售的商品符合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的限制性要求；系统可以自动屏蔽、过滤所要求的多种字段关键字，保证销售类别的范围，避免违规商品流入</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单位内；</w:t>
      </w:r>
    </w:p>
    <w:p w14:paraId="62C60CD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4.提供品类齐全的货物，满足</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采购的基本需求，并可根据采购用户需求不断补充完善供应商库。</w:t>
      </w:r>
    </w:p>
    <w:p w14:paraId="595A5C8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5.</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应确保供应商规范、诚信经营，确保供应商网上供货价格不高于线下商品价格，并利用平台的优势为用户争取更优惠的价格。</w:t>
      </w:r>
    </w:p>
    <w:p w14:paraId="3C0294E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6.在平台运行时根据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要求，负责策划、组织供应商参与相关市场、技术以及优惠促销活动。</w:t>
      </w:r>
    </w:p>
    <w:p w14:paraId="66EA203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rPr>
        <w:t>7.</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应做好交易平台的宣传、推广工作，包括但不限于对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的管理人员、教师、学生、实验材料供应商进行交易平台使用方法的培训，制作培训课件并放在交易平台主页上供用户参阅使用。</w:t>
      </w:r>
      <w:r>
        <w:rPr>
          <w:rFonts w:hint="eastAsia" w:ascii="仿宋" w:hAnsi="仿宋" w:eastAsia="仿宋"/>
          <w:b w:val="0"/>
          <w:bCs w:val="0"/>
          <w:sz w:val="24"/>
          <w:szCs w:val="24"/>
          <w:lang w:val="en-US" w:eastAsia="zh-CN"/>
        </w:rPr>
        <w:t>以上费用由供应商承担，采购人不再另行支付。</w:t>
      </w:r>
    </w:p>
    <w:p w14:paraId="1F36C4D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应做好交易平台日常应用指导和咨询解答工作。</w:t>
      </w:r>
    </w:p>
    <w:p w14:paraId="013168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（四）升级维护和售后保障要求</w:t>
      </w:r>
    </w:p>
    <w:p w14:paraId="4ABDEE1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w:t>
      </w:r>
      <w:r>
        <w:rPr>
          <w:rFonts w:hint="eastAsia" w:ascii="仿宋" w:hAnsi="仿宋" w:eastAsia="仿宋" w:cstheme="minorBidi"/>
          <w:i w:val="0"/>
          <w:iCs w:val="0"/>
          <w:caps w:val="0"/>
          <w:spacing w:val="0"/>
          <w:sz w:val="24"/>
          <w:szCs w:val="24"/>
          <w:shd w:val="clear"/>
        </w:rPr>
        <w:t>平台顺利上线后</w:t>
      </w:r>
      <w:r>
        <w:rPr>
          <w:rFonts w:hint="eastAsia" w:ascii="仿宋" w:hAnsi="仿宋" w:eastAsia="仿宋"/>
          <w:b w:val="0"/>
          <w:bCs w:val="0"/>
          <w:sz w:val="24"/>
          <w:szCs w:val="24"/>
        </w:rPr>
        <w:t>，</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须提供不低于3年的维保服务（7*24小时服务），保证平台顺利运行。维保时间从项目通过采购人验收交付后连续正常使用累计满3年。如因</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的技术问题或其他原因（不可抗力情况除外）导致平台不能正常提供服务，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应及时修复，如超过</w:t>
      </w:r>
      <w:r>
        <w:rPr>
          <w:rFonts w:hint="eastAsia" w:ascii="仿宋" w:hAnsi="仿宋" w:eastAsia="仿宋"/>
          <w:b w:val="0"/>
          <w:bCs w:val="0"/>
          <w:sz w:val="24"/>
          <w:szCs w:val="24"/>
          <w:lang w:val="en-US" w:eastAsia="zh-CN"/>
        </w:rPr>
        <w:t>7</w:t>
      </w:r>
      <w:r>
        <w:rPr>
          <w:rFonts w:hint="eastAsia" w:ascii="仿宋" w:hAnsi="仿宋" w:eastAsia="仿宋"/>
          <w:b w:val="0"/>
          <w:bCs w:val="0"/>
          <w:sz w:val="24"/>
          <w:szCs w:val="24"/>
        </w:rPr>
        <w:t>天无法正常使用，采购人有权单方面终止合同。</w:t>
      </w:r>
      <w:r>
        <w:rPr>
          <w:rFonts w:hint="eastAsia" w:ascii="仿宋" w:hAnsi="仿宋" w:eastAsia="仿宋"/>
          <w:b w:val="0"/>
          <w:bCs w:val="0"/>
          <w:sz w:val="24"/>
          <w:szCs w:val="24"/>
          <w:lang w:val="en-US" w:eastAsia="zh-CN"/>
        </w:rPr>
        <w:t>以上费用由平台供应商承担，采购人不再另行支付。</w:t>
      </w:r>
    </w:p>
    <w:p w14:paraId="7F9DC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1）维保期内须提供周期上门服务：周期为每季度一次，形式为由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提出预约，</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服务人员上门服务，服务内容为周期数据备份、检测系统运行状况、处理使用过程中出现的问题等。</w:t>
      </w:r>
      <w:r>
        <w:rPr>
          <w:rFonts w:hint="eastAsia" w:ascii="仿宋" w:hAnsi="仿宋" w:eastAsia="仿宋"/>
          <w:b w:val="0"/>
          <w:bCs w:val="0"/>
          <w:sz w:val="24"/>
          <w:szCs w:val="24"/>
          <w:lang w:val="en-US" w:eastAsia="zh-CN"/>
        </w:rPr>
        <w:t>以上费用由平台供应商承担，采购人不再另行支付。</w:t>
      </w:r>
    </w:p>
    <w:p w14:paraId="295DB6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2）须提供常设每周7天×24小时服务专线和长期的技术支持，对采购人的服务通知，</w:t>
      </w:r>
      <w:r>
        <w:rPr>
          <w:rFonts w:hint="eastAsia" w:ascii="仿宋" w:hAnsi="仿宋" w:eastAsia="仿宋"/>
          <w:b w:val="0"/>
          <w:bCs w:val="0"/>
          <w:sz w:val="24"/>
          <w:szCs w:val="24"/>
          <w:lang w:val="en-US" w:eastAsia="zh-CN"/>
        </w:rPr>
        <w:t>成交供应商</w:t>
      </w:r>
      <w:r>
        <w:rPr>
          <w:rFonts w:hint="eastAsia" w:ascii="仿宋" w:hAnsi="仿宋" w:eastAsia="仿宋"/>
          <w:b w:val="0"/>
          <w:bCs w:val="0"/>
          <w:sz w:val="24"/>
          <w:szCs w:val="24"/>
        </w:rPr>
        <w:t>必须在接报后2小时内回应，8小时内到达现场，24小时内处理完毕。</w:t>
      </w:r>
      <w:r>
        <w:rPr>
          <w:rFonts w:hint="eastAsia" w:ascii="仿宋" w:hAnsi="仿宋" w:eastAsia="仿宋"/>
          <w:b w:val="0"/>
          <w:bCs w:val="0"/>
          <w:sz w:val="24"/>
          <w:szCs w:val="24"/>
          <w:lang w:val="en-US" w:eastAsia="zh-CN"/>
        </w:rPr>
        <w:t>以上费用由平台供应商承担，采购人不再另行支付。</w:t>
      </w:r>
    </w:p>
    <w:p w14:paraId="2EC5C1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3）升级保障：要求对后期提出的使用流程需求可以进行升级改造。</w:t>
      </w:r>
    </w:p>
    <w:p w14:paraId="5B995F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4）维护保障：系统交付使用后，需有3名以上专职软件技术人员进行服务回应。</w:t>
      </w:r>
    </w:p>
    <w:p w14:paraId="0370F79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2.应用系统提交后，根据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的要求提供培训服务。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应根据自身系统设备情况，提供专业培训，直至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全面掌握使用方法。如遇到用户方人员变动，</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要根据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要求，无条件提供培训服务。</w:t>
      </w:r>
      <w:r>
        <w:rPr>
          <w:rFonts w:hint="eastAsia" w:ascii="仿宋" w:hAnsi="仿宋" w:eastAsia="仿宋"/>
          <w:b w:val="0"/>
          <w:bCs w:val="0"/>
          <w:sz w:val="24"/>
          <w:szCs w:val="24"/>
          <w:lang w:val="en-US" w:eastAsia="zh-CN"/>
        </w:rPr>
        <w:t>以上费用由平台供应商承担，采购人不再另行支付。</w:t>
      </w:r>
    </w:p>
    <w:p w14:paraId="609914E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rPr>
        <w:t>3.因采购人制度变化导致采购流程发生变化的，</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w:t>
      </w:r>
      <w:r>
        <w:rPr>
          <w:rFonts w:hint="eastAsia" w:ascii="仿宋" w:hAnsi="仿宋" w:eastAsia="仿宋"/>
          <w:b w:val="0"/>
          <w:bCs w:val="0"/>
          <w:sz w:val="24"/>
          <w:szCs w:val="24"/>
          <w:lang w:val="en-US" w:eastAsia="zh-CN"/>
        </w:rPr>
        <w:t>商需</w:t>
      </w:r>
      <w:r>
        <w:rPr>
          <w:rFonts w:hint="eastAsia" w:ascii="仿宋" w:hAnsi="仿宋" w:eastAsia="仿宋"/>
          <w:b w:val="0"/>
          <w:bCs w:val="0"/>
          <w:sz w:val="24"/>
          <w:szCs w:val="24"/>
        </w:rPr>
        <w:t>做相应的调整、升级改造等工作。</w:t>
      </w:r>
      <w:r>
        <w:rPr>
          <w:rFonts w:hint="eastAsia" w:ascii="仿宋" w:hAnsi="仿宋" w:eastAsia="仿宋"/>
          <w:b w:val="0"/>
          <w:bCs w:val="0"/>
          <w:sz w:val="24"/>
          <w:szCs w:val="24"/>
          <w:lang w:val="en-US" w:eastAsia="zh-CN"/>
        </w:rPr>
        <w:t>以上费用由平台供应商承担，采购人不再另行支付。</w:t>
      </w:r>
    </w:p>
    <w:p w14:paraId="0613BBAF">
      <w:pPr>
        <w:pStyle w:val="17"/>
        <w:snapToGrid w:val="0"/>
        <w:spacing w:line="360" w:lineRule="auto"/>
        <w:ind w:firstLine="480" w:firstLineChars="200"/>
        <w:rPr>
          <w:rFonts w:hint="default"/>
          <w:lang w:val="en-US"/>
        </w:rPr>
      </w:pPr>
      <w:r>
        <w:rPr>
          <w:rFonts w:hint="eastAsia" w:ascii="仿宋" w:hAnsi="仿宋" w:eastAsia="仿宋"/>
          <w:b w:val="0"/>
          <w:bCs w:val="0"/>
          <w:sz w:val="24"/>
          <w:szCs w:val="24"/>
          <w:lang w:val="en-US" w:eastAsia="zh-CN"/>
        </w:rPr>
        <w:t>4.平台供应商提供自采购人用户收到货物或服务之日起七日内的退换服务。</w:t>
      </w:r>
    </w:p>
    <w:p w14:paraId="06C99C2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（五）数据安全和运行维护要求</w:t>
      </w:r>
    </w:p>
    <w:p w14:paraId="2D3B9F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1、数据安全：平台应该具备相关的数据安全资质认证，确保</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数据的安全性，同时不可向第三方公布或使用；</w:t>
      </w:r>
    </w:p>
    <w:p w14:paraId="2EC7CC1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2、平台应按要求定期提供</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在交易中产生的数据包括但不限于交易数据、操作数据等。</w:t>
      </w:r>
    </w:p>
    <w:p w14:paraId="5E496B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3、提供5×8</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不间断运营的客服中心和7×24</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的值班电话，在接到</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服务请求或者监控告警时会迅速对事件进行定性并通知相关部门启动相应流程。</w:t>
      </w:r>
    </w:p>
    <w:p w14:paraId="17DEC45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应做好系统日常维护和升级工作，对系统故障及交易纠纷处理的回应时间不得迟于2小时，排除时间不得迟于24小时。</w:t>
      </w:r>
    </w:p>
    <w:p w14:paraId="09DF5289">
      <w:pPr>
        <w:pStyle w:val="17"/>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(六）其他要求</w:t>
      </w:r>
    </w:p>
    <w:p w14:paraId="5856793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1、项目负责人要求</w:t>
      </w:r>
    </w:p>
    <w:p w14:paraId="5F8462A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服务团队中须设有项目负责人，并具有负责同类项目经验，负责管理和协调各项工作，不得随意更换。如需更换，必须提前一周书面通知采购人，取得采购人签字同意后方可换人，如自行更换，采购人将暂停成交供应商的全部工作，由此造成的损失或延误责任由成交供应商承担。</w:t>
      </w:r>
    </w:p>
    <w:p w14:paraId="75031B2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2、服务团队要求</w:t>
      </w:r>
    </w:p>
    <w:p w14:paraId="1EE5229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平台供应商须为本项目配置不少于5人的服务团队，服务团队人员具有系统集成项目管理工程师、软件</w:t>
      </w:r>
      <w:bookmarkStart w:id="15" w:name="OLE_LINK22"/>
      <w:r>
        <w:rPr>
          <w:rFonts w:hint="eastAsia" w:ascii="仿宋" w:hAnsi="仿宋" w:eastAsia="仿宋"/>
          <w:b w:val="0"/>
          <w:bCs w:val="0"/>
          <w:sz w:val="24"/>
          <w:szCs w:val="24"/>
          <w:lang w:val="en-US" w:eastAsia="zh-CN"/>
        </w:rPr>
        <w:t>设计</w:t>
      </w:r>
      <w:bookmarkEnd w:id="15"/>
      <w:r>
        <w:rPr>
          <w:rFonts w:hint="eastAsia" w:ascii="仿宋" w:hAnsi="仿宋" w:eastAsia="仿宋"/>
          <w:b w:val="0"/>
          <w:bCs w:val="0"/>
          <w:sz w:val="24"/>
          <w:szCs w:val="24"/>
          <w:lang w:val="en-US" w:eastAsia="zh-CN"/>
        </w:rPr>
        <w:t>师、电子商务师、PMP证书；具有计算机技术及软件、化学、生物或医药类相关专业教育背景，获得</w:t>
      </w:r>
      <w:r>
        <w:rPr>
          <w:rFonts w:hint="eastAsia" w:ascii="仿宋" w:hAnsi="仿宋" w:eastAsia="仿宋" w:cs="仿宋"/>
          <w:sz w:val="24"/>
          <w:szCs w:val="24"/>
          <w:lang w:val="en-US" w:eastAsia="zh-CN"/>
        </w:rPr>
        <w:t>学士及以上学位</w:t>
      </w:r>
      <w:r>
        <w:rPr>
          <w:rFonts w:hint="eastAsia" w:ascii="仿宋" w:hAnsi="仿宋" w:eastAsia="仿宋"/>
          <w:b w:val="0"/>
          <w:bCs w:val="0"/>
          <w:sz w:val="24"/>
          <w:szCs w:val="24"/>
          <w:lang w:val="en-US" w:eastAsia="zh-CN"/>
        </w:rPr>
        <w:t>。项目负责人具有医药类、生物学、物理或化学专业教育背景，获得硕士及以上学位。</w:t>
      </w:r>
    </w:p>
    <w:p w14:paraId="778B9F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3、</w:t>
      </w:r>
      <w:bookmarkStart w:id="16" w:name="OLE_LINK25"/>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w:t>
      </w:r>
      <w:bookmarkEnd w:id="16"/>
    </w:p>
    <w:p w14:paraId="70EE1D7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4、采购平台中供应商库能够满足采购人科研采购需求，第三方供应商数量≥5000家。需提供证明材料并加盖平台供应商公章。</w:t>
      </w:r>
    </w:p>
    <w:p w14:paraId="5C931C1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5、平台供应商针对本项目制定完整的服务方案，包括以下内容：①人员组织分工及技术质量保障方案、②项目进度计划安排清单、③项目进度保障措施。</w:t>
      </w:r>
    </w:p>
    <w:p w14:paraId="0FDB365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★6、为避免平台公司对耗材供应商收费过高导致为采购人提供的货物定价和服务质量受到影响，该收费应具备合理性。供应商需提供对供应商的各类收费标准和详细的收费方案。</w:t>
      </w:r>
    </w:p>
    <w:p w14:paraId="5487CCF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default" w:ascii="仿宋" w:hAnsi="仿宋" w:eastAsia="仿宋"/>
          <w:b w:val="0"/>
          <w:bCs w:val="0"/>
          <w:sz w:val="24"/>
          <w:szCs w:val="24"/>
          <w:lang w:val="en-US" w:eastAsia="zh-CN"/>
        </w:rPr>
        <w:t>★</w:t>
      </w:r>
      <w:r>
        <w:rPr>
          <w:rFonts w:hint="eastAsia" w:ascii="仿宋" w:hAnsi="仿宋" w:eastAsia="仿宋"/>
          <w:b w:val="0"/>
          <w:bCs w:val="0"/>
          <w:sz w:val="24"/>
          <w:szCs w:val="24"/>
          <w:lang w:val="en-US" w:eastAsia="zh-CN"/>
        </w:rPr>
        <w:t>7</w:t>
      </w:r>
      <w:r>
        <w:rPr>
          <w:rFonts w:hint="default" w:ascii="仿宋" w:hAnsi="仿宋" w:eastAsia="仿宋"/>
          <w:b w:val="0"/>
          <w:bCs w:val="0"/>
          <w:sz w:val="24"/>
          <w:szCs w:val="24"/>
          <w:lang w:val="en-US" w:eastAsia="zh-CN"/>
        </w:rPr>
        <w:t>、平台供应商承诺向第三方供应商收取平台服务费，服务费以第三方供应商在平台的销售金额的2%为上限费率。（提供承诺函并加盖平台供应商公章）</w:t>
      </w:r>
    </w:p>
    <w:p w14:paraId="0CA1BA9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★8、平台供应商承诺向第三方供应商收取平台店铺费、年费。最高不得超过2万/年/家。（提供承诺函并加盖平台供应商公章）</w:t>
      </w:r>
    </w:p>
    <w:p w14:paraId="6E9A9D1F">
      <w:pPr>
        <w:numPr>
          <w:ilvl w:val="0"/>
          <w:numId w:val="0"/>
        </w:num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w:t>
      </w:r>
      <w:r>
        <w:rPr>
          <w:rFonts w:hint="eastAsia" w:ascii="仿宋" w:hAnsi="仿宋" w:eastAsia="仿宋" w:cstheme="minorBidi"/>
          <w:b w:val="0"/>
          <w:bCs w:val="0"/>
          <w:kern w:val="2"/>
          <w:sz w:val="24"/>
          <w:szCs w:val="24"/>
          <w:lang w:val="en-US" w:eastAsia="zh-CN" w:bidi="ar-SA"/>
        </w:rPr>
        <w:t>（七）</w:t>
      </w:r>
      <w:r>
        <w:rPr>
          <w:rFonts w:hint="eastAsia" w:ascii="仿宋" w:hAnsi="仿宋" w:eastAsia="仿宋"/>
          <w:b w:val="0"/>
          <w:bCs w:val="0"/>
          <w:sz w:val="24"/>
          <w:szCs w:val="24"/>
          <w:lang w:val="en-US" w:eastAsia="zh-CN"/>
        </w:rPr>
        <w:t>保密要求</w:t>
      </w:r>
    </w:p>
    <w:p w14:paraId="35266E8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1、不得违反国家保密相关法律法规。</w:t>
      </w:r>
    </w:p>
    <w:p w14:paraId="337641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2、平台供应商不得向第三方提供、泄露采购人提供的，或在履行合同中获知的相关资料信息，或交易中产生的数据（包括但不限于交易数据、操作数据及系统日志等文件）。</w:t>
      </w:r>
    </w:p>
    <w:p w14:paraId="673C0A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3、平台供应商若要更换含存储功能的设备，需向采购人提前报备或移交。</w:t>
      </w:r>
    </w:p>
    <w:p w14:paraId="1906482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4、参与本项目的员工应与平台供应商签订《保密承诺书》。</w:t>
      </w:r>
    </w:p>
    <w:p w14:paraId="778B65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5、参与本项目的涉密人员需经过平台供应商保密培训。</w:t>
      </w:r>
    </w:p>
    <w:p w14:paraId="35988B48">
      <w:pPr>
        <w:pStyle w:val="17"/>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、商务要求：</w:t>
      </w:r>
    </w:p>
    <w:p w14:paraId="3FFEF87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w:t>
      </w:r>
    </w:p>
    <w:p w14:paraId="04A3D70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结算方式：采购人不承担商品交易产生的交易服务费，交易服务费由成交供应商向商品供应商收取。（需提供承诺函，承诺函格式自拟）</w:t>
      </w:r>
    </w:p>
    <w:p w14:paraId="38C683E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val="0"/>
          <w:bCs w:val="0"/>
          <w:sz w:val="24"/>
          <w:szCs w:val="24"/>
          <w:lang w:val="en-US" w:eastAsia="zh-CN"/>
        </w:rPr>
        <w:t>平台供应商</w:t>
      </w:r>
      <w:r>
        <w:rPr>
          <w:rFonts w:hint="eastAsia" w:ascii="仿宋" w:hAnsi="仿宋" w:eastAsia="仿宋"/>
          <w:sz w:val="24"/>
          <w:szCs w:val="24"/>
          <w:lang w:val="en-US" w:eastAsia="zh-CN"/>
        </w:rPr>
        <w:t>通过平台销售商品，采购成交后，货款直接由采购人财务部门直接支付给平台供应商，平台仅提供业务流、信息流技术服务。（需提供承诺函，承诺函格式自拟）</w:t>
      </w:r>
    </w:p>
    <w:p w14:paraId="6CB9937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40B8A1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3、服务时间</w:t>
      </w:r>
    </w:p>
    <w:p w14:paraId="3DB4A252">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（1）服务期限：</w:t>
      </w:r>
      <w:r>
        <w:rPr>
          <w:rFonts w:hint="eastAsia" w:ascii="仿宋" w:hAnsi="仿宋" w:eastAsia="仿宋" w:cstheme="minorBidi"/>
          <w:i w:val="0"/>
          <w:iCs w:val="0"/>
          <w:caps w:val="0"/>
          <w:spacing w:val="0"/>
          <w:sz w:val="24"/>
          <w:szCs w:val="24"/>
          <w:shd w:val="clear"/>
        </w:rPr>
        <w:t>科研采购平台交付使用之日起三年</w:t>
      </w:r>
      <w:r>
        <w:rPr>
          <w:rFonts w:hint="eastAsia" w:ascii="仿宋" w:hAnsi="仿宋" w:eastAsia="仿宋"/>
          <w:sz w:val="24"/>
          <w:szCs w:val="24"/>
          <w:lang w:val="en-US" w:eastAsia="zh-CN"/>
        </w:rPr>
        <w:t>，合同一年一签，</w:t>
      </w:r>
      <w:r>
        <w:rPr>
          <w:rFonts w:hint="default" w:ascii="仿宋" w:hAnsi="仿宋" w:eastAsia="仿宋"/>
          <w:sz w:val="24"/>
          <w:szCs w:val="24"/>
          <w:lang w:val="en-US" w:eastAsia="zh-CN"/>
        </w:rPr>
        <w:t>在合同期满前1个月内，采购人通知供应商进行考核</w:t>
      </w:r>
      <w:r>
        <w:rPr>
          <w:rFonts w:hint="eastAsia" w:ascii="仿宋" w:hAnsi="仿宋" w:eastAsia="仿宋"/>
          <w:sz w:val="24"/>
          <w:szCs w:val="24"/>
          <w:lang w:val="en-US" w:eastAsia="zh-CN"/>
        </w:rPr>
        <w:t>，考核合格后续签下一年度合同。（考核要求详见附件：平台服务考核表）</w:t>
      </w:r>
    </w:p>
    <w:p w14:paraId="77BA7FE1">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（2）完工期：合同签订后30天内完成采购平台的安装、对接、调试、上线测试并交付使用。</w:t>
      </w:r>
    </w:p>
    <w:p w14:paraId="62B894F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7B8ADAA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4.1验收时间：</w:t>
      </w:r>
      <w:r>
        <w:rPr>
          <w:rFonts w:hint="eastAsia" w:ascii="仿宋" w:hAnsi="仿宋" w:eastAsia="仿宋"/>
          <w:sz w:val="24"/>
          <w:szCs w:val="24"/>
        </w:rPr>
        <w:t>第一阶段：完成科研采购平台交付使用后，</w:t>
      </w:r>
      <w:r>
        <w:rPr>
          <w:rFonts w:hint="eastAsia" w:ascii="仿宋" w:hAnsi="仿宋" w:eastAsia="仿宋"/>
          <w:sz w:val="24"/>
          <w:szCs w:val="24"/>
          <w:lang w:val="en-US" w:eastAsia="zh-CN"/>
        </w:rPr>
        <w:t>5个工作日</w:t>
      </w:r>
      <w:r>
        <w:rPr>
          <w:rFonts w:hint="eastAsia" w:ascii="仿宋" w:hAnsi="仿宋" w:eastAsia="仿宋"/>
          <w:sz w:val="24"/>
          <w:szCs w:val="24"/>
        </w:rPr>
        <w:t>内通知采购人验收，采购人接受通知后</w:t>
      </w:r>
      <w:r>
        <w:rPr>
          <w:rFonts w:hint="eastAsia" w:ascii="仿宋" w:hAnsi="仿宋" w:eastAsia="仿宋"/>
          <w:sz w:val="24"/>
          <w:szCs w:val="24"/>
          <w:lang w:val="en-US" w:eastAsia="zh-CN"/>
        </w:rPr>
        <w:t>5个工作</w:t>
      </w:r>
      <w:r>
        <w:rPr>
          <w:rFonts w:hint="eastAsia" w:ascii="仿宋" w:hAnsi="仿宋" w:eastAsia="仿宋"/>
          <w:sz w:val="24"/>
          <w:szCs w:val="24"/>
        </w:rPr>
        <w:t>日内组织验收。第二阶段：服务期内，供应商</w:t>
      </w:r>
      <w:r>
        <w:rPr>
          <w:rFonts w:hint="eastAsia" w:ascii="仿宋" w:hAnsi="仿宋" w:eastAsia="仿宋"/>
          <w:sz w:val="24"/>
          <w:szCs w:val="24"/>
          <w:lang w:val="en-US" w:eastAsia="zh-CN"/>
        </w:rPr>
        <w:t>每月向采购人提交一次月工作总结汇报材料。</w:t>
      </w:r>
    </w:p>
    <w:p w14:paraId="428A4F8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4.2验收主体：采购人和科研项目负责人      </w:t>
      </w:r>
    </w:p>
    <w:p w14:paraId="3FC5089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75F0B3AD">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4.4验收方式：现场整体验收</w:t>
      </w:r>
    </w:p>
    <w:p w14:paraId="56CD4B6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064CAB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4.6验收内容：按照基于本项目采购需求编制的采购文件要求及供应商响应文件情况，由供应商向采购人提供的每月的全部服务。</w:t>
      </w:r>
    </w:p>
    <w:p w14:paraId="175B27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018967F">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78E7EBC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4049E95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179A1B0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2F59A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74F5750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16C3E8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65B085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11B531B8">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6C0B6D2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44CBAF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398013E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22A41E4">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附件</w:t>
      </w:r>
    </w:p>
    <w:p w14:paraId="6FFFA3A6">
      <w:pPr>
        <w:spacing w:line="579" w:lineRule="exact"/>
        <w:ind w:firstLine="0" w:firstLineChars="0"/>
        <w:jc w:val="center"/>
        <w:rPr>
          <w:rFonts w:hint="eastAsia" w:ascii="方正小标宋简体" w:hAnsi="宋体" w:eastAsia="方正小标宋简体"/>
          <w:bCs/>
          <w:snapToGrid w:val="0"/>
          <w:sz w:val="36"/>
          <w:szCs w:val="36"/>
        </w:rPr>
      </w:pPr>
      <w:r>
        <w:rPr>
          <w:rFonts w:hint="eastAsia" w:ascii="方正小标宋简体" w:hAnsi="宋体" w:eastAsia="方正小标宋简体"/>
          <w:bCs/>
          <w:snapToGrid w:val="0"/>
          <w:sz w:val="36"/>
          <w:szCs w:val="36"/>
          <w:lang w:val="en-US" w:eastAsia="zh-CN"/>
        </w:rPr>
        <w:t>平台服务</w:t>
      </w:r>
      <w:r>
        <w:rPr>
          <w:rFonts w:hint="eastAsia" w:ascii="方正小标宋简体" w:hAnsi="宋体" w:eastAsia="方正小标宋简体"/>
          <w:bCs/>
          <w:snapToGrid w:val="0"/>
          <w:sz w:val="36"/>
          <w:szCs w:val="36"/>
        </w:rPr>
        <w:t>考核表</w:t>
      </w:r>
    </w:p>
    <w:p w14:paraId="6E309B77">
      <w:pPr>
        <w:rPr>
          <w:rFonts w:hint="eastAsia" w:ascii="仿宋" w:hAnsi="仿宋" w:eastAsia="仿宋" w:cstheme="minorBidi"/>
          <w:kern w:val="2"/>
          <w:sz w:val="24"/>
          <w:szCs w:val="24"/>
          <w:lang w:val="en-US" w:eastAsia="zh-CN" w:bidi="ar-SA"/>
        </w:rPr>
      </w:pPr>
      <w:r>
        <w:rPr>
          <w:rFonts w:hint="eastAsia" w:ascii="仿宋" w:hAnsi="仿宋" w:eastAsia="仿宋" w:cs="仿宋"/>
          <w:bCs/>
          <w:snapToGrid w:val="0"/>
          <w:sz w:val="24"/>
          <w:szCs w:val="24"/>
          <w:lang w:val="en-US" w:eastAsia="zh-CN"/>
        </w:rPr>
        <w:t>说</w:t>
      </w:r>
      <w:r>
        <w:rPr>
          <w:rFonts w:hint="eastAsia" w:ascii="仿宋" w:hAnsi="仿宋" w:eastAsia="仿宋" w:cstheme="minorBidi"/>
          <w:kern w:val="2"/>
          <w:sz w:val="24"/>
          <w:szCs w:val="24"/>
          <w:lang w:val="en-US" w:eastAsia="zh-CN" w:bidi="ar-SA"/>
        </w:rPr>
        <w:t>明：以一年为标准，总分为一百分，如扣到80分以下，属于不合格供应商，解除合作。</w:t>
      </w:r>
    </w:p>
    <w:p w14:paraId="4FBFCB61">
      <w:pPr>
        <w:pStyle w:val="8"/>
        <w:rPr>
          <w:rFonts w:hint="eastAsia"/>
          <w:lang w:val="en-US" w:eastAsia="zh-CN"/>
        </w:rPr>
      </w:pPr>
    </w:p>
    <w:tbl>
      <w:tblPr>
        <w:tblStyle w:val="19"/>
        <w:tblW w:w="4999" w:type="pct"/>
        <w:tblInd w:w="0" w:type="dxa"/>
        <w:tblLayout w:type="autofit"/>
        <w:tblCellMar>
          <w:top w:w="0" w:type="dxa"/>
          <w:left w:w="108" w:type="dxa"/>
          <w:bottom w:w="0" w:type="dxa"/>
          <w:right w:w="108" w:type="dxa"/>
        </w:tblCellMar>
      </w:tblPr>
      <w:tblGrid>
        <w:gridCol w:w="857"/>
        <w:gridCol w:w="5699"/>
        <w:gridCol w:w="3296"/>
      </w:tblGrid>
      <w:tr w14:paraId="7488B84D">
        <w:tblPrEx>
          <w:tblCellMar>
            <w:top w:w="0" w:type="dxa"/>
            <w:left w:w="108" w:type="dxa"/>
            <w:bottom w:w="0" w:type="dxa"/>
            <w:right w:w="108" w:type="dxa"/>
          </w:tblCellMar>
        </w:tblPrEx>
        <w:trPr>
          <w:trHeight w:val="322" w:hRule="atLeast"/>
          <w:tblHeader/>
        </w:trPr>
        <w:tc>
          <w:tcPr>
            <w:tcW w:w="435" w:type="pct"/>
            <w:tcBorders>
              <w:top w:val="single" w:color="auto" w:sz="4" w:space="0"/>
              <w:left w:val="single" w:color="auto" w:sz="4" w:space="0"/>
              <w:bottom w:val="single" w:color="auto" w:sz="4" w:space="0"/>
              <w:right w:val="single" w:color="auto" w:sz="4" w:space="0"/>
            </w:tcBorders>
            <w:vAlign w:val="center"/>
          </w:tcPr>
          <w:p w14:paraId="26AF3A96">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项目</w:t>
            </w:r>
          </w:p>
        </w:tc>
        <w:tc>
          <w:tcPr>
            <w:tcW w:w="2891" w:type="pct"/>
            <w:tcBorders>
              <w:top w:val="single" w:color="auto" w:sz="4" w:space="0"/>
              <w:left w:val="single" w:color="auto" w:sz="4" w:space="0"/>
              <w:bottom w:val="single" w:color="auto" w:sz="4" w:space="0"/>
              <w:right w:val="single" w:color="auto" w:sz="4" w:space="0"/>
            </w:tcBorders>
            <w:vAlign w:val="center"/>
          </w:tcPr>
          <w:p w14:paraId="431FB78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考核内容</w:t>
            </w:r>
          </w:p>
        </w:tc>
        <w:tc>
          <w:tcPr>
            <w:tcW w:w="1672" w:type="pct"/>
            <w:tcBorders>
              <w:top w:val="single" w:color="auto" w:sz="4" w:space="0"/>
              <w:left w:val="single" w:color="auto" w:sz="4" w:space="0"/>
              <w:bottom w:val="single" w:color="auto" w:sz="4" w:space="0"/>
              <w:right w:val="single" w:color="auto" w:sz="4" w:space="0"/>
            </w:tcBorders>
            <w:vAlign w:val="center"/>
          </w:tcPr>
          <w:p w14:paraId="5A0DE6B8">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扣分</w:t>
            </w:r>
          </w:p>
        </w:tc>
      </w:tr>
      <w:tr w14:paraId="1B1E90F9">
        <w:tblPrEx>
          <w:tblCellMar>
            <w:top w:w="0" w:type="dxa"/>
            <w:left w:w="108" w:type="dxa"/>
            <w:bottom w:w="0" w:type="dxa"/>
            <w:right w:w="108" w:type="dxa"/>
          </w:tblCellMar>
        </w:tblPrEx>
        <w:trPr>
          <w:trHeight w:val="90" w:hRule="atLeast"/>
        </w:trPr>
        <w:tc>
          <w:tcPr>
            <w:tcW w:w="435" w:type="pct"/>
            <w:tcBorders>
              <w:top w:val="single" w:color="auto" w:sz="4" w:space="0"/>
              <w:left w:val="single" w:color="auto" w:sz="4" w:space="0"/>
              <w:right w:val="single" w:color="auto" w:sz="4" w:space="0"/>
            </w:tcBorders>
            <w:vAlign w:val="center"/>
          </w:tcPr>
          <w:p w14:paraId="60F55531">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安装调试</w:t>
            </w:r>
          </w:p>
        </w:tc>
        <w:tc>
          <w:tcPr>
            <w:tcW w:w="2891" w:type="pct"/>
            <w:tcBorders>
              <w:top w:val="single" w:color="auto" w:sz="4" w:space="0"/>
              <w:left w:val="single" w:color="auto" w:sz="4" w:space="0"/>
              <w:right w:val="single" w:color="auto" w:sz="4" w:space="0"/>
            </w:tcBorders>
            <w:vAlign w:val="center"/>
          </w:tcPr>
          <w:p w14:paraId="5D544F5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未根据采购人的采购、管理、结算等流程和功能需求进行升级改造。</w:t>
            </w:r>
          </w:p>
        </w:tc>
        <w:tc>
          <w:tcPr>
            <w:tcW w:w="1672" w:type="pct"/>
            <w:tcBorders>
              <w:top w:val="single" w:color="auto" w:sz="4" w:space="0"/>
              <w:left w:val="single" w:color="auto" w:sz="4" w:space="0"/>
              <w:right w:val="single" w:color="auto" w:sz="4" w:space="0"/>
            </w:tcBorders>
            <w:vAlign w:val="center"/>
          </w:tcPr>
          <w:p w14:paraId="38C85E4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扣10分，暂停服务资格。</w:t>
            </w:r>
          </w:p>
        </w:tc>
      </w:tr>
      <w:tr w14:paraId="798D4167">
        <w:tblPrEx>
          <w:tblCellMar>
            <w:top w:w="0" w:type="dxa"/>
            <w:left w:w="108" w:type="dxa"/>
            <w:bottom w:w="0" w:type="dxa"/>
            <w:right w:w="108" w:type="dxa"/>
          </w:tblCellMar>
        </w:tblPrEx>
        <w:trPr>
          <w:trHeight w:val="935" w:hRule="atLeast"/>
        </w:trPr>
        <w:tc>
          <w:tcPr>
            <w:tcW w:w="435" w:type="pct"/>
            <w:tcBorders>
              <w:top w:val="single" w:color="auto" w:sz="4" w:space="0"/>
              <w:left w:val="single" w:color="auto" w:sz="4" w:space="0"/>
              <w:bottom w:val="single" w:color="auto" w:sz="4" w:space="0"/>
              <w:right w:val="single" w:color="auto" w:sz="4" w:space="0"/>
            </w:tcBorders>
            <w:vAlign w:val="center"/>
          </w:tcPr>
          <w:p w14:paraId="4319A49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公司</w:t>
            </w:r>
          </w:p>
          <w:p w14:paraId="2BBD31D9">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整体评价</w:t>
            </w:r>
          </w:p>
        </w:tc>
        <w:tc>
          <w:tcPr>
            <w:tcW w:w="2891" w:type="pct"/>
            <w:tcBorders>
              <w:top w:val="single" w:color="auto" w:sz="4" w:space="0"/>
              <w:left w:val="single" w:color="auto" w:sz="4" w:space="0"/>
              <w:right w:val="single" w:color="auto" w:sz="4" w:space="0"/>
            </w:tcBorders>
            <w:vAlign w:val="center"/>
          </w:tcPr>
          <w:p w14:paraId="2856779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 xml:space="preserve">采购人每半年从产品质量、产品价格、产品种类、供货速度或到货周期、售后服务、投诉反馈、保密性、服务态度、服务总体评价、对服务的意见建议等方面进行问卷调查，平台供应商满意度低于70%。 </w:t>
            </w:r>
          </w:p>
        </w:tc>
        <w:tc>
          <w:tcPr>
            <w:tcW w:w="1672" w:type="pct"/>
            <w:tcBorders>
              <w:top w:val="single" w:color="auto" w:sz="4" w:space="0"/>
              <w:left w:val="single" w:color="auto" w:sz="4" w:space="0"/>
              <w:right w:val="single" w:color="auto" w:sz="4" w:space="0"/>
            </w:tcBorders>
            <w:vAlign w:val="center"/>
          </w:tcPr>
          <w:p w14:paraId="421BEB95">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扣10分，限期整改，采购人有权终止合同。</w:t>
            </w:r>
          </w:p>
        </w:tc>
      </w:tr>
      <w:tr w14:paraId="714B555F">
        <w:tblPrEx>
          <w:tblCellMar>
            <w:top w:w="0" w:type="dxa"/>
            <w:left w:w="108" w:type="dxa"/>
            <w:bottom w:w="0" w:type="dxa"/>
            <w:right w:w="108" w:type="dxa"/>
          </w:tblCellMar>
        </w:tblPrEx>
        <w:trPr>
          <w:trHeight w:val="626" w:hRule="atLeast"/>
        </w:trPr>
        <w:tc>
          <w:tcPr>
            <w:tcW w:w="435" w:type="pct"/>
            <w:vMerge w:val="restart"/>
            <w:tcBorders>
              <w:top w:val="single" w:color="auto" w:sz="4" w:space="0"/>
              <w:left w:val="single" w:color="auto" w:sz="4" w:space="0"/>
              <w:right w:val="single" w:color="auto" w:sz="4" w:space="0"/>
            </w:tcBorders>
            <w:vAlign w:val="center"/>
          </w:tcPr>
          <w:p w14:paraId="1AD29667">
            <w:pPr>
              <w:ind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保密要求</w:t>
            </w:r>
          </w:p>
        </w:tc>
        <w:tc>
          <w:tcPr>
            <w:tcW w:w="2891" w:type="pct"/>
            <w:tcBorders>
              <w:top w:val="single" w:color="auto" w:sz="4" w:space="0"/>
              <w:left w:val="single" w:color="auto" w:sz="4" w:space="0"/>
              <w:bottom w:val="single" w:color="auto" w:sz="4" w:space="0"/>
              <w:right w:val="single" w:color="auto" w:sz="4" w:space="0"/>
            </w:tcBorders>
            <w:vAlign w:val="center"/>
          </w:tcPr>
          <w:p w14:paraId="798DFB6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1.违反国家保密相关法律法规。</w:t>
            </w:r>
          </w:p>
        </w:tc>
        <w:tc>
          <w:tcPr>
            <w:tcW w:w="1672" w:type="pct"/>
            <w:tcBorders>
              <w:top w:val="single" w:color="auto" w:sz="4" w:space="0"/>
              <w:left w:val="single" w:color="auto" w:sz="4" w:space="0"/>
              <w:bottom w:val="single" w:color="auto" w:sz="4" w:space="0"/>
              <w:right w:val="single" w:color="auto" w:sz="4" w:space="0"/>
            </w:tcBorders>
            <w:vAlign w:val="center"/>
          </w:tcPr>
          <w:p w14:paraId="27D0F3A4">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扣除5分，根据情节严重程度停业整顿或终止合同，同时平台供应商承担相应的法律责任。</w:t>
            </w:r>
          </w:p>
        </w:tc>
      </w:tr>
      <w:tr w14:paraId="3B8FF6FF">
        <w:tblPrEx>
          <w:tblCellMar>
            <w:top w:w="0" w:type="dxa"/>
            <w:left w:w="108" w:type="dxa"/>
            <w:bottom w:w="0" w:type="dxa"/>
            <w:right w:w="108" w:type="dxa"/>
          </w:tblCellMar>
        </w:tblPrEx>
        <w:trPr>
          <w:trHeight w:val="626" w:hRule="atLeast"/>
        </w:trPr>
        <w:tc>
          <w:tcPr>
            <w:tcW w:w="435" w:type="pct"/>
            <w:vMerge w:val="continue"/>
            <w:tcBorders>
              <w:left w:val="single" w:color="auto" w:sz="4" w:space="0"/>
              <w:right w:val="single" w:color="auto" w:sz="4" w:space="0"/>
            </w:tcBorders>
            <w:vAlign w:val="center"/>
          </w:tcPr>
          <w:p w14:paraId="196B622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459D2D17">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2.平台供应商向第三方提供、泄露采购人提供的，或在履行合同中获知的相关资料信息，或交易中产生的数据（包括但不限于交易数据、操作数据及系统日志等文件）。</w:t>
            </w:r>
          </w:p>
        </w:tc>
        <w:tc>
          <w:tcPr>
            <w:tcW w:w="1672" w:type="pct"/>
            <w:tcBorders>
              <w:top w:val="single" w:color="auto" w:sz="4" w:space="0"/>
              <w:left w:val="single" w:color="auto" w:sz="4" w:space="0"/>
              <w:bottom w:val="single" w:color="auto" w:sz="4" w:space="0"/>
              <w:right w:val="single" w:color="auto" w:sz="4" w:space="0"/>
            </w:tcBorders>
            <w:vAlign w:val="center"/>
          </w:tcPr>
          <w:p w14:paraId="5E8308DA">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扣5分，终止合同，平台供应商须将已产生的数据全部无条件交给采购人，同时承担相应的法律责任。</w:t>
            </w:r>
          </w:p>
        </w:tc>
      </w:tr>
      <w:tr w14:paraId="5E72DF05">
        <w:tblPrEx>
          <w:tblCellMar>
            <w:top w:w="0" w:type="dxa"/>
            <w:left w:w="108" w:type="dxa"/>
            <w:bottom w:w="0" w:type="dxa"/>
            <w:right w:w="108" w:type="dxa"/>
          </w:tblCellMar>
        </w:tblPrEx>
        <w:trPr>
          <w:trHeight w:val="324" w:hRule="atLeast"/>
        </w:trPr>
        <w:tc>
          <w:tcPr>
            <w:tcW w:w="435" w:type="pct"/>
            <w:vMerge w:val="continue"/>
            <w:tcBorders>
              <w:left w:val="single" w:color="auto" w:sz="4" w:space="0"/>
              <w:right w:val="single" w:color="auto" w:sz="4" w:space="0"/>
            </w:tcBorders>
            <w:vAlign w:val="center"/>
          </w:tcPr>
          <w:p w14:paraId="53A3C13F">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C5CC6D3">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3.平台供应商更换含存储功能的设备，不按要求提前报备或移交。</w:t>
            </w:r>
          </w:p>
        </w:tc>
        <w:tc>
          <w:tcPr>
            <w:tcW w:w="1672" w:type="pct"/>
            <w:vMerge w:val="restart"/>
            <w:tcBorders>
              <w:top w:val="single" w:color="auto" w:sz="4" w:space="0"/>
              <w:left w:val="single" w:color="auto" w:sz="4" w:space="0"/>
              <w:right w:val="single" w:color="auto" w:sz="4" w:space="0"/>
            </w:tcBorders>
            <w:vAlign w:val="center"/>
          </w:tcPr>
          <w:p w14:paraId="1244BC88">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扣5分，限期整改；</w:t>
            </w:r>
          </w:p>
        </w:tc>
      </w:tr>
      <w:tr w14:paraId="55D8A8E4">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15DBBAA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E51F14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4.参与本项目的员工未与平台供应商签订《保密承诺书》。</w:t>
            </w:r>
          </w:p>
        </w:tc>
        <w:tc>
          <w:tcPr>
            <w:tcW w:w="1672" w:type="pct"/>
            <w:vMerge w:val="continue"/>
            <w:tcBorders>
              <w:left w:val="single" w:color="auto" w:sz="4" w:space="0"/>
              <w:right w:val="single" w:color="auto" w:sz="4" w:space="0"/>
            </w:tcBorders>
            <w:vAlign w:val="center"/>
          </w:tcPr>
          <w:p w14:paraId="63D8DF9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478A5F8">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23EB2DCA">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518AB9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5.参与本项目的涉密人员未经过平台供应商保密培训。</w:t>
            </w:r>
          </w:p>
        </w:tc>
        <w:tc>
          <w:tcPr>
            <w:tcW w:w="1672" w:type="pct"/>
            <w:vMerge w:val="continue"/>
            <w:tcBorders>
              <w:left w:val="single" w:color="auto" w:sz="4" w:space="0"/>
              <w:right w:val="single" w:color="auto" w:sz="4" w:space="0"/>
            </w:tcBorders>
            <w:vAlign w:val="center"/>
          </w:tcPr>
          <w:p w14:paraId="0C1A81DB">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88218C8">
        <w:tblPrEx>
          <w:tblCellMar>
            <w:top w:w="0" w:type="dxa"/>
            <w:left w:w="108" w:type="dxa"/>
            <w:bottom w:w="0" w:type="dxa"/>
            <w:right w:w="108" w:type="dxa"/>
          </w:tblCellMar>
        </w:tblPrEx>
        <w:trPr>
          <w:trHeight w:val="90"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39887680">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日常管理</w:t>
            </w:r>
          </w:p>
        </w:tc>
        <w:tc>
          <w:tcPr>
            <w:tcW w:w="2891" w:type="pct"/>
            <w:tcBorders>
              <w:top w:val="single" w:color="auto" w:sz="4" w:space="0"/>
              <w:left w:val="single" w:color="auto" w:sz="4" w:space="0"/>
              <w:bottom w:val="single" w:color="auto" w:sz="4" w:space="0"/>
              <w:right w:val="single" w:color="auto" w:sz="4" w:space="0"/>
            </w:tcBorders>
            <w:vAlign w:val="center"/>
          </w:tcPr>
          <w:p w14:paraId="3EDF2AA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1.由其他供应商代替开展交易活动，经检查发现或接到投诉查证属实；</w:t>
            </w:r>
          </w:p>
        </w:tc>
        <w:tc>
          <w:tcPr>
            <w:tcW w:w="1672" w:type="pct"/>
            <w:vMerge w:val="restart"/>
            <w:tcBorders>
              <w:top w:val="single" w:color="auto" w:sz="4" w:space="0"/>
              <w:left w:val="single" w:color="auto" w:sz="4" w:space="0"/>
              <w:bottom w:val="single" w:color="auto" w:sz="4" w:space="0"/>
              <w:right w:val="single" w:color="auto" w:sz="4" w:space="0"/>
            </w:tcBorders>
            <w:vAlign w:val="center"/>
          </w:tcPr>
          <w:p w14:paraId="5EA5EF5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扣除10分，且采购人有权终止合同。</w:t>
            </w:r>
          </w:p>
        </w:tc>
      </w:tr>
      <w:tr w14:paraId="43F14AFF">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498DFA1">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3EC850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2.擅自变更、中断或者终止合同。</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47276FF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2E70C2D4">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0B8329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8FA07F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3.故意提供假冒伪劣产品。</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079CC0C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EC8BA61">
        <w:tblPrEx>
          <w:tblCellMar>
            <w:top w:w="0" w:type="dxa"/>
            <w:left w:w="108" w:type="dxa"/>
            <w:bottom w:w="0" w:type="dxa"/>
            <w:right w:w="108" w:type="dxa"/>
          </w:tblCellMar>
        </w:tblPrEx>
        <w:trPr>
          <w:trHeight w:val="37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CF85EF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8030D4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4.拒绝接受监督检查或者在检查过程中提供虚假材料。</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6E41D03D">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A19B19A">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26DECA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B79377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5.平台供应商对入网供应商审查不严格，入网供应商无资质或资质过期。</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51E58F6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893BE40">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DEE26F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5B8706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6.平台供应商被“信用中国”、“中国政府采购网”、“天眼查”网站列入严重失信行为名单。</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76CE4668">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6FA9D6B">
        <w:tblPrEx>
          <w:tblCellMar>
            <w:top w:w="0" w:type="dxa"/>
            <w:left w:w="108" w:type="dxa"/>
            <w:bottom w:w="0" w:type="dxa"/>
            <w:right w:w="108" w:type="dxa"/>
          </w:tblCellMar>
        </w:tblPrEx>
        <w:trPr>
          <w:trHeight w:val="377"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F43255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CCDFC4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7.不按要求使用采购人提供的场地，擅自更改、破坏场地结构或改变场地用途。</w:t>
            </w:r>
          </w:p>
        </w:tc>
        <w:tc>
          <w:tcPr>
            <w:tcW w:w="1672" w:type="pct"/>
            <w:tcBorders>
              <w:top w:val="single" w:color="auto" w:sz="4" w:space="0"/>
              <w:left w:val="single" w:color="auto" w:sz="4" w:space="0"/>
              <w:bottom w:val="single" w:color="auto" w:sz="4" w:space="0"/>
              <w:right w:val="single" w:color="auto" w:sz="4" w:space="0"/>
            </w:tcBorders>
            <w:vAlign w:val="center"/>
          </w:tcPr>
          <w:p w14:paraId="49B37B67">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扣除10分，限期恢复原用途，且采购人有权终止合同。</w:t>
            </w:r>
          </w:p>
        </w:tc>
      </w:tr>
      <w:tr w14:paraId="28BC8076">
        <w:tblPrEx>
          <w:tblCellMar>
            <w:top w:w="0" w:type="dxa"/>
            <w:left w:w="108" w:type="dxa"/>
            <w:bottom w:w="0" w:type="dxa"/>
            <w:right w:w="108" w:type="dxa"/>
          </w:tblCellMar>
        </w:tblPrEx>
        <w:trPr>
          <w:trHeight w:val="93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E1FAE0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D809EE5">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8.未尽到管理职责发生安全事故的，承担全部责任。</w:t>
            </w:r>
          </w:p>
        </w:tc>
        <w:tc>
          <w:tcPr>
            <w:tcW w:w="1672" w:type="pct"/>
            <w:tcBorders>
              <w:top w:val="single" w:color="auto" w:sz="4" w:space="0"/>
              <w:left w:val="single" w:color="auto" w:sz="4" w:space="0"/>
              <w:bottom w:val="single" w:color="auto" w:sz="4" w:space="0"/>
              <w:right w:val="single" w:color="auto" w:sz="4" w:space="0"/>
            </w:tcBorders>
            <w:vAlign w:val="center"/>
          </w:tcPr>
          <w:p w14:paraId="7E9F8D6B">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一般性安全事故，扣除2分，限期整改，并赔偿给采购人由此造成的全部损失；严重及以上安全事故的，扣除5分，且采购人有权终止合同。</w:t>
            </w:r>
          </w:p>
        </w:tc>
      </w:tr>
      <w:tr w14:paraId="6AD1D358">
        <w:tblPrEx>
          <w:tblCellMar>
            <w:top w:w="0" w:type="dxa"/>
            <w:left w:w="108" w:type="dxa"/>
            <w:bottom w:w="0" w:type="dxa"/>
            <w:right w:w="108" w:type="dxa"/>
          </w:tblCellMar>
        </w:tblPrEx>
        <w:trPr>
          <w:trHeight w:val="36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8E3930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21C08B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9.直接参与采购人试剂耗材的采购和交易。</w:t>
            </w:r>
          </w:p>
        </w:tc>
        <w:tc>
          <w:tcPr>
            <w:tcW w:w="1672" w:type="pct"/>
            <w:tcBorders>
              <w:top w:val="single" w:color="auto" w:sz="4" w:space="0"/>
              <w:left w:val="single" w:color="auto" w:sz="4" w:space="0"/>
              <w:bottom w:val="single" w:color="auto" w:sz="4" w:space="0"/>
              <w:right w:val="single" w:color="auto" w:sz="4" w:space="0"/>
            </w:tcBorders>
            <w:vAlign w:val="center"/>
          </w:tcPr>
          <w:p w14:paraId="1BA97D7D">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扣除10分，停业整顿。第二次发现直接解除合作。</w:t>
            </w:r>
          </w:p>
        </w:tc>
      </w:tr>
      <w:tr w14:paraId="55736A81">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36FC59A">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EB5D0B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10.不按合同约定对入网供应商进行收费。</w:t>
            </w:r>
          </w:p>
        </w:tc>
        <w:tc>
          <w:tcPr>
            <w:tcW w:w="1672" w:type="pct"/>
            <w:vMerge w:val="restart"/>
            <w:tcBorders>
              <w:top w:val="single" w:color="auto" w:sz="4" w:space="0"/>
              <w:left w:val="single" w:color="auto" w:sz="4" w:space="0"/>
              <w:right w:val="single" w:color="auto" w:sz="4" w:space="0"/>
            </w:tcBorders>
            <w:vAlign w:val="center"/>
          </w:tcPr>
          <w:p w14:paraId="3D6D1464">
            <w:pPr>
              <w:ind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每项每累计超过5次，扣除10分</w:t>
            </w:r>
          </w:p>
        </w:tc>
      </w:tr>
      <w:tr w14:paraId="4FB486B2">
        <w:tblPrEx>
          <w:tblCellMar>
            <w:top w:w="0" w:type="dxa"/>
            <w:left w:w="108" w:type="dxa"/>
            <w:bottom w:w="0" w:type="dxa"/>
            <w:right w:w="108" w:type="dxa"/>
          </w:tblCellMar>
        </w:tblPrEx>
        <w:trPr>
          <w:trHeight w:val="39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411D9A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DE63958">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11.平台上的商品标价不是最终销售价格。</w:t>
            </w:r>
          </w:p>
        </w:tc>
        <w:tc>
          <w:tcPr>
            <w:tcW w:w="1672" w:type="pct"/>
            <w:vMerge w:val="continue"/>
            <w:tcBorders>
              <w:left w:val="single" w:color="auto" w:sz="4" w:space="0"/>
              <w:right w:val="single" w:color="auto" w:sz="4" w:space="0"/>
            </w:tcBorders>
            <w:vAlign w:val="center"/>
          </w:tcPr>
          <w:p w14:paraId="08E91FA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2A3C492">
        <w:tblPrEx>
          <w:tblCellMar>
            <w:top w:w="0" w:type="dxa"/>
            <w:left w:w="108" w:type="dxa"/>
            <w:bottom w:w="0" w:type="dxa"/>
            <w:right w:w="108" w:type="dxa"/>
          </w:tblCellMar>
        </w:tblPrEx>
        <w:trPr>
          <w:trHeight w:val="3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FA5FBC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6CAC6A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12.商品价格高于同期市场价格。</w:t>
            </w:r>
          </w:p>
        </w:tc>
        <w:tc>
          <w:tcPr>
            <w:tcW w:w="1672" w:type="pct"/>
            <w:vMerge w:val="continue"/>
            <w:tcBorders>
              <w:left w:val="single" w:color="auto" w:sz="4" w:space="0"/>
              <w:right w:val="single" w:color="auto" w:sz="4" w:space="0"/>
            </w:tcBorders>
            <w:vAlign w:val="center"/>
          </w:tcPr>
          <w:p w14:paraId="404BBC7E">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B35594B">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451DEE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138639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13.虚报价格，平台同一供应商的产品，作为多个不同价格的产品进行销售。</w:t>
            </w:r>
          </w:p>
        </w:tc>
        <w:tc>
          <w:tcPr>
            <w:tcW w:w="1672" w:type="pct"/>
            <w:vMerge w:val="continue"/>
            <w:tcBorders>
              <w:left w:val="single" w:color="auto" w:sz="4" w:space="0"/>
              <w:right w:val="single" w:color="auto" w:sz="4" w:space="0"/>
            </w:tcBorders>
            <w:vAlign w:val="center"/>
          </w:tcPr>
          <w:p w14:paraId="7E91212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CE6B7F9">
        <w:tblPrEx>
          <w:tblCellMar>
            <w:top w:w="0" w:type="dxa"/>
            <w:left w:w="108" w:type="dxa"/>
            <w:bottom w:w="0" w:type="dxa"/>
            <w:right w:w="108" w:type="dxa"/>
          </w:tblCellMar>
        </w:tblPrEx>
        <w:trPr>
          <w:trHeight w:val="36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C2AA99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869AC64">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14.未按规定售卖目录内的商品并有成交记录。</w:t>
            </w:r>
          </w:p>
        </w:tc>
        <w:tc>
          <w:tcPr>
            <w:tcW w:w="1672" w:type="pct"/>
            <w:vMerge w:val="continue"/>
            <w:tcBorders>
              <w:left w:val="single" w:color="auto" w:sz="4" w:space="0"/>
              <w:right w:val="single" w:color="auto" w:sz="4" w:space="0"/>
            </w:tcBorders>
            <w:vAlign w:val="center"/>
          </w:tcPr>
          <w:p w14:paraId="009458F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957FE89">
        <w:tblPrEx>
          <w:tblCellMar>
            <w:top w:w="0" w:type="dxa"/>
            <w:left w:w="108" w:type="dxa"/>
            <w:bottom w:w="0" w:type="dxa"/>
            <w:right w:w="108" w:type="dxa"/>
          </w:tblCellMar>
        </w:tblPrEx>
        <w:trPr>
          <w:trHeight w:val="34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79FCA4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A7F4E4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15.擅自取消电子订单。</w:t>
            </w:r>
          </w:p>
        </w:tc>
        <w:tc>
          <w:tcPr>
            <w:tcW w:w="1672" w:type="pct"/>
            <w:vMerge w:val="continue"/>
            <w:tcBorders>
              <w:left w:val="single" w:color="auto" w:sz="4" w:space="0"/>
              <w:right w:val="single" w:color="auto" w:sz="4" w:space="0"/>
            </w:tcBorders>
            <w:vAlign w:val="center"/>
          </w:tcPr>
          <w:p w14:paraId="4535A42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EEA347D">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A73095E">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B8BB0D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16.未按约定时间供货。</w:t>
            </w:r>
          </w:p>
        </w:tc>
        <w:tc>
          <w:tcPr>
            <w:tcW w:w="1672" w:type="pct"/>
            <w:vMerge w:val="continue"/>
            <w:tcBorders>
              <w:left w:val="single" w:color="auto" w:sz="4" w:space="0"/>
              <w:right w:val="single" w:color="auto" w:sz="4" w:space="0"/>
            </w:tcBorders>
            <w:vAlign w:val="center"/>
          </w:tcPr>
          <w:p w14:paraId="052595B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ED976F8">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22C224D">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A9DD8D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17.因产品质量、售后服务或不按合同履约被用户书面投诉，并查证属实。</w:t>
            </w:r>
          </w:p>
        </w:tc>
        <w:tc>
          <w:tcPr>
            <w:tcW w:w="1672" w:type="pct"/>
            <w:vMerge w:val="continue"/>
            <w:tcBorders>
              <w:left w:val="single" w:color="auto" w:sz="4" w:space="0"/>
              <w:right w:val="single" w:color="auto" w:sz="4" w:space="0"/>
            </w:tcBorders>
            <w:vAlign w:val="center"/>
          </w:tcPr>
          <w:p w14:paraId="1D0C3A2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D2C8A04">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8ABBA3E">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41F1AF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18.未及时上传、维护和更新产品信息</w:t>
            </w:r>
          </w:p>
        </w:tc>
        <w:tc>
          <w:tcPr>
            <w:tcW w:w="1672" w:type="pct"/>
            <w:vMerge w:val="continue"/>
            <w:tcBorders>
              <w:left w:val="single" w:color="auto" w:sz="4" w:space="0"/>
              <w:right w:val="single" w:color="auto" w:sz="4" w:space="0"/>
            </w:tcBorders>
            <w:vAlign w:val="center"/>
          </w:tcPr>
          <w:p w14:paraId="53BF70F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D912581">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88954E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237B4B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19.商品名称与详细信息不一致。</w:t>
            </w:r>
          </w:p>
        </w:tc>
        <w:tc>
          <w:tcPr>
            <w:tcW w:w="1672" w:type="pct"/>
            <w:vMerge w:val="continue"/>
            <w:tcBorders>
              <w:left w:val="single" w:color="auto" w:sz="4" w:space="0"/>
              <w:right w:val="single" w:color="auto" w:sz="4" w:space="0"/>
            </w:tcBorders>
            <w:vAlign w:val="center"/>
          </w:tcPr>
          <w:p w14:paraId="4DF61DAE">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C1787DB">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A4A58E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A103938">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20.物流信息不符合要求或不完整。</w:t>
            </w:r>
          </w:p>
        </w:tc>
        <w:tc>
          <w:tcPr>
            <w:tcW w:w="1672" w:type="pct"/>
            <w:vMerge w:val="continue"/>
            <w:tcBorders>
              <w:left w:val="single" w:color="auto" w:sz="4" w:space="0"/>
              <w:right w:val="single" w:color="auto" w:sz="4" w:space="0"/>
            </w:tcBorders>
            <w:vAlign w:val="center"/>
          </w:tcPr>
          <w:p w14:paraId="33BE3C5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7E8367C0">
        <w:tblPrEx>
          <w:tblCellMar>
            <w:top w:w="0" w:type="dxa"/>
            <w:left w:w="108" w:type="dxa"/>
            <w:bottom w:w="0" w:type="dxa"/>
            <w:right w:w="108" w:type="dxa"/>
          </w:tblCellMar>
        </w:tblPrEx>
        <w:trPr>
          <w:trHeight w:val="318"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098D753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售后服务</w:t>
            </w:r>
          </w:p>
        </w:tc>
        <w:tc>
          <w:tcPr>
            <w:tcW w:w="2891" w:type="pct"/>
            <w:tcBorders>
              <w:top w:val="single" w:color="auto" w:sz="4" w:space="0"/>
              <w:left w:val="single" w:color="auto" w:sz="4" w:space="0"/>
              <w:bottom w:val="single" w:color="auto" w:sz="4" w:space="0"/>
              <w:right w:val="single" w:color="auto" w:sz="4" w:space="0"/>
            </w:tcBorders>
            <w:vAlign w:val="center"/>
          </w:tcPr>
          <w:p w14:paraId="36D7B68A">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1.未根据采购人要求提供采购人用户（含采购人人员变动时）线上平台培训服务。</w:t>
            </w:r>
          </w:p>
        </w:tc>
        <w:tc>
          <w:tcPr>
            <w:tcW w:w="1672" w:type="pct"/>
            <w:tcBorders>
              <w:top w:val="single" w:color="auto" w:sz="4" w:space="0"/>
              <w:left w:val="single" w:color="auto" w:sz="4" w:space="0"/>
              <w:bottom w:val="single" w:color="auto" w:sz="4" w:space="0"/>
              <w:right w:val="single" w:color="auto" w:sz="4" w:space="0"/>
            </w:tcBorders>
            <w:vAlign w:val="center"/>
          </w:tcPr>
          <w:p w14:paraId="6DDDC268">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0F4924A9">
        <w:tblPrEx>
          <w:tblCellMar>
            <w:top w:w="0" w:type="dxa"/>
            <w:left w:w="108" w:type="dxa"/>
            <w:bottom w:w="0" w:type="dxa"/>
            <w:right w:w="108" w:type="dxa"/>
          </w:tblCellMar>
        </w:tblPrEx>
        <w:trPr>
          <w:trHeight w:val="429"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E91C78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2AB3709">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2.不提供自采购人用户收到货物或服务之日起七日内的退换服务。</w:t>
            </w:r>
          </w:p>
        </w:tc>
        <w:tc>
          <w:tcPr>
            <w:tcW w:w="1672" w:type="pct"/>
            <w:tcBorders>
              <w:top w:val="single" w:color="auto" w:sz="4" w:space="0"/>
              <w:left w:val="single" w:color="auto" w:sz="4" w:space="0"/>
              <w:bottom w:val="single" w:color="auto" w:sz="4" w:space="0"/>
              <w:right w:val="single" w:color="auto" w:sz="4" w:space="0"/>
            </w:tcBorders>
            <w:vAlign w:val="center"/>
          </w:tcPr>
          <w:p w14:paraId="301B5819">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4A15016C">
        <w:tblPrEx>
          <w:tblCellMar>
            <w:top w:w="0" w:type="dxa"/>
            <w:left w:w="108" w:type="dxa"/>
            <w:bottom w:w="0" w:type="dxa"/>
            <w:right w:w="108" w:type="dxa"/>
          </w:tblCellMar>
        </w:tblPrEx>
        <w:trPr>
          <w:trHeight w:val="62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28F831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8F98924">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3.平台无法正常提供服务。</w:t>
            </w:r>
          </w:p>
        </w:tc>
        <w:tc>
          <w:tcPr>
            <w:tcW w:w="1672" w:type="pct"/>
            <w:tcBorders>
              <w:top w:val="single" w:color="auto" w:sz="4" w:space="0"/>
              <w:left w:val="single" w:color="auto" w:sz="4" w:space="0"/>
              <w:bottom w:val="single" w:color="auto" w:sz="4" w:space="0"/>
              <w:right w:val="single" w:color="auto" w:sz="4" w:space="0"/>
            </w:tcBorders>
            <w:vAlign w:val="center"/>
          </w:tcPr>
          <w:p w14:paraId="3368A9E3">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超过12小时，扣除5分。</w:t>
            </w:r>
          </w:p>
          <w:p w14:paraId="149960F2">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超过7天无法正常使用，采购人有权终止合同。</w:t>
            </w:r>
          </w:p>
        </w:tc>
      </w:tr>
      <w:tr w14:paraId="4FCFA04B">
        <w:tblPrEx>
          <w:tblCellMar>
            <w:top w:w="0" w:type="dxa"/>
            <w:left w:w="108" w:type="dxa"/>
            <w:bottom w:w="0" w:type="dxa"/>
            <w:right w:w="108" w:type="dxa"/>
          </w:tblCellMar>
        </w:tblPrEx>
        <w:trPr>
          <w:trHeight w:val="34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DCF34E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BA56F14">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4.未提供7×24小时技术支持和电话服务。</w:t>
            </w:r>
          </w:p>
        </w:tc>
        <w:tc>
          <w:tcPr>
            <w:tcW w:w="1672" w:type="pct"/>
            <w:tcBorders>
              <w:top w:val="single" w:color="auto" w:sz="4" w:space="0"/>
              <w:left w:val="single" w:color="auto" w:sz="4" w:space="0"/>
              <w:bottom w:val="single" w:color="auto" w:sz="4" w:space="0"/>
              <w:right w:val="single" w:color="auto" w:sz="4" w:space="0"/>
            </w:tcBorders>
            <w:vAlign w:val="center"/>
          </w:tcPr>
          <w:p w14:paraId="44540B1F">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33E07765">
        <w:tblPrEx>
          <w:tblCellMar>
            <w:top w:w="0" w:type="dxa"/>
            <w:left w:w="108" w:type="dxa"/>
            <w:bottom w:w="0" w:type="dxa"/>
            <w:right w:w="108" w:type="dxa"/>
          </w:tblCellMar>
        </w:tblPrEx>
        <w:trPr>
          <w:trHeight w:val="25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56916F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3C5B75A">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5.对采购人的服务通知，未在接报后2小时内响应，24小时内未处理完毕。</w:t>
            </w:r>
          </w:p>
        </w:tc>
        <w:tc>
          <w:tcPr>
            <w:tcW w:w="1672" w:type="pct"/>
            <w:tcBorders>
              <w:top w:val="single" w:color="auto" w:sz="4" w:space="0"/>
              <w:left w:val="single" w:color="auto" w:sz="4" w:space="0"/>
              <w:bottom w:val="single" w:color="auto" w:sz="4" w:space="0"/>
              <w:right w:val="single" w:color="auto" w:sz="4" w:space="0"/>
            </w:tcBorders>
            <w:vAlign w:val="center"/>
          </w:tcPr>
          <w:p w14:paraId="0815CCA0">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595A63FA">
        <w:tblPrEx>
          <w:tblCellMar>
            <w:top w:w="0" w:type="dxa"/>
            <w:left w:w="108" w:type="dxa"/>
            <w:bottom w:w="0" w:type="dxa"/>
            <w:right w:w="108" w:type="dxa"/>
          </w:tblCellMar>
        </w:tblPrEx>
        <w:trPr>
          <w:trHeight w:val="2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D48FCCF">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2FF13D0">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6.突发情况24小时内未到达现场处理。</w:t>
            </w:r>
          </w:p>
        </w:tc>
        <w:tc>
          <w:tcPr>
            <w:tcW w:w="1672" w:type="pct"/>
            <w:tcBorders>
              <w:top w:val="single" w:color="auto" w:sz="4" w:space="0"/>
              <w:left w:val="single" w:color="auto" w:sz="4" w:space="0"/>
              <w:bottom w:val="single" w:color="auto" w:sz="4" w:space="0"/>
              <w:right w:val="single" w:color="auto" w:sz="4" w:space="0"/>
            </w:tcBorders>
            <w:vAlign w:val="center"/>
          </w:tcPr>
          <w:p w14:paraId="34C56B8C">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扣5分，采购人有权终止合同。</w:t>
            </w:r>
          </w:p>
        </w:tc>
      </w:tr>
    </w:tbl>
    <w:p w14:paraId="4D11065F">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1E53B04C">
      <w:pPr>
        <w:pStyle w:val="3"/>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2A29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34C61EE0">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7F8FBA00">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6E7FD3F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DEF0281">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0AA3F29E">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132E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143E1261">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022ED5C9">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费用响应10</w:t>
            </w:r>
            <w:r>
              <w:rPr>
                <w:rFonts w:hint="eastAsia" w:ascii="仿宋" w:hAnsi="仿宋" w:eastAsia="仿宋" w:cs="宋体"/>
                <w:sz w:val="24"/>
              </w:rPr>
              <w:t>%</w:t>
            </w:r>
          </w:p>
        </w:tc>
        <w:tc>
          <w:tcPr>
            <w:tcW w:w="709" w:type="dxa"/>
            <w:noWrap/>
            <w:vAlign w:val="center"/>
          </w:tcPr>
          <w:p w14:paraId="1589BB44">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23FCF34C">
            <w:pPr>
              <w:numPr>
                <w:ilvl w:val="0"/>
                <w:numId w:val="12"/>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平台供应商承诺向第三方供应商收取平台服务费，</w:t>
            </w:r>
          </w:p>
          <w:p w14:paraId="7ABE6BEF">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①服务费0（含）-1%(不含）得5分；</w:t>
            </w:r>
          </w:p>
          <w:p w14:paraId="2BE3EB17">
            <w:pPr>
              <w:numPr>
                <w:ilvl w:val="0"/>
                <w:numId w:val="0"/>
              </w:num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②服务费1%（含）-2%（不含）得3分.</w:t>
            </w:r>
          </w:p>
          <w:p w14:paraId="267503B4">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2、平台供应商承诺向第三方供应商收取平台店铺费、年费。</w:t>
            </w:r>
          </w:p>
          <w:p w14:paraId="1BF85E70">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①费用为0元/年/家，得5分；</w:t>
            </w:r>
          </w:p>
          <w:p w14:paraId="18222B69">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②费用为0元/年/家（不含）-5000元/年/家（含），得3分;</w:t>
            </w:r>
          </w:p>
          <w:p w14:paraId="753A881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③费用为5000元/年/家（不含）-20000元/年/家（含），得1分。</w:t>
            </w:r>
          </w:p>
          <w:p w14:paraId="703DD7DB">
            <w:pPr>
              <w:spacing w:line="360" w:lineRule="auto"/>
              <w:rPr>
                <w:rFonts w:hint="eastAsia" w:ascii="仿宋" w:hAnsi="仿宋" w:eastAsia="仿宋" w:cs="宋体"/>
                <w:sz w:val="24"/>
                <w:lang w:val="en-US" w:eastAsia="zh-CN"/>
              </w:rPr>
            </w:pPr>
            <w:r>
              <w:rPr>
                <w:rFonts w:hint="eastAsia" w:ascii="宋体" w:hAnsi="宋体" w:eastAsia="宋体" w:cs="宋体"/>
                <w:sz w:val="24"/>
                <w:lang w:val="en-US" w:eastAsia="zh-CN"/>
              </w:rPr>
              <w:t>④</w:t>
            </w:r>
            <w:r>
              <w:rPr>
                <w:rFonts w:hint="eastAsia" w:ascii="仿宋" w:hAnsi="仿宋" w:eastAsia="仿宋" w:cs="宋体"/>
                <w:sz w:val="24"/>
                <w:lang w:val="en-US" w:eastAsia="zh-CN"/>
              </w:rPr>
              <w:t>费用超过 20000 元/年/家，不得分。</w:t>
            </w:r>
          </w:p>
          <w:p w14:paraId="0ECC805F">
            <w:pPr>
              <w:pStyle w:val="7"/>
              <w:rPr>
                <w:rFonts w:hint="default"/>
                <w:lang w:val="en-US"/>
              </w:rPr>
            </w:pPr>
            <w:r>
              <w:rPr>
                <w:rFonts w:hint="eastAsia" w:ascii="仿宋" w:hAnsi="仿宋" w:eastAsia="仿宋" w:cs="宋体"/>
                <w:sz w:val="24"/>
                <w:lang w:val="en-US" w:eastAsia="zh-CN"/>
              </w:rPr>
              <w:t>注：</w:t>
            </w:r>
            <w:r>
              <w:rPr>
                <w:rFonts w:hint="eastAsia" w:ascii="仿宋" w:hAnsi="仿宋" w:eastAsia="仿宋"/>
                <w:b w:val="0"/>
                <w:bCs w:val="0"/>
                <w:sz w:val="24"/>
                <w:szCs w:val="24"/>
                <w:lang w:val="en-US" w:eastAsia="zh-CN"/>
              </w:rPr>
              <w:t>提供承诺函并加盖平台供应商公章</w:t>
            </w:r>
          </w:p>
        </w:tc>
      </w:tr>
      <w:tr w14:paraId="264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5A99E595">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305226F4">
            <w:pPr>
              <w:spacing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供应商数量10%</w:t>
            </w:r>
          </w:p>
        </w:tc>
        <w:tc>
          <w:tcPr>
            <w:tcW w:w="709" w:type="dxa"/>
            <w:noWrap/>
            <w:vAlign w:val="center"/>
          </w:tcPr>
          <w:p w14:paraId="0511C71B">
            <w:pPr>
              <w:spacing w:line="360" w:lineRule="auto"/>
              <w:jc w:val="center"/>
              <w:rPr>
                <w:rFonts w:hint="default" w:ascii="仿宋" w:hAnsi="仿宋" w:eastAsia="仿宋" w:cs="宋体"/>
                <w:sz w:val="24"/>
                <w:lang w:val="en-US" w:eastAsia="zh-CN"/>
              </w:rPr>
            </w:pPr>
            <w:r>
              <w:rPr>
                <w:rFonts w:hint="eastAsia" w:ascii="仿宋" w:hAnsi="仿宋" w:eastAsia="仿宋"/>
                <w:sz w:val="24"/>
                <w:lang w:val="en-US" w:eastAsia="zh-CN"/>
              </w:rPr>
              <w:t>10</w:t>
            </w:r>
          </w:p>
        </w:tc>
        <w:tc>
          <w:tcPr>
            <w:tcW w:w="6520" w:type="dxa"/>
            <w:noWrap/>
            <w:vAlign w:val="center"/>
          </w:tcPr>
          <w:p w14:paraId="4792E03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第三方供应商数量≥20000家的得10分，10000家（含）-20000家（不含）的得5分；5000（含）-10000家(不含）的得3分；小于5000家的不得分。</w:t>
            </w:r>
          </w:p>
          <w:p w14:paraId="72BFAED6">
            <w:pPr>
              <w:pStyle w:val="7"/>
              <w:rPr>
                <w:rFonts w:hint="default"/>
                <w:lang w:val="en-US"/>
              </w:rPr>
            </w:pPr>
            <w:r>
              <w:rPr>
                <w:rFonts w:hint="eastAsia" w:ascii="仿宋" w:hAnsi="仿宋" w:eastAsia="仿宋" w:cs="宋体"/>
                <w:color w:val="000000"/>
                <w:sz w:val="24"/>
                <w:lang w:val="en-US" w:eastAsia="zh-CN"/>
              </w:rPr>
              <w:t>注：提供数量证明材料并加盖平台供应商公章。</w:t>
            </w:r>
          </w:p>
        </w:tc>
      </w:tr>
      <w:tr w14:paraId="2A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517EB0AD">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51DA68A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演示20</w:t>
            </w:r>
            <w:r>
              <w:rPr>
                <w:rFonts w:hint="eastAsia" w:ascii="仿宋" w:hAnsi="仿宋" w:eastAsia="仿宋" w:cs="宋体"/>
                <w:sz w:val="24"/>
              </w:rPr>
              <w:t>%</w:t>
            </w:r>
          </w:p>
        </w:tc>
        <w:tc>
          <w:tcPr>
            <w:tcW w:w="709" w:type="dxa"/>
            <w:noWrap/>
            <w:vAlign w:val="center"/>
          </w:tcPr>
          <w:p w14:paraId="70E6D39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20</w:t>
            </w:r>
          </w:p>
        </w:tc>
        <w:tc>
          <w:tcPr>
            <w:tcW w:w="6520" w:type="dxa"/>
            <w:noWrap/>
            <w:vAlign w:val="center"/>
          </w:tcPr>
          <w:p w14:paraId="59601C11">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对系统平台功能操作演示</w:t>
            </w:r>
            <w:r>
              <w:rPr>
                <w:rFonts w:hint="eastAsia" w:ascii="仿宋" w:hAnsi="仿宋" w:eastAsia="仿宋" w:cs="Times New Roman"/>
                <w:sz w:val="24"/>
                <w:lang w:val="en-US" w:eastAsia="zh-CN"/>
              </w:rPr>
              <w:t>（</w:t>
            </w:r>
            <w:r>
              <w:rPr>
                <w:rFonts w:hint="eastAsia" w:ascii="仿宋" w:hAnsi="仿宋" w:eastAsia="仿宋" w:cs="仿宋"/>
                <w:b w:val="0"/>
                <w:bCs/>
                <w:color w:val="auto"/>
                <w:sz w:val="24"/>
                <w:szCs w:val="24"/>
              </w:rPr>
              <w:t>“</w:t>
            </w:r>
            <w:r>
              <w:rPr>
                <w:rFonts w:hint="eastAsia" w:ascii="仿宋" w:hAnsi="仿宋" w:eastAsia="仿宋" w:cs="仿宋"/>
                <w:b w:val="0"/>
                <w:bCs w:val="0"/>
                <w:sz w:val="24"/>
                <w:szCs w:val="24"/>
              </w:rPr>
              <w:t>●</w:t>
            </w:r>
            <w:r>
              <w:rPr>
                <w:rFonts w:hint="eastAsia" w:ascii="仿宋" w:hAnsi="仿宋" w:eastAsia="仿宋" w:cs="仿宋"/>
                <w:b w:val="0"/>
                <w:bCs/>
                <w:color w:val="auto"/>
                <w:sz w:val="24"/>
                <w:szCs w:val="24"/>
              </w:rPr>
              <w:t>”项技术指标</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共10项</w:t>
            </w:r>
            <w:r>
              <w:rPr>
                <w:rFonts w:hint="eastAsia" w:ascii="仿宋" w:hAnsi="仿宋" w:eastAsia="仿宋" w:cs="仿宋"/>
                <w:b w:val="0"/>
                <w:bCs/>
                <w:color w:val="auto"/>
                <w:sz w:val="24"/>
                <w:szCs w:val="24"/>
                <w:lang w:eastAsia="zh-CN"/>
              </w:rPr>
              <w:t>）</w:t>
            </w:r>
            <w:r>
              <w:rPr>
                <w:rFonts w:hint="default" w:ascii="仿宋" w:hAnsi="仿宋" w:eastAsia="仿宋" w:cs="Times New Roman"/>
                <w:sz w:val="24"/>
                <w:lang w:val="en-US" w:eastAsia="zh-CN"/>
              </w:rPr>
              <w:t>，演示时间不超过</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分钟。</w:t>
            </w:r>
          </w:p>
          <w:p w14:paraId="34D4337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需按照演示要求进行系统演示，完全满足</w:t>
            </w:r>
            <w:r>
              <w:rPr>
                <w:rFonts w:hint="eastAsia" w:ascii="仿宋" w:hAnsi="仿宋" w:eastAsia="仿宋" w:cs="Times New Roman"/>
                <w:sz w:val="24"/>
                <w:lang w:val="en-US" w:eastAsia="zh-CN"/>
              </w:rPr>
              <w:t>谈判</w:t>
            </w:r>
            <w:r>
              <w:rPr>
                <w:rFonts w:hint="default" w:ascii="仿宋" w:hAnsi="仿宋" w:eastAsia="仿宋" w:cs="Times New Roman"/>
                <w:sz w:val="24"/>
                <w:lang w:val="en-US" w:eastAsia="zh-CN"/>
              </w:rPr>
              <w:t>文件演示要求且无缺陷的得</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分，每有一项演示不满足或存在缺陷的扣</w:t>
            </w: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分，</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分扣完为止。</w:t>
            </w:r>
          </w:p>
          <w:p w14:paraId="013DB77E">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p>
          <w:p w14:paraId="5CCC8FE3">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1</w:t>
            </w:r>
            <w:r>
              <w:rPr>
                <w:rFonts w:hint="default" w:ascii="仿宋" w:hAnsi="仿宋" w:eastAsia="仿宋" w:cs="Times New Roman"/>
                <w:sz w:val="24"/>
                <w:lang w:val="en-US" w:eastAsia="zh-CN"/>
              </w:rPr>
              <w:t>.演示形式：演示形式为现场讲解+DEMO展示。</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需携带笔记本电脑(须有 HDMI接口)，演示资料(U盘格式或者光盘格式)无需和</w:t>
            </w:r>
            <w:r>
              <w:rPr>
                <w:rFonts w:hint="eastAsia" w:ascii="仿宋" w:hAnsi="仿宋" w:eastAsia="仿宋" w:cs="Times New Roman"/>
                <w:sz w:val="24"/>
                <w:lang w:val="en-US" w:eastAsia="zh-CN"/>
              </w:rPr>
              <w:t>响应</w:t>
            </w:r>
            <w:r>
              <w:rPr>
                <w:rFonts w:hint="default" w:ascii="仿宋" w:hAnsi="仿宋" w:eastAsia="仿宋" w:cs="Times New Roman"/>
                <w:sz w:val="24"/>
                <w:lang w:val="en-US" w:eastAsia="zh-CN"/>
              </w:rPr>
              <w:t>文件一起递交。</w:t>
            </w:r>
          </w:p>
          <w:p w14:paraId="4D752556">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.演示使用的系统平台、计算机及网络环境等由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自行准备。演示所需数据均为模拟数据，由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需提前录入演示所需数据。</w:t>
            </w:r>
          </w:p>
          <w:p w14:paraId="25C32C1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3</w:t>
            </w:r>
            <w:r>
              <w:rPr>
                <w:rFonts w:hint="default" w:ascii="仿宋" w:hAnsi="仿宋" w:eastAsia="仿宋" w:cs="Times New Roman"/>
                <w:sz w:val="24"/>
                <w:lang w:val="en-US" w:eastAsia="zh-CN"/>
              </w:rPr>
              <w:t>. 演示过程中应保证画面清晰、声音清楚，避免出现卡顿、模糊等影响观感的情况。</w:t>
            </w:r>
          </w:p>
          <w:p w14:paraId="7A6B487D">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4</w:t>
            </w:r>
            <w:r>
              <w:rPr>
                <w:rFonts w:hint="default" w:ascii="仿宋" w:hAnsi="仿宋" w:eastAsia="仿宋" w:cs="Times New Roman"/>
                <w:sz w:val="24"/>
                <w:lang w:val="en-US" w:eastAsia="zh-CN"/>
              </w:rPr>
              <w:t>.演示</w:t>
            </w:r>
            <w:r>
              <w:rPr>
                <w:rFonts w:hint="eastAsia" w:ascii="仿宋" w:hAnsi="仿宋" w:eastAsia="仿宋" w:cs="Times New Roman"/>
                <w:sz w:val="24"/>
                <w:lang w:val="en-US" w:eastAsia="zh-CN"/>
              </w:rPr>
              <w:t>时间</w:t>
            </w:r>
            <w:r>
              <w:rPr>
                <w:rFonts w:hint="default" w:ascii="仿宋" w:hAnsi="仿宋" w:eastAsia="仿宋" w:cs="Times New Roman"/>
                <w:sz w:val="24"/>
                <w:lang w:val="en-US" w:eastAsia="zh-CN"/>
              </w:rPr>
              <w:t>：</w:t>
            </w:r>
            <w:r>
              <w:rPr>
                <w:rFonts w:hint="eastAsia" w:ascii="仿宋" w:hAnsi="仿宋" w:eastAsia="仿宋" w:cs="Times New Roman"/>
                <w:sz w:val="24"/>
                <w:lang w:val="en-US" w:eastAsia="zh-CN"/>
              </w:rPr>
              <w:t>本项目开标当日9:00，接采购人通知后</w:t>
            </w:r>
            <w:r>
              <w:rPr>
                <w:rFonts w:hint="default" w:ascii="仿宋" w:hAnsi="仿宋" w:eastAsia="仿宋" w:cs="Times New Roman"/>
                <w:sz w:val="24"/>
                <w:lang w:val="en-US" w:eastAsia="zh-CN"/>
              </w:rPr>
              <w:t>。</w:t>
            </w:r>
          </w:p>
          <w:p w14:paraId="29DD2932">
            <w:pPr>
              <w:numPr>
                <w:ilvl w:val="0"/>
                <w:numId w:val="0"/>
              </w:numPr>
              <w:spacing w:line="360" w:lineRule="auto"/>
              <w:rPr>
                <w:rFonts w:hint="default"/>
                <w:lang w:val="en-US" w:eastAsia="zh-CN"/>
              </w:rPr>
            </w:pPr>
            <w:r>
              <w:rPr>
                <w:rFonts w:hint="default" w:ascii="仿宋" w:hAnsi="仿宋" w:eastAsia="仿宋" w:cs="Times New Roman"/>
                <w:sz w:val="24"/>
                <w:lang w:val="en-US" w:eastAsia="zh-CN"/>
              </w:rPr>
              <w:t>地点：四川省人民医院招标采购中心412会议室（成都市青羊区浣花北路18号附1号4楼412）。</w:t>
            </w:r>
          </w:p>
        </w:tc>
      </w:tr>
      <w:tr w14:paraId="548B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6" w:type="dxa"/>
            <w:noWrap/>
            <w:vAlign w:val="center"/>
          </w:tcPr>
          <w:p w14:paraId="6CE90441">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255B76F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技术指标24%</w:t>
            </w:r>
          </w:p>
        </w:tc>
        <w:tc>
          <w:tcPr>
            <w:tcW w:w="709" w:type="dxa"/>
            <w:noWrap/>
            <w:vAlign w:val="center"/>
          </w:tcPr>
          <w:p w14:paraId="7819938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24</w:t>
            </w:r>
          </w:p>
        </w:tc>
        <w:tc>
          <w:tcPr>
            <w:tcW w:w="6520" w:type="dxa"/>
            <w:noWrap/>
            <w:vAlign w:val="center"/>
          </w:tcPr>
          <w:p w14:paraId="104DC879">
            <w:pPr>
              <w:keepNext w:val="0"/>
              <w:keepLines w:val="0"/>
              <w:pageBreakBefore w:val="0"/>
              <w:kinsoku/>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lang w:val="en-US" w:eastAsia="zh-CN"/>
              </w:rPr>
              <w:t>1.平台供应商</w:t>
            </w:r>
            <w:r>
              <w:rPr>
                <w:rFonts w:hint="eastAsia" w:ascii="仿宋" w:hAnsi="仿宋" w:eastAsia="仿宋" w:cs="仿宋"/>
                <w:b w:val="0"/>
                <w:bCs/>
                <w:snapToGrid w:val="0"/>
                <w:color w:val="auto"/>
                <w:sz w:val="24"/>
                <w:szCs w:val="24"/>
              </w:rPr>
              <w:t>完全满足</w:t>
            </w:r>
            <w:r>
              <w:rPr>
                <w:rFonts w:hint="eastAsia" w:ascii="仿宋" w:hAnsi="仿宋" w:eastAsia="仿宋" w:cs="仿宋"/>
                <w:b w:val="0"/>
                <w:bCs/>
                <w:snapToGrid w:val="0"/>
                <w:color w:val="auto"/>
                <w:sz w:val="24"/>
                <w:szCs w:val="24"/>
                <w:lang w:val="en-US" w:eastAsia="zh-CN"/>
              </w:rPr>
              <w:t>谈判</w:t>
            </w:r>
            <w:r>
              <w:rPr>
                <w:rFonts w:hint="eastAsia" w:ascii="仿宋" w:hAnsi="仿宋" w:eastAsia="仿宋" w:cs="仿宋"/>
                <w:b w:val="0"/>
                <w:bCs/>
                <w:snapToGrid w:val="0"/>
                <w:color w:val="auto"/>
                <w:sz w:val="24"/>
                <w:szCs w:val="24"/>
              </w:rPr>
              <w:t>文件</w:t>
            </w:r>
            <w:r>
              <w:rPr>
                <w:rFonts w:hint="eastAsia" w:ascii="仿宋" w:hAnsi="仿宋" w:eastAsia="仿宋" w:cs="仿宋"/>
                <w:b/>
                <w:bCs w:val="0"/>
                <w:snapToGrid w:val="0"/>
                <w:color w:val="auto"/>
                <w:sz w:val="24"/>
                <w:szCs w:val="24"/>
              </w:rPr>
              <w:t>第</w:t>
            </w:r>
            <w:r>
              <w:rPr>
                <w:rFonts w:hint="eastAsia" w:ascii="仿宋" w:hAnsi="仿宋" w:eastAsia="仿宋" w:cs="仿宋"/>
                <w:b/>
                <w:bCs w:val="0"/>
                <w:snapToGrid w:val="0"/>
                <w:color w:val="auto"/>
                <w:sz w:val="24"/>
                <w:szCs w:val="24"/>
                <w:lang w:val="en-US" w:eastAsia="zh-CN"/>
              </w:rPr>
              <w:t>四</w:t>
            </w:r>
            <w:r>
              <w:rPr>
                <w:rFonts w:hint="eastAsia" w:ascii="仿宋" w:hAnsi="仿宋" w:eastAsia="仿宋" w:cs="仿宋"/>
                <w:b/>
                <w:bCs w:val="0"/>
                <w:snapToGrid w:val="0"/>
                <w:color w:val="auto"/>
                <w:sz w:val="24"/>
                <w:szCs w:val="24"/>
              </w:rPr>
              <w:t xml:space="preserve">章 </w:t>
            </w:r>
            <w:r>
              <w:rPr>
                <w:rFonts w:hint="eastAsia" w:ascii="仿宋" w:hAnsi="仿宋" w:eastAsia="仿宋" w:cs="仿宋"/>
                <w:b/>
                <w:bCs w:val="0"/>
                <w:snapToGrid w:val="0"/>
                <w:color w:val="auto"/>
                <w:sz w:val="24"/>
                <w:szCs w:val="24"/>
                <w:lang w:val="en-US" w:eastAsia="zh-CN"/>
              </w:rPr>
              <w:t>采购需求</w:t>
            </w:r>
            <w:r>
              <w:rPr>
                <w:rFonts w:hint="eastAsia" w:ascii="仿宋" w:hAnsi="仿宋" w:eastAsia="仿宋" w:cs="仿宋"/>
                <w:b w:val="0"/>
                <w:bCs/>
                <w:snapToGrid w:val="0"/>
                <w:color w:val="auto"/>
                <w:sz w:val="24"/>
                <w:szCs w:val="24"/>
                <w:lang w:val="en-US"/>
              </w:rPr>
              <w:t xml:space="preserve"> </w:t>
            </w:r>
            <w:r>
              <w:rPr>
                <w:rFonts w:hint="eastAsia" w:ascii="仿宋" w:hAnsi="仿宋" w:eastAsia="仿宋" w:cs="仿宋"/>
                <w:b w:val="0"/>
                <w:bCs/>
                <w:snapToGrid w:val="0"/>
                <w:color w:val="auto"/>
                <w:sz w:val="24"/>
                <w:szCs w:val="24"/>
                <w:lang w:val="en-US" w:eastAsia="zh-CN"/>
              </w:rPr>
              <w:t>二、技术服务要求</w:t>
            </w:r>
            <w:r>
              <w:rPr>
                <w:rFonts w:hint="eastAsia" w:ascii="仿宋" w:hAnsi="仿宋" w:eastAsia="仿宋" w:cs="仿宋"/>
                <w:b w:val="0"/>
                <w:bCs/>
                <w:snapToGrid w:val="0"/>
                <w:color w:val="auto"/>
                <w:sz w:val="24"/>
                <w:szCs w:val="24"/>
              </w:rPr>
              <w:t xml:space="preserve"> (二)功能需求（</w:t>
            </w:r>
            <w:r>
              <w:rPr>
                <w:rFonts w:hint="eastAsia" w:ascii="仿宋" w:hAnsi="仿宋" w:eastAsia="仿宋" w:cs="仿宋"/>
                <w:b w:val="0"/>
                <w:bCs w:val="0"/>
                <w:sz w:val="24"/>
                <w:szCs w:val="24"/>
              </w:rPr>
              <w:t>●</w:t>
            </w:r>
            <w:r>
              <w:rPr>
                <w:rFonts w:hint="eastAsia" w:ascii="仿宋" w:hAnsi="仿宋" w:eastAsia="仿宋" w:cs="仿宋"/>
                <w:b w:val="0"/>
                <w:bCs/>
                <w:snapToGrid w:val="0"/>
                <w:color w:val="auto"/>
                <w:sz w:val="24"/>
                <w:szCs w:val="24"/>
                <w:lang w:val="en-US"/>
              </w:rPr>
              <w:t>项要求除外</w:t>
            </w:r>
            <w:r>
              <w:rPr>
                <w:rFonts w:hint="eastAsia" w:ascii="仿宋" w:hAnsi="仿宋" w:eastAsia="仿宋" w:cs="仿宋"/>
                <w:b w:val="0"/>
                <w:bCs/>
                <w:snapToGrid w:val="0"/>
                <w:color w:val="auto"/>
                <w:sz w:val="24"/>
                <w:szCs w:val="24"/>
              </w:rPr>
              <w:t>）没有负偏离得</w:t>
            </w:r>
            <w:r>
              <w:rPr>
                <w:rFonts w:hint="eastAsia" w:ascii="仿宋" w:hAnsi="仿宋" w:eastAsia="仿宋" w:cs="仿宋"/>
                <w:b w:val="0"/>
                <w:bCs/>
                <w:snapToGrid w:val="0"/>
                <w:color w:val="auto"/>
                <w:sz w:val="24"/>
                <w:szCs w:val="24"/>
                <w:lang w:val="en-US" w:eastAsia="zh-CN"/>
              </w:rPr>
              <w:t>24</w:t>
            </w:r>
            <w:r>
              <w:rPr>
                <w:rFonts w:hint="eastAsia" w:ascii="仿宋" w:hAnsi="仿宋" w:eastAsia="仿宋" w:cs="仿宋"/>
                <w:b w:val="0"/>
                <w:bCs/>
                <w:snapToGrid w:val="0"/>
                <w:color w:val="auto"/>
                <w:sz w:val="24"/>
                <w:szCs w:val="24"/>
              </w:rPr>
              <w:t>分；</w:t>
            </w:r>
          </w:p>
          <w:p w14:paraId="47114324">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rPr>
              <w:t>①标注有“▲”号技术指标为关键指标项，完全满足得</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5</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2</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分扣完为止；</w:t>
            </w:r>
          </w:p>
          <w:p w14:paraId="6D942BC5">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rPr>
            </w:pPr>
            <w:r>
              <w:rPr>
                <w:rFonts w:hint="eastAsia" w:ascii="仿宋" w:hAnsi="仿宋" w:eastAsia="仿宋" w:cs="仿宋"/>
                <w:b w:val="0"/>
                <w:bCs/>
                <w:snapToGrid w:val="0"/>
                <w:color w:val="auto"/>
                <w:sz w:val="24"/>
                <w:szCs w:val="24"/>
              </w:rPr>
              <w:t>②无标识的技术指标，完全满足得</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1</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分扣完为止。</w:t>
            </w:r>
          </w:p>
          <w:p w14:paraId="0BDF6603">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b w:val="0"/>
                <w:bCs/>
                <w:snapToGrid w:val="0"/>
                <w:color w:val="auto"/>
                <w:sz w:val="24"/>
                <w:szCs w:val="24"/>
              </w:rPr>
              <w:t>注：技术指标中已要求提供证明材料的需提供相关证明材料并加盖</w:t>
            </w:r>
            <w:r>
              <w:rPr>
                <w:rFonts w:hint="eastAsia" w:ascii="仿宋" w:hAnsi="仿宋" w:eastAsia="仿宋" w:cs="仿宋"/>
                <w:b w:val="0"/>
                <w:bCs/>
                <w:snapToGrid w:val="0"/>
                <w:color w:val="auto"/>
                <w:sz w:val="24"/>
                <w:szCs w:val="24"/>
                <w:lang w:val="en-US" w:eastAsia="zh-CN"/>
              </w:rPr>
              <w:t>平台供应商</w:t>
            </w:r>
            <w:r>
              <w:rPr>
                <w:rFonts w:hint="eastAsia" w:ascii="仿宋" w:hAnsi="仿宋" w:eastAsia="仿宋" w:cs="仿宋"/>
                <w:b w:val="0"/>
                <w:bCs/>
                <w:snapToGrid w:val="0"/>
                <w:color w:val="auto"/>
                <w:sz w:val="24"/>
                <w:szCs w:val="24"/>
              </w:rPr>
              <w:t>公章</w:t>
            </w:r>
            <w:r>
              <w:rPr>
                <w:rFonts w:hint="eastAsia" w:ascii="仿宋" w:hAnsi="仿宋" w:eastAsia="仿宋" w:cs="仿宋"/>
                <w:b w:val="0"/>
                <w:bCs/>
                <w:snapToGrid w:val="0"/>
                <w:color w:val="auto"/>
                <w:sz w:val="24"/>
                <w:szCs w:val="24"/>
                <w:lang w:eastAsia="zh-CN"/>
              </w:rPr>
              <w:t>。</w:t>
            </w:r>
          </w:p>
        </w:tc>
      </w:tr>
      <w:tr w14:paraId="4BAC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6088C05E">
            <w:pPr>
              <w:spacing w:after="120" w:afterLines="50"/>
              <w:ind w:firstLine="28"/>
              <w:jc w:val="center"/>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33D9FBC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业绩10%</w:t>
            </w:r>
          </w:p>
        </w:tc>
        <w:tc>
          <w:tcPr>
            <w:tcW w:w="709" w:type="dxa"/>
            <w:noWrap/>
            <w:vAlign w:val="center"/>
          </w:tcPr>
          <w:p w14:paraId="2C65AE20">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553EA64">
            <w:p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平台供应商提交自2023年1月1日（含）以来的同类项目（科研、办公、实验耗材采购平台服务项目）业绩合同复印件，每提供1个得1分，本项最多得10分。</w:t>
            </w:r>
          </w:p>
          <w:p w14:paraId="0D78E26A">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注：提供合同复印件加盖供应商公章。</w:t>
            </w:r>
          </w:p>
        </w:tc>
      </w:tr>
      <w:tr w14:paraId="7348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48A8073">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6</w:t>
            </w:r>
          </w:p>
        </w:tc>
        <w:tc>
          <w:tcPr>
            <w:tcW w:w="1384" w:type="dxa"/>
            <w:noWrap/>
            <w:vAlign w:val="center"/>
          </w:tcPr>
          <w:p w14:paraId="6FAB924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团队人员11%</w:t>
            </w:r>
          </w:p>
        </w:tc>
        <w:tc>
          <w:tcPr>
            <w:tcW w:w="709" w:type="dxa"/>
            <w:noWrap/>
            <w:vAlign w:val="center"/>
          </w:tcPr>
          <w:p w14:paraId="1D195DF4">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11</w:t>
            </w:r>
          </w:p>
        </w:tc>
        <w:tc>
          <w:tcPr>
            <w:tcW w:w="6520" w:type="dxa"/>
            <w:noWrap/>
            <w:vAlign w:val="center"/>
          </w:tcPr>
          <w:p w14:paraId="0224EF27">
            <w:pPr>
              <w:spacing w:line="360" w:lineRule="auto"/>
              <w:rPr>
                <w:rFonts w:hint="eastAsia" w:ascii="仿宋" w:hAnsi="仿宋" w:eastAsia="仿宋" w:cs="仿宋"/>
                <w:sz w:val="24"/>
                <w:szCs w:val="24"/>
                <w:lang w:val="en-US" w:eastAsia="zh-CN"/>
              </w:rPr>
            </w:pPr>
            <w:bookmarkStart w:id="20" w:name="OLE_LINK20"/>
            <w:r>
              <w:rPr>
                <w:rFonts w:hint="eastAsia" w:ascii="仿宋" w:hAnsi="仿宋" w:eastAsia="仿宋" w:cs="仿宋"/>
                <w:sz w:val="24"/>
                <w:szCs w:val="24"/>
                <w:lang w:val="en-US" w:eastAsia="zh-CN"/>
              </w:rPr>
              <w:t>平台供应商拟投入本项目的技术服务团队成员：</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1.项目团队负责人</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（1）具有医药类、生物学、物理或化学专业教育背景，获得硕士学位得2分，博士学位得3分；</w:t>
            </w:r>
          </w:p>
          <w:p w14:paraId="1489D61B">
            <w:pPr>
              <w:numPr>
                <w:ilvl w:val="0"/>
                <w:numId w:val="0"/>
              </w:numPr>
              <w:spacing w:line="360" w:lineRule="auto"/>
              <w:rPr>
                <w:rFonts w:hint="default"/>
                <w:lang w:val="en-US" w:eastAsia="zh-CN"/>
              </w:rPr>
            </w:pP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供应商完全响应</w:t>
            </w:r>
            <w:r>
              <w:rPr>
                <w:rFonts w:hint="eastAsia" w:ascii="仿宋" w:hAnsi="仿宋" w:eastAsia="仿宋" w:cs="仿宋"/>
                <w:b w:val="0"/>
                <w:bCs/>
                <w:snapToGrid w:val="0"/>
                <w:color w:val="auto"/>
                <w:sz w:val="24"/>
                <w:szCs w:val="24"/>
                <w:lang w:val="en-US" w:eastAsia="zh-CN"/>
              </w:rPr>
              <w:t>谈判</w:t>
            </w:r>
            <w:r>
              <w:rPr>
                <w:rFonts w:hint="eastAsia" w:ascii="仿宋" w:hAnsi="仿宋" w:eastAsia="仿宋" w:cs="仿宋"/>
                <w:b w:val="0"/>
                <w:bCs/>
                <w:snapToGrid w:val="0"/>
                <w:color w:val="auto"/>
                <w:sz w:val="24"/>
                <w:szCs w:val="24"/>
              </w:rPr>
              <w:t>文件</w:t>
            </w:r>
            <w:r>
              <w:rPr>
                <w:rFonts w:hint="eastAsia" w:ascii="仿宋" w:hAnsi="仿宋" w:eastAsia="仿宋" w:cs="仿宋"/>
                <w:sz w:val="24"/>
                <w:szCs w:val="24"/>
                <w:lang w:val="en-US" w:eastAsia="zh-CN"/>
              </w:rPr>
              <w:t>“</w:t>
            </w:r>
            <w:r>
              <w:rPr>
                <w:rFonts w:hint="eastAsia" w:ascii="仿宋" w:hAnsi="仿宋" w:eastAsia="仿宋" w:cs="仿宋"/>
                <w:b/>
                <w:bCs w:val="0"/>
                <w:snapToGrid w:val="0"/>
                <w:color w:val="auto"/>
                <w:sz w:val="24"/>
                <w:szCs w:val="24"/>
              </w:rPr>
              <w:t>第</w:t>
            </w:r>
            <w:r>
              <w:rPr>
                <w:rFonts w:hint="eastAsia" w:ascii="仿宋" w:hAnsi="仿宋" w:eastAsia="仿宋" w:cs="仿宋"/>
                <w:b/>
                <w:bCs w:val="0"/>
                <w:snapToGrid w:val="0"/>
                <w:color w:val="auto"/>
                <w:sz w:val="24"/>
                <w:szCs w:val="24"/>
                <w:lang w:val="en-US" w:eastAsia="zh-CN"/>
              </w:rPr>
              <w:t>四</w:t>
            </w:r>
            <w:r>
              <w:rPr>
                <w:rFonts w:hint="eastAsia" w:ascii="仿宋" w:hAnsi="仿宋" w:eastAsia="仿宋" w:cs="仿宋"/>
                <w:b/>
                <w:bCs w:val="0"/>
                <w:snapToGrid w:val="0"/>
                <w:color w:val="auto"/>
                <w:sz w:val="24"/>
                <w:szCs w:val="24"/>
              </w:rPr>
              <w:t xml:space="preserve">章 </w:t>
            </w:r>
            <w:r>
              <w:rPr>
                <w:rFonts w:hint="eastAsia" w:ascii="仿宋" w:hAnsi="仿宋" w:eastAsia="仿宋" w:cs="仿宋"/>
                <w:b/>
                <w:bCs w:val="0"/>
                <w:snapToGrid w:val="0"/>
                <w:color w:val="auto"/>
                <w:sz w:val="24"/>
                <w:szCs w:val="24"/>
                <w:lang w:val="en-US" w:eastAsia="zh-CN"/>
              </w:rPr>
              <w:t>采购需求</w:t>
            </w:r>
            <w:r>
              <w:rPr>
                <w:rFonts w:hint="eastAsia" w:ascii="仿宋" w:hAnsi="仿宋" w:eastAsia="仿宋" w:cs="仿宋"/>
                <w:b w:val="0"/>
                <w:bCs/>
                <w:snapToGrid w:val="0"/>
                <w:color w:val="auto"/>
                <w:sz w:val="24"/>
                <w:szCs w:val="24"/>
                <w:lang w:val="en-US"/>
              </w:rPr>
              <w:t xml:space="preserve"> </w:t>
            </w:r>
            <w:r>
              <w:rPr>
                <w:rFonts w:hint="eastAsia" w:ascii="仿宋" w:hAnsi="仿宋" w:eastAsia="仿宋" w:cs="仿宋"/>
                <w:b w:val="0"/>
                <w:bCs/>
                <w:snapToGrid w:val="0"/>
                <w:color w:val="auto"/>
                <w:sz w:val="24"/>
                <w:szCs w:val="24"/>
                <w:lang w:val="en-US" w:eastAsia="zh-CN"/>
              </w:rPr>
              <w:t>二、技术服务要求</w:t>
            </w:r>
            <w:r>
              <w:rPr>
                <w:rFonts w:hint="eastAsia" w:ascii="仿宋" w:hAnsi="仿宋" w:eastAsia="仿宋" w:cs="仿宋"/>
                <w:b w:val="0"/>
                <w:bCs/>
                <w:snapToGrid w:val="0"/>
                <w:color w:val="auto"/>
                <w:sz w:val="24"/>
                <w:szCs w:val="24"/>
              </w:rPr>
              <w:t xml:space="preserve"> (</w:t>
            </w:r>
            <w:r>
              <w:rPr>
                <w:rFonts w:hint="eastAsia" w:ascii="仿宋" w:hAnsi="仿宋" w:eastAsia="仿宋" w:cs="仿宋"/>
                <w:b w:val="0"/>
                <w:bCs/>
                <w:snapToGrid w:val="0"/>
                <w:color w:val="auto"/>
                <w:sz w:val="24"/>
                <w:szCs w:val="24"/>
                <w:lang w:val="en-US" w:eastAsia="zh-CN"/>
              </w:rPr>
              <w:t>六</w:t>
            </w:r>
            <w:r>
              <w:rPr>
                <w:rFonts w:hint="eastAsia" w:ascii="仿宋" w:hAnsi="仿宋" w:eastAsia="仿宋" w:cs="仿宋"/>
                <w:b w:val="0"/>
                <w:bCs/>
                <w:snapToGrid w:val="0"/>
                <w:color w:val="auto"/>
                <w:sz w:val="24"/>
                <w:szCs w:val="24"/>
              </w:rPr>
              <w:t>)</w:t>
            </w:r>
            <w:r>
              <w:rPr>
                <w:rFonts w:hint="eastAsia" w:ascii="仿宋" w:hAnsi="仿宋" w:eastAsia="仿宋"/>
                <w:b w:val="0"/>
                <w:bCs w:val="0"/>
                <w:sz w:val="24"/>
                <w:szCs w:val="24"/>
                <w:lang w:val="en-US" w:eastAsia="zh-CN"/>
              </w:rPr>
              <w:t>其他要求”第1条“项目负责人要求”的</w:t>
            </w:r>
            <w:r>
              <w:rPr>
                <w:rFonts w:hint="eastAsia" w:ascii="仿宋" w:hAnsi="仿宋" w:eastAsia="仿宋" w:cs="仿宋"/>
                <w:sz w:val="24"/>
                <w:szCs w:val="24"/>
                <w:lang w:val="en-US" w:eastAsia="zh-CN"/>
              </w:rPr>
              <w:t>得1分。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2.项目团队成员(除项目负责人以外）：</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（1）每有1人具有系统集成项目管理工程师、软件设计师、电子商务师、PMP证书的得1分，如一人有多个证书的，按一人进行计算，本项最高得3分；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（2）每有1人具有计算机技术及软件、化学、生物或医药类相关专业教育背景，获得学士学位得0.5分，硕士学位及以上得1分，本项最高得4分</w:t>
            </w:r>
            <w:bookmarkEnd w:id="20"/>
            <w:r>
              <w:rPr>
                <w:rFonts w:hint="eastAsia" w:ascii="仿宋" w:hAnsi="仿宋" w:eastAsia="仿宋" w:cs="仿宋"/>
                <w:sz w:val="24"/>
                <w:szCs w:val="24"/>
                <w:lang w:val="en-US" w:eastAsia="zh-CN"/>
              </w:rPr>
              <w:t>。</w:t>
            </w:r>
          </w:p>
        </w:tc>
      </w:tr>
      <w:tr w14:paraId="79CB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127CAD0A">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7</w:t>
            </w:r>
          </w:p>
        </w:tc>
        <w:tc>
          <w:tcPr>
            <w:tcW w:w="1384" w:type="dxa"/>
            <w:noWrap/>
            <w:vAlign w:val="center"/>
          </w:tcPr>
          <w:p w14:paraId="2DD53ADF">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服务方案15%</w:t>
            </w:r>
          </w:p>
        </w:tc>
        <w:tc>
          <w:tcPr>
            <w:tcW w:w="709" w:type="dxa"/>
            <w:noWrap/>
            <w:vAlign w:val="center"/>
          </w:tcPr>
          <w:p w14:paraId="55211E8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15</w:t>
            </w:r>
          </w:p>
        </w:tc>
        <w:tc>
          <w:tcPr>
            <w:tcW w:w="6520" w:type="dxa"/>
            <w:noWrap/>
            <w:vAlign w:val="center"/>
          </w:tcPr>
          <w:p w14:paraId="395B775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平台供应商针对本项目制定完整的服务方案，包括以下内容：①人员组织分工及技术质量保障方案、②项目进度计划安排清单、③项目进度保障措施。</w:t>
            </w:r>
          </w:p>
          <w:p w14:paraId="71CC16D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每有一项内容缺失扣5分，每有一处内容有缺陷的扣2.5分，直至本项分值扣完为止。</w:t>
            </w:r>
          </w:p>
          <w:p w14:paraId="2F8D83B5">
            <w:pPr>
              <w:spacing w:line="360" w:lineRule="auto"/>
              <w:rPr>
                <w:rFonts w:hint="eastAsia"/>
                <w:lang w:val="en-US" w:eastAsia="zh-CN"/>
              </w:rPr>
            </w:pPr>
            <w:r>
              <w:rPr>
                <w:rFonts w:hint="eastAsia" w:ascii="仿宋" w:hAnsi="仿宋" w:eastAsia="仿宋" w:cs="仿宋"/>
                <w:sz w:val="24"/>
                <w:szCs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bl>
    <w:p w14:paraId="7DAE9004">
      <w:pPr>
        <w:rPr>
          <w:rFonts w:hint="default" w:eastAsiaTheme="minorEastAsia"/>
          <w:lang w:val="en-US" w:eastAsia="zh-CN"/>
        </w:rPr>
      </w:pPr>
      <w:r>
        <w:rPr>
          <w:rFonts w:hint="default" w:eastAsiaTheme="minorEastAsia"/>
          <w:lang w:val="en-US" w:eastAsia="zh-CN"/>
        </w:rPr>
        <w:br w:type="page"/>
      </w:r>
    </w:p>
    <w:p w14:paraId="121219B9">
      <w:pPr>
        <w:rPr>
          <w:rFonts w:ascii="Times New Roman" w:hAnsi="Times New Roman" w:cs="Times New Roman"/>
        </w:rPr>
      </w:pPr>
      <w:bookmarkStart w:id="21" w:name="_Toc22827"/>
      <w:bookmarkStart w:id="22" w:name="_Toc28171"/>
      <w:bookmarkStart w:id="23" w:name="_Toc3094"/>
    </w:p>
    <w:p w14:paraId="0B9F1C4B">
      <w:pPr>
        <w:pStyle w:val="3"/>
        <w:numPr>
          <w:ilvl w:val="0"/>
          <w:numId w:val="0"/>
        </w:numPr>
        <w:ind w:left="0" w:leftChars="0" w:firstLine="0" w:firstLineChars="0"/>
        <w:rPr>
          <w:rFonts w:ascii="Times New Roman" w:hAnsi="Times New Roman" w:cs="Times New Roman"/>
        </w:rPr>
      </w:pPr>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5913"/>
      <w:bookmarkStart w:id="25" w:name="_Toc4960"/>
      <w:bookmarkStart w:id="26" w:name="_Toc29819"/>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19851"/>
      <w:bookmarkStart w:id="28" w:name="_Toc9428"/>
      <w:bookmarkStart w:id="29" w:name="_Toc30609"/>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1544"/>
      <w:bookmarkStart w:id="31" w:name="_Toc32352"/>
      <w:bookmarkStart w:id="32" w:name="_Toc9041"/>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4097"/>
      <w:bookmarkStart w:id="34" w:name="_Toc21472"/>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1690"/>
      <w:bookmarkStart w:id="36" w:name="_Toc32749"/>
      <w:bookmarkStart w:id="37" w:name="_Toc24859"/>
      <w:bookmarkStart w:id="38" w:name="_Toc17163"/>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24123"/>
      <w:bookmarkStart w:id="40" w:name="_Toc17905"/>
      <w:bookmarkStart w:id="41" w:name="_Toc6803"/>
      <w:bookmarkStart w:id="42" w:name="_Toc3558"/>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135"/>
      <w:bookmarkStart w:id="44" w:name="_Toc2989"/>
      <w:bookmarkStart w:id="45" w:name="_Toc27526"/>
      <w:bookmarkStart w:id="46" w:name="_Toc5996"/>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19987"/>
      <w:bookmarkStart w:id="48" w:name="_Toc5056"/>
      <w:bookmarkStart w:id="49" w:name="_Toc7233"/>
      <w:bookmarkStart w:id="50" w:name="_Toc2031"/>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6482"/>
      <w:bookmarkStart w:id="52" w:name="_Toc16029"/>
      <w:bookmarkStart w:id="53" w:name="_Toc3023"/>
      <w:bookmarkStart w:id="54" w:name="_Toc11352"/>
      <w:bookmarkStart w:id="55" w:name="_Toc21519"/>
      <w:bookmarkStart w:id="56" w:name="_Toc14829"/>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2"/>
        <w:ind w:firstLine="0"/>
      </w:pPr>
      <w:r>
        <w:t>承诺函</w:t>
      </w:r>
      <w:bookmarkEnd w:id="51"/>
      <w:bookmarkEnd w:id="52"/>
      <w:bookmarkEnd w:id="53"/>
      <w:bookmarkEnd w:id="54"/>
      <w:bookmarkEnd w:id="55"/>
      <w:bookmarkEnd w:id="56"/>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22676"/>
      <w:bookmarkStart w:id="58" w:name="_Toc4305"/>
      <w:bookmarkStart w:id="59" w:name="_Toc17857"/>
      <w:bookmarkStart w:id="60" w:name="_Toc30971"/>
      <w:bookmarkStart w:id="61" w:name="_Toc31838"/>
      <w:r>
        <w:rPr>
          <w:rFonts w:ascii="Times New Roman" w:hAnsi="Times New Roman" w:cs="Times New Roman"/>
        </w:rPr>
        <w:br w:type="page"/>
      </w:r>
    </w:p>
    <w:p w14:paraId="72845348">
      <w:pPr>
        <w:pStyle w:val="2"/>
        <w:ind w:firstLine="0"/>
      </w:pPr>
      <w:r>
        <w:t>具有独立承担民事责任的能力</w:t>
      </w:r>
      <w:bookmarkEnd w:id="57"/>
      <w:bookmarkEnd w:id="58"/>
      <w:bookmarkEnd w:id="59"/>
      <w:bookmarkEnd w:id="60"/>
      <w:bookmarkEnd w:id="61"/>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ind w:firstLine="0"/>
        <w:rPr>
          <w:rStyle w:val="33"/>
          <w:szCs w:val="28"/>
        </w:rPr>
      </w:pPr>
      <w:r>
        <w:rPr>
          <w:bCs/>
        </w:rPr>
        <w:br w:type="page"/>
      </w:r>
      <w:bookmarkStart w:id="62" w:name="_Toc27186"/>
      <w:bookmarkStart w:id="63" w:name="_Toc15613"/>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25357"/>
      <w:bookmarkStart w:id="66" w:name="_Toc13706"/>
      <w:bookmarkStart w:id="67" w:name="_Toc13904"/>
    </w:p>
    <w:p w14:paraId="76B8A196">
      <w:pPr>
        <w:pStyle w:val="2"/>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ind w:firstLine="0"/>
        <w:rPr>
          <w:szCs w:val="32"/>
        </w:rPr>
      </w:pPr>
      <w:r>
        <w:rPr>
          <w:szCs w:val="32"/>
        </w:rPr>
        <w:br w:type="page"/>
      </w:r>
      <w:bookmarkStart w:id="70" w:name="_Toc11351"/>
      <w:bookmarkStart w:id="71" w:name="_Toc15526"/>
      <w:bookmarkStart w:id="72" w:name="_Toc20589"/>
      <w:bookmarkStart w:id="73" w:name="_Toc25638"/>
      <w:bookmarkStart w:id="74" w:name="_Toc27661"/>
      <w:bookmarkStart w:id="75" w:name="_Toc12015"/>
      <w:r>
        <w:rPr>
          <w:rStyle w:val="41"/>
          <w:b/>
        </w:rPr>
        <w:t>法定代表人身份证明书</w:t>
      </w:r>
      <w:bookmarkEnd w:id="70"/>
      <w:bookmarkEnd w:id="71"/>
      <w:bookmarkEnd w:id="72"/>
      <w:bookmarkEnd w:id="73"/>
      <w:bookmarkEnd w:id="74"/>
      <w:bookmarkEnd w:id="75"/>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ind w:firstLine="0"/>
        <w:rPr>
          <w:szCs w:val="32"/>
        </w:rPr>
      </w:pPr>
      <w:r>
        <w:rPr>
          <w:szCs w:val="32"/>
        </w:rPr>
        <w:br w:type="page"/>
      </w:r>
      <w:bookmarkStart w:id="76" w:name="_Toc16435"/>
      <w:bookmarkStart w:id="77" w:name="_Toc23967"/>
      <w:bookmarkStart w:id="78" w:name="_Toc26969"/>
      <w:bookmarkStart w:id="79" w:name="_Toc2041"/>
      <w:bookmarkStart w:id="80" w:name="_Toc1074"/>
      <w:bookmarkStart w:id="81" w:name="_Toc12967"/>
      <w:r>
        <w:rPr>
          <w:rStyle w:val="41"/>
          <w:b/>
        </w:rPr>
        <w:t>采购需求偏离表</w:t>
      </w:r>
      <w:bookmarkEnd w:id="76"/>
      <w:bookmarkEnd w:id="77"/>
      <w:bookmarkEnd w:id="78"/>
      <w:bookmarkEnd w:id="79"/>
      <w:bookmarkEnd w:id="80"/>
      <w:bookmarkEnd w:id="81"/>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2"/>
        <w:ind w:firstLine="0"/>
        <w:rPr>
          <w:bCs/>
          <w:szCs w:val="32"/>
        </w:rPr>
      </w:pPr>
      <w:r>
        <w:rPr>
          <w:szCs w:val="32"/>
        </w:rPr>
        <w:br w:type="page"/>
      </w:r>
      <w:bookmarkStart w:id="82" w:name="_Toc31686"/>
      <w:bookmarkStart w:id="83" w:name="_Toc28634"/>
      <w:bookmarkStart w:id="84" w:name="_Toc24806"/>
      <w:bookmarkStart w:id="85" w:name="_Toc26839"/>
      <w:bookmarkStart w:id="86" w:name="_Toc21082"/>
      <w:bookmarkStart w:id="87" w:name="_Toc1369"/>
      <w:r>
        <w:rPr>
          <w:rStyle w:val="41"/>
          <w:b/>
        </w:rPr>
        <w:t>评分需要提供的证明材料</w:t>
      </w:r>
      <w:bookmarkEnd w:id="82"/>
      <w:bookmarkEnd w:id="83"/>
      <w:bookmarkEnd w:id="84"/>
      <w:bookmarkEnd w:id="85"/>
      <w:bookmarkEnd w:id="86"/>
      <w:bookmarkEnd w:id="87"/>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24494"/>
      <w:bookmarkStart w:id="89" w:name="_Toc3871"/>
      <w:bookmarkStart w:id="90" w:name="_Toc32605"/>
    </w:p>
    <w:p w14:paraId="7D2135B9">
      <w:pPr>
        <w:pStyle w:val="2"/>
        <w:ind w:firstLine="0"/>
      </w:pPr>
      <w:bookmarkStart w:id="91" w:name="_Toc15065"/>
      <w:r>
        <w:t>报价单</w:t>
      </w:r>
      <w:bookmarkEnd w:id="91"/>
    </w:p>
    <w:p w14:paraId="1483D64D">
      <w:pPr>
        <w:jc w:val="center"/>
        <w:rPr>
          <w:rFonts w:hint="default" w:eastAsiaTheme="minorEastAsia"/>
          <w:lang w:val="en-US" w:eastAsia="zh-CN"/>
        </w:rPr>
      </w:pPr>
      <w:r>
        <w:rPr>
          <w:rFonts w:hint="eastAsia"/>
          <w:lang w:eastAsia="zh-CN"/>
        </w:rPr>
        <w:t>（</w:t>
      </w:r>
      <w:r>
        <w:rPr>
          <w:rFonts w:hint="eastAsia"/>
          <w:lang w:val="en-US" w:eastAsia="zh-CN"/>
        </w:rPr>
        <w:t>本项目不涉及）</w:t>
      </w:r>
    </w:p>
    <w:p w14:paraId="66F19C9F">
      <w:r>
        <w:br w:type="page"/>
      </w:r>
    </w:p>
    <w:p w14:paraId="38B775E8">
      <w:pPr>
        <w:pStyle w:val="7"/>
      </w:pPr>
    </w:p>
    <w:p w14:paraId="5189AD1E">
      <w:pPr>
        <w:pStyle w:val="2"/>
        <w:ind w:firstLine="0"/>
      </w:pPr>
      <w:bookmarkStart w:id="92" w:name="_Toc29032"/>
      <w:bookmarkStart w:id="93" w:name="_Toc14685"/>
      <w:bookmarkStart w:id="94" w:name="_Toc30002"/>
      <w:r>
        <w:t>供应商认为需要提供的其他材料</w:t>
      </w:r>
      <w:bookmarkEnd w:id="88"/>
      <w:bookmarkEnd w:id="89"/>
      <w:bookmarkEnd w:id="90"/>
      <w:bookmarkEnd w:id="92"/>
      <w:bookmarkEnd w:id="93"/>
      <w:bookmarkEnd w:id="94"/>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3"/>
        </w:numPr>
        <w:ind w:left="0" w:firstLine="0" w:firstLineChars="0"/>
        <w:contextualSpacing/>
        <w:jc w:val="left"/>
        <w:rPr>
          <w:b/>
          <w:szCs w:val="21"/>
        </w:rPr>
      </w:pPr>
      <w:r>
        <w:rPr>
          <w:b/>
          <w:szCs w:val="21"/>
        </w:rPr>
        <w:t>合同标的</w:t>
      </w:r>
    </w:p>
    <w:p w14:paraId="2E385537">
      <w:pPr>
        <w:pStyle w:val="10"/>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3"/>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8" w:name="OLE_LINK2"/>
      <w:bookmarkStart w:id="99"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0" w:name="OLE_LINK28"/>
      <w:r>
        <w:rPr>
          <w:szCs w:val="21"/>
        </w:rPr>
        <w:t>人民币大写：*** 圆整，即RMB *** 元</w:t>
      </w:r>
      <w:bookmarkEnd w:id="100"/>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8"/>
    <w:bookmarkEnd w:id="99"/>
    <w:p w14:paraId="61352334">
      <w:pPr>
        <w:pStyle w:val="30"/>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1" w:name="OLE_LINK29"/>
      <w:r>
        <w:rPr>
          <w:rFonts w:hint="eastAsia"/>
          <w:bCs/>
          <w:szCs w:val="21"/>
        </w:rPr>
        <w:t>，考核标准详见附件</w:t>
      </w:r>
      <w:r>
        <w:rPr>
          <w:rFonts w:hint="eastAsia"/>
          <w:bCs/>
          <w:szCs w:val="21"/>
          <w:u w:val="single"/>
        </w:rPr>
        <w:t>2</w:t>
      </w:r>
      <w:r>
        <w:rPr>
          <w:rFonts w:hint="eastAsia"/>
          <w:bCs/>
          <w:szCs w:val="21"/>
        </w:rPr>
        <w:t>《考核标准》</w:t>
      </w:r>
      <w:bookmarkEnd w:id="101"/>
      <w:r>
        <w:rPr>
          <w:bCs/>
          <w:szCs w:val="21"/>
        </w:rPr>
        <w:t>。</w:t>
      </w:r>
    </w:p>
    <w:p w14:paraId="1B257405">
      <w:pPr>
        <w:pStyle w:val="30"/>
        <w:numPr>
          <w:ilvl w:val="0"/>
          <w:numId w:val="13"/>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3"/>
        </w:numPr>
        <w:ind w:left="0" w:firstLine="0" w:firstLineChars="0"/>
        <w:contextualSpacing/>
        <w:jc w:val="left"/>
        <w:rPr>
          <w:b/>
          <w:szCs w:val="21"/>
        </w:rPr>
      </w:pPr>
      <w:r>
        <w:rPr>
          <w:b/>
          <w:szCs w:val="21"/>
        </w:rPr>
        <w:t>验收</w:t>
      </w:r>
    </w:p>
    <w:p w14:paraId="57707485">
      <w:pPr>
        <w:pStyle w:val="30"/>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5"/>
        </w:numPr>
        <w:ind w:left="0" w:firstLine="0" w:firstLineChars="0"/>
        <w:contextualSpacing/>
        <w:rPr>
          <w:szCs w:val="21"/>
        </w:rPr>
      </w:pPr>
      <w:r>
        <w:rPr>
          <w:szCs w:val="21"/>
        </w:rPr>
        <w:t>验收方案：</w:t>
      </w:r>
    </w:p>
    <w:p w14:paraId="10719FFA">
      <w:pPr>
        <w:pStyle w:val="30"/>
        <w:numPr>
          <w:ilvl w:val="0"/>
          <w:numId w:val="16"/>
        </w:numPr>
        <w:ind w:firstLineChars="0"/>
        <w:contextualSpacing/>
        <w:rPr>
          <w:color w:val="000000"/>
          <w:szCs w:val="21"/>
        </w:rPr>
      </w:pPr>
      <w:r>
        <w:rPr>
          <w:rFonts w:hint="eastAsia"/>
          <w:color w:val="000000"/>
          <w:szCs w:val="21"/>
        </w:rPr>
        <w:t>验收主体：甲方</w:t>
      </w:r>
    </w:p>
    <w:p w14:paraId="7212F6E2">
      <w:pPr>
        <w:pStyle w:val="30"/>
        <w:numPr>
          <w:ilvl w:val="0"/>
          <w:numId w:val="16"/>
        </w:numPr>
        <w:ind w:firstLineChars="0"/>
        <w:contextualSpacing/>
        <w:rPr>
          <w:color w:val="000000"/>
          <w:szCs w:val="21"/>
        </w:rPr>
      </w:pPr>
      <w:r>
        <w:rPr>
          <w:rFonts w:hint="eastAsia"/>
          <w:color w:val="000000"/>
          <w:szCs w:val="21"/>
        </w:rPr>
        <w:t>验收组织方式：自行验收</w:t>
      </w:r>
    </w:p>
    <w:p w14:paraId="5C963DBA">
      <w:pPr>
        <w:pStyle w:val="30"/>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6"/>
        </w:numPr>
        <w:ind w:firstLineChars="0"/>
        <w:contextualSpacing/>
        <w:rPr>
          <w:szCs w:val="21"/>
        </w:rPr>
      </w:pPr>
      <w:r>
        <w:rPr>
          <w:szCs w:val="21"/>
        </w:rPr>
        <w:t>验收标准：</w:t>
      </w:r>
    </w:p>
    <w:p w14:paraId="24757C73">
      <w:pPr>
        <w:pStyle w:val="17"/>
        <w:numPr>
          <w:ilvl w:val="0"/>
          <w:numId w:val="17"/>
        </w:numPr>
        <w:spacing w:after="0"/>
        <w:contextualSpacing/>
        <w:rPr>
          <w:rFonts w:ascii="Times New Roman" w:hAnsi="Times New Roman"/>
          <w:szCs w:val="21"/>
        </w:rPr>
      </w:pPr>
      <w:bookmarkStart w:id="102" w:name="OLE_LINK4"/>
      <w:r>
        <w:rPr>
          <w:rFonts w:ascii="Times New Roman" w:hAnsi="Times New Roman"/>
          <w:szCs w:val="21"/>
          <w:shd w:val="clear" w:color="auto" w:fill="FFFFFF"/>
        </w:rPr>
        <w:t>国家相关法律法规、行业标准、技术规范。</w:t>
      </w:r>
    </w:p>
    <w:p w14:paraId="4A341926">
      <w:pPr>
        <w:pStyle w:val="17"/>
        <w:numPr>
          <w:ilvl w:val="0"/>
          <w:numId w:val="17"/>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7"/>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102"/>
    <w:p w14:paraId="2BFFECC6">
      <w:pPr>
        <w:pStyle w:val="17"/>
        <w:numPr>
          <w:ilvl w:val="0"/>
          <w:numId w:val="17"/>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7"/>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7"/>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3"/>
        </w:numPr>
        <w:ind w:left="0" w:firstLine="0" w:firstLineChars="0"/>
        <w:contextualSpacing/>
        <w:jc w:val="left"/>
        <w:rPr>
          <w:b/>
          <w:szCs w:val="21"/>
        </w:rPr>
      </w:pPr>
      <w:r>
        <w:rPr>
          <w:b/>
          <w:szCs w:val="21"/>
        </w:rPr>
        <w:t>付款方式</w:t>
      </w:r>
    </w:p>
    <w:p w14:paraId="5CC20725">
      <w:pPr>
        <w:pStyle w:val="10"/>
        <w:numPr>
          <w:ilvl w:val="0"/>
          <w:numId w:val="18"/>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3" w:name="OLE_LINK30"/>
      <w:r>
        <w:rPr>
          <w:rFonts w:hint="eastAsia"/>
          <w:szCs w:val="21"/>
        </w:rPr>
        <w:t>固定部分价款</w:t>
      </w:r>
      <w:bookmarkEnd w:id="103"/>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3"/>
        </w:numPr>
        <w:ind w:left="0" w:firstLine="0" w:firstLineChars="0"/>
        <w:contextualSpacing/>
        <w:jc w:val="left"/>
        <w:rPr>
          <w:b/>
          <w:szCs w:val="21"/>
        </w:rPr>
      </w:pPr>
      <w:r>
        <w:rPr>
          <w:b/>
          <w:szCs w:val="21"/>
        </w:rPr>
        <w:t>双方权利与义务</w:t>
      </w:r>
    </w:p>
    <w:p w14:paraId="581F8AA0">
      <w:pPr>
        <w:pStyle w:val="10"/>
        <w:numPr>
          <w:ilvl w:val="0"/>
          <w:numId w:val="19"/>
        </w:numPr>
        <w:spacing w:after="0" w:line="240" w:lineRule="auto"/>
        <w:ind w:left="227" w:leftChars="0" w:hanging="227"/>
        <w:contextualSpacing/>
        <w:jc w:val="left"/>
        <w:rPr>
          <w:szCs w:val="21"/>
        </w:rPr>
      </w:pPr>
      <w:r>
        <w:rPr>
          <w:szCs w:val="21"/>
        </w:rPr>
        <w:t>甲方权利与义务</w:t>
      </w:r>
    </w:p>
    <w:p w14:paraId="4D16113D">
      <w:pPr>
        <w:pStyle w:val="30"/>
        <w:numPr>
          <w:ilvl w:val="0"/>
          <w:numId w:val="20"/>
        </w:numPr>
        <w:adjustRightInd w:val="0"/>
        <w:ind w:left="525" w:hanging="525" w:hangingChars="250"/>
        <w:contextualSpacing/>
        <w:jc w:val="left"/>
        <w:rPr>
          <w:szCs w:val="21"/>
        </w:rPr>
      </w:pPr>
      <w:r>
        <w:rPr>
          <w:szCs w:val="21"/>
        </w:rPr>
        <w:t>按合同约定向乙方支付费用。</w:t>
      </w:r>
    </w:p>
    <w:p w14:paraId="62A02753">
      <w:pPr>
        <w:pStyle w:val="30"/>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9"/>
        </w:numPr>
        <w:spacing w:after="0" w:line="240" w:lineRule="auto"/>
        <w:ind w:left="227" w:leftChars="0" w:hanging="227"/>
        <w:contextualSpacing/>
        <w:jc w:val="left"/>
        <w:rPr>
          <w:szCs w:val="21"/>
        </w:rPr>
      </w:pPr>
      <w:r>
        <w:rPr>
          <w:szCs w:val="21"/>
        </w:rPr>
        <w:t>乙方权利与义务</w:t>
      </w:r>
    </w:p>
    <w:p w14:paraId="319B30B1">
      <w:pPr>
        <w:pStyle w:val="10"/>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2"/>
        </w:numPr>
        <w:ind w:left="0" w:firstLine="0" w:firstLineChars="0"/>
        <w:rPr>
          <w:szCs w:val="21"/>
        </w:rPr>
      </w:pPr>
      <w:r>
        <w:rPr>
          <w:szCs w:val="21"/>
        </w:rPr>
        <w:t>乙方违约责任：</w:t>
      </w:r>
    </w:p>
    <w:p w14:paraId="354B31C5">
      <w:pPr>
        <w:pStyle w:val="10"/>
        <w:numPr>
          <w:ilvl w:val="0"/>
          <w:numId w:val="23"/>
        </w:numPr>
        <w:spacing w:after="0" w:line="240" w:lineRule="auto"/>
        <w:ind w:left="525" w:leftChars="0" w:hanging="525" w:hangingChars="250"/>
        <w:contextualSpacing/>
        <w:jc w:val="left"/>
        <w:rPr>
          <w:szCs w:val="21"/>
        </w:rPr>
      </w:pPr>
      <w:bookmarkStart w:id="104" w:name="OLE_LINK17"/>
      <w:bookmarkStart w:id="105"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4"/>
    <w:bookmarkEnd w:id="105"/>
    <w:p w14:paraId="79DD140B">
      <w:pPr>
        <w:pStyle w:val="10"/>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3"/>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3"/>
        </w:numPr>
        <w:ind w:left="0" w:firstLine="0" w:firstLineChars="0"/>
        <w:contextualSpacing/>
        <w:jc w:val="left"/>
        <w:rPr>
          <w:b/>
          <w:szCs w:val="21"/>
        </w:rPr>
      </w:pPr>
      <w:r>
        <w:rPr>
          <w:b/>
          <w:szCs w:val="21"/>
        </w:rPr>
        <w:t>合同终止及解除</w:t>
      </w:r>
    </w:p>
    <w:p w14:paraId="275C61D9">
      <w:pPr>
        <w:pStyle w:val="30"/>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4"/>
        </w:numPr>
        <w:ind w:left="0" w:firstLine="0" w:firstLineChars="0"/>
        <w:rPr>
          <w:szCs w:val="21"/>
        </w:rPr>
      </w:pPr>
      <w:r>
        <w:rPr>
          <w:szCs w:val="21"/>
        </w:rPr>
        <w:t>在甲、乙任何一方有严重违约行为时，另一方有权单方解除合同。</w:t>
      </w:r>
    </w:p>
    <w:p w14:paraId="2BA7B89E">
      <w:pPr>
        <w:pStyle w:val="30"/>
        <w:numPr>
          <w:ilvl w:val="0"/>
          <w:numId w:val="13"/>
        </w:numPr>
        <w:ind w:left="0" w:firstLine="0" w:firstLineChars="0"/>
        <w:contextualSpacing/>
        <w:jc w:val="left"/>
        <w:rPr>
          <w:b/>
          <w:szCs w:val="21"/>
        </w:rPr>
      </w:pPr>
      <w:r>
        <w:rPr>
          <w:b/>
          <w:szCs w:val="21"/>
        </w:rPr>
        <w:t>争议解决办法</w:t>
      </w:r>
    </w:p>
    <w:p w14:paraId="5C6244A3">
      <w:pPr>
        <w:pStyle w:val="30"/>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3"/>
        </w:numPr>
        <w:ind w:left="0" w:firstLine="0" w:firstLineChars="0"/>
        <w:contextualSpacing/>
        <w:jc w:val="left"/>
        <w:rPr>
          <w:b/>
          <w:szCs w:val="21"/>
        </w:rPr>
      </w:pPr>
      <w:r>
        <w:rPr>
          <w:b/>
          <w:szCs w:val="21"/>
        </w:rPr>
        <w:t>其他</w:t>
      </w:r>
    </w:p>
    <w:p w14:paraId="162904B6">
      <w:pPr>
        <w:pStyle w:val="30"/>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3"/>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6" w:name="OLE_LINK32"/>
      <w:r>
        <w:rPr>
          <w:rFonts w:hint="eastAsia"/>
          <w:szCs w:val="21"/>
        </w:rPr>
        <w:t>结算单价清单</w:t>
      </w:r>
      <w:bookmarkEnd w:id="106"/>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8"/>
        <w:rPr>
          <w:rFonts w:ascii="仿宋" w:hAnsi="仿宋" w:eastAsia="仿宋" w:cs="仿宋"/>
          <w:sz w:val="28"/>
          <w:szCs w:val="36"/>
        </w:rPr>
      </w:pPr>
    </w:p>
    <w:p w14:paraId="5A954D06">
      <w:pPr>
        <w:pStyle w:val="8"/>
        <w:rPr>
          <w:rFonts w:ascii="仿宋" w:hAnsi="仿宋" w:eastAsia="仿宋" w:cs="仿宋"/>
          <w:sz w:val="28"/>
          <w:szCs w:val="36"/>
        </w:rPr>
      </w:pPr>
    </w:p>
    <w:p w14:paraId="1C759154">
      <w:pPr>
        <w:pStyle w:val="8"/>
        <w:rPr>
          <w:rFonts w:ascii="仿宋" w:hAnsi="仿宋" w:eastAsia="仿宋" w:cs="仿宋"/>
          <w:sz w:val="28"/>
          <w:szCs w:val="36"/>
        </w:rPr>
      </w:pPr>
    </w:p>
    <w:p w14:paraId="7A5531E3">
      <w:pPr>
        <w:pStyle w:val="8"/>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97C8AEE-A464-499B-A6B9-4FBB68B823B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10E6211-8815-4BAF-A76A-DC245980BDB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0F27DB7-8572-4171-B864-5B6F0965E8A8}"/>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embedRegular r:id="rId4" w:fontKey="{F64E3B14-3B71-4860-9CD2-87A5D329BD02}"/>
  </w:font>
  <w:font w:name="Cambria Math">
    <w:panose1 w:val="02040503050406030204"/>
    <w:charset w:val="00"/>
    <w:family w:val="roman"/>
    <w:pitch w:val="default"/>
    <w:sig w:usb0="E00006FF" w:usb1="420024FF" w:usb2="02000000" w:usb3="00000000" w:csb0="2000019F" w:csb1="00000000"/>
    <w:embedRegular r:id="rId5" w:fontKey="{C06CCD3D-B74F-4C48-ABE5-45A7E949B094}"/>
  </w:font>
  <w:font w:name="Segoe UI Symbol">
    <w:panose1 w:val="020B0502040204020203"/>
    <w:charset w:val="00"/>
    <w:family w:val="swiss"/>
    <w:pitch w:val="default"/>
    <w:sig w:usb0="800001E3" w:usb1="1200FFEF" w:usb2="00040000" w:usb3="04000000" w:csb0="00000001" w:csb1="40000000"/>
    <w:embedRegular r:id="rId6" w:fontKey="{27C2823C-5C1D-4DC7-8F40-EA744F1BACBB}"/>
  </w:font>
  <w:font w:name="Wingdings 2">
    <w:altName w:val="Wingdings"/>
    <w:panose1 w:val="05020102010507070707"/>
    <w:charset w:val="4D"/>
    <w:family w:val="decorative"/>
    <w:pitch w:val="default"/>
    <w:sig w:usb0="00000000" w:usb1="00000000" w:usb2="00000000" w:usb3="00000000" w:csb0="80000000" w:csb1="00000000"/>
    <w:embedRegular r:id="rId7" w:fontKey="{834AFD88-4AAE-483B-B9EF-C5CF04E0C423}"/>
  </w:font>
  <w:font w:name="微软雅黑">
    <w:panose1 w:val="020B0503020204020204"/>
    <w:charset w:val="86"/>
    <w:family w:val="swiss"/>
    <w:pitch w:val="default"/>
    <w:sig w:usb0="80000287" w:usb1="2ACF3C50" w:usb2="00000016" w:usb3="00000000" w:csb0="0004001F" w:csb1="00000000"/>
    <w:embedRegular r:id="rId8" w:fontKey="{FC8B5F8C-777B-418E-AFD8-8D87A6763AD3}"/>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C3724A9"/>
    <w:multiLevelType w:val="singleLevel"/>
    <w:tmpl w:val="3C3724A9"/>
    <w:lvl w:ilvl="0" w:tentative="0">
      <w:start w:val="1"/>
      <w:numFmt w:val="decimal"/>
      <w:suff w:val="nothing"/>
      <w:lvlText w:val="%1、"/>
      <w:lvlJc w:val="left"/>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7"/>
  </w:num>
  <w:num w:numId="4">
    <w:abstractNumId w:val="26"/>
  </w:num>
  <w:num w:numId="5">
    <w:abstractNumId w:val="12"/>
  </w:num>
  <w:num w:numId="6">
    <w:abstractNumId w:val="21"/>
  </w:num>
  <w:num w:numId="7">
    <w:abstractNumId w:val="15"/>
  </w:num>
  <w:num w:numId="8">
    <w:abstractNumId w:val="2"/>
  </w:num>
  <w:num w:numId="9">
    <w:abstractNumId w:val="1"/>
  </w:num>
  <w:num w:numId="10">
    <w:abstractNumId w:val="0"/>
  </w:num>
  <w:num w:numId="11">
    <w:abstractNumId w:val="4"/>
  </w:num>
  <w:num w:numId="12">
    <w:abstractNumId w:val="16"/>
  </w:num>
  <w:num w:numId="13">
    <w:abstractNumId w:val="11"/>
  </w:num>
  <w:num w:numId="14">
    <w:abstractNumId w:val="22"/>
  </w:num>
  <w:num w:numId="15">
    <w:abstractNumId w:val="25"/>
  </w:num>
  <w:num w:numId="16">
    <w:abstractNumId w:val="19"/>
  </w:num>
  <w:num w:numId="17">
    <w:abstractNumId w:val="8"/>
  </w:num>
  <w:num w:numId="18">
    <w:abstractNumId w:val="6"/>
  </w:num>
  <w:num w:numId="19">
    <w:abstractNumId w:val="23"/>
  </w:num>
  <w:num w:numId="20">
    <w:abstractNumId w:val="18"/>
  </w:num>
  <w:num w:numId="21">
    <w:abstractNumId w:val="7"/>
  </w:num>
  <w:num w:numId="22">
    <w:abstractNumId w:val="10"/>
  </w:num>
  <w:num w:numId="23">
    <w:abstractNumId w:val="24"/>
  </w:num>
  <w:num w:numId="24">
    <w:abstractNumId w:val="5"/>
  </w:num>
  <w:num w:numId="25">
    <w:abstractNumId w:val="20"/>
  </w:num>
  <w:num w:numId="26">
    <w:abstractNumId w:val="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BFC5763"/>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D314F9"/>
    <w:rsid w:val="19FF304F"/>
    <w:rsid w:val="1B874CB9"/>
    <w:rsid w:val="1DD000AF"/>
    <w:rsid w:val="1E09745A"/>
    <w:rsid w:val="1E176351"/>
    <w:rsid w:val="1E8E610D"/>
    <w:rsid w:val="1FD31681"/>
    <w:rsid w:val="229D6DB5"/>
    <w:rsid w:val="23332932"/>
    <w:rsid w:val="23D4489F"/>
    <w:rsid w:val="248A553D"/>
    <w:rsid w:val="24E54D57"/>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4931C4B"/>
    <w:rsid w:val="351A08D0"/>
    <w:rsid w:val="36334CE5"/>
    <w:rsid w:val="39172A0D"/>
    <w:rsid w:val="39501DEF"/>
    <w:rsid w:val="3A551407"/>
    <w:rsid w:val="3AE57E7C"/>
    <w:rsid w:val="3B033C36"/>
    <w:rsid w:val="3E4D49D4"/>
    <w:rsid w:val="3E5D4E8E"/>
    <w:rsid w:val="3FE25336"/>
    <w:rsid w:val="400F2590"/>
    <w:rsid w:val="41E8764E"/>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C957AF"/>
    <w:rsid w:val="4FEF758C"/>
    <w:rsid w:val="5059153A"/>
    <w:rsid w:val="50771A9C"/>
    <w:rsid w:val="50BC437C"/>
    <w:rsid w:val="51C47F6D"/>
    <w:rsid w:val="535C64FC"/>
    <w:rsid w:val="5455382C"/>
    <w:rsid w:val="54643166"/>
    <w:rsid w:val="55242A52"/>
    <w:rsid w:val="56C55F4F"/>
    <w:rsid w:val="56D14D04"/>
    <w:rsid w:val="571F5A86"/>
    <w:rsid w:val="57235ED9"/>
    <w:rsid w:val="5774152D"/>
    <w:rsid w:val="57BE4358"/>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C46811"/>
    <w:rsid w:val="65E40ADA"/>
    <w:rsid w:val="662621EA"/>
    <w:rsid w:val="66330B86"/>
    <w:rsid w:val="66E22203"/>
    <w:rsid w:val="67AD41EB"/>
    <w:rsid w:val="68B812C9"/>
    <w:rsid w:val="69D50CF4"/>
    <w:rsid w:val="69F0516E"/>
    <w:rsid w:val="6C260DCB"/>
    <w:rsid w:val="6C487AFD"/>
    <w:rsid w:val="6CB24363"/>
    <w:rsid w:val="6EA93466"/>
    <w:rsid w:val="6F97249D"/>
    <w:rsid w:val="6FCF0795"/>
    <w:rsid w:val="70DC1430"/>
    <w:rsid w:val="70EE62C9"/>
    <w:rsid w:val="71241736"/>
    <w:rsid w:val="71381023"/>
    <w:rsid w:val="73714961"/>
    <w:rsid w:val="754D1D92"/>
    <w:rsid w:val="758350A9"/>
    <w:rsid w:val="759E3B4B"/>
    <w:rsid w:val="75B96BD7"/>
    <w:rsid w:val="7641182E"/>
    <w:rsid w:val="76FA6613"/>
    <w:rsid w:val="775218F8"/>
    <w:rsid w:val="79687E1D"/>
    <w:rsid w:val="79B62FBA"/>
    <w:rsid w:val="7B0A23D6"/>
    <w:rsid w:val="7B560FD7"/>
    <w:rsid w:val="7B5F74F8"/>
    <w:rsid w:val="7B690630"/>
    <w:rsid w:val="7C5123F4"/>
    <w:rsid w:val="7C566885"/>
    <w:rsid w:val="7CB400F8"/>
    <w:rsid w:val="7D040AB6"/>
    <w:rsid w:val="7D4119E6"/>
    <w:rsid w:val="7D575350"/>
    <w:rsid w:val="7DAF162B"/>
    <w:rsid w:val="7DC42B41"/>
    <w:rsid w:val="7E590C78"/>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3"/>
    <w:basedOn w:val="1"/>
    <w:qFormat/>
    <w:uiPriority w:val="0"/>
    <w:pPr>
      <w:widowControl/>
      <w:spacing w:after="120" w:afterLines="0"/>
      <w:jc w:val="left"/>
    </w:pPr>
    <w:rPr>
      <w:rFonts w:ascii="Times New Roman" w:hAnsi="Times New Roman"/>
      <w:color w:val="auto"/>
      <w:sz w:val="16"/>
      <w:szCs w:val="16"/>
    </w:r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1"/>
    <w:next w:val="1"/>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2"/>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4">
    <w:name w:val="font111"/>
    <w:basedOn w:val="21"/>
    <w:qFormat/>
    <w:uiPriority w:val="0"/>
    <w:rPr>
      <w:rFonts w:hint="eastAsia" w:ascii="方正小标宋简体" w:hAnsi="方正小标宋简体" w:eastAsia="方正小标宋简体" w:cs="方正小标宋简体"/>
      <w:color w:val="000000"/>
      <w:sz w:val="44"/>
      <w:szCs w:val="44"/>
      <w:u w:val="none"/>
    </w:rPr>
  </w:style>
  <w:style w:type="character" w:customStyle="1" w:styleId="45">
    <w:name w:val="font122"/>
    <w:basedOn w:val="21"/>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1234</Words>
  <Characters>1310</Characters>
  <Lines>127</Lines>
  <Paragraphs>35</Paragraphs>
  <TotalTime>6</TotalTime>
  <ScaleCrop>false</ScaleCrop>
  <LinksUpToDate>false</LinksUpToDate>
  <CharactersWithSpaces>1383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2026-10-26T07:49:35Z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