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rPr>
      </w:pPr>
      <w:r>
        <w:rPr>
          <w:rFonts w:hint="eastAsia" w:ascii="Times New Roman" w:hAnsi="Times New Roman" w:eastAsia="黑体" w:cs="Times New Roman"/>
          <w:b/>
          <w:spacing w:val="24"/>
          <w:sz w:val="56"/>
          <w:szCs w:val="56"/>
          <w:lang w:val="en-US" w:eastAsia="zh-CN"/>
        </w:rPr>
        <w:t>四川省人民医院2026年管网疏通服务采购项目（2）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bookmarkStart w:id="104" w:name="_GoBack"/>
      <w:bookmarkEnd w:id="104"/>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rPr>
          <w:rFonts w:ascii="Times New Roman" w:hAnsi="Times New Roman" w:cs="Times New Roman"/>
        </w:rPr>
      </w:pPr>
      <w:bookmarkStart w:id="0" w:name="_Toc62832406"/>
      <w:bookmarkStart w:id="1" w:name="_Toc3240"/>
      <w:bookmarkStart w:id="2" w:name="_Toc471310326"/>
      <w:bookmarkStart w:id="3" w:name="_Toc20358"/>
      <w:bookmarkStart w:id="4" w:name="_Toc21919"/>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7"/>
              <w:numPr>
                <w:ilvl w:val="0"/>
                <w:numId w:val="4"/>
              </w:numPr>
              <w:tabs>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7"/>
              <w:numPr>
                <w:ilvl w:val="0"/>
                <w:numId w:val="4"/>
              </w:numPr>
              <w:tabs>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四川省人民医院2026年管网疏通服务采购项目（2）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CGZX-HQB20260546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E4BF282">
            <w:pPr>
              <w:spacing w:line="360" w:lineRule="auto"/>
              <w:ind w:left="210" w:leftChars="100"/>
              <w:rPr>
                <w:rFonts w:hint="eastAsia" w:ascii="Times New Roman" w:hAnsi="Times New Roman" w:eastAsia="仿宋" w:cs="Times New Roman"/>
                <w:sz w:val="22"/>
                <w:highlight w:val="none"/>
                <w:lang w:val="en-US" w:eastAsia="zh-CN"/>
              </w:rPr>
            </w:pPr>
            <w:r>
              <w:rPr>
                <w:rFonts w:hint="eastAsia" w:ascii="Times New Roman" w:hAnsi="Times New Roman" w:eastAsia="仿宋" w:cs="Times New Roman"/>
                <w:sz w:val="22"/>
                <w:lang w:val="en-US" w:eastAsia="zh-CN"/>
              </w:rPr>
              <w:t>本项目</w:t>
            </w:r>
            <w:r>
              <w:rPr>
                <w:rFonts w:hint="eastAsia" w:ascii="Times New Roman" w:hAnsi="Times New Roman" w:eastAsia="仿宋" w:cs="Times New Roman"/>
                <w:sz w:val="22"/>
                <w:highlight w:val="none"/>
                <w:lang w:val="en-US" w:eastAsia="zh-CN"/>
              </w:rPr>
              <w:t>按实结算支付上限为46.8万元/年，限高单价详见第四章“作业人员、设备预估及限价</w:t>
            </w:r>
            <w:r>
              <w:rPr>
                <w:rFonts w:hint="eastAsia" w:ascii="仿宋" w:hAnsi="仿宋" w:eastAsia="仿宋" w:cs="仿宋"/>
                <w:kern w:val="2"/>
                <w:highlight w:val="none"/>
                <w:lang w:eastAsia="zh-CN"/>
              </w:rPr>
              <w:t>”</w:t>
            </w:r>
            <w:r>
              <w:rPr>
                <w:rFonts w:hint="eastAsia" w:ascii="Times New Roman" w:hAnsi="Times New Roman" w:eastAsia="仿宋" w:cs="Times New Roman"/>
                <w:sz w:val="22"/>
                <w:highlight w:val="none"/>
                <w:lang w:val="en-US" w:eastAsia="zh-CN"/>
              </w:rPr>
              <w:t>。</w:t>
            </w:r>
          </w:p>
          <w:p w14:paraId="0EB5CEE8">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highlight w:val="none"/>
                <w:lang w:val="en-US" w:eastAsia="zh-CN"/>
              </w:rPr>
              <w:t>本项目要求报统一下浮率，下浮率＜0或≥100%，视为无效报价，其响应文件作无效处理。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合同支付上限的5%</w:t>
            </w:r>
          </w:p>
          <w:p w14:paraId="00EA646A">
            <w:pPr>
              <w:pStyle w:val="28"/>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p>
          <w:p w14:paraId="7E8CCB73">
            <w:pPr>
              <w:pStyle w:val="28"/>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345D4C50">
            <w:pPr>
              <w:pStyle w:val="28"/>
              <w:numPr>
                <w:ilvl w:val="0"/>
                <w:numId w:val="8"/>
              </w:numPr>
              <w:tabs>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p w14:paraId="7A456483">
            <w:pPr>
              <w:pStyle w:val="28"/>
              <w:numPr>
                <w:ilvl w:val="0"/>
                <w:numId w:val="8"/>
              </w:numPr>
              <w:tabs>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w:t>
            </w:r>
            <w:r>
              <w:rPr>
                <w:rFonts w:hint="eastAsia" w:ascii="Times New Roman" w:hAnsi="Times New Roman" w:eastAsia="仿宋" w:cs="Times New Roman"/>
                <w:sz w:val="22"/>
                <w:lang w:val="en-US" w:eastAsia="zh-CN"/>
              </w:rPr>
              <w:t>作业人员</w:t>
            </w:r>
            <w:r>
              <w:rPr>
                <w:rFonts w:ascii="Times New Roman" w:hAnsi="Times New Roman" w:eastAsia="仿宋" w:cs="Times New Roman"/>
                <w:sz w:val="22"/>
              </w:rPr>
              <w:t>价格得分与</w:t>
            </w:r>
            <w:r>
              <w:rPr>
                <w:rFonts w:hint="eastAsia" w:ascii="Times New Roman" w:hAnsi="Times New Roman" w:eastAsia="仿宋" w:cs="Times New Roman"/>
                <w:sz w:val="22"/>
                <w:lang w:val="en-US" w:eastAsia="zh-CN"/>
              </w:rPr>
              <w:t>作业设备</w:t>
            </w:r>
            <w:r>
              <w:rPr>
                <w:rFonts w:ascii="Times New Roman" w:hAnsi="Times New Roman" w:eastAsia="仿宋" w:cs="Times New Roman"/>
                <w:sz w:val="22"/>
              </w:rPr>
              <w:t>价格得分之和最高的）的为成交供应商，若报价相同且所有技术、服务及商务要求响应情况均一致则采取随机抽取的方式确定成交供应商。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7"/>
              <w:numPr>
                <w:ilvl w:val="0"/>
                <w:numId w:val="4"/>
              </w:numPr>
              <w:tabs>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7"/>
              <w:numPr>
                <w:ilvl w:val="0"/>
                <w:numId w:val="4"/>
              </w:numPr>
              <w:tabs>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7"/>
              <w:numPr>
                <w:ilvl w:val="0"/>
                <w:numId w:val="4"/>
              </w:numPr>
              <w:tabs>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4E39B4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w:t>
            </w:r>
            <w:r>
              <w:rPr>
                <w:rFonts w:ascii="Times New Roman" w:hAnsi="Times New Roman" w:eastAsia="仿宋" w:cs="Times New Roman"/>
                <w:sz w:val="22"/>
                <w:szCs w:val="22"/>
                <w:u w:val="none"/>
                <w:lang w:val="zh-CN"/>
              </w:rPr>
              <w:t>739</w:t>
            </w:r>
            <w:r>
              <w:rPr>
                <w:rFonts w:hint="eastAsia" w:ascii="Times New Roman" w:hAnsi="Times New Roman" w:eastAsia="仿宋" w:cs="Times New Roman"/>
                <w:sz w:val="22"/>
                <w:szCs w:val="22"/>
                <w:u w:val="none"/>
                <w:lang w:val="en-US"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19"/>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2846" w:type="pct"/>
            <w:vAlign w:val="center"/>
          </w:tcPr>
          <w:p w14:paraId="7D3D2FEC">
            <w:pPr>
              <w:rPr>
                <w:rFonts w:ascii="Times New Roman" w:hAnsi="Times New Roman" w:eastAsia="仿宋" w:cs="Times New Roman"/>
                <w:sz w:val="22"/>
                <w:u w:val="single"/>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18"/>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13771AF9">
      <w:pPr>
        <w:pStyle w:val="2"/>
        <w:keepNext w:val="0"/>
        <w:keepLines w:val="0"/>
        <w:pageBreakBefore w:val="0"/>
        <w:widowControl w:val="0"/>
        <w:kinsoku/>
        <w:wordWrap/>
        <w:overflowPunct/>
        <w:topLinePunct w:val="0"/>
        <w:autoSpaceDE/>
        <w:autoSpaceDN/>
        <w:bidi w:val="0"/>
        <w:adjustRightInd/>
        <w:snapToGrid/>
        <w:spacing w:line="400" w:lineRule="atLeast"/>
        <w:textAlignment w:val="auto"/>
        <w:rPr>
          <w:rFonts w:hint="default" w:ascii="仿宋" w:hAnsi="仿宋" w:eastAsia="仿宋" w:cs="仿宋"/>
          <w:b/>
          <w:bCs/>
          <w:kern w:val="2"/>
          <w:sz w:val="24"/>
          <w:szCs w:val="24"/>
          <w:lang w:val="en-US" w:eastAsia="zh-CN" w:bidi="ar-SA"/>
        </w:rPr>
      </w:pPr>
    </w:p>
    <w:p w14:paraId="7620F8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一、项目简介</w:t>
      </w:r>
    </w:p>
    <w:p w14:paraId="44E7B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kern w:val="2"/>
          <w:sz w:val="24"/>
          <w:szCs w:val="24"/>
          <w:lang w:val="en-US" w:eastAsia="zh-CN" w:bidi="ar-SA"/>
        </w:rPr>
        <w:t>因采购人实际工作需要，本项目拟采购一家供应商为采购人提供管网疏通服务，涵盖院本部、老年医学中心、龙泉院区、皮肤病性病研究所（皮研所）及四川省精神医学中心五个院区。项目核心要求为：仅提供疏通抽吸服务，不进行污泥转运处置，所有抽吸污泥需存放于采购人指定位置（不涉及院外转运）。</w:t>
      </w:r>
    </w:p>
    <w:p w14:paraId="724D89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bCs w:val="0"/>
          <w:color w:val="auto"/>
          <w:kern w:val="2"/>
          <w:sz w:val="24"/>
          <w:szCs w:val="24"/>
          <w:lang w:val="en-US" w:eastAsia="zh-CN" w:bidi="ar-SA"/>
        </w:rPr>
        <w:t>二、作业人员、设备预估及限价</w:t>
      </w:r>
    </w:p>
    <w:p w14:paraId="47C659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default" w:ascii="仿宋" w:hAnsi="仿宋" w:eastAsia="仿宋" w:cs="仿宋"/>
          <w:b/>
          <w:bCs w:val="0"/>
          <w:color w:val="auto"/>
          <w:kern w:val="2"/>
          <w:sz w:val="24"/>
          <w:szCs w:val="24"/>
          <w:lang w:val="en-US" w:eastAsia="zh-CN" w:bidi="ar-SA"/>
        </w:rPr>
      </w:pPr>
      <w:r>
        <w:rPr>
          <w:rFonts w:hint="eastAsia" w:ascii="仿宋" w:hAnsi="仿宋" w:eastAsia="仿宋" w:cs="仿宋"/>
          <w:b/>
          <w:bCs w:val="0"/>
          <w:color w:val="auto"/>
          <w:kern w:val="2"/>
          <w:sz w:val="24"/>
          <w:szCs w:val="24"/>
          <w:lang w:val="en-US" w:eastAsia="zh-CN" w:bidi="ar-SA"/>
        </w:rPr>
        <w:t>（一）作业人员预估及限价清单</w:t>
      </w:r>
    </w:p>
    <w:tbl>
      <w:tblPr>
        <w:tblStyle w:val="18"/>
        <w:tblW w:w="50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687"/>
        <w:gridCol w:w="2084"/>
        <w:gridCol w:w="2270"/>
        <w:gridCol w:w="1641"/>
        <w:gridCol w:w="2213"/>
      </w:tblGrid>
      <w:tr w14:paraId="71B58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761" w:hRule="atLeast"/>
        </w:trPr>
        <w:tc>
          <w:tcPr>
            <w:tcW w:w="1688" w:type="dxa"/>
            <w:shd w:val="clear" w:color="auto" w:fill="EEEEEE"/>
            <w:tcMar>
              <w:top w:w="0" w:type="dxa"/>
              <w:left w:w="105" w:type="dxa"/>
              <w:bottom w:w="0" w:type="dxa"/>
              <w:right w:w="105" w:type="dxa"/>
            </w:tcMar>
            <w:vAlign w:val="center"/>
          </w:tcPr>
          <w:p w14:paraId="0EAC483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院区名称</w:t>
            </w:r>
          </w:p>
        </w:tc>
        <w:tc>
          <w:tcPr>
            <w:tcW w:w="2084" w:type="dxa"/>
            <w:shd w:val="clear" w:color="auto" w:fill="EEEEEE"/>
            <w:tcMar>
              <w:top w:w="0" w:type="dxa"/>
              <w:left w:w="105" w:type="dxa"/>
              <w:bottom w:w="0" w:type="dxa"/>
              <w:right w:w="105" w:type="dxa"/>
            </w:tcMar>
            <w:vAlign w:val="center"/>
          </w:tcPr>
          <w:p w14:paraId="2A44C2E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月作业次数</w:t>
            </w:r>
          </w:p>
          <w:p w14:paraId="72CCD31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（次）</w:t>
            </w:r>
          </w:p>
        </w:tc>
        <w:tc>
          <w:tcPr>
            <w:tcW w:w="2270" w:type="dxa"/>
            <w:shd w:val="clear" w:color="auto" w:fill="EEEEEE"/>
            <w:tcMar>
              <w:top w:w="0" w:type="dxa"/>
              <w:left w:w="105" w:type="dxa"/>
              <w:bottom w:w="0" w:type="dxa"/>
              <w:right w:w="105" w:type="dxa"/>
            </w:tcMar>
            <w:vAlign w:val="center"/>
          </w:tcPr>
          <w:p w14:paraId="4CAE22D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单次作业台班</w:t>
            </w:r>
            <w:r>
              <w:rPr>
                <w:rFonts w:hint="eastAsia" w:ascii="仿宋" w:hAnsi="仿宋" w:eastAsia="仿宋" w:cs="仿宋"/>
                <w:sz w:val="24"/>
                <w:szCs w:val="24"/>
                <w:lang w:val="en-US" w:eastAsia="zh-CN"/>
              </w:rPr>
              <w:t>数</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8h/台班</w:t>
            </w:r>
            <w:r>
              <w:rPr>
                <w:rFonts w:hint="eastAsia" w:ascii="仿宋" w:hAnsi="仿宋" w:eastAsia="仿宋" w:cs="仿宋"/>
                <w:sz w:val="24"/>
                <w:szCs w:val="24"/>
                <w:lang w:eastAsia="zh-CN"/>
              </w:rPr>
              <w:t>）</w:t>
            </w:r>
          </w:p>
        </w:tc>
        <w:tc>
          <w:tcPr>
            <w:tcW w:w="1641" w:type="dxa"/>
            <w:shd w:val="clear" w:color="auto" w:fill="EEEEEE"/>
            <w:tcMar>
              <w:top w:w="0" w:type="dxa"/>
              <w:left w:w="105" w:type="dxa"/>
              <w:bottom w:w="0" w:type="dxa"/>
              <w:right w:w="105" w:type="dxa"/>
            </w:tcMar>
            <w:vAlign w:val="center"/>
          </w:tcPr>
          <w:p w14:paraId="35872CF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台班人数</w:t>
            </w:r>
          </w:p>
          <w:p w14:paraId="037FBC0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（人）</w:t>
            </w:r>
          </w:p>
        </w:tc>
        <w:tc>
          <w:tcPr>
            <w:tcW w:w="2213" w:type="dxa"/>
            <w:shd w:val="clear" w:color="auto" w:fill="EEEEEE"/>
            <w:tcMar>
              <w:top w:w="0" w:type="dxa"/>
              <w:left w:w="105" w:type="dxa"/>
              <w:bottom w:w="0" w:type="dxa"/>
              <w:right w:w="105" w:type="dxa"/>
            </w:tcMar>
            <w:vAlign w:val="center"/>
          </w:tcPr>
          <w:p w14:paraId="7E48036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b/>
                <w:bCs/>
                <w:sz w:val="24"/>
                <w:szCs w:val="24"/>
              </w:rPr>
              <w:t>★</w:t>
            </w:r>
            <w:r>
              <w:rPr>
                <w:rFonts w:hint="eastAsia" w:ascii="仿宋" w:hAnsi="仿宋" w:eastAsia="仿宋" w:cs="仿宋"/>
                <w:sz w:val="24"/>
                <w:szCs w:val="24"/>
              </w:rPr>
              <w:t>人员限高单价</w:t>
            </w:r>
          </w:p>
          <w:p w14:paraId="2F16B7F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（元/人</w:t>
            </w:r>
            <w:r>
              <w:rPr>
                <w:rFonts w:hint="eastAsia" w:ascii="仿宋" w:hAnsi="仿宋" w:eastAsia="仿宋" w:cs="仿宋"/>
                <w:sz w:val="24"/>
                <w:szCs w:val="24"/>
                <w:lang w:val="en-US" w:eastAsia="zh-CN"/>
              </w:rPr>
              <w:t>/台班</w:t>
            </w:r>
            <w:r>
              <w:rPr>
                <w:rFonts w:hint="eastAsia" w:ascii="仿宋" w:hAnsi="仿宋" w:eastAsia="仿宋" w:cs="仿宋"/>
                <w:sz w:val="24"/>
                <w:szCs w:val="24"/>
              </w:rPr>
              <w:t>）</w:t>
            </w:r>
          </w:p>
        </w:tc>
      </w:tr>
      <w:tr w14:paraId="475E4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332" w:hRule="atLeast"/>
        </w:trPr>
        <w:tc>
          <w:tcPr>
            <w:tcW w:w="1688" w:type="dxa"/>
            <w:shd w:val="clear" w:color="auto" w:fill="auto"/>
            <w:tcMar>
              <w:top w:w="0" w:type="dxa"/>
              <w:left w:w="105" w:type="dxa"/>
              <w:bottom w:w="0" w:type="dxa"/>
              <w:right w:w="105" w:type="dxa"/>
            </w:tcMar>
            <w:vAlign w:val="center"/>
          </w:tcPr>
          <w:p w14:paraId="2212C48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院本部</w:t>
            </w:r>
          </w:p>
        </w:tc>
        <w:tc>
          <w:tcPr>
            <w:tcW w:w="2084" w:type="dxa"/>
            <w:shd w:val="clear" w:color="auto" w:fill="auto"/>
            <w:tcMar>
              <w:top w:w="0" w:type="dxa"/>
              <w:left w:w="105" w:type="dxa"/>
              <w:bottom w:w="0" w:type="dxa"/>
              <w:right w:w="105" w:type="dxa"/>
            </w:tcMar>
            <w:vAlign w:val="center"/>
          </w:tcPr>
          <w:p w14:paraId="6071D54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270" w:type="dxa"/>
            <w:shd w:val="clear" w:color="auto" w:fill="auto"/>
            <w:tcMar>
              <w:top w:w="0" w:type="dxa"/>
              <w:left w:w="105" w:type="dxa"/>
              <w:bottom w:w="0" w:type="dxa"/>
              <w:right w:w="105" w:type="dxa"/>
            </w:tcMar>
            <w:vAlign w:val="center"/>
          </w:tcPr>
          <w:p w14:paraId="56E412B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641" w:type="dxa"/>
            <w:shd w:val="clear" w:color="auto" w:fill="auto"/>
            <w:tcMar>
              <w:top w:w="0" w:type="dxa"/>
              <w:left w:w="105" w:type="dxa"/>
              <w:bottom w:w="0" w:type="dxa"/>
              <w:right w:w="105" w:type="dxa"/>
            </w:tcMar>
            <w:vAlign w:val="center"/>
          </w:tcPr>
          <w:p w14:paraId="4497245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213" w:type="dxa"/>
            <w:shd w:val="clear" w:color="auto" w:fill="auto"/>
            <w:tcMar>
              <w:top w:w="0" w:type="dxa"/>
              <w:left w:w="105" w:type="dxa"/>
              <w:bottom w:w="0" w:type="dxa"/>
              <w:right w:w="105" w:type="dxa"/>
            </w:tcMar>
            <w:vAlign w:val="center"/>
          </w:tcPr>
          <w:p w14:paraId="0738350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500</w:t>
            </w:r>
          </w:p>
        </w:tc>
      </w:tr>
      <w:tr w14:paraId="3EDEE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98" w:hRule="atLeast"/>
        </w:trPr>
        <w:tc>
          <w:tcPr>
            <w:tcW w:w="1688" w:type="dxa"/>
            <w:shd w:val="clear" w:color="auto" w:fill="auto"/>
            <w:tcMar>
              <w:top w:w="0" w:type="dxa"/>
              <w:left w:w="105" w:type="dxa"/>
              <w:bottom w:w="0" w:type="dxa"/>
              <w:right w:w="105" w:type="dxa"/>
            </w:tcMar>
            <w:vAlign w:val="center"/>
          </w:tcPr>
          <w:p w14:paraId="5D8400D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老年医学中心</w:t>
            </w:r>
          </w:p>
        </w:tc>
        <w:tc>
          <w:tcPr>
            <w:tcW w:w="2084" w:type="dxa"/>
            <w:shd w:val="clear" w:color="auto" w:fill="auto"/>
            <w:tcMar>
              <w:top w:w="0" w:type="dxa"/>
              <w:left w:w="105" w:type="dxa"/>
              <w:bottom w:w="0" w:type="dxa"/>
              <w:right w:w="105" w:type="dxa"/>
            </w:tcMar>
            <w:vAlign w:val="center"/>
          </w:tcPr>
          <w:p w14:paraId="0FCF4BF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270" w:type="dxa"/>
            <w:shd w:val="clear" w:color="auto" w:fill="auto"/>
            <w:tcMar>
              <w:top w:w="0" w:type="dxa"/>
              <w:left w:w="105" w:type="dxa"/>
              <w:bottom w:w="0" w:type="dxa"/>
              <w:right w:w="105" w:type="dxa"/>
            </w:tcMar>
            <w:vAlign w:val="center"/>
          </w:tcPr>
          <w:p w14:paraId="67841A8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41" w:type="dxa"/>
            <w:shd w:val="clear" w:color="auto" w:fill="auto"/>
            <w:tcMar>
              <w:top w:w="0" w:type="dxa"/>
              <w:left w:w="105" w:type="dxa"/>
              <w:bottom w:w="0" w:type="dxa"/>
              <w:right w:w="105" w:type="dxa"/>
            </w:tcMar>
            <w:vAlign w:val="center"/>
          </w:tcPr>
          <w:p w14:paraId="0062413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213" w:type="dxa"/>
            <w:shd w:val="clear" w:color="auto" w:fill="auto"/>
            <w:tcMar>
              <w:top w:w="0" w:type="dxa"/>
              <w:left w:w="105" w:type="dxa"/>
              <w:bottom w:w="0" w:type="dxa"/>
              <w:right w:w="105" w:type="dxa"/>
            </w:tcMar>
            <w:vAlign w:val="center"/>
          </w:tcPr>
          <w:p w14:paraId="4460D12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500</w:t>
            </w:r>
          </w:p>
        </w:tc>
      </w:tr>
      <w:tr w14:paraId="5D1C4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646" w:hRule="atLeast"/>
        </w:trPr>
        <w:tc>
          <w:tcPr>
            <w:tcW w:w="1688" w:type="dxa"/>
            <w:shd w:val="clear" w:color="auto" w:fill="auto"/>
            <w:tcMar>
              <w:top w:w="0" w:type="dxa"/>
              <w:left w:w="105" w:type="dxa"/>
              <w:bottom w:w="0" w:type="dxa"/>
              <w:right w:w="105" w:type="dxa"/>
            </w:tcMar>
            <w:vAlign w:val="center"/>
          </w:tcPr>
          <w:p w14:paraId="27A3EC5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龙泉院区</w:t>
            </w:r>
          </w:p>
        </w:tc>
        <w:tc>
          <w:tcPr>
            <w:tcW w:w="2084" w:type="dxa"/>
            <w:shd w:val="clear" w:color="auto" w:fill="auto"/>
            <w:tcMar>
              <w:top w:w="0" w:type="dxa"/>
              <w:left w:w="105" w:type="dxa"/>
              <w:bottom w:w="0" w:type="dxa"/>
              <w:right w:w="105" w:type="dxa"/>
            </w:tcMar>
            <w:vAlign w:val="center"/>
          </w:tcPr>
          <w:p w14:paraId="742E9FF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270" w:type="dxa"/>
            <w:shd w:val="clear" w:color="auto" w:fill="auto"/>
            <w:tcMar>
              <w:top w:w="0" w:type="dxa"/>
              <w:left w:w="105" w:type="dxa"/>
              <w:bottom w:w="0" w:type="dxa"/>
              <w:right w:w="105" w:type="dxa"/>
            </w:tcMar>
            <w:vAlign w:val="center"/>
          </w:tcPr>
          <w:p w14:paraId="3635152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41" w:type="dxa"/>
            <w:shd w:val="clear" w:color="auto" w:fill="auto"/>
            <w:tcMar>
              <w:top w:w="0" w:type="dxa"/>
              <w:left w:w="105" w:type="dxa"/>
              <w:bottom w:w="0" w:type="dxa"/>
              <w:right w:w="105" w:type="dxa"/>
            </w:tcMar>
            <w:vAlign w:val="center"/>
          </w:tcPr>
          <w:p w14:paraId="055ADDF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213" w:type="dxa"/>
            <w:shd w:val="clear" w:color="auto" w:fill="auto"/>
            <w:tcMar>
              <w:top w:w="0" w:type="dxa"/>
              <w:left w:w="105" w:type="dxa"/>
              <w:bottom w:w="0" w:type="dxa"/>
              <w:right w:w="105" w:type="dxa"/>
            </w:tcMar>
            <w:vAlign w:val="center"/>
          </w:tcPr>
          <w:p w14:paraId="1429955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500</w:t>
            </w:r>
          </w:p>
        </w:tc>
      </w:tr>
      <w:tr w14:paraId="04AFD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724" w:hRule="atLeast"/>
        </w:trPr>
        <w:tc>
          <w:tcPr>
            <w:tcW w:w="1688" w:type="dxa"/>
            <w:shd w:val="clear" w:color="auto" w:fill="auto"/>
            <w:tcMar>
              <w:top w:w="0" w:type="dxa"/>
              <w:left w:w="105" w:type="dxa"/>
              <w:bottom w:w="0" w:type="dxa"/>
              <w:right w:w="105" w:type="dxa"/>
            </w:tcMar>
            <w:vAlign w:val="center"/>
          </w:tcPr>
          <w:p w14:paraId="159F2CA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皮肤病性病研究所（皮研所）</w:t>
            </w:r>
          </w:p>
        </w:tc>
        <w:tc>
          <w:tcPr>
            <w:tcW w:w="2084" w:type="dxa"/>
            <w:shd w:val="clear" w:color="auto" w:fill="auto"/>
            <w:tcMar>
              <w:top w:w="0" w:type="dxa"/>
              <w:left w:w="105" w:type="dxa"/>
              <w:bottom w:w="0" w:type="dxa"/>
              <w:right w:w="105" w:type="dxa"/>
            </w:tcMar>
            <w:vAlign w:val="center"/>
          </w:tcPr>
          <w:p w14:paraId="55867FF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270" w:type="dxa"/>
            <w:shd w:val="clear" w:color="auto" w:fill="auto"/>
            <w:tcMar>
              <w:top w:w="0" w:type="dxa"/>
              <w:left w:w="105" w:type="dxa"/>
              <w:bottom w:w="0" w:type="dxa"/>
              <w:right w:w="105" w:type="dxa"/>
            </w:tcMar>
            <w:vAlign w:val="center"/>
          </w:tcPr>
          <w:p w14:paraId="3A5ACD1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41" w:type="dxa"/>
            <w:shd w:val="clear" w:color="auto" w:fill="auto"/>
            <w:tcMar>
              <w:top w:w="0" w:type="dxa"/>
              <w:left w:w="105" w:type="dxa"/>
              <w:bottom w:w="0" w:type="dxa"/>
              <w:right w:w="105" w:type="dxa"/>
            </w:tcMar>
            <w:vAlign w:val="center"/>
          </w:tcPr>
          <w:p w14:paraId="10D0577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213" w:type="dxa"/>
            <w:shd w:val="clear" w:color="auto" w:fill="auto"/>
            <w:tcMar>
              <w:top w:w="0" w:type="dxa"/>
              <w:left w:w="105" w:type="dxa"/>
              <w:bottom w:w="0" w:type="dxa"/>
              <w:right w:w="105" w:type="dxa"/>
            </w:tcMar>
            <w:vAlign w:val="center"/>
          </w:tcPr>
          <w:p w14:paraId="6D50515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500</w:t>
            </w:r>
          </w:p>
        </w:tc>
      </w:tr>
      <w:tr w14:paraId="7C680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321" w:hRule="atLeast"/>
        </w:trPr>
        <w:tc>
          <w:tcPr>
            <w:tcW w:w="1688" w:type="dxa"/>
            <w:shd w:val="clear" w:color="auto" w:fill="auto"/>
            <w:tcMar>
              <w:top w:w="0" w:type="dxa"/>
              <w:left w:w="105" w:type="dxa"/>
              <w:bottom w:w="0" w:type="dxa"/>
              <w:right w:w="105" w:type="dxa"/>
            </w:tcMar>
            <w:vAlign w:val="center"/>
          </w:tcPr>
          <w:p w14:paraId="1ABA7BA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四川省精神医学中心</w:t>
            </w:r>
          </w:p>
        </w:tc>
        <w:tc>
          <w:tcPr>
            <w:tcW w:w="2084" w:type="dxa"/>
            <w:shd w:val="clear" w:color="auto" w:fill="auto"/>
            <w:tcMar>
              <w:top w:w="0" w:type="dxa"/>
              <w:left w:w="105" w:type="dxa"/>
              <w:bottom w:w="0" w:type="dxa"/>
              <w:right w:w="105" w:type="dxa"/>
            </w:tcMar>
            <w:vAlign w:val="center"/>
          </w:tcPr>
          <w:p w14:paraId="068B3F8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270" w:type="dxa"/>
            <w:shd w:val="clear" w:color="auto" w:fill="auto"/>
            <w:tcMar>
              <w:top w:w="0" w:type="dxa"/>
              <w:left w:w="105" w:type="dxa"/>
              <w:bottom w:w="0" w:type="dxa"/>
              <w:right w:w="105" w:type="dxa"/>
            </w:tcMar>
            <w:vAlign w:val="center"/>
          </w:tcPr>
          <w:p w14:paraId="343F515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41" w:type="dxa"/>
            <w:shd w:val="clear" w:color="auto" w:fill="auto"/>
            <w:tcMar>
              <w:top w:w="0" w:type="dxa"/>
              <w:left w:w="105" w:type="dxa"/>
              <w:bottom w:w="0" w:type="dxa"/>
              <w:right w:w="105" w:type="dxa"/>
            </w:tcMar>
            <w:vAlign w:val="center"/>
          </w:tcPr>
          <w:p w14:paraId="58655E4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213" w:type="dxa"/>
            <w:shd w:val="clear" w:color="auto" w:fill="auto"/>
            <w:tcMar>
              <w:top w:w="0" w:type="dxa"/>
              <w:left w:w="105" w:type="dxa"/>
              <w:bottom w:w="0" w:type="dxa"/>
              <w:right w:w="105" w:type="dxa"/>
            </w:tcMar>
            <w:vAlign w:val="center"/>
          </w:tcPr>
          <w:p w14:paraId="6074317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500</w:t>
            </w:r>
          </w:p>
        </w:tc>
      </w:tr>
    </w:tbl>
    <w:p w14:paraId="2CDC3C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仿宋" w:hAnsi="仿宋" w:eastAsia="仿宋" w:cs="仿宋"/>
          <w:b/>
          <w:bCs w:val="0"/>
          <w:color w:val="auto"/>
          <w:kern w:val="2"/>
          <w:sz w:val="24"/>
          <w:szCs w:val="24"/>
          <w:lang w:val="en-US" w:eastAsia="zh-CN" w:bidi="ar-SA"/>
        </w:rPr>
      </w:pPr>
      <w:r>
        <w:rPr>
          <w:rFonts w:hint="eastAsia" w:ascii="仿宋" w:hAnsi="仿宋" w:eastAsia="仿宋" w:cs="仿宋"/>
          <w:b/>
          <w:bCs w:val="0"/>
          <w:color w:val="auto"/>
          <w:kern w:val="2"/>
          <w:sz w:val="24"/>
          <w:szCs w:val="24"/>
          <w:lang w:val="en-US" w:eastAsia="zh-CN" w:bidi="ar-SA"/>
        </w:rPr>
        <w:t>（二）作业设备预估及限价</w:t>
      </w:r>
    </w:p>
    <w:tbl>
      <w:tblPr>
        <w:tblStyle w:val="18"/>
        <w:tblW w:w="50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85"/>
        <w:gridCol w:w="2170"/>
        <w:gridCol w:w="2133"/>
        <w:gridCol w:w="2137"/>
        <w:gridCol w:w="2143"/>
      </w:tblGrid>
      <w:tr w14:paraId="5BC07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0" w:hRule="atLeast"/>
        </w:trPr>
        <w:tc>
          <w:tcPr>
            <w:tcW w:w="1299" w:type="dxa"/>
            <w:tcBorders>
              <w:top w:val="single" w:color="auto" w:sz="6" w:space="0"/>
              <w:left w:val="single" w:color="auto" w:sz="6" w:space="0"/>
              <w:bottom w:val="single" w:color="000000" w:sz="6" w:space="0"/>
              <w:right w:val="single" w:color="000000" w:sz="6" w:space="0"/>
            </w:tcBorders>
            <w:shd w:val="clear" w:color="auto" w:fill="EEEEEE"/>
            <w:tcMar>
              <w:top w:w="0" w:type="dxa"/>
              <w:left w:w="105" w:type="dxa"/>
              <w:bottom w:w="0" w:type="dxa"/>
              <w:right w:w="105" w:type="dxa"/>
            </w:tcMar>
            <w:vAlign w:val="center"/>
          </w:tcPr>
          <w:p w14:paraId="618FBC5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b/>
                <w:bCs/>
                <w:sz w:val="24"/>
                <w:szCs w:val="24"/>
              </w:rPr>
              <w:t>★</w:t>
            </w:r>
            <w:r>
              <w:rPr>
                <w:rFonts w:hint="eastAsia" w:ascii="仿宋" w:hAnsi="仿宋" w:eastAsia="仿宋" w:cs="仿宋"/>
                <w:sz w:val="24"/>
                <w:szCs w:val="24"/>
              </w:rPr>
              <w:t>设备类型</w:t>
            </w:r>
          </w:p>
        </w:tc>
        <w:tc>
          <w:tcPr>
            <w:tcW w:w="2194" w:type="dxa"/>
            <w:tcBorders>
              <w:top w:val="single" w:color="auto" w:sz="6" w:space="0"/>
              <w:left w:val="nil"/>
              <w:bottom w:val="single" w:color="000000" w:sz="6" w:space="0"/>
              <w:right w:val="single" w:color="000000" w:sz="6" w:space="0"/>
            </w:tcBorders>
            <w:shd w:val="clear" w:color="auto" w:fill="EEEEEE"/>
            <w:tcMar>
              <w:top w:w="0" w:type="dxa"/>
              <w:left w:w="105" w:type="dxa"/>
              <w:bottom w:w="0" w:type="dxa"/>
              <w:right w:w="105" w:type="dxa"/>
            </w:tcMar>
            <w:vAlign w:val="center"/>
          </w:tcPr>
          <w:p w14:paraId="722DDB2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配置数量</w:t>
            </w:r>
          </w:p>
          <w:p w14:paraId="1CD448E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台</w:t>
            </w:r>
            <w:r>
              <w:rPr>
                <w:rFonts w:hint="eastAsia" w:ascii="仿宋" w:hAnsi="仿宋" w:eastAsia="仿宋" w:cs="仿宋"/>
                <w:sz w:val="24"/>
                <w:szCs w:val="24"/>
              </w:rPr>
              <w:t>/次）</w:t>
            </w:r>
          </w:p>
        </w:tc>
        <w:tc>
          <w:tcPr>
            <w:tcW w:w="2156" w:type="dxa"/>
            <w:tcBorders>
              <w:top w:val="single" w:color="auto" w:sz="6" w:space="0"/>
              <w:left w:val="nil"/>
              <w:bottom w:val="single" w:color="000000" w:sz="6" w:space="0"/>
              <w:right w:val="single" w:color="000000" w:sz="6" w:space="0"/>
            </w:tcBorders>
            <w:shd w:val="clear" w:color="auto" w:fill="EEEEEE"/>
            <w:tcMar>
              <w:top w:w="0" w:type="dxa"/>
              <w:left w:w="105" w:type="dxa"/>
              <w:bottom w:w="0" w:type="dxa"/>
              <w:right w:w="105" w:type="dxa"/>
            </w:tcMar>
            <w:vAlign w:val="center"/>
          </w:tcPr>
          <w:p w14:paraId="6407731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b/>
                <w:bCs/>
                <w:sz w:val="24"/>
                <w:szCs w:val="24"/>
              </w:rPr>
              <w:t>★</w:t>
            </w:r>
            <w:r>
              <w:rPr>
                <w:rFonts w:hint="eastAsia" w:ascii="仿宋" w:hAnsi="仿宋" w:eastAsia="仿宋" w:cs="仿宋"/>
                <w:sz w:val="24"/>
                <w:szCs w:val="24"/>
              </w:rPr>
              <w:t>单次租赁</w:t>
            </w:r>
            <w:r>
              <w:rPr>
                <w:rFonts w:hint="eastAsia" w:ascii="仿宋" w:hAnsi="仿宋" w:eastAsia="仿宋" w:cs="仿宋"/>
                <w:sz w:val="24"/>
                <w:szCs w:val="24"/>
                <w:lang w:val="en-US" w:eastAsia="zh-CN"/>
              </w:rPr>
              <w:t>/使用</w:t>
            </w:r>
            <w:r>
              <w:rPr>
                <w:rFonts w:hint="eastAsia" w:ascii="仿宋" w:hAnsi="仿宋" w:eastAsia="仿宋" w:cs="仿宋"/>
                <w:sz w:val="24"/>
                <w:szCs w:val="24"/>
              </w:rPr>
              <w:t>费限高价</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元/次</w:t>
            </w:r>
            <w:r>
              <w:rPr>
                <w:rFonts w:hint="eastAsia" w:ascii="仿宋" w:hAnsi="仿宋" w:eastAsia="仿宋" w:cs="仿宋"/>
                <w:sz w:val="24"/>
                <w:szCs w:val="24"/>
                <w:lang w:eastAsia="zh-CN"/>
              </w:rPr>
              <w:t>）</w:t>
            </w:r>
          </w:p>
        </w:tc>
        <w:tc>
          <w:tcPr>
            <w:tcW w:w="2164" w:type="dxa"/>
            <w:tcBorders>
              <w:top w:val="single" w:color="auto" w:sz="6" w:space="0"/>
              <w:left w:val="nil"/>
              <w:bottom w:val="single" w:color="000000" w:sz="6" w:space="0"/>
              <w:right w:val="single" w:color="000000" w:sz="6" w:space="0"/>
            </w:tcBorders>
            <w:shd w:val="clear" w:color="auto" w:fill="EEEEEE"/>
            <w:tcMar>
              <w:top w:w="0" w:type="dxa"/>
              <w:left w:w="105" w:type="dxa"/>
              <w:bottom w:w="0" w:type="dxa"/>
              <w:right w:w="105" w:type="dxa"/>
            </w:tcMar>
            <w:vAlign w:val="center"/>
          </w:tcPr>
          <w:p w14:paraId="499D631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lang w:val="en-US"/>
              </w:rPr>
            </w:pPr>
            <w:r>
              <w:rPr>
                <w:rFonts w:hint="eastAsia" w:ascii="仿宋" w:hAnsi="仿宋" w:eastAsia="仿宋" w:cs="仿宋"/>
                <w:sz w:val="24"/>
                <w:szCs w:val="24"/>
              </w:rPr>
              <w:t>月度</w:t>
            </w:r>
            <w:r>
              <w:rPr>
                <w:rFonts w:hint="eastAsia" w:ascii="仿宋" w:hAnsi="仿宋" w:eastAsia="仿宋" w:cs="仿宋"/>
                <w:sz w:val="24"/>
                <w:szCs w:val="24"/>
                <w:lang w:val="en-US" w:eastAsia="zh-CN"/>
              </w:rPr>
              <w:t>租赁/使用预估次数</w:t>
            </w:r>
          </w:p>
        </w:tc>
        <w:tc>
          <w:tcPr>
            <w:tcW w:w="2164" w:type="dxa"/>
            <w:tcBorders>
              <w:top w:val="single" w:color="auto" w:sz="6" w:space="0"/>
              <w:left w:val="nil"/>
              <w:bottom w:val="single" w:color="000000" w:sz="6" w:space="0"/>
              <w:right w:val="single" w:color="000000" w:sz="6" w:space="0"/>
            </w:tcBorders>
            <w:shd w:val="clear" w:color="auto" w:fill="EEEEEE"/>
            <w:tcMar>
              <w:top w:w="0" w:type="dxa"/>
              <w:left w:w="105" w:type="dxa"/>
              <w:bottom w:w="0" w:type="dxa"/>
              <w:right w:w="105" w:type="dxa"/>
            </w:tcMar>
            <w:vAlign w:val="center"/>
          </w:tcPr>
          <w:p w14:paraId="01342DD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14:paraId="128B0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02" w:hRule="atLeast"/>
        </w:trPr>
        <w:tc>
          <w:tcPr>
            <w:tcW w:w="1299" w:type="dxa"/>
            <w:tcBorders>
              <w:top w:val="nil"/>
              <w:left w:val="single" w:color="auto"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EC0654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疏通</w:t>
            </w:r>
            <w:r>
              <w:rPr>
                <w:rFonts w:hint="eastAsia" w:ascii="仿宋" w:hAnsi="仿宋" w:eastAsia="仿宋" w:cs="仿宋"/>
                <w:sz w:val="24"/>
                <w:szCs w:val="24"/>
              </w:rPr>
              <w:t>清洗吸污车</w:t>
            </w:r>
          </w:p>
        </w:tc>
        <w:tc>
          <w:tcPr>
            <w:tcW w:w="219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A6711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1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C7EA2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1900</w:t>
            </w:r>
          </w:p>
        </w:tc>
        <w:tc>
          <w:tcPr>
            <w:tcW w:w="216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EFA69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216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9DA50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租赁设备使用时间每8小时为1次，单次租赁设备使用时间须不低于4小时，超过8小时按成交单价比例折算。</w:t>
            </w:r>
          </w:p>
        </w:tc>
      </w:tr>
    </w:tbl>
    <w:p w14:paraId="5A57F4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40" w:lineRule="auto"/>
        <w:ind w:firstLine="482" w:firstLineChars="200"/>
        <w:textAlignment w:val="auto"/>
        <w:rPr>
          <w:rFonts w:hint="eastAsia" w:ascii="仿宋" w:hAnsi="仿宋" w:eastAsia="仿宋" w:cs="仿宋"/>
          <w:b/>
          <w:bCs w:val="0"/>
          <w:color w:val="auto"/>
          <w:kern w:val="2"/>
          <w:sz w:val="24"/>
          <w:szCs w:val="24"/>
          <w:lang w:val="en-US" w:eastAsia="zh-CN" w:bidi="ar-SA"/>
        </w:rPr>
      </w:pPr>
      <w:r>
        <w:rPr>
          <w:rFonts w:ascii="Segoe UI Symbol" w:hAnsi="Segoe UI Symbol" w:eastAsia="仿宋" w:cs="Segoe UI Symbol"/>
          <w:b/>
          <w:bCs/>
          <w:sz w:val="24"/>
          <w:szCs w:val="22"/>
          <w:highlight w:val="none"/>
        </w:rPr>
        <w:t>★</w:t>
      </w:r>
      <w:r>
        <w:rPr>
          <w:rFonts w:hint="eastAsia" w:ascii="仿宋" w:hAnsi="仿宋" w:eastAsia="仿宋" w:cs="仿宋"/>
          <w:b/>
          <w:bCs w:val="0"/>
          <w:color w:val="auto"/>
          <w:kern w:val="2"/>
          <w:sz w:val="24"/>
          <w:szCs w:val="24"/>
          <w:lang w:val="en-US" w:eastAsia="zh-CN" w:bidi="ar-SA"/>
        </w:rPr>
        <w:t>三、服务内容</w:t>
      </w:r>
    </w:p>
    <w:p w14:paraId="236ACDB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服务范围与覆盖院区</w:t>
      </w:r>
    </w:p>
    <w:p w14:paraId="4B2F7CF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覆盖院区：院本部、老年医学中心、龙泉院区、皮肤病性病研究所（皮</w:t>
      </w:r>
      <w:r>
        <w:rPr>
          <w:rFonts w:hint="eastAsia" w:ascii="仿宋" w:hAnsi="仿宋" w:eastAsia="仿宋" w:cs="仿宋"/>
          <w:sz w:val="24"/>
          <w:szCs w:val="24"/>
          <w:lang w:val="en-US" w:eastAsia="zh-CN"/>
        </w:rPr>
        <w:t>研</w:t>
      </w:r>
      <w:r>
        <w:rPr>
          <w:rFonts w:hint="eastAsia" w:ascii="仿宋" w:hAnsi="仿宋" w:eastAsia="仿宋" w:cs="仿宋"/>
          <w:sz w:val="24"/>
          <w:szCs w:val="24"/>
        </w:rPr>
        <w:t>所）、四川省精神医学中心。</w:t>
      </w:r>
    </w:p>
    <w:p w14:paraId="2553014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1.院本部：院本部门诊楼、住院楼、医技楼、后勤楼、污水处理站周边堵塞的污水管道（含支管、干管）、化粪池（住院部、门诊区、后勤区配套）、污水井、检查井疏通。</w:t>
      </w:r>
    </w:p>
    <w:p w14:paraId="6A5ADFC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2.老年医学中心：住院部、门诊区、康复区堵塞的污水管道及化粪池，重点关注老年患者活动区域周边管道，降低施工干扰。</w:t>
      </w:r>
    </w:p>
    <w:p w14:paraId="6C3C62E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3.龙泉院区：院区堵塞的污水管网、化粪池、污水处理相关配套管道，涵盖门诊、住院、后勤区域。</w:t>
      </w:r>
    </w:p>
    <w:p w14:paraId="78CD28D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en-US" w:eastAsia="zh-CN"/>
        </w:rPr>
        <w:t>皮肤病性病研究所（皮研所）</w:t>
      </w:r>
      <w:r>
        <w:rPr>
          <w:rFonts w:hint="eastAsia" w:ascii="仿宋" w:hAnsi="仿宋" w:eastAsia="仿宋" w:cs="仿宋"/>
          <w:sz w:val="24"/>
          <w:szCs w:val="24"/>
        </w:rPr>
        <w:t>：门诊区、治疗区、实验室堵塞的污水管道（重点疏通实验室废水排放管道，防止残留试剂堵塞）、化粪池。</w:t>
      </w:r>
    </w:p>
    <w:p w14:paraId="6867333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5.四川省精神医学中心：院区堵塞的污水管网、化粪池、污水处理相关配套管道，涵盖门诊、住院、后勤区域。</w:t>
      </w:r>
    </w:p>
    <w:p w14:paraId="03C9729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点位及规模</w:t>
      </w:r>
    </w:p>
    <w:p w14:paraId="78BEC81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1.本部院区</w:t>
      </w:r>
    </w:p>
    <w:p w14:paraId="568D17F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（1）化粪池、检查井</w:t>
      </w:r>
    </w:p>
    <w:p w14:paraId="5992FB2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表一</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本部院区</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34"/>
        <w:gridCol w:w="2673"/>
        <w:gridCol w:w="2943"/>
        <w:gridCol w:w="2994"/>
      </w:tblGrid>
      <w:tr w14:paraId="38956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4" w:hRule="atLeast"/>
        </w:trPr>
        <w:tc>
          <w:tcPr>
            <w:tcW w:w="627" w:type="pct"/>
            <w:vMerge w:val="restart"/>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C2D4E9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357" w:type="pct"/>
            <w:vMerge w:val="restart"/>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F680FC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位置</w:t>
            </w:r>
          </w:p>
        </w:tc>
        <w:tc>
          <w:tcPr>
            <w:tcW w:w="1494" w:type="pct"/>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0F8418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窨井</w:t>
            </w:r>
          </w:p>
        </w:tc>
        <w:tc>
          <w:tcPr>
            <w:tcW w:w="1520" w:type="pct"/>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3F5192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化粪池</w:t>
            </w:r>
          </w:p>
        </w:tc>
      </w:tr>
      <w:tr w14:paraId="3AD88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4" w:hRule="atLeast"/>
        </w:trPr>
        <w:tc>
          <w:tcPr>
            <w:tcW w:w="627" w:type="pct"/>
            <w:vMerge w:val="continue"/>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C7A67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p>
        </w:tc>
        <w:tc>
          <w:tcPr>
            <w:tcW w:w="1357" w:type="pct"/>
            <w:vMerge w:val="continue"/>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6DD354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p>
        </w:tc>
        <w:tc>
          <w:tcPr>
            <w:tcW w:w="1494"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4042A8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数量（个）</w:t>
            </w:r>
          </w:p>
        </w:tc>
        <w:tc>
          <w:tcPr>
            <w:tcW w:w="1520"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8EFA87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数量（座）</w:t>
            </w:r>
          </w:p>
        </w:tc>
      </w:tr>
      <w:tr w14:paraId="0AF81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7" w:hRule="atLeast"/>
        </w:trPr>
        <w:tc>
          <w:tcPr>
            <w:tcW w:w="62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48B5F4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35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7910B4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第一住院部</w:t>
            </w:r>
          </w:p>
        </w:tc>
        <w:tc>
          <w:tcPr>
            <w:tcW w:w="1494"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5E0CEE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30</w:t>
            </w:r>
          </w:p>
        </w:tc>
        <w:tc>
          <w:tcPr>
            <w:tcW w:w="1520"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28771F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r>
      <w:tr w14:paraId="34EAD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7" w:hRule="atLeast"/>
        </w:trPr>
        <w:tc>
          <w:tcPr>
            <w:tcW w:w="62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3AAEE4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35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F27DE8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第二住院部</w:t>
            </w:r>
          </w:p>
        </w:tc>
        <w:tc>
          <w:tcPr>
            <w:tcW w:w="1494"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741773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57</w:t>
            </w:r>
          </w:p>
        </w:tc>
        <w:tc>
          <w:tcPr>
            <w:tcW w:w="1520"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D3024C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r>
      <w:tr w14:paraId="0FD7D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7" w:hRule="atLeast"/>
        </w:trPr>
        <w:tc>
          <w:tcPr>
            <w:tcW w:w="62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1D4638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35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7DC249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第三住院部</w:t>
            </w:r>
          </w:p>
        </w:tc>
        <w:tc>
          <w:tcPr>
            <w:tcW w:w="1494"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B2C6EA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48</w:t>
            </w:r>
          </w:p>
        </w:tc>
        <w:tc>
          <w:tcPr>
            <w:tcW w:w="1520"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09548D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r>
      <w:tr w14:paraId="61C53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7" w:hRule="atLeast"/>
        </w:trPr>
        <w:tc>
          <w:tcPr>
            <w:tcW w:w="62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D84E95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35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821F97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老年干部医疗中心</w:t>
            </w:r>
          </w:p>
        </w:tc>
        <w:tc>
          <w:tcPr>
            <w:tcW w:w="1494"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F7E2E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54</w:t>
            </w:r>
          </w:p>
        </w:tc>
        <w:tc>
          <w:tcPr>
            <w:tcW w:w="1520"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C53F77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r>
      <w:tr w14:paraId="54690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7" w:hRule="atLeast"/>
        </w:trPr>
        <w:tc>
          <w:tcPr>
            <w:tcW w:w="62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974102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357"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1E5B51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污水处理站、后勤大楼</w:t>
            </w:r>
          </w:p>
        </w:tc>
        <w:tc>
          <w:tcPr>
            <w:tcW w:w="1494"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687E4F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45</w:t>
            </w:r>
          </w:p>
        </w:tc>
        <w:tc>
          <w:tcPr>
            <w:tcW w:w="1520"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39D673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r>
      <w:tr w14:paraId="397B7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 w:hRule="atLeast"/>
        </w:trPr>
        <w:tc>
          <w:tcPr>
            <w:tcW w:w="1984" w:type="pct"/>
            <w:gridSpan w:val="2"/>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B61061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合计</w:t>
            </w:r>
          </w:p>
        </w:tc>
        <w:tc>
          <w:tcPr>
            <w:tcW w:w="1494"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8AB598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234</w:t>
            </w:r>
          </w:p>
        </w:tc>
        <w:tc>
          <w:tcPr>
            <w:tcW w:w="1520" w:type="pct"/>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896AE1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r>
    </w:tbl>
    <w:p w14:paraId="4ABA73A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（2）污水处理站</w:t>
      </w:r>
    </w:p>
    <w:p w14:paraId="2727B4A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表二</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本部院区污水处理站</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615"/>
        <w:gridCol w:w="1776"/>
        <w:gridCol w:w="3336"/>
        <w:gridCol w:w="3121"/>
      </w:tblGrid>
      <w:tr w14:paraId="7C4D3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632"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38D226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795"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50C85A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位置</w:t>
            </w:r>
          </w:p>
        </w:tc>
        <w:tc>
          <w:tcPr>
            <w:tcW w:w="3373"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605566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数量（格）</w:t>
            </w:r>
          </w:p>
        </w:tc>
        <w:tc>
          <w:tcPr>
            <w:tcW w:w="3156"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EE340A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容积（m</w:t>
            </w:r>
            <w:r>
              <w:rPr>
                <w:rFonts w:hint="eastAsia" w:ascii="仿宋" w:hAnsi="仿宋" w:eastAsia="仿宋" w:cs="仿宋"/>
                <w:sz w:val="24"/>
                <w:szCs w:val="24"/>
                <w:vertAlign w:val="superscript"/>
              </w:rPr>
              <w:t>3</w:t>
            </w:r>
            <w:r>
              <w:rPr>
                <w:rFonts w:hint="eastAsia" w:ascii="仿宋" w:hAnsi="仿宋" w:eastAsia="仿宋" w:cs="仿宋"/>
                <w:sz w:val="24"/>
                <w:szCs w:val="24"/>
              </w:rPr>
              <w:t>）</w:t>
            </w:r>
          </w:p>
        </w:tc>
      </w:tr>
      <w:tr w14:paraId="78B4B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63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A50CE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1A90FB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调节池</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CD294F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C61D6A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520</w:t>
            </w:r>
          </w:p>
        </w:tc>
      </w:tr>
      <w:tr w14:paraId="69441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63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A2A33D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722B59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沉淀池</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932A5E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705585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300</w:t>
            </w:r>
          </w:p>
        </w:tc>
      </w:tr>
      <w:tr w14:paraId="5A663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63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34AB65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18A610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混合反应池</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F4045F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07C0E8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140</w:t>
            </w:r>
          </w:p>
        </w:tc>
      </w:tr>
      <w:tr w14:paraId="78731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63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2087D0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FE6776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消毒池</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4198B7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223D3C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不详</w:t>
            </w:r>
          </w:p>
        </w:tc>
      </w:tr>
      <w:tr w14:paraId="4B5EC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63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B700E3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ADC80F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污泥池</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60A076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A5CB28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60</w:t>
            </w:r>
          </w:p>
        </w:tc>
      </w:tr>
      <w:tr w14:paraId="4A31E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3427" w:type="dxa"/>
            <w:gridSpan w:val="2"/>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3C7486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合计</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048553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13</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CB47B1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1020</w:t>
            </w:r>
          </w:p>
        </w:tc>
      </w:tr>
    </w:tbl>
    <w:p w14:paraId="3F1708B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2.皮肤病性病研究所（皮</w:t>
      </w:r>
      <w:r>
        <w:rPr>
          <w:rFonts w:hint="eastAsia" w:ascii="仿宋" w:hAnsi="仿宋" w:eastAsia="仿宋" w:cs="仿宋"/>
          <w:sz w:val="24"/>
          <w:szCs w:val="24"/>
          <w:lang w:val="en-US" w:eastAsia="zh-CN"/>
        </w:rPr>
        <w:t>研</w:t>
      </w:r>
      <w:r>
        <w:rPr>
          <w:rFonts w:hint="eastAsia" w:ascii="仿宋" w:hAnsi="仿宋" w:eastAsia="仿宋" w:cs="仿宋"/>
          <w:sz w:val="24"/>
          <w:szCs w:val="24"/>
        </w:rPr>
        <w:t>所）</w:t>
      </w:r>
    </w:p>
    <w:p w14:paraId="5706D80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皮肤病性病研究所日排水量约30</w:t>
      </w:r>
      <w:r>
        <w:rPr>
          <w:rFonts w:hint="eastAsia" w:ascii="仿宋" w:hAnsi="仿宋" w:eastAsia="仿宋" w:cs="仿宋"/>
          <w:sz w:val="24"/>
          <w:szCs w:val="24"/>
          <w:lang w:val="en-US" w:eastAsia="zh-CN"/>
        </w:rPr>
        <w:t>~</w:t>
      </w:r>
      <w:r>
        <w:rPr>
          <w:rFonts w:hint="eastAsia" w:ascii="仿宋" w:hAnsi="仿宋" w:eastAsia="仿宋" w:cs="仿宋"/>
          <w:sz w:val="24"/>
          <w:szCs w:val="24"/>
        </w:rPr>
        <w:t>40m</w:t>
      </w:r>
      <w:r>
        <w:rPr>
          <w:rFonts w:hint="eastAsia" w:ascii="仿宋" w:hAnsi="仿宋" w:eastAsia="仿宋" w:cs="仿宋"/>
          <w:sz w:val="24"/>
          <w:szCs w:val="24"/>
          <w:vertAlign w:val="superscript"/>
        </w:rPr>
        <w:t>3</w:t>
      </w:r>
      <w:r>
        <w:rPr>
          <w:rFonts w:hint="eastAsia" w:ascii="仿宋" w:hAnsi="仿宋" w:eastAsia="仿宋" w:cs="仿宋"/>
          <w:sz w:val="24"/>
          <w:szCs w:val="24"/>
        </w:rPr>
        <w:t>，污水处理站2座，预处理工艺。院内污水管道检查井6个，化粪池2座，预估50m</w:t>
      </w:r>
      <w:r>
        <w:rPr>
          <w:rFonts w:hint="eastAsia" w:ascii="仿宋" w:hAnsi="仿宋" w:eastAsia="仿宋" w:cs="仿宋"/>
          <w:sz w:val="24"/>
          <w:szCs w:val="24"/>
          <w:vertAlign w:val="superscript"/>
        </w:rPr>
        <w:t>3</w:t>
      </w:r>
      <w:r>
        <w:rPr>
          <w:rFonts w:hint="eastAsia" w:ascii="仿宋" w:hAnsi="仿宋" w:eastAsia="仿宋" w:cs="仿宋"/>
          <w:sz w:val="24"/>
          <w:szCs w:val="24"/>
        </w:rPr>
        <w:t>左右。</w:t>
      </w:r>
    </w:p>
    <w:p w14:paraId="64896A1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3.龙泉院区</w:t>
      </w:r>
    </w:p>
    <w:p w14:paraId="60F3A39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龙泉院区实际床位数500张，污水处理站设计处理规模450m</w:t>
      </w:r>
      <w:r>
        <w:rPr>
          <w:rFonts w:hint="eastAsia" w:ascii="仿宋" w:hAnsi="仿宋" w:eastAsia="仿宋" w:cs="仿宋"/>
          <w:sz w:val="24"/>
          <w:szCs w:val="24"/>
          <w:vertAlign w:val="superscript"/>
        </w:rPr>
        <w:t>3</w:t>
      </w:r>
      <w:r>
        <w:rPr>
          <w:rFonts w:hint="eastAsia" w:ascii="仿宋" w:hAnsi="仿宋" w:eastAsia="仿宋" w:cs="仿宋"/>
          <w:sz w:val="24"/>
          <w:szCs w:val="24"/>
        </w:rPr>
        <w:t>/d，实际处理量300m</w:t>
      </w:r>
      <w:r>
        <w:rPr>
          <w:rFonts w:hint="eastAsia" w:ascii="仿宋" w:hAnsi="仿宋" w:eastAsia="仿宋" w:cs="仿宋"/>
          <w:sz w:val="24"/>
          <w:szCs w:val="24"/>
          <w:vertAlign w:val="superscript"/>
        </w:rPr>
        <w:t>3</w:t>
      </w:r>
      <w:r>
        <w:rPr>
          <w:rFonts w:hint="eastAsia" w:ascii="仿宋" w:hAnsi="仿宋" w:eastAsia="仿宋" w:cs="仿宋"/>
          <w:sz w:val="24"/>
          <w:szCs w:val="24"/>
        </w:rPr>
        <w:t>/d，化粪池有效容积约225m</w:t>
      </w:r>
      <w:r>
        <w:rPr>
          <w:rFonts w:hint="eastAsia" w:ascii="仿宋" w:hAnsi="仿宋" w:eastAsia="仿宋" w:cs="仿宋"/>
          <w:sz w:val="24"/>
          <w:szCs w:val="24"/>
          <w:vertAlign w:val="superscript"/>
        </w:rPr>
        <w:t>3</w:t>
      </w:r>
      <w:r>
        <w:rPr>
          <w:rFonts w:hint="eastAsia" w:ascii="仿宋" w:hAnsi="仿宋" w:eastAsia="仿宋" w:cs="仿宋"/>
          <w:sz w:val="24"/>
          <w:szCs w:val="24"/>
        </w:rPr>
        <w:t>。</w:t>
      </w:r>
    </w:p>
    <w:p w14:paraId="491DCF6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表三</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龙泉院区</w:t>
      </w:r>
    </w:p>
    <w:tbl>
      <w:tblPr>
        <w:tblStyle w:val="1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615"/>
        <w:gridCol w:w="1776"/>
        <w:gridCol w:w="3336"/>
        <w:gridCol w:w="3121"/>
      </w:tblGrid>
      <w:tr w14:paraId="7125E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jc w:val="center"/>
        </w:trPr>
        <w:tc>
          <w:tcPr>
            <w:tcW w:w="1632"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CC55C2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795"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5C35AB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位置</w:t>
            </w:r>
          </w:p>
        </w:tc>
        <w:tc>
          <w:tcPr>
            <w:tcW w:w="3373"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28621B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数量（座）</w:t>
            </w:r>
          </w:p>
        </w:tc>
        <w:tc>
          <w:tcPr>
            <w:tcW w:w="3156"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85A90C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容积（m</w:t>
            </w:r>
            <w:r>
              <w:rPr>
                <w:rFonts w:hint="eastAsia" w:ascii="仿宋" w:hAnsi="仿宋" w:eastAsia="仿宋" w:cs="仿宋"/>
                <w:sz w:val="24"/>
                <w:szCs w:val="24"/>
                <w:vertAlign w:val="superscript"/>
              </w:rPr>
              <w:t>3</w:t>
            </w:r>
            <w:r>
              <w:rPr>
                <w:rFonts w:hint="eastAsia" w:ascii="仿宋" w:hAnsi="仿宋" w:eastAsia="仿宋" w:cs="仿宋"/>
                <w:sz w:val="24"/>
                <w:szCs w:val="24"/>
              </w:rPr>
              <w:t>）</w:t>
            </w:r>
          </w:p>
        </w:tc>
      </w:tr>
      <w:tr w14:paraId="6C5F9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jc w:val="center"/>
        </w:trPr>
        <w:tc>
          <w:tcPr>
            <w:tcW w:w="163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A18AB5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9974CF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化粪池</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F2423E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A88587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225</w:t>
            </w:r>
          </w:p>
        </w:tc>
      </w:tr>
      <w:tr w14:paraId="6F5FF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jc w:val="center"/>
        </w:trPr>
        <w:tc>
          <w:tcPr>
            <w:tcW w:w="163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E6D824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69B534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斜管沉淀池</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690217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ADC2DE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80</w:t>
            </w:r>
          </w:p>
        </w:tc>
      </w:tr>
      <w:tr w14:paraId="2D800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jc w:val="center"/>
        </w:trPr>
        <w:tc>
          <w:tcPr>
            <w:tcW w:w="163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7D1B09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CEDF6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污泥池</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D32025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197FE3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60</w:t>
            </w:r>
          </w:p>
        </w:tc>
      </w:tr>
      <w:tr w14:paraId="739C9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jc w:val="center"/>
        </w:trPr>
        <w:tc>
          <w:tcPr>
            <w:tcW w:w="1632"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08A41F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795"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2414F6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污水检查井</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5D5F01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50</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1E8A4B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25</w:t>
            </w:r>
          </w:p>
        </w:tc>
      </w:tr>
      <w:tr w14:paraId="66CB6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jc w:val="center"/>
        </w:trPr>
        <w:tc>
          <w:tcPr>
            <w:tcW w:w="3427" w:type="dxa"/>
            <w:gridSpan w:val="2"/>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A48CD0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合计</w:t>
            </w:r>
          </w:p>
        </w:tc>
        <w:tc>
          <w:tcPr>
            <w:tcW w:w="3373"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51F28A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3156"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8E3245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365</w:t>
            </w:r>
          </w:p>
        </w:tc>
      </w:tr>
    </w:tbl>
    <w:p w14:paraId="1BE8897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4.老年医学中心</w:t>
      </w:r>
    </w:p>
    <w:p w14:paraId="30BB819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老年医学中心目前床位数400张，二期新增200张。院内现有化粪池2座，共计200m</w:t>
      </w:r>
      <w:r>
        <w:rPr>
          <w:rFonts w:hint="eastAsia" w:ascii="仿宋" w:hAnsi="仿宋" w:eastAsia="仿宋" w:cs="仿宋"/>
          <w:sz w:val="24"/>
          <w:szCs w:val="24"/>
          <w:vertAlign w:val="superscript"/>
        </w:rPr>
        <w:t>3</w:t>
      </w:r>
      <w:r>
        <w:rPr>
          <w:rFonts w:hint="eastAsia" w:ascii="仿宋" w:hAnsi="仿宋" w:eastAsia="仿宋" w:cs="仿宋"/>
          <w:sz w:val="24"/>
          <w:szCs w:val="24"/>
        </w:rPr>
        <w:t>，检查井约55个，污水站1座，实际污水处理量300m</w:t>
      </w:r>
      <w:r>
        <w:rPr>
          <w:rFonts w:hint="eastAsia" w:ascii="仿宋" w:hAnsi="仿宋" w:eastAsia="仿宋" w:cs="仿宋"/>
          <w:sz w:val="24"/>
          <w:szCs w:val="24"/>
          <w:vertAlign w:val="superscript"/>
        </w:rPr>
        <w:t>3</w:t>
      </w:r>
      <w:r>
        <w:rPr>
          <w:rFonts w:hint="eastAsia" w:ascii="仿宋" w:hAnsi="仿宋" w:eastAsia="仿宋" w:cs="仿宋"/>
          <w:sz w:val="24"/>
          <w:szCs w:val="24"/>
        </w:rPr>
        <w:t>/d。</w:t>
      </w:r>
    </w:p>
    <w:p w14:paraId="19CBE0A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5.四川省精神医学中心</w:t>
      </w:r>
    </w:p>
    <w:p w14:paraId="1E1F962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四川省精神医学中心编制床位200张，化粪池共三个，总容积约200m</w:t>
      </w:r>
      <w:r>
        <w:rPr>
          <w:rFonts w:hint="eastAsia" w:ascii="仿宋" w:hAnsi="仿宋" w:eastAsia="仿宋" w:cs="仿宋"/>
          <w:sz w:val="24"/>
          <w:szCs w:val="24"/>
          <w:vertAlign w:val="superscript"/>
        </w:rPr>
        <w:t>3</w:t>
      </w:r>
      <w:r>
        <w:rPr>
          <w:rFonts w:hint="eastAsia" w:ascii="仿宋" w:hAnsi="仿宋" w:eastAsia="仿宋" w:cs="仿宋"/>
          <w:sz w:val="24"/>
          <w:szCs w:val="24"/>
        </w:rPr>
        <w:t>，污水检查井40座。院内污水经化粪池预处理后排入温江人民医院污水处理站。</w:t>
      </w:r>
    </w:p>
    <w:p w14:paraId="13D4CC8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作业流程与技术标准</w:t>
      </w:r>
    </w:p>
    <w:p w14:paraId="42E4877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本项目作业需严格适配</w:t>
      </w:r>
      <w:r>
        <w:rPr>
          <w:rFonts w:hint="eastAsia" w:ascii="仿宋" w:hAnsi="仿宋" w:eastAsia="仿宋" w:cs="仿宋"/>
          <w:sz w:val="24"/>
          <w:szCs w:val="24"/>
          <w:lang w:val="en-US" w:eastAsia="zh-CN"/>
        </w:rPr>
        <w:t>采购人</w:t>
      </w:r>
      <w:r>
        <w:rPr>
          <w:rFonts w:hint="eastAsia" w:ascii="仿宋" w:hAnsi="仿宋" w:eastAsia="仿宋" w:cs="仿宋"/>
          <w:sz w:val="24"/>
          <w:szCs w:val="24"/>
        </w:rPr>
        <w:t>特殊性，避开诊疗高峰时段（如门诊就诊高峰、手术时段、住院患者休息时段），采用低噪音设备与工艺，全程落实安全管控，确保作业高效推进，作业完成后全面恢复现场原貌，杜绝影响医院正常诊疗秩序、患者休息及院区环境。整体施工流程分为前期准备、抽吸作业阶段、现场暂存阶段、场地</w:t>
      </w:r>
      <w:r>
        <w:rPr>
          <w:rFonts w:hint="eastAsia" w:ascii="仿宋" w:hAnsi="仿宋" w:eastAsia="仿宋" w:cs="仿宋"/>
          <w:sz w:val="24"/>
          <w:szCs w:val="24"/>
          <w:lang w:val="en-US" w:eastAsia="zh-CN"/>
        </w:rPr>
        <w:t>恢</w:t>
      </w:r>
      <w:r>
        <w:rPr>
          <w:rFonts w:hint="eastAsia" w:ascii="仿宋" w:hAnsi="仿宋" w:eastAsia="仿宋" w:cs="仿宋"/>
          <w:sz w:val="24"/>
          <w:szCs w:val="24"/>
        </w:rPr>
        <w:t>复阶段四个阶段，要求如下：</w:t>
      </w:r>
    </w:p>
    <w:p w14:paraId="05ECB0D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前期准备阶段</w:t>
      </w:r>
    </w:p>
    <w:p w14:paraId="7A3E7E7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结合各院区布局、管道分布、诊疗安排，提前完成各项筹备工作，确保作业无安全隐患、</w:t>
      </w:r>
      <w:r>
        <w:rPr>
          <w:rFonts w:hint="eastAsia" w:ascii="仿宋" w:hAnsi="仿宋" w:eastAsia="仿宋" w:cs="仿宋"/>
          <w:sz w:val="24"/>
          <w:szCs w:val="24"/>
          <w:lang w:eastAsia="zh-CN"/>
        </w:rPr>
        <w:t>无流程遗漏，要求如下：</w:t>
      </w:r>
    </w:p>
    <w:p w14:paraId="4DB6B8E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default" w:ascii="仿宋" w:hAnsi="仿宋" w:cs="仿宋" w:eastAsiaTheme="minorEastAsia"/>
          <w:sz w:val="24"/>
          <w:szCs w:val="24"/>
          <w:lang w:val="en-US" w:eastAsia="zh-CN"/>
        </w:rPr>
      </w:pPr>
      <w:r>
        <w:rPr>
          <w:rFonts w:hint="eastAsia" w:ascii="仿宋" w:hAnsi="仿宋" w:eastAsia="仿宋" w:cs="仿宋"/>
          <w:sz w:val="24"/>
          <w:szCs w:val="24"/>
          <w:lang w:val="en-US" w:eastAsia="zh-CN"/>
        </w:rPr>
        <w:t>（1）每次作业前向采购人书面报告作业负责人、</w:t>
      </w:r>
      <w:r>
        <w:rPr>
          <w:rFonts w:hint="eastAsia" w:ascii="仿宋" w:hAnsi="仿宋" w:eastAsia="仿宋" w:cs="仿宋"/>
          <w:sz w:val="24"/>
          <w:szCs w:val="24"/>
          <w:highlight w:val="none"/>
          <w:lang w:val="en-US" w:eastAsia="zh-CN"/>
        </w:rPr>
        <w:t>监护人。</w:t>
      </w:r>
    </w:p>
    <w:p w14:paraId="092D33D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设置安全警示标识</w:t>
      </w:r>
    </w:p>
    <w:p w14:paraId="2C2657B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1）标识布置：作业区域周边1.5-2米范围内，涵盖井盖周边、作业车辆停放区域、临时通行围挡周边，确保标识醒目、无遮挡；</w:t>
      </w:r>
    </w:p>
    <w:p w14:paraId="15384D2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2）标识类型：统一使用符合安全生产标准的“小心地滑”“正在作业，禁止靠近”“施工区域，绕行”等警示标识，搭配反光条（夜间作业需开启警示灯），避免患者、医护人员及过往人员误入作业区域；</w:t>
      </w:r>
    </w:p>
    <w:p w14:paraId="168A0F1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3）标识管理：作业期间安排专人维护标识，确保不脱落、不歪斜，作业结束后同步撤除，不得遗留废弃标识；</w:t>
      </w:r>
    </w:p>
    <w:p w14:paraId="0EC7571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4）特殊区域适配：老年医学中心、</w:t>
      </w:r>
      <w:r>
        <w:rPr>
          <w:rFonts w:hint="eastAsia" w:ascii="仿宋" w:hAnsi="仿宋" w:eastAsia="仿宋" w:cs="仿宋"/>
          <w:sz w:val="24"/>
          <w:szCs w:val="24"/>
          <w:lang w:val="en-US" w:eastAsia="zh-CN"/>
        </w:rPr>
        <w:t>四川省</w:t>
      </w:r>
      <w:r>
        <w:rPr>
          <w:rFonts w:hint="eastAsia" w:ascii="仿宋" w:hAnsi="仿宋" w:eastAsia="仿宋" w:cs="仿宋"/>
          <w:sz w:val="24"/>
          <w:szCs w:val="24"/>
        </w:rPr>
        <w:t>精神医学中心等特殊院区，需额外在标识旁增加简易提示语（如“请勿触碰，感谢配合”），避免引起患者恐慌或误操作。</w:t>
      </w:r>
    </w:p>
    <w:p w14:paraId="7D10A92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rPr>
        <w:t>通风</w:t>
      </w:r>
    </w:p>
    <w:p w14:paraId="1A725C5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通风时机：作业前30分钟开启对应区域井盖，优先采用自然通风；若井盖位置处于密闭空间（如地下车库、狭窄通道）或天气闷热、通风不畅，需搭配低噪音轴流风机进行机械通风，风机摆放需避开诊疗区域、患者休息区，减少噪音干扰；</w:t>
      </w:r>
    </w:p>
    <w:p w14:paraId="2D15B13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rPr>
        <w:t>2）通风时长：自然通风不少于30分钟，机械通风不少于20分钟，确保井内有毒有害气体（如甲烷、硫化氢）充分扩散</w:t>
      </w:r>
      <w:r>
        <w:rPr>
          <w:rFonts w:hint="eastAsia" w:ascii="仿宋" w:hAnsi="仿宋" w:eastAsia="仿宋" w:cs="仿宋"/>
          <w:sz w:val="24"/>
          <w:szCs w:val="24"/>
          <w:lang w:eastAsia="zh-CN"/>
        </w:rPr>
        <w:t>。</w:t>
      </w:r>
      <w:r>
        <w:rPr>
          <w:rFonts w:hint="eastAsia" w:ascii="仿宋" w:hAnsi="仿宋" w:eastAsia="仿宋" w:cs="仿宋"/>
          <w:sz w:val="24"/>
          <w:szCs w:val="24"/>
          <w:highlight w:val="none"/>
          <w:lang w:eastAsia="zh-CN"/>
        </w:rPr>
        <w:t>严禁未通风直接作业;通风过程中禁止无关人员靠近作业区域，确保通风效果</w:t>
      </w:r>
      <w:r>
        <w:rPr>
          <w:rFonts w:hint="eastAsia" w:ascii="仿宋" w:hAnsi="仿宋" w:eastAsia="仿宋" w:cs="仿宋"/>
          <w:sz w:val="24"/>
          <w:szCs w:val="24"/>
          <w:highlight w:val="none"/>
        </w:rPr>
        <w:t>；</w:t>
      </w:r>
    </w:p>
    <w:p w14:paraId="1D3A2F2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3）井盖操作：开启井盖时需轻拿轻放，避免产生剧烈撞击声，开启后在井盖下方铺垫防滑垫，防止井盖滑落，同时安排专人在旁值守，禁止无关人员触碰井盖；</w:t>
      </w:r>
    </w:p>
    <w:p w14:paraId="245811C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4）多井盖协同：若同一区域有多个化粪池井盖、污水井井盖，需同步开启通风，确保区域内气体流通，避免局部气体积聚。</w:t>
      </w:r>
    </w:p>
    <w:p w14:paraId="060893A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rPr>
        <w:t>检测与安全评估</w:t>
      </w:r>
    </w:p>
    <w:p w14:paraId="12CF195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检测内容：采用专业气体检测仪器，对井内甲烷、硫化氢、一氧化碳等有毒有害气体浓度进行检测，同时检测井内氧气含量，确保气体浓度符合安全生产标准（硫化氢浓度≤10mg/m³，甲烷浓度≤5%，氧气含量19.5%-23.5%），</w:t>
      </w:r>
      <w:r>
        <w:rPr>
          <w:rFonts w:hint="eastAsia" w:ascii="仿宋" w:hAnsi="仿宋" w:eastAsia="仿宋" w:cs="仿宋"/>
          <w:sz w:val="24"/>
          <w:szCs w:val="24"/>
          <w:highlight w:val="none"/>
        </w:rPr>
        <w:t>检测不合格严禁作业</w:t>
      </w:r>
      <w:r>
        <w:rPr>
          <w:rFonts w:hint="eastAsia" w:ascii="仿宋" w:hAnsi="仿宋" w:eastAsia="仿宋" w:cs="仿宋"/>
          <w:sz w:val="24"/>
          <w:szCs w:val="24"/>
        </w:rPr>
        <w:t>；</w:t>
      </w:r>
    </w:p>
    <w:p w14:paraId="0F08C78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rPr>
        <w:t>2）检测频次：通风后检测1次，作业过程中每30分钟检测1次，若检测结果超标，立即停止作业，持续通风至检测合格后方可复工</w:t>
      </w:r>
      <w:r>
        <w:rPr>
          <w:rFonts w:hint="eastAsia" w:ascii="仿宋" w:hAnsi="仿宋" w:eastAsia="仿宋" w:cs="仿宋"/>
          <w:sz w:val="24"/>
          <w:szCs w:val="24"/>
          <w:lang w:eastAsia="zh-CN"/>
        </w:rPr>
        <w:t>。</w:t>
      </w:r>
      <w:r>
        <w:rPr>
          <w:rFonts w:hint="eastAsia" w:ascii="仿宋" w:hAnsi="仿宋" w:eastAsia="仿宋" w:cs="仿宋"/>
          <w:sz w:val="24"/>
          <w:szCs w:val="24"/>
          <w:highlight w:val="none"/>
          <w:lang w:eastAsia="zh-CN"/>
        </w:rPr>
        <w:t>作业全程做好检测记录，注明检测时间、检测人员、检测结果，留存备查</w:t>
      </w:r>
      <w:r>
        <w:rPr>
          <w:rFonts w:hint="eastAsia" w:ascii="仿宋" w:hAnsi="仿宋" w:eastAsia="仿宋" w:cs="仿宋"/>
          <w:sz w:val="24"/>
          <w:szCs w:val="24"/>
          <w:highlight w:val="none"/>
        </w:rPr>
        <w:t>；</w:t>
      </w:r>
    </w:p>
    <w:p w14:paraId="0390FB9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3）安全评估：检测合格后，由作业负责人、</w:t>
      </w:r>
      <w:r>
        <w:rPr>
          <w:rFonts w:hint="eastAsia" w:ascii="仿宋" w:hAnsi="仿宋" w:eastAsia="仿宋" w:cs="仿宋"/>
          <w:sz w:val="24"/>
          <w:szCs w:val="24"/>
          <w:lang w:val="en-US" w:eastAsia="zh-CN"/>
        </w:rPr>
        <w:t>监护人</w:t>
      </w:r>
      <w:r>
        <w:rPr>
          <w:rFonts w:hint="eastAsia" w:ascii="仿宋" w:hAnsi="仿宋" w:eastAsia="仿宋" w:cs="仿宋"/>
          <w:sz w:val="24"/>
          <w:szCs w:val="24"/>
        </w:rPr>
        <w:t>联合对作业区域进行全面评估，重点检查周边诊疗设施、电气设备、通行路线，确认无安全隐患（如避免作业触碰医疗线路、消防设施），同时结合院区诊疗安排，确认作业时段无冲突，明确作业边界与注意事项；</w:t>
      </w:r>
    </w:p>
    <w:p w14:paraId="19F4EC4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4）特殊评估：针对</w:t>
      </w:r>
      <w:r>
        <w:rPr>
          <w:rFonts w:hint="eastAsia" w:ascii="仿宋" w:hAnsi="仿宋" w:eastAsia="仿宋" w:cs="仿宋"/>
          <w:sz w:val="24"/>
          <w:szCs w:val="24"/>
          <w:highlight w:val="none"/>
          <w:lang w:val="en-US" w:eastAsia="zh-CN"/>
        </w:rPr>
        <w:t>四川省</w:t>
      </w:r>
      <w:r>
        <w:rPr>
          <w:rFonts w:hint="eastAsia" w:ascii="仿宋" w:hAnsi="仿宋" w:eastAsia="仿宋" w:cs="仿宋"/>
          <w:sz w:val="24"/>
          <w:szCs w:val="24"/>
          <w:highlight w:val="none"/>
        </w:rPr>
        <w:t>精神医学中心、老年医学中心，</w:t>
      </w:r>
      <w:r>
        <w:rPr>
          <w:rFonts w:hint="eastAsia" w:ascii="仿宋" w:hAnsi="仿宋" w:eastAsia="仿宋" w:cs="仿宋"/>
          <w:sz w:val="24"/>
          <w:szCs w:val="24"/>
        </w:rPr>
        <w:t>额外评估作业噪音、作业场景对患者的影响，必要时调整作业时段或采取降噪措施，确保不影响患者情绪与休息。</w:t>
      </w:r>
    </w:p>
    <w:p w14:paraId="3DE6267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抽吸作业阶段</w:t>
      </w:r>
    </w:p>
    <w:p w14:paraId="7B43C69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抽吸作业是本项目核心环节，需严格遵循“彻底抽吸、管道畅通、低噪高效”的要求，选用适配</w:t>
      </w:r>
      <w:r>
        <w:rPr>
          <w:rFonts w:hint="eastAsia" w:ascii="仿宋" w:hAnsi="仿宋" w:eastAsia="仿宋" w:cs="仿宋"/>
          <w:sz w:val="24"/>
          <w:szCs w:val="24"/>
          <w:lang w:val="en-US" w:eastAsia="zh-CN"/>
        </w:rPr>
        <w:t>作业</w:t>
      </w:r>
      <w:r>
        <w:rPr>
          <w:rFonts w:hint="eastAsia" w:ascii="仿宋" w:hAnsi="仿宋" w:eastAsia="仿宋" w:cs="仿宋"/>
          <w:sz w:val="24"/>
          <w:szCs w:val="24"/>
        </w:rPr>
        <w:t>景的设备与工艺，杜绝作业过程中出现管道堵塞、污水渗漏、噪音超标等问题，要求如下：</w:t>
      </w:r>
    </w:p>
    <w:p w14:paraId="241133D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rPr>
        <w:t>疏通清洗车或吸污车进行作业：</w:t>
      </w:r>
    </w:p>
    <w:p w14:paraId="61775BE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1）设备选型：选用低噪音疏通清洗车、吸污车，车辆噪音控制在60分贝以内，避免影响诊疗区域、患者休息区；吸污车容量需适配各院区化粪池、污水井规模，避免频繁往返作业，提高效率；</w:t>
      </w:r>
    </w:p>
    <w:p w14:paraId="43102BD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2）车辆停放：作业车辆需停放在采购人指定区域，远离门诊楼、住院楼、手术室等核心诊疗区域，停放时开启警示灯，设置围挡，避免影响院区交通与人员通行；</w:t>
      </w:r>
    </w:p>
    <w:p w14:paraId="60E0E1F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3）设备操作：作业人员需持证上岗，严格按照设备操作规程操作，疏通时控制水压（避免水压过高损坏管道），吸污时调整吸力，确保既能彻底抽吸污物，又不损坏井盖、管道接口；</w:t>
      </w:r>
    </w:p>
    <w:p w14:paraId="28E009A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4）设备</w:t>
      </w:r>
      <w:r>
        <w:rPr>
          <w:rFonts w:hint="eastAsia" w:ascii="仿宋" w:hAnsi="仿宋" w:eastAsia="仿宋" w:cs="仿宋"/>
          <w:sz w:val="24"/>
          <w:szCs w:val="24"/>
          <w:lang w:val="en-US" w:eastAsia="zh-CN"/>
        </w:rPr>
        <w:t>检查</w:t>
      </w:r>
      <w:r>
        <w:rPr>
          <w:rFonts w:hint="eastAsia" w:ascii="仿宋" w:hAnsi="仿宋" w:eastAsia="仿宋" w:cs="仿宋"/>
          <w:sz w:val="24"/>
          <w:szCs w:val="24"/>
        </w:rPr>
        <w:t>：作业前检查设备性能，确保高压泵、吸污泵运行正常，无渗漏、无故障；作业过程中定期检查设备，若出现故障立即停机，及时维修，避免污水渗漏污染院区环境。</w:t>
      </w:r>
    </w:p>
    <w:p w14:paraId="5C41827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抽吸化粪池及污水井内积存污泥、杂物</w:t>
      </w:r>
    </w:p>
    <w:p w14:paraId="23D48FB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1）抽吸顺序：按照“先污水井、后化粪池”“先浅层、后深层”的顺序抽吸，避免污泥、杂物堵塞管道；针对容积较大的化粪池，采用分区抽吸、反复抽吸的方式，确保无死角；</w:t>
      </w:r>
    </w:p>
    <w:p w14:paraId="3B8EA82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2）抽吸标准：化粪池内污泥抽吸至无堵塞，污水井内无积存污泥、杂物，管道接口无堵塞物；对于结块污泥、顽固杂物，采用高压水枪冲洗后再进行抽吸，确保抽吸彻底；</w:t>
      </w:r>
    </w:p>
    <w:p w14:paraId="0C94295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3）污物处理：抽吸的污泥、杂物需直接导入吸污车储污罐，严禁在作业现场临时堆放，储污罐需密封良好，避免渗漏、异味扩散，影响院区环境；</w:t>
      </w:r>
    </w:p>
    <w:p w14:paraId="476386D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4）特殊区域处理：皮肤病性病研究所（皮</w:t>
      </w:r>
      <w:r>
        <w:rPr>
          <w:rFonts w:hint="eastAsia" w:ascii="仿宋" w:hAnsi="仿宋" w:eastAsia="仿宋" w:cs="仿宋"/>
          <w:sz w:val="24"/>
          <w:szCs w:val="24"/>
          <w:highlight w:val="none"/>
          <w:lang w:val="en-US" w:eastAsia="zh-CN"/>
        </w:rPr>
        <w:t>研</w:t>
      </w:r>
      <w:r>
        <w:rPr>
          <w:rFonts w:hint="eastAsia" w:ascii="仿宋" w:hAnsi="仿宋" w:eastAsia="仿宋" w:cs="仿宋"/>
          <w:sz w:val="24"/>
          <w:szCs w:val="24"/>
          <w:highlight w:val="none"/>
        </w:rPr>
        <w:t>所）、</w:t>
      </w:r>
      <w:r>
        <w:rPr>
          <w:rFonts w:hint="eastAsia" w:ascii="仿宋" w:hAnsi="仿宋" w:eastAsia="仿宋" w:cs="仿宋"/>
          <w:sz w:val="24"/>
          <w:szCs w:val="24"/>
          <w:highlight w:val="none"/>
          <w:lang w:val="en-US" w:eastAsia="zh-CN"/>
        </w:rPr>
        <w:t>四川省</w:t>
      </w:r>
      <w:r>
        <w:rPr>
          <w:rFonts w:hint="eastAsia" w:ascii="仿宋" w:hAnsi="仿宋" w:eastAsia="仿宋" w:cs="仿宋"/>
          <w:sz w:val="24"/>
          <w:szCs w:val="24"/>
          <w:highlight w:val="none"/>
        </w:rPr>
        <w:t>精神医学中心等院区，抽吸作业需格外谨慎，避免污物渗漏污染诊疗区域、患者活动区域，作业后及</w:t>
      </w:r>
      <w:r>
        <w:rPr>
          <w:rFonts w:hint="eastAsia" w:ascii="仿宋" w:hAnsi="仿宋" w:eastAsia="仿宋" w:cs="仿宋"/>
          <w:sz w:val="24"/>
          <w:szCs w:val="24"/>
        </w:rPr>
        <w:t>时对作业面进行初步清理。</w:t>
      </w:r>
    </w:p>
    <w:p w14:paraId="013AA5A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rPr>
        <w:t>确保管道畅通无堵塞</w:t>
      </w:r>
    </w:p>
    <w:p w14:paraId="5D230A1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1）疏通检测：抽吸完成后，采用管道检测设备（如管道内窥镜）对管道内部进行检测，确认管道无堵塞、无破损，水流顺畅；</w:t>
      </w:r>
    </w:p>
    <w:p w14:paraId="44C6B0B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2）疏通补救：若检测发现管道仍有堵塞，立即采用疏通方式进行处理，直至管道畅通；对于老化、易堵塞的管道，需记录管道位置、堵塞情况，反馈给采购人相关负责人，提供合理建议；</w:t>
      </w:r>
    </w:p>
    <w:p w14:paraId="1BD7E1D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3）试通测试：疏通完成后，开启管道进水阀，进行试通测试，观察水流速度、排水情况，确保无积水、无回流，确认管道畅通后，方可进入下一阶段作业；</w:t>
      </w:r>
    </w:p>
    <w:p w14:paraId="46B1F1E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4）全程记录：对每一处管道、化粪池、污水井的抽吸、疏通情况进行详细记录并拍照，包括作业时间、作业人员、抽吸量、管道畅通情况等，留存备查。</w:t>
      </w:r>
    </w:p>
    <w:p w14:paraId="69942B6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rPr>
        <w:t>现场暂存阶段</w:t>
      </w:r>
    </w:p>
    <w:p w14:paraId="4AAC732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现场暂存阶段需严格遵循项目核心要求，抽吸</w:t>
      </w:r>
      <w:r>
        <w:rPr>
          <w:rFonts w:hint="eastAsia" w:ascii="仿宋" w:hAnsi="仿宋" w:eastAsia="仿宋" w:cs="仿宋"/>
          <w:sz w:val="24"/>
          <w:szCs w:val="24"/>
          <w:lang w:val="en-US" w:eastAsia="zh-CN"/>
        </w:rPr>
        <w:t>污泥</w:t>
      </w:r>
      <w:r>
        <w:rPr>
          <w:rFonts w:hint="eastAsia" w:ascii="仿宋" w:hAnsi="仿宋" w:eastAsia="仿宋" w:cs="仿宋"/>
          <w:sz w:val="24"/>
          <w:szCs w:val="24"/>
        </w:rPr>
        <w:t>全程做好暂存管理，杜绝环境污染、异味扩散等问题，要求如下：</w:t>
      </w:r>
    </w:p>
    <w:p w14:paraId="5A9CA47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rPr>
        <w:t>按照采购人指定的院内临时堆放点进行存放</w:t>
      </w:r>
    </w:p>
    <w:p w14:paraId="7A33802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1）存放准备：作业前与采购人确认各院区临时堆放点位置、容量，确保堆放点远离诊疗区域、患者休息区、食品储存区域及水源地，具备防渗漏、防异味扩散的条件；</w:t>
      </w:r>
    </w:p>
    <w:p w14:paraId="1831BB9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）堆放</w:t>
      </w:r>
      <w:r>
        <w:rPr>
          <w:rFonts w:hint="eastAsia" w:ascii="仿宋" w:hAnsi="仿宋" w:eastAsia="仿宋" w:cs="仿宋"/>
          <w:sz w:val="24"/>
          <w:szCs w:val="24"/>
          <w:lang w:val="en-US" w:eastAsia="zh-CN"/>
        </w:rPr>
        <w:t>管理</w:t>
      </w:r>
      <w:r>
        <w:rPr>
          <w:rFonts w:hint="eastAsia" w:ascii="仿宋" w:hAnsi="仿宋" w:eastAsia="仿宋" w:cs="仿宋"/>
          <w:sz w:val="24"/>
          <w:szCs w:val="24"/>
        </w:rPr>
        <w:t>：吸污车将抽吸的污泥、杂物转运至指定堆放点时，需缓慢行驶，避免颠簸导致污物渗漏；转运过程中，储污罐保持密封，严禁开启罐口，防止异味扩散</w:t>
      </w:r>
      <w:r>
        <w:rPr>
          <w:rFonts w:hint="eastAsia" w:ascii="仿宋" w:hAnsi="仿宋" w:eastAsia="仿宋" w:cs="仿宋"/>
          <w:sz w:val="24"/>
          <w:szCs w:val="24"/>
          <w:lang w:eastAsia="zh-CN"/>
        </w:rPr>
        <w:t>；</w:t>
      </w:r>
      <w:r>
        <w:rPr>
          <w:rFonts w:hint="eastAsia" w:ascii="仿宋" w:hAnsi="仿宋" w:eastAsia="仿宋" w:cs="仿宋"/>
          <w:sz w:val="24"/>
          <w:szCs w:val="24"/>
        </w:rPr>
        <w:t>污泥、杂物需有序堆放在指定区域，堆放高度不超过围挡高度，避免堆放过高坍塌；不同院区的污泥、杂物分开堆放，做好标识，便于采购人管理</w:t>
      </w:r>
      <w:r>
        <w:rPr>
          <w:rFonts w:hint="eastAsia" w:ascii="仿宋" w:hAnsi="仿宋" w:eastAsia="仿宋" w:cs="仿宋"/>
          <w:sz w:val="24"/>
          <w:szCs w:val="24"/>
          <w:lang w:eastAsia="zh-CN"/>
        </w:rPr>
        <w:t>。</w:t>
      </w:r>
    </w:p>
    <w:p w14:paraId="4F98DFF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严禁随意倾倒污物</w:t>
      </w:r>
    </w:p>
    <w:p w14:paraId="474A9A3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1）禁止行为：严禁将抽吸的污泥、杂物倾倒在非采购人指定区域，包括院区道路、绿化带、下水道、垃圾桶等，严禁将污物混入生活垃圾、医疗垃圾；</w:t>
      </w:r>
    </w:p>
    <w:p w14:paraId="41AE318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2）责任管控：作业负责人为</w:t>
      </w:r>
      <w:r>
        <w:rPr>
          <w:rFonts w:hint="eastAsia" w:ascii="仿宋" w:hAnsi="仿宋" w:eastAsia="仿宋" w:cs="仿宋"/>
          <w:sz w:val="24"/>
          <w:szCs w:val="24"/>
          <w:highlight w:val="none"/>
        </w:rPr>
        <w:t>污物</w:t>
      </w:r>
      <w:r>
        <w:rPr>
          <w:rFonts w:hint="eastAsia" w:ascii="仿宋" w:hAnsi="仿宋" w:eastAsia="仿宋" w:cs="仿宋"/>
          <w:sz w:val="24"/>
          <w:szCs w:val="24"/>
        </w:rPr>
        <w:t>倾倒管控第一责任人，全程</w:t>
      </w:r>
      <w:r>
        <w:rPr>
          <w:rFonts w:hint="eastAsia" w:ascii="仿宋" w:hAnsi="仿宋" w:eastAsia="仿宋" w:cs="仿宋"/>
          <w:sz w:val="24"/>
          <w:szCs w:val="24"/>
          <w:lang w:val="en-US" w:eastAsia="zh-CN"/>
        </w:rPr>
        <w:t>监督</w:t>
      </w:r>
      <w:r>
        <w:rPr>
          <w:rFonts w:hint="eastAsia" w:ascii="仿宋" w:hAnsi="仿宋" w:eastAsia="仿宋" w:cs="仿宋"/>
          <w:sz w:val="24"/>
          <w:szCs w:val="24"/>
        </w:rPr>
        <w:t>作业人员操作，若发现随意倾倒行为，立即制止，并追究相关人员责任；</w:t>
      </w:r>
    </w:p>
    <w:p w14:paraId="55DCF3D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3）应急处理：若不慎发生</w:t>
      </w:r>
      <w:r>
        <w:rPr>
          <w:rFonts w:hint="eastAsia" w:ascii="仿宋" w:hAnsi="仿宋" w:eastAsia="仿宋" w:cs="仿宋"/>
          <w:sz w:val="24"/>
          <w:szCs w:val="24"/>
          <w:highlight w:val="none"/>
        </w:rPr>
        <w:t>污物</w:t>
      </w:r>
      <w:r>
        <w:rPr>
          <w:rFonts w:hint="eastAsia" w:ascii="仿宋" w:hAnsi="仿宋" w:eastAsia="仿宋" w:cs="仿宋"/>
          <w:sz w:val="24"/>
          <w:szCs w:val="24"/>
        </w:rPr>
        <w:t>渗漏、倾倒，立即启动应急处理，采用吸污设备清理渗漏、倾倒的</w:t>
      </w:r>
      <w:r>
        <w:rPr>
          <w:rFonts w:hint="eastAsia" w:ascii="仿宋" w:hAnsi="仿宋" w:eastAsia="仿宋" w:cs="仿宋"/>
          <w:sz w:val="24"/>
          <w:szCs w:val="24"/>
          <w:highlight w:val="none"/>
        </w:rPr>
        <w:t>污物</w:t>
      </w:r>
      <w:r>
        <w:rPr>
          <w:rFonts w:hint="eastAsia" w:ascii="仿宋" w:hAnsi="仿宋" w:eastAsia="仿宋" w:cs="仿宋"/>
          <w:sz w:val="24"/>
          <w:szCs w:val="24"/>
        </w:rPr>
        <w:t>，并用消毒剂对污染区域进行消毒，避免污染扩散，同时及时向采购人相关负责人汇报情况，说明处理措施与结果。</w:t>
      </w:r>
    </w:p>
    <w:p w14:paraId="46003E2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场地恢复阶段</w:t>
      </w:r>
    </w:p>
    <w:p w14:paraId="77228A8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作业完成后，</w:t>
      </w:r>
      <w:r>
        <w:rPr>
          <w:rFonts w:hint="eastAsia" w:ascii="仿宋" w:hAnsi="仿宋" w:eastAsia="仿宋" w:cs="仿宋"/>
          <w:sz w:val="24"/>
          <w:szCs w:val="24"/>
        </w:rPr>
        <w:t>场地恢复阶段需做到“工完场清、原貌恢复”，彻底清理作业现场，恢复场地原有状态，杜绝作业痕迹、污物残留，确保不影响院区正常诊疗与人员活动，要求如下：</w:t>
      </w:r>
    </w:p>
    <w:p w14:paraId="3E224E8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rPr>
        <w:t>清洗作业面</w:t>
      </w:r>
    </w:p>
    <w:p w14:paraId="01DE328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1）清洗范围：作业区域内的井盖周边、地面、墙面，吸污车停放区域，临时堆放点周边，以及可能被</w:t>
      </w:r>
      <w:r>
        <w:rPr>
          <w:rFonts w:hint="eastAsia" w:ascii="仿宋" w:hAnsi="仿宋" w:eastAsia="仿宋" w:cs="仿宋"/>
          <w:sz w:val="24"/>
          <w:szCs w:val="24"/>
          <w:highlight w:val="none"/>
        </w:rPr>
        <w:t>污物</w:t>
      </w:r>
      <w:r>
        <w:rPr>
          <w:rFonts w:hint="eastAsia" w:ascii="仿宋" w:hAnsi="仿宋" w:eastAsia="仿宋" w:cs="仿宋"/>
          <w:sz w:val="24"/>
          <w:szCs w:val="24"/>
        </w:rPr>
        <w:t>污染的区域；</w:t>
      </w:r>
    </w:p>
    <w:p w14:paraId="02F2EBD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2）清洗方式：采用高压水枪（低压模式）配合中性清洁剂进行清洗，避免使用腐蚀性清洁剂，防止损坏院区地面、墙面设施；对于顽固污渍，采用人工擦拭的方式清理，确保无</w:t>
      </w:r>
      <w:r>
        <w:rPr>
          <w:rFonts w:hint="eastAsia" w:ascii="仿宋" w:hAnsi="仿宋" w:eastAsia="仿宋" w:cs="仿宋"/>
          <w:sz w:val="24"/>
          <w:szCs w:val="24"/>
          <w:highlight w:val="none"/>
        </w:rPr>
        <w:t>污物</w:t>
      </w:r>
      <w:r>
        <w:rPr>
          <w:rFonts w:hint="eastAsia" w:ascii="仿宋" w:hAnsi="仿宋" w:eastAsia="仿宋" w:cs="仿宋"/>
          <w:sz w:val="24"/>
          <w:szCs w:val="24"/>
        </w:rPr>
        <w:t>残留、无异味；</w:t>
      </w:r>
    </w:p>
    <w:p w14:paraId="171F16A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3）污水处理：清洗产生的污水排放至院区下水道，避免随意排放，造成二次污染；</w:t>
      </w:r>
    </w:p>
    <w:p w14:paraId="7B14844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4）清洁标准：作业面清洗后，无可见污物、无污渍、无异味，地面干燥、整洁，符合</w:t>
      </w:r>
      <w:r>
        <w:rPr>
          <w:rFonts w:hint="eastAsia" w:ascii="仿宋" w:hAnsi="仿宋" w:eastAsia="仿宋" w:cs="仿宋"/>
          <w:sz w:val="24"/>
          <w:szCs w:val="24"/>
          <w:lang w:val="en-US" w:eastAsia="zh-CN"/>
        </w:rPr>
        <w:t>医院</w:t>
      </w:r>
      <w:r>
        <w:rPr>
          <w:rFonts w:hint="eastAsia" w:ascii="仿宋" w:hAnsi="仿宋" w:eastAsia="仿宋" w:cs="仿宋"/>
          <w:sz w:val="24"/>
          <w:szCs w:val="24"/>
        </w:rPr>
        <w:t>环境卫生标准，不影响人员通行与诊疗活动</w:t>
      </w:r>
      <w:r>
        <w:rPr>
          <w:rFonts w:hint="eastAsia" w:ascii="仿宋" w:hAnsi="仿宋" w:eastAsia="仿宋" w:cs="仿宋"/>
          <w:sz w:val="24"/>
          <w:szCs w:val="24"/>
          <w:lang w:eastAsia="zh-CN"/>
        </w:rPr>
        <w:t>；</w:t>
      </w:r>
    </w:p>
    <w:p w14:paraId="435952E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5）全面消杀：作业结束后，需对施工场地进行全面消毒杀菌，整体流程贴合医院防疫要求，具体为：选用无腐蚀性、无强烈异味且符合</w:t>
      </w:r>
      <w:r>
        <w:rPr>
          <w:rFonts w:hint="eastAsia" w:ascii="仿宋" w:hAnsi="仿宋" w:eastAsia="仿宋" w:cs="仿宋"/>
          <w:sz w:val="24"/>
          <w:szCs w:val="24"/>
          <w:lang w:val="en-US" w:eastAsia="zh-CN"/>
        </w:rPr>
        <w:t>采购人</w:t>
      </w:r>
      <w:r>
        <w:rPr>
          <w:rFonts w:hint="eastAsia" w:ascii="仿宋" w:hAnsi="仿宋" w:eastAsia="仿宋" w:cs="仿宋"/>
          <w:sz w:val="24"/>
          <w:szCs w:val="24"/>
        </w:rPr>
        <w:t>标准的含氯消毒剂（有效氯浓度500mg/L-1000mg/L），对作业区域（化粪池、污水井周边1-2米范围、井盖表面及井口边缘）、吸污车停放区域、临时堆放点周边及作业设备进行低压喷洒消毒，确保全覆盖无死角，喷洒后静置30分钟以上保证消杀效果，作业工具需用消毒剂浸泡15-20分钟后冲洗晾干，消杀完成后做好相关记录，确保场地无细菌滋生、无异味残留，符合医院环境卫生标准。</w:t>
      </w:r>
    </w:p>
    <w:p w14:paraId="2EF434F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恢复井盖</w:t>
      </w:r>
    </w:p>
    <w:p w14:paraId="72196F1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1）井盖检查：清洗完成后，检查井盖是否完好、无破损，井盖接口是否平整，若发现井盖破损、松动，及时反馈给采购人相关负责人，配合采购人进行更换或维修；</w:t>
      </w:r>
    </w:p>
    <w:p w14:paraId="703C17C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2）井盖安装：将井盖平稳放置在井口，确保井盖与井口贴合紧密、无松动，避免车辆、人员通行时产生异响；安装后，用清水冲洗井盖表面，确保井盖干净、无污物；</w:t>
      </w:r>
    </w:p>
    <w:p w14:paraId="079B8C7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3）细节检查：逐一检查所有作业区域的井盖，确认无遗漏、无安装不到位的情况，确保井口封闭完好，防止人员、杂物坠入。</w:t>
      </w:r>
    </w:p>
    <w:p w14:paraId="5DCD0EF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rPr>
        <w:t>撤除安全警示</w:t>
      </w:r>
    </w:p>
    <w:p w14:paraId="7D0CD71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1）撤除时机：场地清洗完毕、井盖恢复到位，确认作业现场无安全隐患、无污物残留后，方可撤除安全警示标识；</w:t>
      </w:r>
    </w:p>
    <w:p w14:paraId="4FEDA8B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2）撤除规范：逐一撤除作业区域的警示标识、围挡、反光条、警示灯、警示带等，分类整理、妥善存放，便于后续作业重复使用，严禁随意丢弃；</w:t>
      </w:r>
    </w:p>
    <w:p w14:paraId="191FCB0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3）现场复查：撤除警示标识后，对作业现场进行全面复查，确认无遗漏的警示标识、无作业痕迹，场地恢复至作业前原貌，确保不影响院区正常秩序，方可结束本次作业。</w:t>
      </w:r>
    </w:p>
    <w:p w14:paraId="23AB99A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highlight w:val="none"/>
        </w:rPr>
        <w:t>★</w:t>
      </w: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、服务要求</w:t>
      </w:r>
    </w:p>
    <w:p w14:paraId="12B4BF8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本项目服务需严格贴合四川省人民医院多院区、高要求的诊疗环境，建立标准化、规范化的服务体系，确保服务质量、效率与安全并行，全面满足采购人需求，具体要求如下：</w:t>
      </w:r>
    </w:p>
    <w:p w14:paraId="5D33528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服务标准</w:t>
      </w:r>
    </w:p>
    <w:p w14:paraId="44D095B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.执行标准</w:t>
      </w:r>
    </w:p>
    <w:p w14:paraId="1262FDE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严格遵循《医疗机构污水处理工程技术标准》（GB</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51459-2024）、《城乡排水工程项目规范》（GB</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55027-2022）、《四川省城镇排水与污水处理条例》《医疗机构环境表面清洁与消毒管理</w:t>
      </w:r>
      <w:r>
        <w:rPr>
          <w:rFonts w:hint="eastAsia" w:ascii="仿宋" w:hAnsi="仿宋" w:eastAsia="仿宋" w:cs="仿宋"/>
          <w:sz w:val="24"/>
          <w:szCs w:val="24"/>
          <w:lang w:val="en-US" w:eastAsia="zh-CN"/>
        </w:rPr>
        <w:t>标准</w:t>
      </w:r>
      <w:r>
        <w:rPr>
          <w:rFonts w:hint="eastAsia" w:ascii="仿宋" w:hAnsi="仿宋" w:eastAsia="仿宋" w:cs="仿宋"/>
          <w:sz w:val="24"/>
          <w:szCs w:val="24"/>
        </w:rPr>
        <w:t>》（WS/T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512-2025）</w:t>
      </w:r>
      <w:r>
        <w:rPr>
          <w:rFonts w:hint="eastAsia" w:ascii="仿宋" w:hAnsi="仿宋" w:eastAsia="仿宋" w:cs="仿宋"/>
          <w:sz w:val="24"/>
          <w:szCs w:val="24"/>
          <w:lang w:eastAsia="zh-CN"/>
        </w:rPr>
        <w:t>、</w:t>
      </w:r>
      <w:r>
        <w:rPr>
          <w:rFonts w:hint="eastAsia" w:ascii="仿宋" w:hAnsi="仿宋" w:eastAsia="仿宋" w:cs="仿宋"/>
          <w:sz w:val="24"/>
          <w:szCs w:val="24"/>
        </w:rPr>
        <w:t>《有限空间作业安全技术规范》</w:t>
      </w:r>
      <w:r>
        <w:rPr>
          <w:rFonts w:hint="eastAsia" w:ascii="仿宋" w:hAnsi="仿宋" w:eastAsia="仿宋" w:cs="仿宋"/>
          <w:sz w:val="24"/>
          <w:szCs w:val="24"/>
          <w:lang w:eastAsia="zh-CN"/>
        </w:rPr>
        <w:t>（</w:t>
      </w:r>
      <w:r>
        <w:rPr>
          <w:rFonts w:hint="eastAsia" w:ascii="仿宋" w:hAnsi="仿宋" w:eastAsia="仿宋" w:cs="仿宋"/>
          <w:sz w:val="24"/>
          <w:szCs w:val="24"/>
        </w:rPr>
        <w:t>GB</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46768-2025</w:t>
      </w:r>
      <w:r>
        <w:rPr>
          <w:rFonts w:hint="eastAsia" w:ascii="仿宋" w:hAnsi="仿宋" w:eastAsia="仿宋" w:cs="仿宋"/>
          <w:sz w:val="24"/>
          <w:szCs w:val="24"/>
          <w:lang w:eastAsia="zh-CN"/>
        </w:rPr>
        <w:t>）</w:t>
      </w:r>
      <w:r>
        <w:rPr>
          <w:rFonts w:hint="eastAsia" w:ascii="仿宋" w:hAnsi="仿宋" w:eastAsia="仿宋" w:cs="仿宋"/>
          <w:sz w:val="24"/>
          <w:szCs w:val="24"/>
        </w:rPr>
        <w:t>等相关标准，确保施工质量、环保安全、院感防控全部达标。</w:t>
      </w:r>
    </w:p>
    <w:p w14:paraId="512D31B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.服务标准</w:t>
      </w:r>
    </w:p>
    <w:p w14:paraId="22E9E66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管道内壁无明显附着物、结垢、堵塞物，管道畅通无阻力；疏通后连续通水30分钟，无堵塞、无回流、无渗漏，排水速度恢复；检查井、污水井无明显积泥、无垃圾，井盖复位后平整、密封，无异味泄漏；医疗区域管道疏通后，额外进行消毒处理，符合</w:t>
      </w:r>
      <w:r>
        <w:rPr>
          <w:rFonts w:hint="eastAsia" w:ascii="仿宋" w:hAnsi="仿宋" w:eastAsia="仿宋" w:cs="仿宋"/>
          <w:sz w:val="24"/>
          <w:szCs w:val="24"/>
          <w:lang w:val="en-US" w:eastAsia="zh-CN"/>
        </w:rPr>
        <w:t>采购人</w:t>
      </w:r>
      <w:r>
        <w:rPr>
          <w:rFonts w:hint="eastAsia" w:ascii="仿宋" w:hAnsi="仿宋" w:eastAsia="仿宋" w:cs="仿宋"/>
          <w:sz w:val="24"/>
          <w:szCs w:val="24"/>
        </w:rPr>
        <w:t>院感防控要求。</w:t>
      </w:r>
    </w:p>
    <w:p w14:paraId="44DF222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设备与人员要求</w:t>
      </w:r>
    </w:p>
    <w:p w14:paraId="2FD9A7D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设备与人员是服务开展的核心保障，需严格落实配备标准、资质要求及管理规范，确保作业专业性、安全性与高效性，适配医院作业场景特殊性。</w:t>
      </w:r>
    </w:p>
    <w:p w14:paraId="08A7A86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1.设备要求</w:t>
      </w:r>
    </w:p>
    <w:p w14:paraId="27BAC6C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（1）核心作业设备配备数量：结合五个院区（院本部、老年医学中心、龙泉院区、</w:t>
      </w:r>
      <w:r>
        <w:rPr>
          <w:rFonts w:hint="eastAsia" w:ascii="仿宋" w:hAnsi="仿宋" w:eastAsia="仿宋" w:cs="仿宋"/>
          <w:sz w:val="24"/>
          <w:szCs w:val="24"/>
          <w:lang w:val="en-US" w:eastAsia="zh-CN"/>
        </w:rPr>
        <w:t>皮肤病性病研究所（皮研所）</w:t>
      </w:r>
      <w:r>
        <w:rPr>
          <w:rFonts w:hint="eastAsia" w:ascii="仿宋" w:hAnsi="仿宋" w:eastAsia="仿宋" w:cs="仿宋"/>
          <w:sz w:val="24"/>
          <w:szCs w:val="24"/>
        </w:rPr>
        <w:t>、四川省精神医学中心）的规模、管道分布及作业频次，合理配备疏通清洗吸污车，确保满足各院区同步作业或应急作业需求，具体配备数量为：疏通清洗吸污车至少1台，根据需要与工期要求适当增加车辆数量和类型，车辆需做到随时待命，确保接到应急需求后2h内抵达指定院区作业现场</w:t>
      </w:r>
      <w:r>
        <w:rPr>
          <w:rFonts w:hint="eastAsia" w:ascii="仿宋" w:hAnsi="仿宋" w:eastAsia="仿宋" w:cs="仿宋"/>
          <w:sz w:val="24"/>
          <w:szCs w:val="24"/>
          <w:lang w:eastAsia="zh-CN"/>
        </w:rPr>
        <w:t>；</w:t>
      </w:r>
    </w:p>
    <w:p w14:paraId="17AC4EA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2）环保要求：所有作业车辆需符合国家及四川省环保相关标准，作业过程中储污罐需密封严密，配备防渗漏装置，严禁出现污水、污泥渗漏现象，避免造成二次污染；疏通清洗吸污车产生的清洗废水全部返回至院区下水管道，不得随意排放；作业车辆噪音控制在60分贝以内，避免影响院区诊疗秩序与人员休息</w:t>
      </w:r>
      <w:r>
        <w:rPr>
          <w:rFonts w:hint="eastAsia" w:ascii="仿宋" w:hAnsi="仿宋" w:eastAsia="仿宋" w:cs="仿宋"/>
          <w:sz w:val="24"/>
          <w:szCs w:val="24"/>
          <w:lang w:eastAsia="zh-CN"/>
        </w:rPr>
        <w:t>；</w:t>
      </w:r>
    </w:p>
    <w:p w14:paraId="2A38E60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安全检测设备配备：除作业车辆外，需配备必要的安全检测设备，每个作业小组至少配备2台经校验合格的气体检测仪（可检测甲烷、硫化氢及氧气含量）、1台低压喷雾消毒设备，同时配备应急照明、警示灯等辅助安全设备，所有安全检测设备需定期校验（每季度至少1次），确保检测精度，建立设备校验档案，留存校验记录备查。</w:t>
      </w:r>
    </w:p>
    <w:p w14:paraId="0BC5F8D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2.人员要求</w:t>
      </w:r>
    </w:p>
    <w:p w14:paraId="1F567E7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default" w:ascii="仿宋" w:hAnsi="仿宋" w:eastAsia="仿宋" w:cs="仿宋"/>
          <w:sz w:val="24"/>
          <w:szCs w:val="24"/>
          <w:highlight w:val="none"/>
          <w:lang w:val="en-US"/>
        </w:rPr>
      </w:pPr>
      <w:r>
        <w:rPr>
          <w:rFonts w:hint="eastAsia" w:ascii="仿宋" w:hAnsi="仿宋" w:eastAsia="仿宋" w:cs="仿宋"/>
          <w:sz w:val="24"/>
          <w:szCs w:val="24"/>
        </w:rPr>
        <w:t>（1）</w:t>
      </w:r>
      <w:r>
        <w:rPr>
          <w:rFonts w:hint="eastAsia" w:ascii="仿宋" w:hAnsi="仿宋" w:eastAsia="仿宋" w:cs="仿宋"/>
          <w:sz w:val="24"/>
          <w:szCs w:val="24"/>
          <w:lang w:val="en-US" w:eastAsia="zh-CN"/>
        </w:rPr>
        <w:t>作业人员数量要求：各院区每次作业每台班人员数</w:t>
      </w:r>
      <w:r>
        <w:rPr>
          <w:rFonts w:hint="eastAsia" w:ascii="仿宋" w:hAnsi="仿宋" w:eastAsia="仿宋" w:cs="仿宋"/>
          <w:sz w:val="24"/>
          <w:szCs w:val="24"/>
          <w:highlight w:val="none"/>
          <w:lang w:val="en-US" w:eastAsia="zh-CN"/>
        </w:rPr>
        <w:t>量</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名监护人</w:t>
      </w:r>
      <w:r>
        <w:rPr>
          <w:rFonts w:hint="eastAsia" w:ascii="仿宋" w:hAnsi="仿宋" w:eastAsia="仿宋" w:cs="仿宋"/>
          <w:sz w:val="24"/>
          <w:szCs w:val="24"/>
          <w:highlight w:val="none"/>
        </w:rPr>
        <w:t>、1名司机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兼操作员</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名作业人员</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不含司机，其中1名为作业负责人</w:t>
      </w:r>
      <w:r>
        <w:rPr>
          <w:rFonts w:hint="eastAsia" w:ascii="仿宋" w:hAnsi="仿宋" w:eastAsia="仿宋" w:cs="仿宋"/>
          <w:sz w:val="24"/>
          <w:szCs w:val="24"/>
          <w:highlight w:val="none"/>
          <w:lang w:eastAsia="zh-CN"/>
        </w:rPr>
        <w:t>）；</w:t>
      </w:r>
    </w:p>
    <w:p w14:paraId="4A87D4A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人员配备</w:t>
      </w:r>
      <w:r>
        <w:rPr>
          <w:rFonts w:hint="eastAsia" w:ascii="仿宋" w:hAnsi="仿宋" w:eastAsia="仿宋" w:cs="仿宋"/>
          <w:sz w:val="24"/>
          <w:szCs w:val="24"/>
          <w:highlight w:val="none"/>
          <w:lang w:val="en-US" w:eastAsia="zh-CN"/>
        </w:rPr>
        <w:t>要求</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监护人及</w:t>
      </w:r>
      <w:r>
        <w:rPr>
          <w:rFonts w:hint="eastAsia" w:ascii="仿宋" w:hAnsi="仿宋" w:eastAsia="仿宋" w:cs="仿宋"/>
          <w:sz w:val="24"/>
          <w:szCs w:val="24"/>
          <w:highlight w:val="none"/>
        </w:rPr>
        <w:t>作业人员具有有限空间作业证</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司机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兼操作员</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具备对应驾乘资格证件；作业负责人应</w:t>
      </w:r>
      <w:r>
        <w:rPr>
          <w:rFonts w:hint="eastAsia" w:ascii="仿宋" w:hAnsi="仿宋" w:eastAsia="仿宋" w:cs="仿宋"/>
          <w:sz w:val="24"/>
          <w:szCs w:val="24"/>
          <w:highlight w:val="none"/>
        </w:rPr>
        <w:t>具备3年以上</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包含3年</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管道疏通、化粪池清掏作业经验，负责统筹作业流程、安全管控及与采购人对接</w:t>
      </w:r>
      <w:r>
        <w:rPr>
          <w:rFonts w:hint="eastAsia" w:ascii="仿宋" w:hAnsi="仿宋" w:eastAsia="仿宋" w:cs="仿宋"/>
          <w:sz w:val="24"/>
          <w:szCs w:val="24"/>
          <w:highlight w:val="none"/>
          <w:lang w:eastAsia="zh-CN"/>
        </w:rPr>
        <w:t>；</w:t>
      </w:r>
    </w:p>
    <w:p w14:paraId="5911956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）人员资质要求：</w:t>
      </w:r>
      <w:r>
        <w:rPr>
          <w:rFonts w:hint="eastAsia" w:ascii="仿宋" w:hAnsi="仿宋" w:eastAsia="仿宋" w:cs="仿宋"/>
          <w:sz w:val="24"/>
          <w:szCs w:val="24"/>
          <w:lang w:val="en-US" w:eastAsia="zh-CN"/>
        </w:rPr>
        <w:t>作业人员须</w:t>
      </w:r>
      <w:r>
        <w:rPr>
          <w:rFonts w:hint="eastAsia" w:ascii="仿宋" w:hAnsi="仿宋" w:eastAsia="仿宋" w:cs="仿宋"/>
          <w:sz w:val="24"/>
          <w:szCs w:val="24"/>
        </w:rPr>
        <w:t>提供</w:t>
      </w:r>
      <w:r>
        <w:rPr>
          <w:rFonts w:hint="eastAsia" w:ascii="仿宋" w:hAnsi="仿宋" w:eastAsia="仿宋" w:cs="仿宋"/>
          <w:sz w:val="24"/>
          <w:szCs w:val="24"/>
          <w:lang w:val="en-US" w:eastAsia="zh-CN"/>
        </w:rPr>
        <w:t>体检报告</w:t>
      </w:r>
      <w:r>
        <w:rPr>
          <w:rFonts w:hint="eastAsia" w:ascii="仿宋" w:hAnsi="仿宋" w:eastAsia="仿宋" w:cs="仿宋"/>
          <w:sz w:val="24"/>
          <w:szCs w:val="24"/>
        </w:rPr>
        <w:t>，确保无传染性疾病、无不适宜从事井下作业、的疾病（如心脏病、高血压、哮喘等）</w:t>
      </w:r>
      <w:r>
        <w:rPr>
          <w:rFonts w:hint="eastAsia" w:ascii="仿宋" w:hAnsi="仿宋" w:eastAsia="仿宋" w:cs="仿宋"/>
          <w:sz w:val="24"/>
          <w:szCs w:val="24"/>
          <w:lang w:eastAsia="zh-CN"/>
        </w:rPr>
        <w:t>；</w:t>
      </w:r>
    </w:p>
    <w:p w14:paraId="165B8173">
      <w:pPr>
        <w:pStyle w:val="2"/>
        <w:ind w:firstLine="480" w:firstLineChars="200"/>
        <w:rPr>
          <w:rFonts w:hint="eastAsia" w:eastAsia="仿宋"/>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所有人员相关</w:t>
      </w:r>
      <w:r>
        <w:rPr>
          <w:rFonts w:hint="eastAsia" w:ascii="仿宋" w:hAnsi="仿宋" w:eastAsia="仿宋" w:cs="仿宋"/>
          <w:sz w:val="24"/>
          <w:szCs w:val="24"/>
        </w:rPr>
        <w:t>证书需在有效期内，严禁无证上岗</w:t>
      </w:r>
      <w:r>
        <w:rPr>
          <w:rFonts w:hint="eastAsia" w:ascii="仿宋" w:hAnsi="仿宋" w:eastAsia="仿宋" w:cs="仿宋"/>
          <w:sz w:val="24"/>
          <w:szCs w:val="24"/>
          <w:lang w:eastAsia="zh-CN"/>
        </w:rPr>
        <w:t>。</w:t>
      </w:r>
    </w:p>
    <w:p w14:paraId="79ADE6D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安全与环保要求</w:t>
      </w:r>
    </w:p>
    <w:p w14:paraId="5731016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本项目作业场景为医院，涉及</w:t>
      </w:r>
      <w:r>
        <w:rPr>
          <w:rFonts w:hint="eastAsia" w:ascii="仿宋" w:hAnsi="仿宋" w:eastAsia="仿宋" w:cs="仿宋"/>
          <w:strike w:val="0"/>
          <w:sz w:val="24"/>
          <w:szCs w:val="24"/>
        </w:rPr>
        <w:t>多院区、多特</w:t>
      </w:r>
      <w:r>
        <w:rPr>
          <w:rFonts w:hint="eastAsia" w:ascii="仿宋" w:hAnsi="仿宋" w:eastAsia="仿宋" w:cs="仿宋"/>
          <w:sz w:val="24"/>
          <w:szCs w:val="24"/>
        </w:rPr>
        <w:t>殊区域（老年医学中心、</w:t>
      </w:r>
      <w:r>
        <w:rPr>
          <w:rFonts w:hint="eastAsia" w:ascii="仿宋" w:hAnsi="仿宋" w:eastAsia="仿宋" w:cs="仿宋"/>
          <w:sz w:val="24"/>
          <w:szCs w:val="24"/>
          <w:lang w:val="en-US" w:eastAsia="zh-CN"/>
        </w:rPr>
        <w:t>四川省</w:t>
      </w:r>
      <w:r>
        <w:rPr>
          <w:rFonts w:hint="eastAsia" w:ascii="仿宋" w:hAnsi="仿宋" w:eastAsia="仿宋" w:cs="仿宋"/>
          <w:sz w:val="24"/>
          <w:szCs w:val="24"/>
        </w:rPr>
        <w:t>精神医学中心等），安全防护与环保管理需严格适配</w:t>
      </w:r>
      <w:r>
        <w:rPr>
          <w:rFonts w:hint="eastAsia" w:ascii="仿宋" w:hAnsi="仿宋" w:eastAsia="仿宋" w:cs="仿宋"/>
          <w:sz w:val="24"/>
          <w:szCs w:val="24"/>
          <w:lang w:val="en-US" w:eastAsia="zh-CN"/>
        </w:rPr>
        <w:t>采购人</w:t>
      </w:r>
      <w:r>
        <w:rPr>
          <w:rFonts w:hint="eastAsia" w:ascii="仿宋" w:hAnsi="仿宋" w:eastAsia="仿宋" w:cs="仿宋"/>
          <w:sz w:val="24"/>
          <w:szCs w:val="24"/>
        </w:rPr>
        <w:t>诊疗环境要求，兼顾作业人员安全、院区人员安全及院区环境整洁，结合项目核心要求，对安全防护</w:t>
      </w:r>
      <w:r>
        <w:rPr>
          <w:rFonts w:hint="eastAsia" w:ascii="仿宋" w:hAnsi="仿宋" w:eastAsia="仿宋" w:cs="仿宋"/>
          <w:sz w:val="24"/>
          <w:szCs w:val="24"/>
          <w:lang w:val="en-US" w:eastAsia="zh-CN"/>
        </w:rPr>
        <w:t>要求</w:t>
      </w:r>
      <w:r>
        <w:rPr>
          <w:rFonts w:hint="eastAsia" w:ascii="仿宋" w:hAnsi="仿宋" w:eastAsia="仿宋" w:cs="仿宋"/>
          <w:sz w:val="24"/>
          <w:szCs w:val="24"/>
        </w:rPr>
        <w:t>、院内暂存管理要求如下：</w:t>
      </w:r>
    </w:p>
    <w:p w14:paraId="0FAC239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安全防护</w:t>
      </w:r>
      <w:r>
        <w:rPr>
          <w:rFonts w:hint="eastAsia" w:ascii="仿宋" w:hAnsi="仿宋" w:eastAsia="仿宋" w:cs="仿宋"/>
          <w:sz w:val="24"/>
          <w:szCs w:val="24"/>
          <w:lang w:val="en-US" w:eastAsia="zh-CN"/>
        </w:rPr>
        <w:t>要求</w:t>
      </w:r>
    </w:p>
    <w:p w14:paraId="14A8267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全程严格落实各项防护要求，杜绝安全事故发生，保障作业人员、医护人员、患者及院区过往人员的人身安全，要求如下：</w:t>
      </w:r>
    </w:p>
    <w:p w14:paraId="1418BFE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配备防毒面具、气体检测仪等安全设施</w:t>
      </w:r>
    </w:p>
    <w:p w14:paraId="1F78973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1）设施配备标准：每个作业小组必须足额配备安全防护设施，包括但不限于：防毒面具（适配有毒有害气体防护，每人1套，备用不少于2套）、气体检测仪、防滑手套、防护服、安全鞋、应急照明设备、急救箱（含止血带、消毒用品、急救药品等）</w:t>
      </w:r>
      <w:r>
        <w:rPr>
          <w:rFonts w:hint="eastAsia" w:ascii="仿宋" w:hAnsi="仿宋" w:eastAsia="仿宋" w:cs="仿宋"/>
          <w:sz w:val="24"/>
          <w:szCs w:val="24"/>
          <w:lang w:eastAsia="zh-CN"/>
        </w:rPr>
        <w:t>；</w:t>
      </w:r>
    </w:p>
    <w:p w14:paraId="74A88A7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2）设施管理：作业前，</w:t>
      </w:r>
      <w:r>
        <w:rPr>
          <w:rFonts w:hint="eastAsia" w:ascii="仿宋" w:hAnsi="仿宋" w:eastAsia="仿宋" w:cs="仿宋"/>
          <w:sz w:val="24"/>
          <w:szCs w:val="24"/>
          <w:lang w:val="en-US" w:eastAsia="zh-CN"/>
        </w:rPr>
        <w:t>监护人</w:t>
      </w:r>
      <w:r>
        <w:rPr>
          <w:rFonts w:hint="eastAsia" w:ascii="仿宋" w:hAnsi="仿宋" w:eastAsia="仿宋" w:cs="仿宋"/>
          <w:sz w:val="24"/>
          <w:szCs w:val="24"/>
        </w:rPr>
        <w:t>需逐一检查所有安全设施的完好性，确认防毒面具密封良好、气体检测仪正常工作、急救药品在有效期内，严禁使用破损、失效的安全设施；作业过程中，作业人员必须全程佩戴防护服、防毒面具、防滑手套、安全鞋等防护用品，气体检测仪由专人携带，实时监测气体浓度。</w:t>
      </w:r>
    </w:p>
    <w:p w14:paraId="48EB1DD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作业人员必须经过专业安全培训</w:t>
      </w:r>
    </w:p>
    <w:p w14:paraId="5639E2B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1）培训要求：所有作业人员上岗前必须参加专业安全培训，培训内容包括：医院作业安全规范、有毒有害气体防护知识、设备操作规程、应急处置流程、医院诊疗区域作业注意事项等，培训合格并取得相应上岗资格证书后，方可上岗作业</w:t>
      </w:r>
      <w:r>
        <w:rPr>
          <w:rFonts w:hint="eastAsia" w:ascii="仿宋" w:hAnsi="仿宋" w:eastAsia="仿宋" w:cs="仿宋"/>
          <w:sz w:val="24"/>
          <w:szCs w:val="24"/>
          <w:lang w:eastAsia="zh-CN"/>
        </w:rPr>
        <w:t>；</w:t>
      </w:r>
    </w:p>
    <w:p w14:paraId="13B0C4E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）人员管理：建立作业人员培训档案，记录培训时间、培训内容、考核结果，严禁未培训、未考核合格人员上岗；作业人员上岗时需佩戴工作牌，严格遵守</w:t>
      </w:r>
      <w:r>
        <w:rPr>
          <w:rFonts w:hint="eastAsia" w:ascii="仿宋" w:hAnsi="仿宋" w:eastAsia="仿宋" w:cs="仿宋"/>
          <w:sz w:val="24"/>
          <w:szCs w:val="24"/>
          <w:lang w:val="en-US" w:eastAsia="zh-CN"/>
        </w:rPr>
        <w:t>采购人</w:t>
      </w:r>
      <w:r>
        <w:rPr>
          <w:rFonts w:hint="eastAsia" w:ascii="仿宋" w:hAnsi="仿宋" w:eastAsia="仿宋" w:cs="仿宋"/>
          <w:sz w:val="24"/>
          <w:szCs w:val="24"/>
        </w:rPr>
        <w:t>各项规章制度，服从采购人管理人员调度，不得擅自离岗、违规操作</w:t>
      </w:r>
      <w:r>
        <w:rPr>
          <w:rFonts w:hint="eastAsia" w:ascii="仿宋" w:hAnsi="仿宋" w:eastAsia="仿宋" w:cs="仿宋"/>
          <w:sz w:val="24"/>
          <w:szCs w:val="24"/>
          <w:lang w:eastAsia="zh-CN"/>
        </w:rPr>
        <w:t>。</w:t>
      </w:r>
    </w:p>
    <w:p w14:paraId="73CB00E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3）供应商须对服务全过程中的所有安全事项承担全部责任。此责任范围涵盖所有参与人员的人身安全、所用设备的运行安全及服务场地的环境安全等所有方面。若因供应商违反操作规程或未尽到安全义务而导致任何安全事故、损失或损害，供应商应承担全部法律责任，并负责赔偿由此给采购方或任何第三方造成的一切损失。</w:t>
      </w:r>
    </w:p>
    <w:p w14:paraId="0CDABEF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（4）作业前审批与检查</w:t>
      </w:r>
    </w:p>
    <w:p w14:paraId="52535F8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1）严格执行“有限空间作业审批制度”，未经监护人签字确认，严禁开启井盖或下井作业；</w:t>
      </w:r>
    </w:p>
    <w:p w14:paraId="6A41588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2）监督并复核“先通风、再检测、后作业”流程，使用专业气体检测仪对井下氧气、硫化氢、一氧化碳及可燃气体进行检测，确保数据合格；</w:t>
      </w:r>
    </w:p>
    <w:p w14:paraId="1432E32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3）检查通风设备、三脚架、安全绳、呼吸防护用品（如正压式空气呼吸器）、对讲机等应急物资的完好性；</w:t>
      </w:r>
    </w:p>
    <w:p w14:paraId="3FA2C01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4)每次开工前组织全员安全技术交底，告知作业风险点及防范措施。</w:t>
      </w:r>
    </w:p>
    <w:p w14:paraId="269B738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（5）作业中全程监护</w:t>
      </w:r>
    </w:p>
    <w:p w14:paraId="6FF5482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1）实行“旁站式”监护，作业期间必须全程在井口值守，不得擅自离岗或兼任其他工作；</w:t>
      </w:r>
    </w:p>
    <w:p w14:paraId="731D5C9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2）严格核对下井人员数量，确保进出人员一致，防止人员遗漏；</w:t>
      </w:r>
    </w:p>
    <w:p w14:paraId="23CBC36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3）监督作业人员正确佩戴个人防护用品（PPE），对违章作业行为（如未系安全绳下井）拥有立即叫停权；</w:t>
      </w:r>
    </w:p>
    <w:p w14:paraId="19AF70F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4）在作业过程中实施连续或定时气体监测，若作业中断超过30分钟，须重新进行通风和检测。</w:t>
      </w:r>
    </w:p>
    <w:p w14:paraId="18BE1B8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（6）作业后确认与记录</w:t>
      </w:r>
    </w:p>
    <w:p w14:paraId="1AC0F10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shd w:val="clear"/>
          <w:lang w:val="en-US" w:eastAsia="zh-CN"/>
        </w:rPr>
      </w:pPr>
      <w:r>
        <w:rPr>
          <w:rFonts w:hint="eastAsia" w:ascii="仿宋" w:hAnsi="仿宋" w:eastAsia="仿宋" w:cs="仿宋"/>
          <w:sz w:val="24"/>
          <w:szCs w:val="24"/>
          <w:shd w:val="clear"/>
          <w:lang w:val="en-US" w:eastAsia="zh-CN"/>
        </w:rPr>
        <w:t>1）确认所有人员、工具及材料已撤出井室，井盖恢复原状并锁定，消除周边安全隐患；</w:t>
      </w:r>
    </w:p>
    <w:p w14:paraId="7C0290B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shd w:val="clear"/>
          <w:lang w:val="en-US" w:eastAsia="zh-CN"/>
        </w:rPr>
        <w:t>2）如实填写《有限空间作业安全记录表》，详细记录气体检测数据、作业时间及异常情况，并归档备查。</w:t>
      </w:r>
    </w:p>
    <w:p w14:paraId="4916B77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院内暂存管理要求</w:t>
      </w:r>
    </w:p>
    <w:p w14:paraId="15B0E58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trike w:val="0"/>
          <w:sz w:val="24"/>
          <w:szCs w:val="24"/>
        </w:rPr>
        <w:t>院内暂存管理需</w:t>
      </w:r>
      <w:r>
        <w:rPr>
          <w:rFonts w:hint="eastAsia" w:ascii="仿宋" w:hAnsi="仿宋" w:eastAsia="仿宋" w:cs="仿宋"/>
          <w:sz w:val="24"/>
          <w:szCs w:val="24"/>
        </w:rPr>
        <w:t>严格遵循</w:t>
      </w:r>
      <w:r>
        <w:rPr>
          <w:rFonts w:hint="eastAsia" w:ascii="仿宋" w:hAnsi="仿宋" w:eastAsia="仿宋" w:cs="仿宋"/>
          <w:sz w:val="24"/>
          <w:szCs w:val="24"/>
          <w:lang w:val="en-US" w:eastAsia="zh-CN"/>
        </w:rPr>
        <w:t>本</w:t>
      </w:r>
      <w:r>
        <w:rPr>
          <w:rFonts w:hint="eastAsia" w:ascii="仿宋" w:hAnsi="仿宋" w:eastAsia="仿宋" w:cs="仿宋"/>
          <w:sz w:val="24"/>
          <w:szCs w:val="24"/>
        </w:rPr>
        <w:t>项目“不转运、只暂存”的核心要求，聚焦防渗漏、防异味、防污染，配合采购人做好暂存点管理，杜绝影响院区环境及人员健康，要求如下：</w:t>
      </w:r>
    </w:p>
    <w:p w14:paraId="7814073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rPr>
        <w:t>淤泥暂存点需进行防渗漏处理</w:t>
      </w:r>
    </w:p>
    <w:p w14:paraId="498ACA44">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1）预处理要求：作业前，配合采购人对指定的</w:t>
      </w:r>
      <w:r>
        <w:rPr>
          <w:rFonts w:hint="eastAsia" w:ascii="仿宋" w:hAnsi="仿宋" w:eastAsia="仿宋" w:cs="仿宋"/>
          <w:sz w:val="24"/>
          <w:szCs w:val="24"/>
          <w:lang w:val="en-US" w:eastAsia="zh-CN"/>
        </w:rPr>
        <w:t>污泥</w:t>
      </w:r>
      <w:r>
        <w:rPr>
          <w:rFonts w:hint="eastAsia" w:ascii="仿宋" w:hAnsi="仿宋" w:eastAsia="仿宋" w:cs="仿宋"/>
          <w:sz w:val="24"/>
          <w:szCs w:val="24"/>
        </w:rPr>
        <w:t>暂存点进行全面检查，确认暂存点地面、墙面无破损、无渗漏隐患；若暂存点未达到防渗漏要求，需在采购人指导下进行预处理，铺设防渗设施并覆盖整个暂存区域，边缘延伸至围挡外侧不少于30cm，确保无遗漏、无破损</w:t>
      </w:r>
      <w:r>
        <w:rPr>
          <w:rFonts w:hint="eastAsia" w:ascii="仿宋" w:hAnsi="仿宋" w:eastAsia="仿宋" w:cs="仿宋"/>
          <w:sz w:val="24"/>
          <w:szCs w:val="24"/>
          <w:lang w:eastAsia="zh-CN"/>
        </w:rPr>
        <w:t>；</w:t>
      </w:r>
    </w:p>
    <w:p w14:paraId="79A5FAA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2）检查：实施存放之前，重点检查防渗设施是否破损、脱落，暂存点周边地面是否有渗漏痕迹。若存放于池体内，检查池体内部状态，堵塞情况。若发现渗漏、堵塞、板结等情况，应立即停止暂存作业，清理渗漏淤泥，向采购人相关负责人汇报，说明处理措施</w:t>
      </w:r>
      <w:r>
        <w:rPr>
          <w:rFonts w:hint="eastAsia" w:ascii="仿宋" w:hAnsi="仿宋" w:eastAsia="仿宋" w:cs="仿宋"/>
          <w:sz w:val="24"/>
          <w:szCs w:val="24"/>
          <w:lang w:eastAsia="zh-CN"/>
        </w:rPr>
        <w:t>；</w:t>
      </w:r>
    </w:p>
    <w:p w14:paraId="50F353E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3）暂存规范：</w:t>
      </w:r>
      <w:r>
        <w:rPr>
          <w:rFonts w:hint="eastAsia" w:ascii="仿宋" w:hAnsi="仿宋" w:eastAsia="仿宋" w:cs="仿宋"/>
          <w:sz w:val="24"/>
          <w:szCs w:val="24"/>
          <w:highlight w:val="none"/>
          <w:lang w:val="en-US" w:eastAsia="zh-CN"/>
        </w:rPr>
        <w:t>污泥</w:t>
      </w:r>
      <w:r>
        <w:rPr>
          <w:rFonts w:hint="eastAsia" w:ascii="仿宋" w:hAnsi="仿宋" w:eastAsia="仿宋" w:cs="仿宋"/>
          <w:sz w:val="24"/>
          <w:szCs w:val="24"/>
        </w:rPr>
        <w:t>堆放需在指定范围内，严禁超出区域堆放，堆放高度不超过围挡高度，避免堆放过高导致防渗膜破损、</w:t>
      </w:r>
      <w:r>
        <w:rPr>
          <w:rFonts w:hint="eastAsia" w:ascii="仿宋" w:hAnsi="仿宋" w:eastAsia="仿宋" w:cs="仿宋"/>
          <w:sz w:val="24"/>
          <w:szCs w:val="24"/>
          <w:lang w:val="en-US" w:eastAsia="zh-CN"/>
        </w:rPr>
        <w:t>污泥</w:t>
      </w:r>
      <w:r>
        <w:rPr>
          <w:rFonts w:hint="eastAsia" w:ascii="仿宋" w:hAnsi="仿宋" w:eastAsia="仿宋" w:cs="仿宋"/>
          <w:sz w:val="24"/>
          <w:szCs w:val="24"/>
        </w:rPr>
        <w:t>坍塌渗漏。</w:t>
      </w:r>
    </w:p>
    <w:p w14:paraId="0776DE9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配合采购人做好暂存点的防臭、防蚊蝇工作</w:t>
      </w:r>
    </w:p>
    <w:p w14:paraId="54ECC46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1）防臭措施：淤泥暂存期间，需配合采购人在暂存点设置密闭围挡（围挡高度不低于1.8米，密封严密，无缝隙），严禁敞开堆放；对暂存点进行覆盖，采用密闭防雨布全覆盖，避免异味扩散；若暂存点异味明显，需在采购人指导下，采用符合医院标准的除臭剂进行喷洒，除臭剂需无强烈异味、无腐蚀性，避免影响周边诊疗区域及人员</w:t>
      </w:r>
      <w:r>
        <w:rPr>
          <w:rFonts w:hint="eastAsia" w:ascii="仿宋" w:hAnsi="仿宋" w:eastAsia="仿宋" w:cs="仿宋"/>
          <w:sz w:val="24"/>
          <w:szCs w:val="24"/>
          <w:lang w:eastAsia="zh-CN"/>
        </w:rPr>
        <w:t>；</w:t>
      </w:r>
    </w:p>
    <w:p w14:paraId="673CBA0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2）防蚊蝇措施：配合采购人在暂存点周边合理设置灭蚊蝇设备（如灭蚊灯、粘蝇板等），定期检查灭蚊蝇设备的有效性，及时清理蚊蝇尸体；</w:t>
      </w:r>
      <w:r>
        <w:rPr>
          <w:rFonts w:hint="eastAsia" w:ascii="仿宋" w:hAnsi="仿宋" w:eastAsia="仿宋" w:cs="仿宋"/>
          <w:sz w:val="24"/>
          <w:szCs w:val="24"/>
          <w:highlight w:val="none"/>
        </w:rPr>
        <w:t>每日对暂存点周边进行清扫</w:t>
      </w:r>
      <w:r>
        <w:rPr>
          <w:rFonts w:hint="eastAsia" w:ascii="仿宋" w:hAnsi="仿宋" w:eastAsia="仿宋" w:cs="仿宋"/>
          <w:sz w:val="24"/>
          <w:szCs w:val="24"/>
        </w:rPr>
        <w:t>，避免残留</w:t>
      </w:r>
      <w:r>
        <w:rPr>
          <w:rFonts w:hint="eastAsia" w:ascii="仿宋" w:hAnsi="仿宋" w:eastAsia="仿宋" w:cs="仿宋"/>
          <w:sz w:val="24"/>
          <w:szCs w:val="24"/>
          <w:lang w:val="en-US" w:eastAsia="zh-CN"/>
        </w:rPr>
        <w:t>污泥</w:t>
      </w:r>
      <w:r>
        <w:rPr>
          <w:rFonts w:hint="eastAsia" w:ascii="仿宋" w:hAnsi="仿宋" w:eastAsia="仿宋" w:cs="仿宋"/>
          <w:sz w:val="24"/>
          <w:szCs w:val="24"/>
        </w:rPr>
        <w:t>、污水滋生蚊蝇</w:t>
      </w:r>
      <w:r>
        <w:rPr>
          <w:rFonts w:hint="eastAsia" w:ascii="仿宋" w:hAnsi="仿宋" w:eastAsia="仿宋" w:cs="仿宋"/>
          <w:sz w:val="24"/>
          <w:szCs w:val="24"/>
          <w:lang w:eastAsia="zh-CN"/>
        </w:rPr>
        <w:t>。</w:t>
      </w:r>
    </w:p>
    <w:p w14:paraId="7189231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rPr>
        <w:t>定期使用消毒药剂进行除臭杀菌</w:t>
      </w:r>
    </w:p>
    <w:p w14:paraId="60B81F1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1）消毒频次：暂存点每日至少进行1次除臭杀菌消毒，消毒时间选择在院区诊疗低峰时段（如清晨、夜间），避免影响患者、医护人员；若遇高温、多雨天气，增加消毒频次，防止</w:t>
      </w:r>
      <w:r>
        <w:rPr>
          <w:rFonts w:hint="eastAsia" w:ascii="仿宋" w:hAnsi="仿宋" w:eastAsia="仿宋" w:cs="仿宋"/>
          <w:sz w:val="24"/>
          <w:szCs w:val="24"/>
          <w:highlight w:val="none"/>
          <w:lang w:val="en-US" w:eastAsia="zh-CN"/>
        </w:rPr>
        <w:t>污</w:t>
      </w:r>
      <w:r>
        <w:rPr>
          <w:rFonts w:hint="eastAsia" w:ascii="仿宋" w:hAnsi="仿宋" w:eastAsia="仿宋" w:cs="仿宋"/>
          <w:sz w:val="24"/>
          <w:szCs w:val="24"/>
          <w:highlight w:val="none"/>
        </w:rPr>
        <w:t>泥</w:t>
      </w:r>
      <w:r>
        <w:rPr>
          <w:rFonts w:hint="eastAsia" w:ascii="仿宋" w:hAnsi="仿宋" w:eastAsia="仿宋" w:cs="仿宋"/>
          <w:sz w:val="24"/>
          <w:szCs w:val="24"/>
        </w:rPr>
        <w:t>变质、异味扩散及细菌滋生</w:t>
      </w:r>
      <w:r>
        <w:rPr>
          <w:rFonts w:hint="eastAsia" w:ascii="仿宋" w:hAnsi="仿宋" w:eastAsia="仿宋" w:cs="仿宋"/>
          <w:sz w:val="24"/>
          <w:szCs w:val="24"/>
          <w:lang w:eastAsia="zh-CN"/>
        </w:rPr>
        <w:t>；</w:t>
      </w:r>
    </w:p>
    <w:p w14:paraId="70FF059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2）消毒要求：选用符合医院防疫标准、无腐蚀性、无强烈异味的消毒药剂（如含氯消毒剂，有效氯浓度500mg/L-1000mg/L），采用低压喷洒方式对暂存点内部、周边地面及围挡进行全面消毒，确保全覆盖、无死角；消毒后静置30分钟以上，保证消毒效果</w:t>
      </w:r>
      <w:r>
        <w:rPr>
          <w:rFonts w:hint="eastAsia" w:ascii="仿宋" w:hAnsi="仿宋" w:eastAsia="仿宋" w:cs="仿宋"/>
          <w:sz w:val="24"/>
          <w:szCs w:val="24"/>
          <w:lang w:eastAsia="zh-CN"/>
        </w:rPr>
        <w:t>；</w:t>
      </w:r>
    </w:p>
    <w:p w14:paraId="0F16193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配合管理：消毒作业需提前告知采购人相关负责人，配合采购人做好现场管控，避免消毒药剂接触诊疗设备、食品及水源；消毒完成后，做好消毒记录，注明消毒时间、消毒区域、消毒药剂类型、操作人员，留存备查，接受采购人监督检查。</w:t>
      </w:r>
    </w:p>
    <w:p w14:paraId="7ADA1D6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highlight w:val="yellow"/>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四）</w:t>
      </w:r>
      <w:r>
        <w:rPr>
          <w:rFonts w:hint="eastAsia" w:ascii="仿宋" w:hAnsi="仿宋" w:eastAsia="仿宋" w:cs="仿宋"/>
          <w:b/>
          <w:bCs/>
          <w:sz w:val="24"/>
          <w:szCs w:val="24"/>
          <w:highlight w:val="none"/>
          <w:lang w:val="en-US" w:eastAsia="zh-CN"/>
        </w:rPr>
        <w:t>应急响应</w:t>
      </w:r>
      <w:r>
        <w:rPr>
          <w:rFonts w:hint="eastAsia" w:ascii="仿宋" w:hAnsi="仿宋" w:eastAsia="仿宋" w:cs="仿宋"/>
          <w:b/>
          <w:bCs/>
          <w:sz w:val="24"/>
          <w:szCs w:val="24"/>
          <w:highlight w:val="none"/>
        </w:rPr>
        <w:t>要求</w:t>
      </w:r>
    </w:p>
    <w:p w14:paraId="68C61C0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结合医院作业场景特殊性，针对可能出现的突发情况（如气体泄漏、人员中毒、污物渗漏、设备故障等），建立快速应急响应机制，确保突发情况得到及时、有效处置，最大限度降低对院区诊疗秩序、人员安全及环境的影响，具体要求如下：</w:t>
      </w:r>
    </w:p>
    <w:p w14:paraId="7BF2686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配备必要的应急设备和物资：应急设备和物资需足额配备、妥善管理，确保突发情况时能够正常使用，应急物资需存放在指定位置，做好标识，由专人负责管理，定期检查物资完好性及有效期，每月检查1次，及时补充、更换过期或破损物资，建立应急物资管理档案，记录物资采购、存放、使用、补充情况。</w:t>
      </w:r>
    </w:p>
    <w:p w14:paraId="39EDD4A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定期进行应急演练：建立应急演练机制，配合采购人组织不少于1次应急演练，演练内容覆盖各类应急预案，包括气体泄漏处置、人员中毒急救、污物渗漏清理等；演练前制定详细的演练方案，明确演练流程、责任分工、演练目标，演练过程中做好记录，演练结束后组织复盘，分析演练中存在的问题，优化应急预案及应急处置流程；所有作业人员必须参与应急演练，确保熟练掌握应急处置方法，提升应急处置能力，演练记录需留存归档，接受采购人监督检查。</w:t>
      </w:r>
    </w:p>
    <w:p w14:paraId="1430C14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应急处置：若发生气体泄漏、人员中毒等突发情况，立即启动应急措施，撤离现场人员，佩戴好防毒面具的救援人员开展应急处置，同时拨打采购人应急电话及120急救电话，做好应急救援记录。</w:t>
      </w:r>
    </w:p>
    <w:p w14:paraId="56B38D5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.应急响应服务</w:t>
      </w:r>
    </w:p>
    <w:p w14:paraId="554C452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rPr>
        <w:t>响应时效：接到</w:t>
      </w:r>
      <w:r>
        <w:rPr>
          <w:rFonts w:hint="eastAsia" w:ascii="仿宋" w:hAnsi="仿宋" w:eastAsia="仿宋" w:cs="仿宋"/>
          <w:sz w:val="24"/>
          <w:szCs w:val="24"/>
          <w:lang w:val="en-US" w:eastAsia="zh-CN"/>
        </w:rPr>
        <w:t>采购人</w:t>
      </w:r>
      <w:r>
        <w:rPr>
          <w:rFonts w:hint="eastAsia" w:ascii="仿宋" w:hAnsi="仿宋" w:eastAsia="仿宋" w:cs="仿宋"/>
          <w:sz w:val="24"/>
          <w:szCs w:val="24"/>
        </w:rPr>
        <w:t>管道堵塞、化粪池外溢等应急需求后，</w:t>
      </w:r>
      <w:r>
        <w:rPr>
          <w:rFonts w:hint="eastAsia" w:ascii="仿宋" w:hAnsi="仿宋" w:eastAsia="仿宋" w:cs="仿宋"/>
          <w:sz w:val="24"/>
          <w:szCs w:val="24"/>
          <w:lang w:val="en-US" w:eastAsia="zh-CN"/>
        </w:rPr>
        <w:t>2</w:t>
      </w:r>
      <w:r>
        <w:rPr>
          <w:rFonts w:hint="eastAsia" w:ascii="仿宋" w:hAnsi="仿宋" w:eastAsia="仿宋" w:cs="仿宋"/>
          <w:sz w:val="24"/>
          <w:szCs w:val="24"/>
        </w:rPr>
        <w:t>小时内响应，2~5小时安排施工人员、设备抵达现场，8小时内完成应急处置（复杂堵塞可适当延长，提前与</w:t>
      </w:r>
      <w:r>
        <w:rPr>
          <w:rFonts w:hint="eastAsia" w:ascii="仿宋" w:hAnsi="仿宋" w:eastAsia="仿宋" w:cs="仿宋"/>
          <w:sz w:val="24"/>
          <w:szCs w:val="24"/>
          <w:lang w:val="en-US" w:eastAsia="zh-CN"/>
        </w:rPr>
        <w:t>采购人</w:t>
      </w:r>
      <w:r>
        <w:rPr>
          <w:rFonts w:hint="eastAsia" w:ascii="仿宋" w:hAnsi="仿宋" w:eastAsia="仿宋" w:cs="仿宋"/>
          <w:sz w:val="24"/>
          <w:szCs w:val="24"/>
        </w:rPr>
        <w:t>沟通）</w:t>
      </w:r>
      <w:r>
        <w:rPr>
          <w:rFonts w:hint="eastAsia" w:ascii="仿宋" w:hAnsi="仿宋" w:eastAsia="仿宋" w:cs="仿宋"/>
          <w:sz w:val="24"/>
          <w:szCs w:val="24"/>
          <w:lang w:eastAsia="zh-CN"/>
        </w:rPr>
        <w:t>；</w:t>
      </w:r>
    </w:p>
    <w:p w14:paraId="79BBC64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应急处置：应急作业优先保障诊疗区域畅通，采用快速疏通、临时抽排等方式，控制污染扩散，处置完成后，对现场进行消毒、清理，确保无安全隐患、无异味</w:t>
      </w:r>
      <w:r>
        <w:rPr>
          <w:rFonts w:hint="eastAsia" w:ascii="仿宋" w:hAnsi="仿宋" w:eastAsia="仿宋" w:cs="仿宋"/>
          <w:sz w:val="24"/>
          <w:szCs w:val="24"/>
          <w:lang w:eastAsia="zh-CN"/>
        </w:rPr>
        <w:t>；</w:t>
      </w:r>
    </w:p>
    <w:p w14:paraId="52DB967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rPr>
        <w:t>应急联络：设立7*24小时应急服务电话，确保</w:t>
      </w:r>
      <w:r>
        <w:rPr>
          <w:rFonts w:hint="eastAsia" w:ascii="仿宋" w:hAnsi="仿宋" w:eastAsia="仿宋" w:cs="仿宋"/>
          <w:sz w:val="24"/>
          <w:szCs w:val="24"/>
          <w:lang w:val="en-US" w:eastAsia="zh-CN"/>
        </w:rPr>
        <w:t>采购人</w:t>
      </w:r>
      <w:r>
        <w:rPr>
          <w:rFonts w:hint="eastAsia" w:ascii="仿宋" w:hAnsi="仿宋" w:eastAsia="仿宋" w:cs="仿宋"/>
          <w:sz w:val="24"/>
          <w:szCs w:val="24"/>
        </w:rPr>
        <w:t>能够随时联系到供应商，及时响应应急需求。</w:t>
      </w:r>
    </w:p>
    <w:p w14:paraId="470A07B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质量控制要求</w:t>
      </w:r>
    </w:p>
    <w:p w14:paraId="172DC55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质量控制是服务核心，需建立全流程质量管理体系，从作业准备、过程管控到作业收尾，实现闭环管理，确保作业质量符合医院标准，留存完整服务痕迹，具体要求如下：</w:t>
      </w:r>
    </w:p>
    <w:p w14:paraId="1A28EDB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highlight w:val="yellow"/>
        </w:rPr>
      </w:pPr>
      <w:r>
        <w:rPr>
          <w:rFonts w:hint="eastAsia" w:ascii="仿宋" w:hAnsi="仿宋" w:eastAsia="仿宋" w:cs="仿宋"/>
          <w:sz w:val="24"/>
          <w:szCs w:val="24"/>
          <w:lang w:val="en-US" w:eastAsia="zh-CN"/>
        </w:rPr>
        <w:t>1</w:t>
      </w:r>
      <w:r>
        <w:rPr>
          <w:rFonts w:hint="eastAsia" w:ascii="仿宋" w:hAnsi="仿宋" w:eastAsia="仿宋" w:cs="仿宋"/>
          <w:sz w:val="24"/>
          <w:szCs w:val="24"/>
        </w:rPr>
        <w:t>.每次作业后进行质量检查：作业完成后，由</w:t>
      </w:r>
      <w:r>
        <w:rPr>
          <w:rFonts w:hint="eastAsia" w:ascii="仿宋" w:hAnsi="仿宋" w:eastAsia="仿宋" w:cs="仿宋"/>
          <w:sz w:val="24"/>
          <w:szCs w:val="24"/>
          <w:lang w:eastAsia="zh-CN"/>
        </w:rPr>
        <w:t>作业负责人</w:t>
      </w:r>
      <w:r>
        <w:rPr>
          <w:rFonts w:hint="eastAsia" w:ascii="仿宋" w:hAnsi="仿宋" w:eastAsia="仿宋" w:cs="仿宋"/>
          <w:sz w:val="24"/>
          <w:szCs w:val="24"/>
        </w:rPr>
        <w:t>牵头，联合采购人现场管理人员，按照作业质量标准进行全面检查，检查内容包括：管道疏通畅通情况、化粪池及污水井抽吸情况、作业现场清洁度、井盖恢复情况、安全警示撤除情况、消杀效果等</w:t>
      </w:r>
      <w:r>
        <w:rPr>
          <w:rFonts w:hint="eastAsia" w:ascii="仿宋" w:hAnsi="仿宋" w:eastAsia="仿宋" w:cs="仿宋"/>
          <w:sz w:val="24"/>
          <w:szCs w:val="24"/>
          <w:highlight w:val="none"/>
        </w:rPr>
        <w:t>。</w:t>
      </w:r>
    </w:p>
    <w:p w14:paraId="703BE0E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建立服务档案，记录每次作业情况：建立健全服务档案管理制度，为每个院区单独建立服务档案，每次作业后及时填写档案内容，包括但不限于：作业日期、作业时间、作业区域、作业内容、作业人员、设备使用</w:t>
      </w:r>
      <w:r>
        <w:rPr>
          <w:rFonts w:hint="eastAsia" w:ascii="仿宋" w:hAnsi="仿宋" w:eastAsia="仿宋" w:cs="仿宋"/>
          <w:sz w:val="24"/>
          <w:szCs w:val="24"/>
          <w:lang w:val="en-US" w:eastAsia="zh-CN"/>
        </w:rPr>
        <w:t>次数</w:t>
      </w:r>
      <w:r>
        <w:rPr>
          <w:rFonts w:hint="eastAsia" w:ascii="仿宋" w:hAnsi="仿宋" w:eastAsia="仿宋" w:cs="仿宋"/>
          <w:sz w:val="24"/>
          <w:szCs w:val="24"/>
        </w:rPr>
        <w:t>、</w:t>
      </w:r>
      <w:r>
        <w:rPr>
          <w:rFonts w:hint="eastAsia" w:ascii="仿宋" w:hAnsi="仿宋" w:eastAsia="仿宋" w:cs="仿宋"/>
          <w:sz w:val="24"/>
          <w:szCs w:val="24"/>
          <w:lang w:val="en-US" w:eastAsia="zh-CN"/>
        </w:rPr>
        <w:t>作业</w:t>
      </w:r>
      <w:r>
        <w:rPr>
          <w:rFonts w:hint="eastAsia" w:ascii="仿宋" w:hAnsi="仿宋" w:eastAsia="仿宋" w:cs="仿宋"/>
          <w:sz w:val="24"/>
          <w:szCs w:val="24"/>
        </w:rPr>
        <w:t>质量检查结果、验收记录、消杀记录、暂存情况等；服务档案需做到及时、准确、完整，不得漏填、错填，每月整理1次档案，装订归档，保存期限不少于1年，便于采购人查阅、追溯。</w:t>
      </w:r>
    </w:p>
    <w:p w14:paraId="40A4F14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服务质量情况总结：建立服务质量总结机制，服务期届满前向采购人提交《服务质量报告》，内容包括：各院区作业次数、作业内容、质量检查结果、质量问题整改情况、人员培训情况、设备运行情况等，分析服务过程中存在的问题，提出改进措施，提交采购人相关管理部门，配合采购人做好服务质量监督。</w:t>
      </w:r>
    </w:p>
    <w:p w14:paraId="3FCBE63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六）</w:t>
      </w:r>
      <w:r>
        <w:rPr>
          <w:rFonts w:hint="eastAsia" w:ascii="仿宋" w:hAnsi="仿宋" w:eastAsia="仿宋" w:cs="仿宋"/>
          <w:b/>
          <w:bCs/>
          <w:sz w:val="24"/>
          <w:szCs w:val="24"/>
        </w:rPr>
        <w:t>售后服务</w:t>
      </w:r>
      <w:r>
        <w:rPr>
          <w:rFonts w:hint="eastAsia" w:ascii="仿宋" w:hAnsi="仿宋" w:eastAsia="仿宋" w:cs="仿宋"/>
          <w:b/>
          <w:bCs/>
          <w:sz w:val="24"/>
          <w:szCs w:val="24"/>
          <w:lang w:val="en-US" w:eastAsia="zh-CN"/>
        </w:rPr>
        <w:t>要求</w:t>
      </w:r>
    </w:p>
    <w:p w14:paraId="13365E7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1.定期维护服务</w:t>
      </w:r>
    </w:p>
    <w:p w14:paraId="68536E2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（1）定期巡检：每月安排专人对各院区污水管道、化粪池进行一次巡检，查看管道是否有堵塞隐患、化粪池是否有淤积、井盖是否完好，及时发现并处理问题。</w:t>
      </w:r>
    </w:p>
    <w:p w14:paraId="362C1A4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（2）定期疏通：</w:t>
      </w:r>
      <w:r>
        <w:rPr>
          <w:rFonts w:hint="eastAsia" w:ascii="仿宋" w:hAnsi="仿宋" w:eastAsia="仿宋" w:cs="仿宋"/>
          <w:sz w:val="24"/>
          <w:szCs w:val="24"/>
          <w:lang w:val="en-US" w:eastAsia="zh-CN"/>
        </w:rPr>
        <w:t>按采购人要求定期</w:t>
      </w:r>
      <w:r>
        <w:rPr>
          <w:rFonts w:hint="eastAsia" w:ascii="仿宋" w:hAnsi="仿宋" w:eastAsia="仿宋" w:cs="仿宋"/>
          <w:sz w:val="24"/>
          <w:szCs w:val="24"/>
        </w:rPr>
        <w:t>对各院区污水管道、化粪池易堵塞点进行全面疏通、清掏，确保排水系统畅通，避免堵塞。</w:t>
      </w:r>
    </w:p>
    <w:p w14:paraId="4BD8818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（3）针对管道日常运行、轻微堵塞预防、检查井维护等问题，提供24小时咨询服务，指导</w:t>
      </w:r>
      <w:r>
        <w:rPr>
          <w:rFonts w:hint="eastAsia" w:ascii="仿宋" w:hAnsi="仿宋" w:eastAsia="仿宋" w:cs="仿宋"/>
          <w:sz w:val="24"/>
          <w:szCs w:val="24"/>
          <w:lang w:val="en-US" w:eastAsia="zh-CN"/>
        </w:rPr>
        <w:t>采购人</w:t>
      </w:r>
      <w:r>
        <w:rPr>
          <w:rFonts w:hint="eastAsia" w:ascii="仿宋" w:hAnsi="仿宋" w:eastAsia="仿宋" w:cs="仿宋"/>
          <w:sz w:val="24"/>
          <w:szCs w:val="24"/>
        </w:rPr>
        <w:t>范使用管道，减少故障发生。</w:t>
      </w:r>
    </w:p>
    <w:p w14:paraId="648864A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.质量保修服务</w:t>
      </w:r>
    </w:p>
    <w:p w14:paraId="2CB2AF9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rPr>
        <w:t>保修期限：常规疏通、清掏服务质保5天，质保期内，若出现管道、化粪池堵塞等问题，上门返工，直至达标。</w:t>
      </w:r>
    </w:p>
    <w:p w14:paraId="55BCFF7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质量反馈：建立质量反馈机制，每次作业完成后，主动收集</w:t>
      </w:r>
      <w:r>
        <w:rPr>
          <w:rFonts w:hint="eastAsia" w:ascii="仿宋" w:hAnsi="仿宋" w:eastAsia="仿宋" w:cs="仿宋"/>
          <w:sz w:val="24"/>
          <w:szCs w:val="24"/>
          <w:lang w:val="en-US" w:eastAsia="zh-CN"/>
        </w:rPr>
        <w:t>采购人</w:t>
      </w:r>
      <w:r>
        <w:rPr>
          <w:rFonts w:hint="eastAsia" w:ascii="仿宋" w:hAnsi="仿宋" w:eastAsia="仿宋" w:cs="仿宋"/>
          <w:sz w:val="24"/>
          <w:szCs w:val="24"/>
        </w:rPr>
        <w:t>意见，对</w:t>
      </w:r>
      <w:r>
        <w:rPr>
          <w:rFonts w:hint="eastAsia" w:ascii="仿宋" w:hAnsi="仿宋" w:eastAsia="仿宋" w:cs="仿宋"/>
          <w:sz w:val="24"/>
          <w:szCs w:val="24"/>
          <w:lang w:val="en-US" w:eastAsia="zh-CN"/>
        </w:rPr>
        <w:t>采购人</w:t>
      </w:r>
      <w:r>
        <w:rPr>
          <w:rFonts w:hint="eastAsia" w:ascii="仿宋" w:hAnsi="仿宋" w:eastAsia="仿宋" w:cs="仿宋"/>
          <w:sz w:val="24"/>
          <w:szCs w:val="24"/>
        </w:rPr>
        <w:t>提出的问题，及时整改，不断提升服务质量。</w:t>
      </w:r>
    </w:p>
    <w:p w14:paraId="6FBD9D4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（3）设施安全</w:t>
      </w:r>
      <w:r>
        <w:rPr>
          <w:rFonts w:hint="eastAsia" w:ascii="仿宋" w:hAnsi="仿宋" w:eastAsia="仿宋" w:cs="仿宋"/>
          <w:sz w:val="24"/>
          <w:szCs w:val="24"/>
        </w:rPr>
        <w:t>保障：若因供应商施工操作不当，造成管道破损、化粪池损坏等问题，供应商承担维修、更换费用，并及时修复，确保不影响医院正常使用。</w:t>
      </w:r>
    </w:p>
    <w:p w14:paraId="6DCB7DF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.资料交付</w:t>
      </w:r>
    </w:p>
    <w:p w14:paraId="5DC8C3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ascii="Times New Roman" w:hAnsi="Times New Roman" w:eastAsia="仿宋" w:cs="Times New Roman"/>
          <w:b/>
          <w:bCs/>
          <w:sz w:val="24"/>
          <w:szCs w:val="24"/>
        </w:rPr>
      </w:pPr>
      <w:r>
        <w:rPr>
          <w:rFonts w:hint="eastAsia" w:ascii="仿宋" w:hAnsi="仿宋" w:eastAsia="仿宋" w:cs="仿宋"/>
          <w:sz w:val="24"/>
          <w:szCs w:val="24"/>
        </w:rPr>
        <w:t>每次作业完成后，向</w:t>
      </w:r>
      <w:r>
        <w:rPr>
          <w:rFonts w:hint="eastAsia" w:ascii="仿宋" w:hAnsi="仿宋" w:eastAsia="仿宋" w:cs="仿宋"/>
          <w:sz w:val="24"/>
          <w:szCs w:val="24"/>
          <w:lang w:val="en-US" w:eastAsia="zh-CN"/>
        </w:rPr>
        <w:t>采购人</w:t>
      </w:r>
      <w:r>
        <w:rPr>
          <w:rFonts w:hint="eastAsia" w:ascii="仿宋" w:hAnsi="仿宋" w:eastAsia="仿宋" w:cs="仿宋"/>
          <w:sz w:val="24"/>
          <w:szCs w:val="24"/>
        </w:rPr>
        <w:t>交付施工照片、</w:t>
      </w:r>
      <w:r>
        <w:rPr>
          <w:rFonts w:hint="eastAsia" w:ascii="仿宋" w:hAnsi="仿宋" w:eastAsia="仿宋" w:cs="仿宋"/>
          <w:sz w:val="24"/>
          <w:szCs w:val="24"/>
          <w:lang w:val="en-US" w:eastAsia="zh-CN"/>
        </w:rPr>
        <w:t>作业结算清单</w:t>
      </w:r>
      <w:r>
        <w:rPr>
          <w:rFonts w:hint="eastAsia" w:ascii="仿宋" w:hAnsi="仿宋" w:eastAsia="仿宋" w:cs="仿宋"/>
          <w:sz w:val="24"/>
          <w:szCs w:val="24"/>
        </w:rPr>
        <w:t>等，所有资料归档留存，便于</w:t>
      </w:r>
      <w:r>
        <w:rPr>
          <w:rFonts w:hint="eastAsia" w:ascii="仿宋" w:hAnsi="仿宋" w:eastAsia="仿宋" w:cs="仿宋"/>
          <w:sz w:val="24"/>
          <w:szCs w:val="24"/>
          <w:lang w:val="en-US" w:eastAsia="zh-CN"/>
        </w:rPr>
        <w:t>采购人</w:t>
      </w:r>
      <w:r>
        <w:rPr>
          <w:rFonts w:hint="eastAsia" w:ascii="仿宋" w:hAnsi="仿宋" w:eastAsia="仿宋" w:cs="仿宋"/>
          <w:sz w:val="24"/>
          <w:szCs w:val="24"/>
        </w:rPr>
        <w:t>后续查阅、监管。</w:t>
      </w:r>
      <w:r>
        <w:rPr>
          <w:rFonts w:ascii="Times New Roman" w:hAnsi="Times New Roman" w:eastAsia="仿宋" w:cs="Times New Roman"/>
          <w:sz w:val="24"/>
          <w:szCs w:val="24"/>
        </w:rPr>
        <w:cr/>
      </w:r>
      <w:r>
        <w:rPr>
          <w:rFonts w:hint="eastAsia" w:ascii="Times New Roman" w:hAnsi="Times New Roman" w:eastAsia="仿宋" w:cs="Times New Roman"/>
          <w:b/>
          <w:bCs/>
          <w:sz w:val="24"/>
          <w:szCs w:val="24"/>
          <w:lang w:val="en-US" w:eastAsia="zh-CN"/>
        </w:rPr>
        <w:t>五</w:t>
      </w:r>
      <w:r>
        <w:rPr>
          <w:rFonts w:ascii="Times New Roman" w:hAnsi="Times New Roman" w:eastAsia="仿宋" w:cs="Times New Roman"/>
          <w:b/>
          <w:bCs/>
          <w:sz w:val="24"/>
          <w:szCs w:val="24"/>
        </w:rPr>
        <w:t>、商务要求：</w:t>
      </w:r>
    </w:p>
    <w:p w14:paraId="3F76A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一）服务期限；</w:t>
      </w:r>
      <w:r>
        <w:rPr>
          <w:rFonts w:hint="eastAsia" w:ascii="Times New Roman" w:hAnsi="Times New Roman" w:eastAsia="仿宋" w:cs="Times New Roman"/>
          <w:sz w:val="24"/>
          <w:szCs w:val="24"/>
          <w:lang w:val="en-US" w:eastAsia="zh-CN"/>
        </w:rPr>
        <w:t>自合同签订生效之日起3年，合同一年一签，年度考核合格，采购人续签下一年度合同。</w:t>
      </w:r>
    </w:p>
    <w:p w14:paraId="74D3F1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
          <w:bCs/>
          <w:sz w:val="24"/>
          <w:szCs w:val="24"/>
          <w:lang w:val="en-US" w:eastAsia="zh-CN"/>
        </w:rPr>
        <w:t>（二）服务地点</w:t>
      </w:r>
      <w:r>
        <w:rPr>
          <w:rFonts w:hint="eastAsia" w:ascii="Times New Roman" w:hAnsi="Times New Roman" w:eastAsia="仿宋" w:cs="Times New Roman"/>
          <w:sz w:val="24"/>
          <w:szCs w:val="24"/>
          <w:lang w:val="en-US" w:eastAsia="zh-CN"/>
        </w:rPr>
        <w:t>：四川省人民医院【院本部、老年医学中心、龙泉院区、皮肤病性病研究所（皮研所）及四川省精神医学中心】。</w:t>
      </w:r>
    </w:p>
    <w:p w14:paraId="7EDA63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（三）付款方式</w:t>
      </w:r>
    </w:p>
    <w:p w14:paraId="6ACC7B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本项目按月据实结算，结算费用=实际投入服务人员数量（人）×人员单价（元/人/台班）+实际投入设备使用次数（次）×设备使用单价（元/次），服务人员仅限第四章四、服务要求（二）设备与人员要求2.人员要求(1)作业人员数量要求中的人员。</w:t>
      </w:r>
    </w:p>
    <w:p w14:paraId="797963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每月考核后结算一次费用，供应商应根据本项目成交单价及实际服务情况向采购人提供结算费用清单进行确认，并在采购人确认后5日内按费用清单金额向采购人提供合法有效票据及其他相关请款资料，采购人自收到上述票据及资料后55日内，向供应商全额支付上述结算费用。如存在因考核等原因导致的扣款，应在支付前予以扣除。</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32" w:beforeLines="10" w:after="48" w:afterLines="15" w:afterAutospacing="0" w:line="40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Times New Roman" w:hAnsi="Times New Roman" w:eastAsia="仿宋" w:cs="Times New Roman"/>
          <w:b/>
          <w:bCs/>
          <w:sz w:val="24"/>
          <w:szCs w:val="24"/>
          <w:lang w:val="en-US" w:eastAsia="zh-CN"/>
        </w:rPr>
        <w:t>（四）</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lang w:val="en-US" w:eastAsia="zh-CN"/>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default"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按照基于本项目采购需求编制的采购文件要求及供应商响应文件情况，由供应商向采购人提供的全部服务。</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供应商完成每一阶段或轮次服务内容后5日内通知采购人验收，采购人接供应商通知后10日内组织验收。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default"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5.按照《财政部关于进一步加强政府采购需求和履约验收管理的指导意见》（财库〔2016〕205号）的要求进行验收。（如本项目不涉及政府采购，将参照此条款）</w:t>
            </w:r>
          </w:p>
          <w:p w14:paraId="775A0222">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6.如本项目验收方式为考核验收，则考核结果须为合格。</w:t>
            </w:r>
          </w:p>
          <w:p w14:paraId="63D35DD2">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lang w:val="en-US" w:eastAsia="zh-CN"/>
              </w:rPr>
              <w:t>7.其他标准：无。</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lang w:val="en-US" w:eastAsia="zh-CN"/>
              </w:rPr>
            </w:pPr>
            <w:r>
              <w:rPr>
                <w:rFonts w:hint="default" w:ascii="仿宋" w:hAnsi="仿宋" w:eastAsia="仿宋" w:cs="仿宋"/>
                <w:kern w:val="2"/>
                <w:sz w:val="24"/>
                <w:szCs w:val="24"/>
                <w:lang w:val="en-US" w:eastAsia="zh-CN" w:bidi="ar-SA"/>
              </w:rPr>
              <w:t>每次作业结束经采购人检查合格后，双方签署《作业质量验收单》，验收不合格的，需立即整改，直至验收合格。</w:t>
            </w:r>
          </w:p>
        </w:tc>
      </w:tr>
    </w:tbl>
    <w:p w14:paraId="07299A50">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b/>
          <w:bCs/>
          <w:kern w:val="2"/>
          <w:sz w:val="24"/>
          <w:szCs w:val="24"/>
          <w:lang w:val="en-US" w:eastAsia="zh-CN" w:bidi="ar-SA"/>
        </w:rPr>
      </w:pPr>
      <w:r>
        <w:rPr>
          <w:rFonts w:hint="eastAsia" w:ascii="Times New Roman" w:hAnsi="Times New Roman" w:eastAsia="仿宋" w:cs="Times New Roman"/>
          <w:b/>
          <w:bCs/>
          <w:kern w:val="2"/>
          <w:sz w:val="24"/>
          <w:szCs w:val="24"/>
          <w:lang w:val="en-US" w:eastAsia="zh-CN" w:bidi="ar-SA"/>
        </w:rPr>
        <w:t>（五）考核表</w:t>
      </w:r>
    </w:p>
    <w:tbl>
      <w:tblPr>
        <w:tblStyle w:val="18"/>
        <w:tblpPr w:leftFromText="180" w:rightFromText="180" w:vertAnchor="text" w:tblpXSpec="center" w:tblpY="1"/>
        <w:tblOverlap w:val="never"/>
        <w:tblW w:w="4999"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1348"/>
        <w:gridCol w:w="829"/>
        <w:gridCol w:w="5611"/>
        <w:gridCol w:w="1868"/>
      </w:tblGrid>
      <w:tr w14:paraId="3DA413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blHeader/>
        </w:trPr>
        <w:tc>
          <w:tcPr>
            <w:tcW w:w="698" w:type="pct"/>
            <w:vAlign w:val="center"/>
          </w:tcPr>
          <w:p w14:paraId="0B7F6F9B">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sz w:val="24"/>
                <w:szCs w:val="24"/>
                <w:lang w:val="en-US" w:eastAsia="zh-CN"/>
              </w:rPr>
            </w:pPr>
            <w:r>
              <w:rPr>
                <w:rFonts w:hint="eastAsia" w:ascii="仿宋" w:hAnsi="仿宋" w:eastAsia="仿宋" w:cs="仿宋"/>
                <w:b/>
                <w:i w:val="0"/>
                <w:spacing w:val="0"/>
                <w:sz w:val="24"/>
                <w:szCs w:val="24"/>
              </w:rPr>
              <w:t>考核</w:t>
            </w:r>
            <w:r>
              <w:rPr>
                <w:rFonts w:hint="eastAsia" w:ascii="仿宋" w:hAnsi="仿宋" w:eastAsia="仿宋" w:cs="仿宋"/>
                <w:b/>
                <w:i w:val="0"/>
                <w:spacing w:val="0"/>
                <w:sz w:val="24"/>
                <w:szCs w:val="24"/>
                <w:lang w:val="en-US" w:eastAsia="zh-CN"/>
              </w:rPr>
              <w:t>指标</w:t>
            </w:r>
          </w:p>
        </w:tc>
        <w:tc>
          <w:tcPr>
            <w:tcW w:w="429" w:type="pct"/>
            <w:vAlign w:val="center"/>
          </w:tcPr>
          <w:p w14:paraId="24F85D92">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sz w:val="24"/>
                <w:szCs w:val="24"/>
              </w:rPr>
            </w:pPr>
            <w:r>
              <w:rPr>
                <w:rFonts w:hint="eastAsia" w:ascii="仿宋" w:hAnsi="仿宋" w:eastAsia="仿宋" w:cs="仿宋"/>
                <w:b/>
                <w:i w:val="0"/>
                <w:spacing w:val="0"/>
                <w:sz w:val="24"/>
                <w:szCs w:val="24"/>
              </w:rPr>
              <w:t>分值</w:t>
            </w:r>
          </w:p>
        </w:tc>
        <w:tc>
          <w:tcPr>
            <w:tcW w:w="2905" w:type="pct"/>
            <w:vAlign w:val="center"/>
          </w:tcPr>
          <w:p w14:paraId="6CB5383E">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sz w:val="24"/>
                <w:szCs w:val="24"/>
              </w:rPr>
            </w:pPr>
            <w:r>
              <w:rPr>
                <w:rFonts w:hint="eastAsia" w:ascii="仿宋" w:hAnsi="仿宋" w:eastAsia="仿宋" w:cs="仿宋"/>
                <w:b/>
                <w:i w:val="0"/>
                <w:spacing w:val="0"/>
                <w:sz w:val="24"/>
                <w:szCs w:val="24"/>
              </w:rPr>
              <w:t>考核内容与评分标准(满分100分)</w:t>
            </w:r>
          </w:p>
        </w:tc>
        <w:tc>
          <w:tcPr>
            <w:tcW w:w="966" w:type="pct"/>
            <w:vAlign w:val="center"/>
          </w:tcPr>
          <w:p w14:paraId="4DE5DA8D">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sz w:val="24"/>
                <w:szCs w:val="24"/>
              </w:rPr>
            </w:pPr>
            <w:r>
              <w:rPr>
                <w:rFonts w:hint="eastAsia" w:ascii="仿宋" w:hAnsi="仿宋" w:eastAsia="仿宋" w:cs="仿宋"/>
                <w:b/>
                <w:i w:val="0"/>
                <w:spacing w:val="0"/>
                <w:sz w:val="24"/>
                <w:szCs w:val="24"/>
              </w:rPr>
              <w:t>扣分/得分记录</w:t>
            </w:r>
          </w:p>
        </w:tc>
      </w:tr>
      <w:tr w14:paraId="2CA9D2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698" w:type="pct"/>
            <w:vAlign w:val="center"/>
          </w:tcPr>
          <w:p w14:paraId="294F34D9">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一、安全与管理</w:t>
            </w:r>
          </w:p>
        </w:tc>
        <w:tc>
          <w:tcPr>
            <w:tcW w:w="429" w:type="pct"/>
            <w:vAlign w:val="center"/>
          </w:tcPr>
          <w:p w14:paraId="5DDCE46F">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30</w:t>
            </w:r>
          </w:p>
        </w:tc>
        <w:tc>
          <w:tcPr>
            <w:tcW w:w="2905" w:type="pct"/>
            <w:vAlign w:val="center"/>
          </w:tcPr>
          <w:p w14:paraId="799D9725">
            <w:pPr>
              <w:keepNext/>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left="0" w:leftChars="0" w:right="0" w:rightChars="0" w:firstLine="480" w:firstLineChars="200"/>
              <w:jc w:val="left"/>
              <w:textAlignment w:val="auto"/>
              <w:rPr>
                <w:rFonts w:hint="eastAsia" w:ascii="仿宋" w:hAnsi="仿宋" w:eastAsia="仿宋" w:cs="仿宋"/>
                <w:b w:val="0"/>
                <w:i w:val="0"/>
                <w:spacing w:val="0"/>
                <w:sz w:val="24"/>
                <w:szCs w:val="24"/>
              </w:rPr>
            </w:pPr>
            <w:r>
              <w:rPr>
                <w:rFonts w:hint="eastAsia" w:ascii="仿宋" w:hAnsi="仿宋" w:eastAsia="仿宋" w:cs="仿宋"/>
                <w:b w:val="0"/>
                <w:i w:val="0"/>
                <w:spacing w:val="0"/>
                <w:sz w:val="24"/>
                <w:szCs w:val="24"/>
              </w:rPr>
              <w:t>1.</w:t>
            </w:r>
            <w:r>
              <w:rPr>
                <w:rFonts w:hint="eastAsia" w:ascii="仿宋" w:hAnsi="仿宋" w:eastAsia="仿宋" w:cs="仿宋"/>
                <w:b/>
                <w:i w:val="0"/>
                <w:spacing w:val="0"/>
                <w:sz w:val="24"/>
                <w:szCs w:val="24"/>
              </w:rPr>
              <w:t>作业安全(15分):</w:t>
            </w:r>
            <w:r>
              <w:rPr>
                <w:rFonts w:hint="eastAsia" w:ascii="仿宋" w:hAnsi="仿宋" w:eastAsia="仿宋" w:cs="仿宋"/>
                <w:b w:val="0"/>
                <w:i w:val="0"/>
                <w:spacing w:val="0"/>
                <w:sz w:val="24"/>
                <w:szCs w:val="24"/>
              </w:rPr>
              <w:t>严格执行"先通风、再检测、后作业"流程（5分），缺一环节扣5分。气体检测数据达标（硫化氢≤10mg/m³等）（</w:t>
            </w:r>
            <w:r>
              <w:rPr>
                <w:rFonts w:hint="eastAsia" w:ascii="仿宋" w:hAnsi="仿宋" w:eastAsia="仿宋" w:cs="仿宋"/>
                <w:b w:val="0"/>
                <w:i w:val="0"/>
                <w:spacing w:val="0"/>
                <w:sz w:val="24"/>
                <w:szCs w:val="24"/>
                <w:lang w:val="en-US" w:eastAsia="zh-CN"/>
              </w:rPr>
              <w:t>未达标扣</w:t>
            </w:r>
            <w:r>
              <w:rPr>
                <w:rFonts w:hint="eastAsia" w:ascii="仿宋" w:hAnsi="仿宋" w:eastAsia="仿宋" w:cs="仿宋"/>
                <w:b w:val="0"/>
                <w:i w:val="0"/>
                <w:spacing w:val="0"/>
                <w:sz w:val="24"/>
                <w:szCs w:val="24"/>
              </w:rPr>
              <w:t>5分），未检测或超标作业扣10分。配备防毒面具、气体检测仪、急救箱等安全设施且完好（5分），缺一项扣2分</w:t>
            </w:r>
            <w:r>
              <w:rPr>
                <w:rFonts w:hint="eastAsia" w:ascii="仿宋" w:hAnsi="仿宋" w:eastAsia="仿宋" w:cs="仿宋"/>
                <w:b w:val="0"/>
                <w:i w:val="0"/>
                <w:spacing w:val="0"/>
                <w:sz w:val="24"/>
                <w:szCs w:val="24"/>
                <w:lang w:eastAsia="zh-CN"/>
              </w:rPr>
              <w:t>，</w:t>
            </w:r>
            <w:r>
              <w:rPr>
                <w:rFonts w:hint="eastAsia" w:ascii="仿宋" w:hAnsi="仿宋" w:eastAsia="仿宋" w:cs="仿宋"/>
                <w:b w:val="0"/>
                <w:i w:val="0"/>
                <w:spacing w:val="0"/>
                <w:sz w:val="24"/>
                <w:szCs w:val="24"/>
                <w:lang w:val="en-US" w:eastAsia="zh-CN"/>
              </w:rPr>
              <w:t>此项扣完为止</w:t>
            </w:r>
            <w:r>
              <w:rPr>
                <w:rFonts w:hint="eastAsia" w:ascii="仿宋" w:hAnsi="仿宋" w:eastAsia="仿宋" w:cs="仿宋"/>
                <w:b w:val="0"/>
                <w:i w:val="0"/>
                <w:spacing w:val="0"/>
                <w:sz w:val="24"/>
                <w:szCs w:val="24"/>
              </w:rPr>
              <w:t>。</w:t>
            </w:r>
          </w:p>
          <w:p w14:paraId="0A276B4D">
            <w:pPr>
              <w:keepNext/>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left="0" w:leftChars="0" w:right="0" w:rightChars="0" w:firstLine="480" w:firstLineChars="200"/>
              <w:jc w:val="left"/>
              <w:textAlignment w:val="auto"/>
              <w:rPr>
                <w:rFonts w:hint="eastAsia" w:ascii="仿宋" w:hAnsi="仿宋" w:eastAsia="仿宋" w:cs="仿宋"/>
                <w:b w:val="0"/>
                <w:i w:val="0"/>
                <w:spacing w:val="0"/>
                <w:sz w:val="24"/>
                <w:szCs w:val="24"/>
              </w:rPr>
            </w:pPr>
            <w:r>
              <w:rPr>
                <w:rFonts w:hint="eastAsia" w:ascii="仿宋" w:hAnsi="仿宋" w:eastAsia="仿宋" w:cs="仿宋"/>
                <w:sz w:val="24"/>
                <w:szCs w:val="24"/>
              </w:rPr>
              <w:t>2.</w:t>
            </w:r>
            <w:r>
              <w:rPr>
                <w:rFonts w:hint="eastAsia" w:ascii="仿宋" w:hAnsi="仿宋" w:eastAsia="仿宋" w:cs="仿宋"/>
                <w:b/>
                <w:i w:val="0"/>
                <w:spacing w:val="0"/>
                <w:sz w:val="24"/>
                <w:szCs w:val="24"/>
              </w:rPr>
              <w:t>院感与消毒(10分):</w:t>
            </w:r>
            <w:r>
              <w:rPr>
                <w:rFonts w:hint="eastAsia" w:ascii="仿宋" w:hAnsi="仿宋" w:eastAsia="仿宋" w:cs="仿宋"/>
                <w:b w:val="0"/>
                <w:i w:val="0"/>
                <w:spacing w:val="0"/>
                <w:sz w:val="24"/>
                <w:szCs w:val="24"/>
              </w:rPr>
              <w:t>作业后对井盖、周边地面、设备进行全面消毒（含氯消毒剂，有效氯500-1000mg/L）（5分），未消毒扣5分。临时堆放点每日消毒、防蚊蝇措施到位（5分），未做扣5分。</w:t>
            </w:r>
          </w:p>
          <w:p w14:paraId="3F20CE60">
            <w:pPr>
              <w:keepNext/>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left="0" w:leftChars="0" w:right="0" w:rightChars="0" w:firstLine="482" w:firstLineChars="200"/>
              <w:jc w:val="left"/>
              <w:textAlignment w:val="auto"/>
              <w:rPr>
                <w:rFonts w:hint="eastAsia" w:ascii="仿宋" w:hAnsi="仿宋" w:eastAsia="仿宋" w:cs="仿宋"/>
                <w:sz w:val="24"/>
                <w:szCs w:val="24"/>
              </w:rPr>
            </w:pPr>
            <w:r>
              <w:rPr>
                <w:rFonts w:hint="eastAsia" w:ascii="仿宋" w:hAnsi="仿宋" w:eastAsia="仿宋" w:cs="仿宋"/>
                <w:b/>
                <w:i w:val="0"/>
                <w:spacing w:val="0"/>
                <w:sz w:val="24"/>
                <w:szCs w:val="24"/>
              </w:rPr>
              <w:t>3.现场防护(5分):</w:t>
            </w:r>
            <w:r>
              <w:rPr>
                <w:rFonts w:hint="eastAsia" w:ascii="仿宋" w:hAnsi="仿宋" w:eastAsia="仿宋" w:cs="仿宋"/>
                <w:b w:val="0"/>
                <w:i w:val="0"/>
                <w:spacing w:val="0"/>
                <w:sz w:val="24"/>
                <w:szCs w:val="24"/>
              </w:rPr>
              <w:t>设置规范警示标识（反光锥、警示牌），夜间有警示灯。未设置扣5分。</w:t>
            </w:r>
          </w:p>
        </w:tc>
        <w:tc>
          <w:tcPr>
            <w:tcW w:w="966" w:type="pct"/>
            <w:vAlign w:val="center"/>
          </w:tcPr>
          <w:p w14:paraId="13DCF9AC">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left"/>
              <w:textAlignment w:val="auto"/>
              <w:rPr>
                <w:rFonts w:hint="eastAsia" w:ascii="仿宋" w:hAnsi="仿宋" w:eastAsia="仿宋" w:cs="仿宋"/>
                <w:sz w:val="24"/>
                <w:szCs w:val="24"/>
              </w:rPr>
            </w:pPr>
          </w:p>
        </w:tc>
      </w:tr>
      <w:tr w14:paraId="7BBB40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698" w:type="pct"/>
            <w:vAlign w:val="center"/>
          </w:tcPr>
          <w:p w14:paraId="0D5DF7F8">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二、服务质量与规范</w:t>
            </w:r>
          </w:p>
        </w:tc>
        <w:tc>
          <w:tcPr>
            <w:tcW w:w="429" w:type="pct"/>
            <w:vAlign w:val="center"/>
          </w:tcPr>
          <w:p w14:paraId="2877E0A2">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25</w:t>
            </w:r>
          </w:p>
        </w:tc>
        <w:tc>
          <w:tcPr>
            <w:tcW w:w="2905" w:type="pct"/>
            <w:vAlign w:val="center"/>
          </w:tcPr>
          <w:p w14:paraId="688D4F8A">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482" w:firstLineChars="200"/>
              <w:jc w:val="left"/>
              <w:textAlignment w:val="auto"/>
              <w:rPr>
                <w:rFonts w:hint="eastAsia" w:ascii="仿宋" w:hAnsi="仿宋" w:eastAsia="仿宋" w:cs="仿宋"/>
                <w:b w:val="0"/>
                <w:i w:val="0"/>
                <w:spacing w:val="0"/>
                <w:sz w:val="24"/>
                <w:szCs w:val="24"/>
              </w:rPr>
            </w:pPr>
            <w:r>
              <w:rPr>
                <w:rFonts w:hint="eastAsia" w:ascii="仿宋" w:hAnsi="仿宋" w:eastAsia="仿宋" w:cs="仿宋"/>
                <w:b/>
                <w:i w:val="0"/>
                <w:spacing w:val="0"/>
                <w:sz w:val="24"/>
                <w:szCs w:val="24"/>
              </w:rPr>
              <w:t>1.疏通效果(10分):</w:t>
            </w:r>
            <w:r>
              <w:rPr>
                <w:rFonts w:hint="eastAsia" w:ascii="仿宋" w:hAnsi="仿宋" w:eastAsia="仿宋" w:cs="仿宋"/>
                <w:b w:val="0"/>
                <w:i w:val="0"/>
                <w:spacing w:val="0"/>
                <w:sz w:val="24"/>
                <w:szCs w:val="24"/>
              </w:rPr>
              <w:t>管道内壁无明显附着物，通水测试无堵塞、无回流（5分）。化粪池/污泥池抽吸彻底，无积泥、无板结（5分）。</w:t>
            </w:r>
          </w:p>
          <w:p w14:paraId="1B40245B">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482" w:firstLineChars="200"/>
              <w:jc w:val="left"/>
              <w:textAlignment w:val="auto"/>
              <w:rPr>
                <w:rFonts w:hint="eastAsia" w:ascii="仿宋" w:hAnsi="仿宋" w:eastAsia="仿宋" w:cs="仿宋"/>
                <w:b w:val="0"/>
                <w:i w:val="0"/>
                <w:spacing w:val="0"/>
                <w:sz w:val="24"/>
                <w:szCs w:val="24"/>
              </w:rPr>
            </w:pPr>
            <w:r>
              <w:rPr>
                <w:rFonts w:hint="eastAsia" w:ascii="仿宋" w:hAnsi="仿宋" w:eastAsia="仿宋" w:cs="仿宋"/>
                <w:b/>
                <w:i w:val="0"/>
                <w:spacing w:val="0"/>
                <w:sz w:val="24"/>
                <w:szCs w:val="24"/>
              </w:rPr>
              <w:t>2.现场恢复(10分):</w:t>
            </w:r>
            <w:r>
              <w:rPr>
                <w:rFonts w:hint="eastAsia" w:ascii="仿宋" w:hAnsi="仿宋" w:eastAsia="仿宋" w:cs="仿宋"/>
                <w:b w:val="0"/>
                <w:i w:val="0"/>
                <w:spacing w:val="0"/>
                <w:sz w:val="24"/>
                <w:szCs w:val="24"/>
              </w:rPr>
              <w:t>"工完场清"，作业面清洗无污渍、无异味（5分）。井盖复位平整、密封，无异响（5分）。</w:t>
            </w:r>
          </w:p>
          <w:p w14:paraId="694025D9">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482" w:firstLineChars="200"/>
              <w:jc w:val="left"/>
              <w:textAlignment w:val="auto"/>
              <w:rPr>
                <w:rFonts w:hint="eastAsia" w:ascii="仿宋" w:hAnsi="仿宋" w:eastAsia="仿宋" w:cs="仿宋"/>
                <w:sz w:val="24"/>
                <w:szCs w:val="24"/>
              </w:rPr>
            </w:pPr>
            <w:r>
              <w:rPr>
                <w:rFonts w:hint="eastAsia" w:ascii="仿宋" w:hAnsi="仿宋" w:eastAsia="仿宋" w:cs="仿宋"/>
                <w:b/>
                <w:i w:val="0"/>
                <w:spacing w:val="0"/>
                <w:sz w:val="24"/>
                <w:szCs w:val="24"/>
              </w:rPr>
              <w:t>3.污物暂存(5分):</w:t>
            </w:r>
            <w:r>
              <w:rPr>
                <w:rFonts w:hint="eastAsia" w:ascii="仿宋" w:hAnsi="仿宋" w:eastAsia="仿宋" w:cs="仿宋"/>
                <w:b w:val="0"/>
                <w:i w:val="0"/>
                <w:spacing w:val="0"/>
                <w:sz w:val="24"/>
                <w:szCs w:val="24"/>
              </w:rPr>
              <w:t>严格存放于采购人指定院内位置，防渗漏处理达标。违规扣5分。</w:t>
            </w:r>
          </w:p>
        </w:tc>
        <w:tc>
          <w:tcPr>
            <w:tcW w:w="966" w:type="pct"/>
            <w:vAlign w:val="center"/>
          </w:tcPr>
          <w:p w14:paraId="5CB7D041">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left"/>
              <w:textAlignment w:val="auto"/>
              <w:rPr>
                <w:rFonts w:hint="eastAsia" w:ascii="仿宋" w:hAnsi="仿宋" w:eastAsia="仿宋" w:cs="仿宋"/>
                <w:sz w:val="24"/>
                <w:szCs w:val="24"/>
              </w:rPr>
            </w:pPr>
          </w:p>
        </w:tc>
      </w:tr>
      <w:tr w14:paraId="4C98FA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698" w:type="pct"/>
            <w:vAlign w:val="center"/>
          </w:tcPr>
          <w:p w14:paraId="424D5C8C">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三、响应时效与服务</w:t>
            </w:r>
          </w:p>
        </w:tc>
        <w:tc>
          <w:tcPr>
            <w:tcW w:w="429" w:type="pct"/>
            <w:vAlign w:val="center"/>
          </w:tcPr>
          <w:p w14:paraId="596D0E74">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20</w:t>
            </w:r>
          </w:p>
        </w:tc>
        <w:tc>
          <w:tcPr>
            <w:tcW w:w="2905" w:type="pct"/>
            <w:vAlign w:val="center"/>
          </w:tcPr>
          <w:p w14:paraId="0C2E1C60">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482" w:firstLineChars="200"/>
              <w:jc w:val="left"/>
              <w:textAlignment w:val="auto"/>
              <w:rPr>
                <w:rFonts w:hint="eastAsia" w:ascii="仿宋" w:hAnsi="仿宋" w:eastAsia="仿宋" w:cs="仿宋"/>
                <w:b w:val="0"/>
                <w:i w:val="0"/>
                <w:spacing w:val="0"/>
                <w:sz w:val="24"/>
                <w:szCs w:val="24"/>
              </w:rPr>
            </w:pPr>
            <w:r>
              <w:rPr>
                <w:rFonts w:hint="eastAsia" w:ascii="仿宋" w:hAnsi="仿宋" w:eastAsia="仿宋" w:cs="仿宋"/>
                <w:b/>
                <w:i w:val="0"/>
                <w:spacing w:val="0"/>
                <w:sz w:val="24"/>
                <w:szCs w:val="24"/>
              </w:rPr>
              <w:t>1.日常巡检(10分):</w:t>
            </w:r>
            <w:r>
              <w:rPr>
                <w:rFonts w:hint="eastAsia" w:ascii="仿宋" w:hAnsi="仿宋" w:eastAsia="仿宋" w:cs="仿宋"/>
                <w:b w:val="0"/>
                <w:i w:val="0"/>
                <w:spacing w:val="0"/>
                <w:sz w:val="24"/>
                <w:szCs w:val="24"/>
              </w:rPr>
              <w:t>按计划（每半月/月）完成各院区（</w:t>
            </w:r>
            <w:r>
              <w:rPr>
                <w:rFonts w:hint="eastAsia" w:ascii="仿宋" w:hAnsi="仿宋" w:eastAsia="仿宋" w:cs="仿宋"/>
                <w:b w:val="0"/>
                <w:i w:val="0"/>
                <w:spacing w:val="0"/>
                <w:sz w:val="24"/>
                <w:szCs w:val="24"/>
                <w:lang w:val="en-US" w:eastAsia="zh-CN"/>
              </w:rPr>
              <w:t>院</w:t>
            </w:r>
            <w:r>
              <w:rPr>
                <w:rFonts w:hint="eastAsia" w:ascii="仿宋" w:hAnsi="仿宋" w:eastAsia="仿宋" w:cs="仿宋"/>
                <w:b w:val="0"/>
                <w:i w:val="0"/>
                <w:spacing w:val="0"/>
                <w:sz w:val="24"/>
                <w:szCs w:val="24"/>
              </w:rPr>
              <w:t>本部、老年</w:t>
            </w:r>
            <w:r>
              <w:rPr>
                <w:rFonts w:hint="eastAsia" w:ascii="仿宋" w:hAnsi="仿宋" w:eastAsia="仿宋" w:cs="仿宋"/>
                <w:b w:val="0"/>
                <w:i w:val="0"/>
                <w:spacing w:val="0"/>
                <w:sz w:val="24"/>
                <w:szCs w:val="24"/>
                <w:lang w:val="en-US" w:eastAsia="zh-CN"/>
              </w:rPr>
              <w:t>医学中心</w:t>
            </w:r>
            <w:r>
              <w:rPr>
                <w:rFonts w:hint="eastAsia" w:ascii="仿宋" w:hAnsi="仿宋" w:eastAsia="仿宋" w:cs="仿宋"/>
                <w:b w:val="0"/>
                <w:i w:val="0"/>
                <w:spacing w:val="0"/>
                <w:sz w:val="24"/>
                <w:szCs w:val="24"/>
              </w:rPr>
              <w:t>、龙泉</w:t>
            </w:r>
            <w:r>
              <w:rPr>
                <w:rFonts w:hint="eastAsia" w:ascii="仿宋" w:hAnsi="仿宋" w:eastAsia="仿宋" w:cs="仿宋"/>
                <w:b w:val="0"/>
                <w:i w:val="0"/>
                <w:spacing w:val="0"/>
                <w:sz w:val="24"/>
                <w:szCs w:val="24"/>
                <w:lang w:val="en-US" w:eastAsia="zh-CN"/>
              </w:rPr>
              <w:t>院区</w:t>
            </w:r>
            <w:r>
              <w:rPr>
                <w:rFonts w:hint="eastAsia" w:ascii="仿宋" w:hAnsi="仿宋" w:eastAsia="仿宋" w:cs="仿宋"/>
                <w:b w:val="0"/>
                <w:i w:val="0"/>
                <w:spacing w:val="0"/>
                <w:sz w:val="24"/>
                <w:szCs w:val="24"/>
              </w:rPr>
              <w:t>等）巡检与预防性疏通。漏检一处扣2分。</w:t>
            </w:r>
          </w:p>
          <w:p w14:paraId="708FE7D3">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482" w:firstLineChars="200"/>
              <w:jc w:val="left"/>
              <w:textAlignment w:val="auto"/>
              <w:rPr>
                <w:rFonts w:hint="eastAsia" w:ascii="仿宋" w:hAnsi="仿宋" w:eastAsia="仿宋" w:cs="仿宋"/>
                <w:sz w:val="24"/>
                <w:szCs w:val="24"/>
              </w:rPr>
            </w:pPr>
            <w:r>
              <w:rPr>
                <w:rFonts w:hint="eastAsia" w:ascii="仿宋" w:hAnsi="仿宋" w:eastAsia="仿宋" w:cs="仿宋"/>
                <w:b/>
                <w:i w:val="0"/>
                <w:spacing w:val="0"/>
                <w:sz w:val="24"/>
                <w:szCs w:val="24"/>
              </w:rPr>
              <w:t>2.应急响应(10分):</w:t>
            </w:r>
            <w:r>
              <w:rPr>
                <w:rFonts w:hint="eastAsia" w:ascii="仿宋" w:hAnsi="仿宋" w:eastAsia="仿宋" w:cs="仿宋"/>
                <w:b w:val="0"/>
                <w:i w:val="0"/>
                <w:spacing w:val="0"/>
                <w:sz w:val="24"/>
                <w:szCs w:val="24"/>
              </w:rPr>
              <w:t>日常报修：8小时内到场（5分）。突发堵塞：</w:t>
            </w:r>
            <w:r>
              <w:rPr>
                <w:rFonts w:hint="eastAsia" w:ascii="仿宋" w:hAnsi="仿宋" w:eastAsia="仿宋" w:cs="仿宋"/>
                <w:b w:val="0"/>
                <w:i w:val="0"/>
                <w:spacing w:val="0"/>
                <w:sz w:val="24"/>
                <w:szCs w:val="24"/>
                <w:lang w:val="en-US" w:eastAsia="zh-CN"/>
              </w:rPr>
              <w:t>2</w:t>
            </w:r>
            <w:r>
              <w:rPr>
                <w:rFonts w:hint="eastAsia" w:ascii="仿宋" w:hAnsi="仿宋" w:eastAsia="仿宋" w:cs="仿宋"/>
                <w:b w:val="0"/>
                <w:i w:val="0"/>
                <w:spacing w:val="0"/>
                <w:sz w:val="24"/>
                <w:szCs w:val="24"/>
              </w:rPr>
              <w:t>小时内到场（5分）。每超时1小时扣2分，直至扣完。</w:t>
            </w:r>
          </w:p>
        </w:tc>
        <w:tc>
          <w:tcPr>
            <w:tcW w:w="966" w:type="pct"/>
            <w:vAlign w:val="center"/>
          </w:tcPr>
          <w:p w14:paraId="0EEDA67B">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left"/>
              <w:textAlignment w:val="auto"/>
              <w:rPr>
                <w:rFonts w:hint="eastAsia" w:ascii="仿宋" w:hAnsi="仿宋" w:eastAsia="仿宋" w:cs="仿宋"/>
                <w:sz w:val="24"/>
                <w:szCs w:val="24"/>
              </w:rPr>
            </w:pPr>
          </w:p>
        </w:tc>
      </w:tr>
      <w:tr w14:paraId="097CBE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698" w:type="pct"/>
            <w:vAlign w:val="center"/>
          </w:tcPr>
          <w:p w14:paraId="43B74D7F">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四、设备与人员管理</w:t>
            </w:r>
          </w:p>
        </w:tc>
        <w:tc>
          <w:tcPr>
            <w:tcW w:w="429" w:type="pct"/>
            <w:vAlign w:val="center"/>
          </w:tcPr>
          <w:p w14:paraId="132F3A32">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15</w:t>
            </w:r>
          </w:p>
        </w:tc>
        <w:tc>
          <w:tcPr>
            <w:tcW w:w="2905" w:type="pct"/>
            <w:vAlign w:val="center"/>
          </w:tcPr>
          <w:p w14:paraId="19F06A4D">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482" w:firstLineChars="200"/>
              <w:jc w:val="left"/>
              <w:textAlignment w:val="auto"/>
              <w:rPr>
                <w:rFonts w:hint="eastAsia" w:ascii="仿宋" w:hAnsi="仿宋" w:eastAsia="仿宋" w:cs="仿宋"/>
                <w:b w:val="0"/>
                <w:i w:val="0"/>
                <w:spacing w:val="0"/>
                <w:sz w:val="24"/>
                <w:szCs w:val="24"/>
              </w:rPr>
            </w:pPr>
            <w:r>
              <w:rPr>
                <w:rFonts w:hint="eastAsia" w:ascii="仿宋" w:hAnsi="仿宋" w:eastAsia="仿宋" w:cs="仿宋"/>
                <w:b/>
                <w:i w:val="0"/>
                <w:spacing w:val="0"/>
                <w:sz w:val="24"/>
                <w:szCs w:val="24"/>
              </w:rPr>
              <w:t>1.人员资质(8分):</w:t>
            </w:r>
            <w:r>
              <w:rPr>
                <w:rFonts w:hint="eastAsia" w:ascii="仿宋" w:hAnsi="仿宋" w:eastAsia="仿宋" w:cs="仿宋"/>
                <w:b w:val="0"/>
                <w:i w:val="0"/>
                <w:spacing w:val="0"/>
                <w:sz w:val="24"/>
                <w:szCs w:val="24"/>
              </w:rPr>
              <w:t>作业人员持有限空间作业证（</w:t>
            </w:r>
            <w:r>
              <w:rPr>
                <w:rFonts w:hint="eastAsia" w:ascii="仿宋" w:hAnsi="仿宋" w:eastAsia="仿宋" w:cs="仿宋"/>
                <w:b w:val="0"/>
                <w:i w:val="0"/>
                <w:spacing w:val="0"/>
                <w:sz w:val="24"/>
                <w:szCs w:val="24"/>
                <w:lang w:val="en-US" w:eastAsia="zh-CN"/>
              </w:rPr>
              <w:t>6</w:t>
            </w:r>
            <w:r>
              <w:rPr>
                <w:rFonts w:hint="eastAsia" w:ascii="仿宋" w:hAnsi="仿宋" w:eastAsia="仿宋" w:cs="仿宋"/>
                <w:b w:val="0"/>
                <w:i w:val="0"/>
                <w:spacing w:val="0"/>
                <w:sz w:val="24"/>
                <w:szCs w:val="24"/>
              </w:rPr>
              <w:t>分），缺一人扣2分。人员着装规范，佩戴工作牌（</w:t>
            </w:r>
            <w:r>
              <w:rPr>
                <w:rFonts w:hint="eastAsia" w:ascii="仿宋" w:hAnsi="仿宋" w:eastAsia="仿宋" w:cs="仿宋"/>
                <w:b w:val="0"/>
                <w:i w:val="0"/>
                <w:spacing w:val="0"/>
                <w:sz w:val="24"/>
                <w:szCs w:val="24"/>
                <w:lang w:val="en-US" w:eastAsia="zh-CN"/>
              </w:rPr>
              <w:t>2</w:t>
            </w:r>
            <w:r>
              <w:rPr>
                <w:rFonts w:hint="eastAsia" w:ascii="仿宋" w:hAnsi="仿宋" w:eastAsia="仿宋" w:cs="仿宋"/>
                <w:b w:val="0"/>
                <w:i w:val="0"/>
                <w:spacing w:val="0"/>
                <w:sz w:val="24"/>
                <w:szCs w:val="24"/>
              </w:rPr>
              <w:t>分），违规一人次扣1分。</w:t>
            </w:r>
          </w:p>
          <w:p w14:paraId="444933F5">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482" w:firstLineChars="200"/>
              <w:jc w:val="left"/>
              <w:textAlignment w:val="auto"/>
              <w:rPr>
                <w:rFonts w:hint="eastAsia" w:ascii="仿宋" w:hAnsi="仿宋" w:eastAsia="仿宋" w:cs="仿宋"/>
                <w:sz w:val="24"/>
                <w:szCs w:val="24"/>
              </w:rPr>
            </w:pPr>
            <w:r>
              <w:rPr>
                <w:rFonts w:hint="eastAsia" w:ascii="仿宋" w:hAnsi="仿宋" w:eastAsia="仿宋" w:cs="仿宋"/>
                <w:b/>
                <w:i w:val="0"/>
                <w:spacing w:val="0"/>
                <w:sz w:val="24"/>
                <w:szCs w:val="24"/>
              </w:rPr>
              <w:t>2.设备状况(7分):</w:t>
            </w:r>
            <w:r>
              <w:rPr>
                <w:rFonts w:hint="eastAsia" w:ascii="仿宋" w:hAnsi="仿宋" w:eastAsia="仿宋" w:cs="仿宋"/>
                <w:b w:val="0"/>
                <w:i w:val="0"/>
                <w:spacing w:val="0"/>
                <w:sz w:val="24"/>
                <w:szCs w:val="24"/>
              </w:rPr>
              <w:t>车辆设备性能良好，无滴漏（4分）。车辆噪音控制在60分贝以内，不影响诊疗（3分）。</w:t>
            </w:r>
          </w:p>
        </w:tc>
        <w:tc>
          <w:tcPr>
            <w:tcW w:w="966" w:type="pct"/>
            <w:vAlign w:val="center"/>
          </w:tcPr>
          <w:p w14:paraId="6CA853EE">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left"/>
              <w:textAlignment w:val="auto"/>
              <w:rPr>
                <w:rFonts w:hint="eastAsia" w:ascii="仿宋" w:hAnsi="仿宋" w:eastAsia="仿宋" w:cs="仿宋"/>
                <w:sz w:val="24"/>
                <w:szCs w:val="24"/>
              </w:rPr>
            </w:pPr>
          </w:p>
        </w:tc>
      </w:tr>
      <w:tr w14:paraId="03952D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698" w:type="pct"/>
            <w:vAlign w:val="center"/>
          </w:tcPr>
          <w:p w14:paraId="1E7F7FB4">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五、资料与档案管理</w:t>
            </w:r>
          </w:p>
        </w:tc>
        <w:tc>
          <w:tcPr>
            <w:tcW w:w="429" w:type="pct"/>
            <w:vAlign w:val="center"/>
          </w:tcPr>
          <w:p w14:paraId="5B6A2A4B">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10</w:t>
            </w:r>
          </w:p>
        </w:tc>
        <w:tc>
          <w:tcPr>
            <w:tcW w:w="2905" w:type="pct"/>
            <w:vAlign w:val="center"/>
          </w:tcPr>
          <w:p w14:paraId="50FE0F33">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482" w:firstLineChars="200"/>
              <w:jc w:val="left"/>
              <w:textAlignment w:val="auto"/>
              <w:rPr>
                <w:rFonts w:hint="eastAsia" w:ascii="仿宋" w:hAnsi="仿宋" w:eastAsia="仿宋" w:cs="仿宋"/>
                <w:sz w:val="24"/>
                <w:szCs w:val="24"/>
              </w:rPr>
            </w:pPr>
            <w:r>
              <w:rPr>
                <w:rFonts w:hint="eastAsia" w:ascii="仿宋" w:hAnsi="仿宋" w:eastAsia="仿宋" w:cs="仿宋"/>
                <w:b/>
                <w:i w:val="0"/>
                <w:spacing w:val="0"/>
                <w:sz w:val="24"/>
                <w:szCs w:val="24"/>
              </w:rPr>
              <w:t>1.档案记录(10分):</w:t>
            </w:r>
            <w:r>
              <w:rPr>
                <w:rFonts w:hint="eastAsia" w:ascii="仿宋" w:hAnsi="仿宋" w:eastAsia="仿宋" w:cs="仿宋"/>
                <w:b w:val="0"/>
                <w:i w:val="0"/>
                <w:spacing w:val="0"/>
                <w:sz w:val="24"/>
                <w:szCs w:val="24"/>
              </w:rPr>
              <w:t>每次作业有完整记录（时间、地点、人员、照片、验收单）（5分）。按月提交服务档案，资料真实、完整、归档及时（5分）。资料缺失或造假扣10分。</w:t>
            </w:r>
          </w:p>
        </w:tc>
        <w:tc>
          <w:tcPr>
            <w:tcW w:w="966" w:type="pct"/>
            <w:vAlign w:val="center"/>
          </w:tcPr>
          <w:p w14:paraId="55E14FB9">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left"/>
              <w:textAlignment w:val="auto"/>
              <w:rPr>
                <w:rFonts w:hint="eastAsia" w:ascii="仿宋" w:hAnsi="仿宋" w:eastAsia="仿宋" w:cs="仿宋"/>
                <w:sz w:val="24"/>
                <w:szCs w:val="24"/>
              </w:rPr>
            </w:pPr>
          </w:p>
        </w:tc>
      </w:tr>
      <w:tr w14:paraId="62F31F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127" w:type="pct"/>
            <w:gridSpan w:val="2"/>
            <w:vAlign w:val="center"/>
          </w:tcPr>
          <w:p w14:paraId="7D37FBC2">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default" w:ascii="仿宋" w:hAnsi="仿宋" w:eastAsia="仿宋" w:cs="仿宋"/>
                <w:b w:val="0"/>
                <w:bCs/>
                <w:i w:val="0"/>
                <w:spacing w:val="0"/>
                <w:sz w:val="24"/>
                <w:szCs w:val="24"/>
                <w:lang w:val="en-US" w:eastAsia="zh-CN"/>
              </w:rPr>
            </w:pPr>
            <w:r>
              <w:rPr>
                <w:rFonts w:hint="eastAsia" w:ascii="仿宋" w:hAnsi="仿宋" w:eastAsia="仿宋" w:cs="仿宋"/>
                <w:b w:val="0"/>
                <w:bCs/>
                <w:i w:val="0"/>
                <w:spacing w:val="0"/>
                <w:sz w:val="24"/>
                <w:szCs w:val="24"/>
                <w:lang w:val="en-US" w:eastAsia="zh-CN"/>
              </w:rPr>
              <w:t>考核供应商</w:t>
            </w:r>
          </w:p>
        </w:tc>
        <w:tc>
          <w:tcPr>
            <w:tcW w:w="3872" w:type="pct"/>
            <w:gridSpan w:val="2"/>
            <w:vAlign w:val="center"/>
          </w:tcPr>
          <w:p w14:paraId="4F8A0ACD">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p>
        </w:tc>
      </w:tr>
      <w:tr w14:paraId="4EAA11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127" w:type="pct"/>
            <w:gridSpan w:val="2"/>
            <w:vAlign w:val="center"/>
          </w:tcPr>
          <w:p w14:paraId="7DCE6560">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r>
              <w:rPr>
                <w:rFonts w:hint="eastAsia" w:ascii="仿宋" w:hAnsi="仿宋" w:eastAsia="仿宋" w:cs="仿宋"/>
                <w:b w:val="0"/>
                <w:bCs/>
                <w:i w:val="0"/>
                <w:spacing w:val="0"/>
                <w:sz w:val="24"/>
                <w:szCs w:val="24"/>
              </w:rPr>
              <w:t>得分</w:t>
            </w:r>
          </w:p>
        </w:tc>
        <w:tc>
          <w:tcPr>
            <w:tcW w:w="3872" w:type="pct"/>
            <w:gridSpan w:val="2"/>
            <w:vAlign w:val="center"/>
          </w:tcPr>
          <w:p w14:paraId="4B4FABED">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p>
        </w:tc>
      </w:tr>
      <w:tr w14:paraId="49B96F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127" w:type="pct"/>
            <w:gridSpan w:val="2"/>
            <w:vAlign w:val="center"/>
          </w:tcPr>
          <w:p w14:paraId="7F0B6F84">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default" w:ascii="仿宋" w:hAnsi="仿宋" w:eastAsia="仿宋" w:cs="仿宋"/>
                <w:b w:val="0"/>
                <w:bCs/>
                <w:i w:val="0"/>
                <w:spacing w:val="0"/>
                <w:sz w:val="24"/>
                <w:szCs w:val="24"/>
                <w:lang w:val="en-US"/>
              </w:rPr>
            </w:pPr>
            <w:r>
              <w:rPr>
                <w:rFonts w:hint="eastAsia" w:ascii="仿宋" w:hAnsi="仿宋" w:eastAsia="仿宋" w:cs="仿宋"/>
                <w:b w:val="0"/>
                <w:bCs/>
                <w:i w:val="0"/>
                <w:spacing w:val="0"/>
                <w:sz w:val="24"/>
                <w:szCs w:val="24"/>
                <w:lang w:val="en-US" w:eastAsia="zh-CN"/>
              </w:rPr>
              <w:t>考核人员</w:t>
            </w:r>
          </w:p>
        </w:tc>
        <w:tc>
          <w:tcPr>
            <w:tcW w:w="3872" w:type="pct"/>
            <w:gridSpan w:val="2"/>
            <w:vAlign w:val="center"/>
          </w:tcPr>
          <w:p w14:paraId="52D8E1C0">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eastAsia" w:ascii="仿宋" w:hAnsi="仿宋" w:eastAsia="仿宋" w:cs="仿宋"/>
                <w:b w:val="0"/>
                <w:bCs/>
                <w:sz w:val="24"/>
                <w:szCs w:val="24"/>
              </w:rPr>
            </w:pPr>
          </w:p>
        </w:tc>
      </w:tr>
      <w:tr w14:paraId="5FBDAB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127" w:type="pct"/>
            <w:gridSpan w:val="2"/>
            <w:vAlign w:val="center"/>
          </w:tcPr>
          <w:p w14:paraId="1BDCCB5B">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default" w:ascii="仿宋" w:hAnsi="仿宋" w:eastAsia="仿宋" w:cs="仿宋"/>
                <w:b w:val="0"/>
                <w:bCs/>
                <w:i w:val="0"/>
                <w:spacing w:val="0"/>
                <w:sz w:val="24"/>
                <w:szCs w:val="24"/>
                <w:lang w:val="en-US" w:eastAsia="zh-CN"/>
              </w:rPr>
            </w:pPr>
            <w:r>
              <w:rPr>
                <w:rFonts w:hint="eastAsia" w:ascii="仿宋" w:hAnsi="仿宋" w:eastAsia="仿宋" w:cs="仿宋"/>
                <w:b w:val="0"/>
                <w:bCs/>
                <w:i w:val="0"/>
                <w:spacing w:val="0"/>
                <w:sz w:val="24"/>
                <w:szCs w:val="24"/>
                <w:lang w:val="en-US" w:eastAsia="zh-CN"/>
              </w:rPr>
              <w:t>考核日期</w:t>
            </w:r>
          </w:p>
        </w:tc>
        <w:tc>
          <w:tcPr>
            <w:tcW w:w="3872" w:type="pct"/>
            <w:gridSpan w:val="2"/>
            <w:vAlign w:val="center"/>
          </w:tcPr>
          <w:p w14:paraId="2DD9A04F">
            <w:pPr>
              <w:keepNext/>
              <w:keepLines w:val="0"/>
              <w:pageBreakBefore w:val="0"/>
              <w:widowControl w:val="0"/>
              <w:kinsoku/>
              <w:wordWrap/>
              <w:overflowPunct/>
              <w:topLinePunct w:val="0"/>
              <w:autoSpaceDE/>
              <w:autoSpaceDN/>
              <w:bidi w:val="0"/>
              <w:adjustRightInd/>
              <w:snapToGrid w:val="0"/>
              <w:spacing w:before="32" w:beforeLines="10" w:after="48" w:afterLines="15" w:line="400" w:lineRule="exact"/>
              <w:ind w:left="0" w:leftChars="0" w:right="0" w:rightChars="0" w:firstLine="0" w:firstLineChars="0"/>
              <w:jc w:val="center"/>
              <w:textAlignment w:val="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年   月   日</w:t>
            </w:r>
          </w:p>
        </w:tc>
      </w:tr>
    </w:tbl>
    <w:p w14:paraId="2053790D">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考核结果运用</w:t>
      </w:r>
    </w:p>
    <w:p w14:paraId="0A9BFAAB">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1.月度考核≥90分为合格。</w:t>
      </w:r>
    </w:p>
    <w:p w14:paraId="48A6F476">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2.一票否决事项：若因供应商原因导致医院发生院感事件或安全事故，采购人有权单方面解除合同。同时不支付当月服务费用，履约保证金不予退还。包括不限于以下情形：</w:t>
      </w:r>
    </w:p>
    <w:p w14:paraId="06CF3EC3">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（1）随意倾倒污物（严禁将污泥倾倒在非指定区域、绿化带、下水道等）；</w:t>
      </w:r>
    </w:p>
    <w:p w14:paraId="243A84F3">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（2）瞒报安全事故（如井下中毒、窒息等未及时上报）；</w:t>
      </w:r>
    </w:p>
    <w:p w14:paraId="295111C2">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（3）造成重大院感风险（未按规定消毒导致交叉感染风险）。</w:t>
      </w:r>
    </w:p>
    <w:p w14:paraId="0615A18C">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3.年度考核与续签机制</w:t>
      </w:r>
    </w:p>
    <w:p w14:paraId="465EA4AF">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（1）年度考核合格标准：全年12个月的月度考核成绩均需≥90分。</w:t>
      </w:r>
    </w:p>
    <w:p w14:paraId="4B427069">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（2）续签条件：若服务期内每月考核均合格，视为年度考核优秀，采购人续签下一年度合同。</w:t>
      </w:r>
    </w:p>
    <w:p w14:paraId="245F031C">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b/>
          <w:bCs/>
          <w:kern w:val="2"/>
          <w:sz w:val="24"/>
          <w:szCs w:val="24"/>
          <w:highlight w:val="none"/>
          <w:lang w:val="en-US" w:eastAsia="zh-CN" w:bidi="ar-SA"/>
        </w:rPr>
      </w:pPr>
      <w:r>
        <w:rPr>
          <w:rFonts w:hint="eastAsia" w:ascii="Times New Roman" w:hAnsi="Times New Roman" w:eastAsia="仿宋" w:cs="Times New Roman"/>
          <w:b/>
          <w:bCs/>
          <w:kern w:val="2"/>
          <w:sz w:val="24"/>
          <w:szCs w:val="24"/>
          <w:highlight w:val="none"/>
          <w:lang w:val="en-US" w:eastAsia="zh-CN" w:bidi="ar-SA"/>
        </w:rPr>
        <w:t>六、其他要求</w:t>
      </w:r>
    </w:p>
    <w:p w14:paraId="3A924528">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1.供应商</w:t>
      </w:r>
      <w:r>
        <w:rPr>
          <w:rFonts w:hint="eastAsia" w:ascii="Times New Roman" w:hAnsi="Times New Roman" w:eastAsia="仿宋" w:cs="Times New Roman"/>
          <w:sz w:val="24"/>
          <w:szCs w:val="24"/>
          <w:lang w:val="en-US" w:eastAsia="zh-CN"/>
        </w:rPr>
        <w:t>提供</w:t>
      </w:r>
      <w:r>
        <w:rPr>
          <w:rFonts w:hint="eastAsia" w:ascii="Times New Roman" w:hAnsi="Times New Roman" w:eastAsia="仿宋" w:cs="Times New Roman"/>
          <w:sz w:val="24"/>
          <w:szCs w:val="24"/>
        </w:rPr>
        <w:t>自2023年1月1日</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含）</w:t>
      </w:r>
      <w:r>
        <w:rPr>
          <w:rFonts w:hint="eastAsia" w:ascii="Times New Roman" w:hAnsi="Times New Roman" w:eastAsia="仿宋" w:cs="Times New Roman"/>
          <w:sz w:val="24"/>
          <w:szCs w:val="24"/>
        </w:rPr>
        <w:t>至响应文件提交截止</w:t>
      </w:r>
      <w:r>
        <w:rPr>
          <w:rFonts w:hint="eastAsia" w:ascii="Times New Roman" w:hAnsi="Times New Roman" w:eastAsia="仿宋" w:cs="Times New Roman"/>
          <w:sz w:val="24"/>
          <w:szCs w:val="24"/>
          <w:lang w:val="en-US" w:eastAsia="zh-CN"/>
        </w:rPr>
        <w:t>之</w:t>
      </w:r>
      <w:r>
        <w:rPr>
          <w:rFonts w:hint="eastAsia" w:ascii="Times New Roman" w:hAnsi="Times New Roman" w:eastAsia="仿宋" w:cs="Times New Roman"/>
          <w:sz w:val="24"/>
          <w:szCs w:val="24"/>
        </w:rPr>
        <w:t>日</w:t>
      </w:r>
      <w:r>
        <w:rPr>
          <w:rFonts w:hint="eastAsia" w:ascii="仿宋" w:hAnsi="仿宋" w:eastAsia="仿宋" w:cs="仿宋"/>
          <w:sz w:val="24"/>
          <w:szCs w:val="24"/>
          <w:highlight w:val="none"/>
          <w:lang w:val="en-US" w:eastAsia="zh-CN"/>
        </w:rPr>
        <w:t>已完成的类似项目业绩（类似项目是指管道疏通服务项目）须</w:t>
      </w:r>
      <w:r>
        <w:rPr>
          <w:rFonts w:hint="eastAsia" w:ascii="仿宋" w:hAnsi="仿宋" w:eastAsia="仿宋" w:cs="仿宋"/>
          <w:b w:val="0"/>
          <w:bCs/>
          <w:kern w:val="2"/>
          <w:sz w:val="24"/>
          <w:szCs w:val="24"/>
          <w:lang w:val="en-US" w:eastAsia="zh-CN"/>
        </w:rPr>
        <w:t>提供合同复印件及已完工证明材料（提供项目任一张发票及发票查询截图或项目已完工承诺函）并加盖供应商公章</w:t>
      </w:r>
      <w:r>
        <w:rPr>
          <w:rFonts w:hint="eastAsia" w:ascii="Times New Roman" w:hAnsi="Times New Roman" w:eastAsia="仿宋" w:cs="Times New Roman"/>
          <w:sz w:val="24"/>
          <w:szCs w:val="24"/>
        </w:rPr>
        <w:t>。</w:t>
      </w:r>
    </w:p>
    <w:p w14:paraId="020A4D4E">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2.拟投入本项目</w:t>
      </w:r>
      <w:r>
        <w:rPr>
          <w:rFonts w:hint="eastAsia" w:ascii="Times New Roman" w:hAnsi="Times New Roman" w:eastAsia="仿宋" w:cs="Times New Roman"/>
          <w:sz w:val="24"/>
          <w:szCs w:val="24"/>
          <w:lang w:val="en-US" w:eastAsia="zh-CN"/>
        </w:rPr>
        <w:t>的</w:t>
      </w:r>
      <w:r>
        <w:rPr>
          <w:rFonts w:hint="eastAsia" w:ascii="Times New Roman" w:hAnsi="Times New Roman" w:eastAsia="仿宋" w:cs="Times New Roman"/>
          <w:sz w:val="24"/>
          <w:szCs w:val="24"/>
        </w:rPr>
        <w:t>服务团队（供应商正式员工）包含：（1）项目负责人具有中级给排水工程师</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（2）专职售后服务人员。</w:t>
      </w:r>
    </w:p>
    <w:p w14:paraId="690F1DD0">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w:t>
      </w:r>
      <w:r>
        <w:rPr>
          <w:rFonts w:hint="eastAsia" w:ascii="Times New Roman" w:hAnsi="Times New Roman" w:eastAsia="仿宋" w:cs="Times New Roman"/>
          <w:sz w:val="24"/>
          <w:szCs w:val="24"/>
        </w:rPr>
        <w:t>.</w:t>
      </w:r>
      <w:r>
        <w:rPr>
          <w:rFonts w:hint="eastAsia" w:ascii="Times New Roman" w:hAnsi="Times New Roman" w:eastAsia="仿宋" w:cs="Times New Roman"/>
          <w:sz w:val="24"/>
          <w:szCs w:val="24"/>
          <w:lang w:val="en-US" w:eastAsia="zh-CN"/>
        </w:rPr>
        <w:t>供应商针对本项目提供管道疏通方案，包括：管道疏通进度方案；管道疏通人员配置及设备配置；管道疏通安全管理措施。</w:t>
      </w:r>
    </w:p>
    <w:p w14:paraId="19C61ABD">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4</w:t>
      </w:r>
      <w:r>
        <w:rPr>
          <w:rFonts w:hint="eastAsia" w:ascii="Times New Roman" w:hAnsi="Times New Roman" w:eastAsia="仿宋" w:cs="Times New Roman"/>
          <w:sz w:val="24"/>
          <w:szCs w:val="24"/>
        </w:rPr>
        <w:t>.</w:t>
      </w:r>
      <w:r>
        <w:rPr>
          <w:rFonts w:hint="eastAsia" w:ascii="仿宋" w:hAnsi="仿宋" w:eastAsia="仿宋" w:cs="仿宋"/>
          <w:sz w:val="24"/>
          <w:szCs w:val="24"/>
          <w:highlight w:val="none"/>
          <w:lang w:val="en-US" w:eastAsia="zh-CN"/>
        </w:rPr>
        <w:t>供应商针对本项目提供安全保障应急预案，包括：管道疏通安全事故应急预案；污物渗漏、环境污染事故应急预案；有限空间安全作业应急预案；设备故障应急处置预案。</w:t>
      </w:r>
    </w:p>
    <w:p w14:paraId="2DC8D283">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lang w:val="en-US" w:eastAsia="zh-CN"/>
        </w:rPr>
        <w:t>5</w:t>
      </w:r>
      <w:r>
        <w:rPr>
          <w:rFonts w:hint="eastAsia" w:ascii="Times New Roman" w:hAnsi="Times New Roman" w:eastAsia="仿宋" w:cs="Times New Roman"/>
          <w:sz w:val="24"/>
          <w:szCs w:val="24"/>
        </w:rPr>
        <w:t>.</w:t>
      </w:r>
      <w:r>
        <w:rPr>
          <w:rFonts w:hint="eastAsia" w:ascii="Times New Roman" w:hAnsi="Times New Roman" w:eastAsia="仿宋" w:cs="Times New Roman"/>
          <w:sz w:val="24"/>
          <w:szCs w:val="24"/>
          <w:lang w:val="en-US" w:eastAsia="zh-CN"/>
        </w:rPr>
        <w:t>供应商针对本项目提供质量管理措施，包括：质量监督方案、质量监督责任制、质量保障方案。</w:t>
      </w:r>
    </w:p>
    <w:p w14:paraId="5014D632">
      <w:pPr>
        <w:pStyle w:val="16"/>
        <w:keepNext w:val="0"/>
        <w:keepLines w:val="0"/>
        <w:pageBreakBefore w:val="0"/>
        <w:kinsoku/>
        <w:wordWrap/>
        <w:overflowPunct/>
        <w:topLinePunct w:val="0"/>
        <w:autoSpaceDE/>
        <w:autoSpaceDN/>
        <w:bidi w:val="0"/>
        <w:spacing w:before="32" w:beforeLines="10" w:after="48" w:afterLines="15" w:line="400" w:lineRule="exact"/>
        <w:ind w:firstLine="480" w:firstLineChars="200"/>
        <w:jc w:val="left"/>
        <w:rPr>
          <w:rFonts w:ascii="Times New Roman" w:hAnsi="Times New Roman" w:eastAsia="仿宋" w:cs="Times New Roman"/>
          <w:sz w:val="24"/>
          <w:szCs w:val="24"/>
        </w:rPr>
      </w:pPr>
    </w:p>
    <w:p w14:paraId="4A6A2942">
      <w:pPr>
        <w:pStyle w:val="16"/>
        <w:keepNext w:val="0"/>
        <w:keepLines w:val="0"/>
        <w:pageBreakBefore w:val="0"/>
        <w:kinsoku/>
        <w:wordWrap/>
        <w:overflowPunct/>
        <w:topLinePunct w:val="0"/>
        <w:autoSpaceDE/>
        <w:autoSpaceDN/>
        <w:bidi w:val="0"/>
        <w:spacing w:before="32" w:beforeLines="10" w:after="48" w:afterLines="15" w:line="400" w:lineRule="exact"/>
        <w:ind w:firstLine="480" w:firstLineChars="200"/>
        <w:jc w:val="left"/>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3"/>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0FE2E259">
      <w:pPr>
        <w:rPr>
          <w:lang w:val="zh-CN"/>
        </w:rPr>
      </w:pPr>
    </w:p>
    <w:tbl>
      <w:tblPr>
        <w:tblStyle w:val="18"/>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282"/>
        <w:gridCol w:w="722"/>
        <w:gridCol w:w="4491"/>
        <w:gridCol w:w="1687"/>
      </w:tblGrid>
      <w:tr w14:paraId="486A6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2" w:hRule="atLeast"/>
          <w:jc w:val="center"/>
        </w:trPr>
        <w:tc>
          <w:tcPr>
            <w:tcW w:w="774" w:type="dxa"/>
            <w:vAlign w:val="center"/>
          </w:tcPr>
          <w:p w14:paraId="7122784D">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282" w:type="dxa"/>
            <w:vAlign w:val="center"/>
          </w:tcPr>
          <w:p w14:paraId="33356572">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评分因素</w:t>
            </w:r>
          </w:p>
          <w:p w14:paraId="1E1C887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及权重</w:t>
            </w:r>
          </w:p>
        </w:tc>
        <w:tc>
          <w:tcPr>
            <w:tcW w:w="722" w:type="dxa"/>
            <w:vAlign w:val="center"/>
          </w:tcPr>
          <w:p w14:paraId="12E0712D">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分值</w:t>
            </w:r>
          </w:p>
        </w:tc>
        <w:tc>
          <w:tcPr>
            <w:tcW w:w="4491" w:type="dxa"/>
            <w:vAlign w:val="center"/>
          </w:tcPr>
          <w:p w14:paraId="658EC16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评分标准</w:t>
            </w:r>
          </w:p>
        </w:tc>
        <w:tc>
          <w:tcPr>
            <w:tcW w:w="1687" w:type="dxa"/>
            <w:vAlign w:val="center"/>
          </w:tcPr>
          <w:p w14:paraId="26B2710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说    明</w:t>
            </w:r>
          </w:p>
        </w:tc>
      </w:tr>
      <w:tr w14:paraId="2022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0153770F">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p>
        </w:tc>
        <w:tc>
          <w:tcPr>
            <w:tcW w:w="1282" w:type="dxa"/>
            <w:vAlign w:val="center"/>
          </w:tcPr>
          <w:p w14:paraId="1F7B8D13">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作业人员报价</w:t>
            </w:r>
          </w:p>
        </w:tc>
        <w:tc>
          <w:tcPr>
            <w:tcW w:w="722" w:type="dxa"/>
            <w:vAlign w:val="center"/>
          </w:tcPr>
          <w:p w14:paraId="64AEB01B">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w:t>
            </w:r>
          </w:p>
        </w:tc>
        <w:tc>
          <w:tcPr>
            <w:tcW w:w="4491" w:type="dxa"/>
            <w:vAlign w:val="center"/>
          </w:tcPr>
          <w:p w14:paraId="40C8CA6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eastAsia="仿宋"/>
                <w:highlight w:val="none"/>
                <w:lang w:val="en-US" w:eastAsia="zh-CN"/>
              </w:rPr>
            </w:pPr>
            <w:r>
              <w:rPr>
                <w:rFonts w:hint="eastAsia" w:ascii="仿宋" w:hAnsi="仿宋" w:eastAsia="仿宋" w:cs="仿宋"/>
                <w:sz w:val="24"/>
                <w:szCs w:val="24"/>
                <w:highlight w:val="none"/>
                <w:lang w:val="en-US" w:eastAsia="zh-CN"/>
              </w:rPr>
              <w:t>以作业人员有效的最低响应报价（1-最大下浮率）为基准价，其价格分为满分18分。其他供应商的响应报价得分=[基准价／（1-下浮率）]×18分。</w:t>
            </w:r>
          </w:p>
        </w:tc>
        <w:tc>
          <w:tcPr>
            <w:tcW w:w="1687" w:type="dxa"/>
            <w:vAlign w:val="center"/>
          </w:tcPr>
          <w:p w14:paraId="2395949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0"/>
                <w:sz w:val="24"/>
                <w:szCs w:val="24"/>
                <w:highlight w:val="none"/>
              </w:rPr>
            </w:pPr>
          </w:p>
        </w:tc>
      </w:tr>
      <w:tr w14:paraId="55FA3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61AA1373">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p>
        </w:tc>
        <w:tc>
          <w:tcPr>
            <w:tcW w:w="1282" w:type="dxa"/>
            <w:vAlign w:val="center"/>
          </w:tcPr>
          <w:p w14:paraId="107689F0">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作业设备报价</w:t>
            </w:r>
          </w:p>
        </w:tc>
        <w:tc>
          <w:tcPr>
            <w:tcW w:w="722" w:type="dxa"/>
            <w:vAlign w:val="center"/>
          </w:tcPr>
          <w:p w14:paraId="61A9AD5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c>
          <w:tcPr>
            <w:tcW w:w="4491" w:type="dxa"/>
            <w:vAlign w:val="center"/>
          </w:tcPr>
          <w:p w14:paraId="7E818A0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以作业设备有效的最低响应报价（1-最大下浮率）为基准价，其价格分为满分12分。其他供应商的响应报价得分=[基准价／（1-下浮率）]×12分。</w:t>
            </w:r>
          </w:p>
        </w:tc>
        <w:tc>
          <w:tcPr>
            <w:tcW w:w="1687" w:type="dxa"/>
            <w:vAlign w:val="center"/>
          </w:tcPr>
          <w:p w14:paraId="0001F7B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lang w:val="en-US" w:eastAsia="zh-CN"/>
              </w:rPr>
            </w:pPr>
          </w:p>
        </w:tc>
      </w:tr>
      <w:tr w14:paraId="2ED5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69943489">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p>
        </w:tc>
        <w:tc>
          <w:tcPr>
            <w:tcW w:w="1282" w:type="dxa"/>
            <w:vAlign w:val="center"/>
          </w:tcPr>
          <w:p w14:paraId="79B3AB7D">
            <w:pPr>
              <w:keepNext w:val="0"/>
              <w:keepLines w:val="0"/>
              <w:pageBreakBefore w:val="0"/>
              <w:kinsoku/>
              <w:wordWrap/>
              <w:overflowPunct/>
              <w:topLinePunct w:val="0"/>
              <w:autoSpaceDE/>
              <w:autoSpaceDN/>
              <w:bidi w:val="0"/>
              <w:adjustRightInd/>
              <w:snapToGrid/>
              <w:spacing w:line="240" w:lineRule="auto"/>
              <w:ind w:left="63" w:leftChars="3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p>
        </w:tc>
        <w:tc>
          <w:tcPr>
            <w:tcW w:w="722" w:type="dxa"/>
            <w:vAlign w:val="center"/>
          </w:tcPr>
          <w:p w14:paraId="258067C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35</w:t>
            </w:r>
          </w:p>
        </w:tc>
        <w:tc>
          <w:tcPr>
            <w:tcW w:w="4491" w:type="dxa"/>
            <w:vAlign w:val="center"/>
          </w:tcPr>
          <w:p w14:paraId="5D10F013">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Times New Roman" w:hAnsi="Times New Roman" w:eastAsia="仿宋" w:cs="Times New Roman"/>
                <w:sz w:val="24"/>
                <w:szCs w:val="24"/>
              </w:rPr>
              <w:t>供应商自2023年1月1日（含）至响应文件提交截止之日，</w:t>
            </w:r>
            <w:r>
              <w:rPr>
                <w:rFonts w:hint="eastAsia" w:ascii="仿宋" w:hAnsi="仿宋" w:eastAsia="仿宋" w:cs="仿宋"/>
                <w:sz w:val="24"/>
                <w:szCs w:val="24"/>
                <w:highlight w:val="none"/>
                <w:lang w:val="en-US" w:eastAsia="zh-CN"/>
              </w:rPr>
              <w:t>每具有1个已完成的类似项目业绩（类似项目是指管道疏通服务项目）得5分，本项最高得35分。</w:t>
            </w:r>
          </w:p>
        </w:tc>
        <w:tc>
          <w:tcPr>
            <w:tcW w:w="1687" w:type="dxa"/>
            <w:vAlign w:val="center"/>
          </w:tcPr>
          <w:p w14:paraId="4FEAA4F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b w:val="0"/>
                <w:bCs/>
                <w:kern w:val="2"/>
                <w:sz w:val="24"/>
                <w:szCs w:val="24"/>
                <w:lang w:val="en-US" w:eastAsia="zh-CN"/>
              </w:rPr>
              <w:t>提供合同复印件及已完工证明材料（提供项目任一张发票及发票查询截图或项目已完工承诺函）并加盖供应商公章</w:t>
            </w:r>
            <w:r>
              <w:rPr>
                <w:rFonts w:hint="eastAsia" w:ascii="Times New Roman" w:hAnsi="Times New Roman" w:eastAsia="仿宋" w:cs="Times New Roman"/>
                <w:sz w:val="24"/>
                <w:szCs w:val="24"/>
              </w:rPr>
              <w:t>。</w:t>
            </w:r>
          </w:p>
        </w:tc>
      </w:tr>
      <w:tr w14:paraId="5670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1894BFEC">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w:t>
            </w:r>
          </w:p>
        </w:tc>
        <w:tc>
          <w:tcPr>
            <w:tcW w:w="1282" w:type="dxa"/>
            <w:shd w:val="clear" w:color="auto" w:fill="auto"/>
            <w:vAlign w:val="center"/>
          </w:tcPr>
          <w:p w14:paraId="370BB9B3">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服务团队</w:t>
            </w:r>
          </w:p>
        </w:tc>
        <w:tc>
          <w:tcPr>
            <w:tcW w:w="722" w:type="dxa"/>
            <w:shd w:val="clear" w:color="auto" w:fill="auto"/>
            <w:vAlign w:val="center"/>
          </w:tcPr>
          <w:p w14:paraId="70B064DA">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20</w:t>
            </w:r>
          </w:p>
        </w:tc>
        <w:tc>
          <w:tcPr>
            <w:tcW w:w="4491" w:type="dxa"/>
            <w:shd w:val="clear" w:color="auto" w:fill="auto"/>
            <w:vAlign w:val="center"/>
          </w:tcPr>
          <w:p w14:paraId="790C119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1.拟投入本项目的项目负责人：具有中级给排水工程师的得10分，本项最高得10分（提供证书复印件）。</w:t>
            </w:r>
          </w:p>
          <w:p w14:paraId="677B9ADC">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2.拟投入本项目的专职售后服务人员：</w:t>
            </w:r>
            <w:r>
              <w:rPr>
                <w:rFonts w:hint="default" w:ascii="仿宋" w:hAnsi="仿宋" w:eastAsia="仿宋" w:cs="仿宋"/>
                <w:sz w:val="24"/>
                <w:szCs w:val="24"/>
                <w:highlight w:val="none"/>
                <w:lang w:val="en-US" w:eastAsia="zh-CN"/>
              </w:rPr>
              <w:t>每有一个院区配备一个</w:t>
            </w:r>
            <w:r>
              <w:rPr>
                <w:rFonts w:hint="eastAsia" w:ascii="仿宋" w:hAnsi="仿宋" w:eastAsia="仿宋" w:cs="仿宋"/>
                <w:sz w:val="24"/>
                <w:szCs w:val="24"/>
                <w:highlight w:val="none"/>
                <w:lang w:val="en-US" w:eastAsia="zh-CN"/>
              </w:rPr>
              <w:t>专职售后服务人员的得2</w:t>
            </w:r>
            <w:r>
              <w:rPr>
                <w:rFonts w:hint="default" w:ascii="仿宋" w:hAnsi="仿宋" w:eastAsia="仿宋" w:cs="仿宋"/>
                <w:sz w:val="24"/>
                <w:szCs w:val="24"/>
                <w:highlight w:val="none"/>
                <w:lang w:val="en-US" w:eastAsia="zh-CN"/>
              </w:rPr>
              <w:t>分</w:t>
            </w:r>
            <w:r>
              <w:rPr>
                <w:rFonts w:hint="eastAsia" w:ascii="仿宋" w:hAnsi="仿宋" w:eastAsia="仿宋" w:cs="仿宋"/>
                <w:sz w:val="24"/>
                <w:szCs w:val="24"/>
                <w:highlight w:val="none"/>
                <w:lang w:val="en-US" w:eastAsia="zh-CN"/>
              </w:rPr>
              <w:t>，本项最高得10分。</w:t>
            </w:r>
          </w:p>
        </w:tc>
        <w:tc>
          <w:tcPr>
            <w:tcW w:w="1687" w:type="dxa"/>
            <w:shd w:val="clear" w:color="auto" w:fill="auto"/>
            <w:vAlign w:val="center"/>
          </w:tcPr>
          <w:p w14:paraId="2E82B18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提供人员清单（格式自拟），以上人员不得重复，提供证明材料并加盖供应商公章。</w:t>
            </w:r>
          </w:p>
          <w:p w14:paraId="2628DFD1">
            <w:pPr>
              <w:pStyle w:val="2"/>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lang w:val="en-US" w:eastAsia="zh-CN"/>
              </w:rPr>
            </w:pPr>
            <w:r>
              <w:rPr>
                <w:rFonts w:hint="eastAsia" w:ascii="Times New Roman" w:hAnsi="Times New Roman" w:eastAsia="仿宋" w:cs="Times New Roman"/>
                <w:sz w:val="24"/>
                <w:szCs w:val="24"/>
                <w:lang w:val="en-US" w:eastAsia="zh-CN"/>
              </w:rPr>
              <w:t>拟派本项目服务团队人员必须是供应商的正式员工（提供在职证明并加盖供应商公章）。</w:t>
            </w:r>
          </w:p>
        </w:tc>
      </w:tr>
      <w:tr w14:paraId="1960C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08632FF2">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1282" w:type="dxa"/>
            <w:shd w:val="clear" w:color="auto" w:fill="auto"/>
            <w:vAlign w:val="center"/>
          </w:tcPr>
          <w:p w14:paraId="6791DE74">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管道疏通方案</w:t>
            </w:r>
          </w:p>
        </w:tc>
        <w:tc>
          <w:tcPr>
            <w:tcW w:w="722" w:type="dxa"/>
            <w:shd w:val="clear" w:color="auto" w:fill="auto"/>
            <w:vAlign w:val="center"/>
          </w:tcPr>
          <w:p w14:paraId="52215796">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4.5</w:t>
            </w:r>
          </w:p>
        </w:tc>
        <w:tc>
          <w:tcPr>
            <w:tcW w:w="4491" w:type="dxa"/>
            <w:shd w:val="clear" w:color="auto" w:fill="auto"/>
            <w:vAlign w:val="center"/>
          </w:tcPr>
          <w:p w14:paraId="0C46820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针对本项目提供管道疏通方案，包括：①管道疏通进度方案；②管道疏通人员配置及设备配置；③管道疏通安全管理措施。涵盖以上内容且不存在缺陷得4.5分，在此基础上，每缺少一项内容扣1.5分，每有一处内容存在缺陷扣0.75分，扣完为止。</w:t>
            </w:r>
          </w:p>
          <w:p w14:paraId="5D45939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1687" w:type="dxa"/>
            <w:shd w:val="clear" w:color="auto" w:fill="auto"/>
            <w:vAlign w:val="center"/>
          </w:tcPr>
          <w:p w14:paraId="3C9C544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r w14:paraId="59B0A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6761713D">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1282" w:type="dxa"/>
            <w:shd w:val="clear" w:color="auto" w:fill="auto"/>
            <w:vAlign w:val="center"/>
          </w:tcPr>
          <w:p w14:paraId="78108E4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安全保障应急预案</w:t>
            </w:r>
          </w:p>
        </w:tc>
        <w:tc>
          <w:tcPr>
            <w:tcW w:w="722" w:type="dxa"/>
            <w:shd w:val="clear" w:color="auto" w:fill="auto"/>
            <w:vAlign w:val="center"/>
          </w:tcPr>
          <w:p w14:paraId="12050094">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6</w:t>
            </w:r>
          </w:p>
        </w:tc>
        <w:tc>
          <w:tcPr>
            <w:tcW w:w="4491" w:type="dxa"/>
            <w:shd w:val="clear" w:color="auto" w:fill="auto"/>
            <w:vAlign w:val="center"/>
          </w:tcPr>
          <w:p w14:paraId="47083D2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针对本项目提供安全保障应急预案，包括：①管道疏通安全事故应急预案；②污物渗漏、环境污染事故应急预案；③有限空间安全作业应急预案；④设备故障应急处置预案。涵盖以上内容且不存在缺陷得6分，在此基础上，每缺少一项内容扣1.5分，每有一处内容存在缺陷扣0.75分，扣完为止。</w:t>
            </w:r>
          </w:p>
          <w:p w14:paraId="7C2BFC5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1687" w:type="dxa"/>
            <w:shd w:val="clear" w:color="auto" w:fill="auto"/>
            <w:vAlign w:val="center"/>
          </w:tcPr>
          <w:p w14:paraId="3B0A5A2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r w14:paraId="11726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01D882F9">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1282" w:type="dxa"/>
            <w:shd w:val="clear" w:color="auto" w:fill="auto"/>
            <w:vAlign w:val="center"/>
          </w:tcPr>
          <w:p w14:paraId="2220DC79">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质量管理措施</w:t>
            </w:r>
          </w:p>
        </w:tc>
        <w:tc>
          <w:tcPr>
            <w:tcW w:w="722" w:type="dxa"/>
            <w:shd w:val="clear" w:color="auto" w:fill="auto"/>
            <w:vAlign w:val="center"/>
          </w:tcPr>
          <w:p w14:paraId="6AEE0889">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4.5</w:t>
            </w:r>
          </w:p>
        </w:tc>
        <w:tc>
          <w:tcPr>
            <w:tcW w:w="4491" w:type="dxa"/>
            <w:shd w:val="clear" w:color="auto" w:fill="auto"/>
            <w:vAlign w:val="center"/>
          </w:tcPr>
          <w:p w14:paraId="71A9B5B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针对本项目提供质量管理措施，包括：①质量监督方案、②质量监督责任制、③质量保障方案。涵盖以上内容且不存在缺陷得4.5分，在此基础上，每缺少一项内容扣1.5分，每有一处内容存在缺陷扣0.75分，扣完为止。</w:t>
            </w:r>
          </w:p>
          <w:p w14:paraId="23C973C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1687" w:type="dxa"/>
            <w:shd w:val="clear" w:color="auto" w:fill="auto"/>
            <w:vAlign w:val="center"/>
          </w:tcPr>
          <w:p w14:paraId="7DDE976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3"/>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24859"/>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2031"/>
      <w:bookmarkStart w:id="45" w:name="_Toc5056"/>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21519"/>
      <w:bookmarkStart w:id="50" w:name="_Toc16029"/>
      <w:bookmarkStart w:id="51" w:name="_Toc3023"/>
      <w:bookmarkStart w:id="52" w:name="_Toc11352"/>
      <w:bookmarkStart w:id="53"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4"/>
        <w:ind w:firstLine="0"/>
      </w:pPr>
      <w:r>
        <w:t>承诺函</w:t>
      </w:r>
      <w:bookmarkEnd w:id="48"/>
      <w:bookmarkEnd w:id="49"/>
      <w:bookmarkEnd w:id="50"/>
      <w:bookmarkEnd w:id="51"/>
      <w:bookmarkEnd w:id="52"/>
      <w:bookmarkEnd w:id="53"/>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31838"/>
      <w:bookmarkStart w:id="56" w:name="_Toc4305"/>
      <w:bookmarkStart w:id="57" w:name="_Toc17857"/>
      <w:bookmarkStart w:id="58" w:name="_Toc22676"/>
      <w:r>
        <w:rPr>
          <w:rFonts w:ascii="Times New Roman" w:hAnsi="Times New Roman" w:cs="Times New Roman"/>
        </w:rPr>
        <w:br w:type="page"/>
      </w:r>
    </w:p>
    <w:p w14:paraId="72845348">
      <w:pPr>
        <w:pStyle w:val="4"/>
        <w:ind w:firstLine="0"/>
      </w:pPr>
      <w:r>
        <w:t>具有独立承担民事责任的能力</w:t>
      </w:r>
      <w:bookmarkEnd w:id="54"/>
      <w:bookmarkEnd w:id="55"/>
      <w:bookmarkEnd w:id="56"/>
      <w:bookmarkEnd w:id="57"/>
      <w:bookmarkEnd w:id="58"/>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4"/>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67" w:name="_Toc25638"/>
      <w:bookmarkStart w:id="68" w:name="_Toc27661"/>
      <w:bookmarkStart w:id="69" w:name="_Toc11351"/>
      <w:bookmarkStart w:id="70" w:name="_Toc20589"/>
      <w:bookmarkStart w:id="71" w:name="_Toc15526"/>
      <w:bookmarkStart w:id="72" w:name="_Toc12015"/>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3" w:name="_Toc23967"/>
      <w:bookmarkStart w:id="74" w:name="_Toc26969"/>
      <w:bookmarkStart w:id="75" w:name="_Toc1074"/>
      <w:bookmarkStart w:id="76" w:name="_Toc2041"/>
      <w:bookmarkStart w:id="77" w:name="_Toc12967"/>
      <w:bookmarkStart w:id="78" w:name="_Toc16435"/>
      <w:r>
        <w:rPr>
          <w:rStyle w:val="40"/>
          <w:b/>
        </w:rPr>
        <w:t>采购需求偏离表</w:t>
      </w:r>
      <w:bookmarkEnd w:id="73"/>
      <w:bookmarkEnd w:id="74"/>
      <w:bookmarkEnd w:id="75"/>
      <w:bookmarkEnd w:id="76"/>
      <w:bookmarkEnd w:id="77"/>
      <w:bookmarkEnd w:id="78"/>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79" w:name="_Toc24806"/>
      <w:bookmarkStart w:id="80" w:name="_Toc21082"/>
      <w:bookmarkStart w:id="81" w:name="_Toc1369"/>
      <w:bookmarkStart w:id="82" w:name="_Toc31686"/>
      <w:bookmarkStart w:id="83" w:name="_Toc28634"/>
      <w:bookmarkStart w:id="84" w:name="_Toc2683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4"/>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2"/>
        <w:rPr>
          <w:rFonts w:ascii="宋体" w:hAnsi="宋体" w:eastAsia="宋体" w:cs="Times New Roman"/>
          <w:b/>
          <w:bCs/>
          <w:szCs w:val="21"/>
          <w:lang w:val="zh-TW" w:eastAsia="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7A540D0B">
      <w:pPr>
        <w:pStyle w:val="2"/>
        <w:rPr>
          <w:rFonts w:hint="eastAsia" w:ascii="仿宋" w:hAnsi="仿宋" w:eastAsia="仿宋" w:cs="仿宋"/>
          <w:b/>
          <w:bCs/>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t>作业人员报价一览表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143"/>
        <w:gridCol w:w="3173"/>
        <w:gridCol w:w="2208"/>
        <w:gridCol w:w="1390"/>
      </w:tblGrid>
      <w:tr w14:paraId="5407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5EA29404">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序号</w:t>
            </w:r>
          </w:p>
        </w:tc>
        <w:tc>
          <w:tcPr>
            <w:tcW w:w="2143" w:type="dxa"/>
            <w:vAlign w:val="center"/>
          </w:tcPr>
          <w:p w14:paraId="706A7A3D">
            <w:pPr>
              <w:pStyle w:val="2"/>
              <w:jc w:val="center"/>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报价项目</w:t>
            </w:r>
          </w:p>
        </w:tc>
        <w:tc>
          <w:tcPr>
            <w:tcW w:w="3173" w:type="dxa"/>
            <w:vAlign w:val="center"/>
          </w:tcPr>
          <w:p w14:paraId="4C632173">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人员限高单价（元/人/台班）</w:t>
            </w:r>
          </w:p>
        </w:tc>
        <w:tc>
          <w:tcPr>
            <w:tcW w:w="2208" w:type="dxa"/>
            <w:vAlign w:val="center"/>
          </w:tcPr>
          <w:p w14:paraId="75DC6CFB">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下浮率（%）</w:t>
            </w:r>
          </w:p>
        </w:tc>
        <w:tc>
          <w:tcPr>
            <w:tcW w:w="1390" w:type="dxa"/>
            <w:vAlign w:val="center"/>
          </w:tcPr>
          <w:p w14:paraId="2A0ABD3D">
            <w:pPr>
              <w:pStyle w:val="2"/>
              <w:jc w:val="center"/>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备注</w:t>
            </w:r>
          </w:p>
        </w:tc>
      </w:tr>
      <w:tr w14:paraId="5582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40B3417B">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w:t>
            </w:r>
          </w:p>
        </w:tc>
        <w:tc>
          <w:tcPr>
            <w:tcW w:w="2143" w:type="dxa"/>
            <w:vAlign w:val="center"/>
          </w:tcPr>
          <w:p w14:paraId="00FE56D5">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作业人员</w:t>
            </w:r>
          </w:p>
        </w:tc>
        <w:tc>
          <w:tcPr>
            <w:tcW w:w="3173" w:type="dxa"/>
            <w:vAlign w:val="center"/>
          </w:tcPr>
          <w:p w14:paraId="47908A3B">
            <w:pPr>
              <w:pStyle w:val="2"/>
              <w:jc w:val="center"/>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500</w:t>
            </w:r>
          </w:p>
        </w:tc>
        <w:tc>
          <w:tcPr>
            <w:tcW w:w="2208" w:type="dxa"/>
            <w:vAlign w:val="center"/>
          </w:tcPr>
          <w:p w14:paraId="66178E21">
            <w:pPr>
              <w:pStyle w:val="2"/>
              <w:jc w:val="center"/>
              <w:rPr>
                <w:rFonts w:hint="eastAsia" w:ascii="仿宋" w:hAnsi="仿宋" w:eastAsia="仿宋" w:cs="仿宋"/>
                <w:color w:val="auto"/>
                <w:sz w:val="21"/>
                <w:szCs w:val="21"/>
                <w:highlight w:val="none"/>
                <w:vertAlign w:val="baseline"/>
              </w:rPr>
            </w:pPr>
          </w:p>
        </w:tc>
        <w:tc>
          <w:tcPr>
            <w:tcW w:w="1390" w:type="dxa"/>
            <w:vAlign w:val="center"/>
          </w:tcPr>
          <w:p w14:paraId="60828C05">
            <w:pPr>
              <w:pStyle w:val="2"/>
              <w:jc w:val="center"/>
              <w:rPr>
                <w:rFonts w:hint="eastAsia" w:ascii="仿宋" w:hAnsi="仿宋" w:eastAsia="仿宋" w:cs="仿宋"/>
                <w:color w:val="auto"/>
                <w:sz w:val="21"/>
                <w:szCs w:val="21"/>
                <w:highlight w:val="none"/>
                <w:vertAlign w:val="baseline"/>
              </w:rPr>
            </w:pPr>
          </w:p>
        </w:tc>
      </w:tr>
    </w:tbl>
    <w:p w14:paraId="5796D36C">
      <w:pPr>
        <w:widowControl/>
        <w:jc w:val="left"/>
        <w:rPr>
          <w:rFonts w:ascii="Times New Roman" w:hAnsi="Times New Roman" w:eastAsia="仿宋" w:cs="Times New Roman"/>
          <w:szCs w:val="21"/>
          <w:lang w:val="zh-TW"/>
        </w:rPr>
      </w:pPr>
    </w:p>
    <w:p w14:paraId="6124D787">
      <w:pPr>
        <w:pStyle w:val="2"/>
        <w:rPr>
          <w:rFonts w:hint="eastAsia" w:ascii="仿宋" w:hAnsi="仿宋" w:eastAsia="仿宋" w:cs="仿宋"/>
          <w:b/>
          <w:bCs/>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t>作业设备报价一览表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143"/>
        <w:gridCol w:w="3173"/>
        <w:gridCol w:w="2208"/>
        <w:gridCol w:w="1390"/>
      </w:tblGrid>
      <w:tr w14:paraId="4BEED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316BA8A0">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序号</w:t>
            </w:r>
          </w:p>
        </w:tc>
        <w:tc>
          <w:tcPr>
            <w:tcW w:w="2143" w:type="dxa"/>
            <w:vAlign w:val="center"/>
          </w:tcPr>
          <w:p w14:paraId="38AAFD64">
            <w:pPr>
              <w:pStyle w:val="2"/>
              <w:jc w:val="center"/>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报价项目</w:t>
            </w:r>
          </w:p>
        </w:tc>
        <w:tc>
          <w:tcPr>
            <w:tcW w:w="3173" w:type="dxa"/>
            <w:vAlign w:val="center"/>
          </w:tcPr>
          <w:p w14:paraId="07972119">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单次租赁/使用费限高价（元/次）</w:t>
            </w:r>
          </w:p>
        </w:tc>
        <w:tc>
          <w:tcPr>
            <w:tcW w:w="2208" w:type="dxa"/>
            <w:vAlign w:val="center"/>
          </w:tcPr>
          <w:p w14:paraId="18AEDC44">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下浮率（%）</w:t>
            </w:r>
          </w:p>
        </w:tc>
        <w:tc>
          <w:tcPr>
            <w:tcW w:w="1390" w:type="dxa"/>
            <w:vAlign w:val="center"/>
          </w:tcPr>
          <w:p w14:paraId="3726448A">
            <w:pPr>
              <w:pStyle w:val="2"/>
              <w:jc w:val="center"/>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备注</w:t>
            </w:r>
          </w:p>
        </w:tc>
      </w:tr>
      <w:tr w14:paraId="1B9A1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093F7848">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w:t>
            </w:r>
          </w:p>
        </w:tc>
        <w:tc>
          <w:tcPr>
            <w:tcW w:w="2143" w:type="dxa"/>
            <w:vAlign w:val="center"/>
          </w:tcPr>
          <w:p w14:paraId="37D16238">
            <w:pPr>
              <w:pStyle w:val="2"/>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作业设备</w:t>
            </w:r>
          </w:p>
        </w:tc>
        <w:tc>
          <w:tcPr>
            <w:tcW w:w="3173" w:type="dxa"/>
            <w:vAlign w:val="center"/>
          </w:tcPr>
          <w:p w14:paraId="165D3384">
            <w:pPr>
              <w:pStyle w:val="2"/>
              <w:jc w:val="center"/>
              <w:rPr>
                <w:rFonts w:hint="default"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1900</w:t>
            </w:r>
          </w:p>
        </w:tc>
        <w:tc>
          <w:tcPr>
            <w:tcW w:w="2208" w:type="dxa"/>
            <w:vAlign w:val="center"/>
          </w:tcPr>
          <w:p w14:paraId="31214943">
            <w:pPr>
              <w:pStyle w:val="2"/>
              <w:jc w:val="center"/>
              <w:rPr>
                <w:rFonts w:hint="eastAsia" w:ascii="仿宋" w:hAnsi="仿宋" w:eastAsia="仿宋" w:cs="仿宋"/>
                <w:color w:val="auto"/>
                <w:sz w:val="21"/>
                <w:szCs w:val="21"/>
                <w:highlight w:val="none"/>
                <w:vertAlign w:val="baseline"/>
              </w:rPr>
            </w:pPr>
          </w:p>
        </w:tc>
        <w:tc>
          <w:tcPr>
            <w:tcW w:w="1390" w:type="dxa"/>
            <w:vAlign w:val="center"/>
          </w:tcPr>
          <w:p w14:paraId="6F8200D6">
            <w:pPr>
              <w:pStyle w:val="2"/>
              <w:jc w:val="center"/>
              <w:rPr>
                <w:rFonts w:hint="eastAsia" w:ascii="仿宋" w:hAnsi="仿宋" w:eastAsia="仿宋" w:cs="仿宋"/>
                <w:color w:val="auto"/>
                <w:sz w:val="21"/>
                <w:szCs w:val="21"/>
                <w:highlight w:val="none"/>
                <w:vertAlign w:val="baseline"/>
              </w:rPr>
            </w:pPr>
          </w:p>
        </w:tc>
      </w:tr>
    </w:tbl>
    <w:p w14:paraId="5FB9E378">
      <w:pPr>
        <w:pStyle w:val="2"/>
        <w:rPr>
          <w:rFonts w:ascii="宋体" w:hAnsi="宋体" w:eastAsia="宋体" w:cs="Times New Roman"/>
          <w:b/>
          <w:bCs/>
          <w:szCs w:val="21"/>
          <w:lang w:val="zh-TW" w:eastAsia="zh-TW"/>
        </w:rPr>
      </w:pPr>
      <w:r>
        <w:rPr>
          <w:rFonts w:hint="eastAsia" w:ascii="仿宋" w:hAnsi="仿宋" w:eastAsia="仿宋" w:cs="仿宋"/>
          <w:lang w:val="en-US" w:eastAsia="zh-CN"/>
        </w:rPr>
        <w:t>注：</w:t>
      </w:r>
      <w:r>
        <w:rPr>
          <w:rFonts w:hint="eastAsia" w:ascii="仿宋" w:hAnsi="仿宋" w:eastAsia="仿宋" w:cs="仿宋"/>
          <w:b w:val="0"/>
          <w:bCs w:val="0"/>
          <w:szCs w:val="21"/>
          <w:highlight w:val="none"/>
          <w:lang w:val="en-US" w:eastAsia="zh-CN"/>
        </w:rPr>
        <w:t>本项目采用“统一下浮率”方式进行报价。供应商在作业人员及作业设备“限高单价”的基础上报出一个统一下浮率，下浮率≥0%且＜100%（例如：下浮率20%，则结算单价=限高单价×（1-20%））。</w:t>
      </w:r>
    </w:p>
    <w:p w14:paraId="7E4F01E1">
      <w:pPr>
        <w:pStyle w:val="2"/>
        <w:rPr>
          <w:rFonts w:hint="eastAsia" w:eastAsia="宋体"/>
          <w:lang w:val="en-US" w:eastAsia="zh-CN"/>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2"/>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4"/>
        <w:ind w:firstLine="0"/>
      </w:pPr>
      <w:r>
        <w:t>供应商认为需要提供的其他材料</w:t>
      </w:r>
      <w:bookmarkEnd w:id="85"/>
      <w:bookmarkEnd w:id="86"/>
      <w:bookmarkEnd w:id="87"/>
      <w:bookmarkEnd w:id="89"/>
      <w:bookmarkEnd w:id="90"/>
      <w:bookmarkEnd w:id="91"/>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3"/>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A1DADA0">
      <w:pPr>
        <w:pStyle w:val="41"/>
        <w:rPr>
          <w:sz w:val="48"/>
          <w:szCs w:val="48"/>
        </w:rPr>
      </w:pPr>
      <w:r>
        <w:rPr>
          <w:rFonts w:hint="eastAsia"/>
          <w:sz w:val="48"/>
          <w:szCs w:val="48"/>
        </w:rPr>
        <w:t>*</w:t>
      </w:r>
      <w:r>
        <w:rPr>
          <w:sz w:val="48"/>
          <w:szCs w:val="48"/>
        </w:rPr>
        <w:t>**</w:t>
      </w:r>
      <w:r>
        <w:rPr>
          <w:rFonts w:hint="eastAsia"/>
          <w:sz w:val="48"/>
          <w:szCs w:val="48"/>
        </w:rPr>
        <w:t>服务项目</w:t>
      </w:r>
    </w:p>
    <w:p w14:paraId="04282C4C">
      <w:pPr>
        <w:pStyle w:val="41"/>
        <w:rPr>
          <w:sz w:val="48"/>
          <w:szCs w:val="48"/>
        </w:rPr>
      </w:pPr>
      <w:r>
        <w:rPr>
          <w:rFonts w:hint="eastAsia"/>
          <w:sz w:val="48"/>
          <w:szCs w:val="48"/>
        </w:rPr>
        <w:t>采购</w:t>
      </w:r>
      <w:r>
        <w:rPr>
          <w:sz w:val="48"/>
          <w:szCs w:val="48"/>
        </w:rPr>
        <w:t>合同</w:t>
      </w:r>
    </w:p>
    <w:p w14:paraId="0748937D">
      <w:pPr>
        <w:adjustRightInd w:val="0"/>
        <w:ind w:firstLine="420" w:firstLineChars="200"/>
        <w:contextualSpacing/>
        <w:jc w:val="left"/>
        <w:rPr>
          <w:color w:val="000000"/>
          <w:szCs w:val="21"/>
        </w:rPr>
      </w:pPr>
    </w:p>
    <w:p w14:paraId="4FB19C70">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765E2065">
        <w:trPr>
          <w:trHeight w:val="767" w:hRule="atLeast"/>
          <w:jc w:val="center"/>
        </w:trPr>
        <w:tc>
          <w:tcPr>
            <w:tcW w:w="10204" w:type="dxa"/>
            <w:gridSpan w:val="2"/>
          </w:tcPr>
          <w:p w14:paraId="732BCB77">
            <w:pPr>
              <w:contextualSpacing/>
              <w:rPr>
                <w:color w:val="000000"/>
                <w:szCs w:val="21"/>
              </w:rPr>
            </w:pPr>
            <w:r>
              <w:rPr>
                <w:b/>
                <w:bCs/>
                <w:color w:val="000000"/>
                <w:szCs w:val="21"/>
              </w:rPr>
              <w:t>合同编号</w:t>
            </w:r>
            <w:r>
              <w:rPr>
                <w:color w:val="000000"/>
                <w:szCs w:val="21"/>
              </w:rPr>
              <w:t>：CGZX-***</w:t>
            </w:r>
          </w:p>
          <w:p w14:paraId="6521A40B">
            <w:pPr>
              <w:contextualSpacing/>
              <w:rPr>
                <w:color w:val="000000"/>
                <w:szCs w:val="21"/>
              </w:rPr>
            </w:pPr>
            <w:r>
              <w:rPr>
                <w:b/>
                <w:bCs/>
                <w:color w:val="000000"/>
                <w:szCs w:val="21"/>
              </w:rPr>
              <w:t>签订地点</w:t>
            </w:r>
            <w:r>
              <w:rPr>
                <w:color w:val="000000"/>
                <w:szCs w:val="21"/>
              </w:rPr>
              <w:t>：四川省人民医院</w:t>
            </w:r>
          </w:p>
        </w:tc>
      </w:tr>
      <w:tr w14:paraId="139C764E">
        <w:tblPrEx>
          <w:tblCellMar>
            <w:top w:w="0" w:type="dxa"/>
            <w:left w:w="0" w:type="dxa"/>
            <w:bottom w:w="0" w:type="dxa"/>
            <w:right w:w="0" w:type="dxa"/>
          </w:tblCellMar>
        </w:tblPrEx>
        <w:trPr>
          <w:jc w:val="center"/>
        </w:trPr>
        <w:tc>
          <w:tcPr>
            <w:tcW w:w="4962" w:type="dxa"/>
          </w:tcPr>
          <w:p w14:paraId="159EAAF7">
            <w:pPr>
              <w:rPr>
                <w:szCs w:val="21"/>
              </w:rPr>
            </w:pPr>
            <w:r>
              <w:rPr>
                <w:b/>
                <w:bCs/>
                <w:szCs w:val="21"/>
              </w:rPr>
              <w:t>采购人（以下简称甲方）</w:t>
            </w:r>
            <w:r>
              <w:rPr>
                <w:szCs w:val="21"/>
              </w:rPr>
              <w:t>：四川省人民医院</w:t>
            </w:r>
          </w:p>
          <w:p w14:paraId="58117F67">
            <w:pPr>
              <w:rPr>
                <w:szCs w:val="21"/>
              </w:rPr>
            </w:pPr>
            <w:r>
              <w:rPr>
                <w:b/>
                <w:bCs/>
                <w:szCs w:val="21"/>
              </w:rPr>
              <w:t>地址</w:t>
            </w:r>
            <w:r>
              <w:rPr>
                <w:szCs w:val="21"/>
              </w:rPr>
              <w:t>：四川省成都市一环路西二段32号</w:t>
            </w:r>
          </w:p>
          <w:p w14:paraId="2A307575">
            <w:pPr>
              <w:rPr>
                <w:szCs w:val="21"/>
              </w:rPr>
            </w:pPr>
            <w:r>
              <w:rPr>
                <w:b/>
                <w:bCs/>
                <w:szCs w:val="21"/>
              </w:rPr>
              <w:t>项目联系人</w:t>
            </w:r>
            <w:r>
              <w:rPr>
                <w:szCs w:val="21"/>
              </w:rPr>
              <w:t xml:space="preserve">：*** </w:t>
            </w:r>
            <w:r>
              <w:rPr>
                <w:b/>
                <w:bCs/>
                <w:szCs w:val="21"/>
              </w:rPr>
              <w:t>电话</w:t>
            </w:r>
            <w:r>
              <w:rPr>
                <w:szCs w:val="21"/>
              </w:rPr>
              <w:t>：***</w:t>
            </w:r>
          </w:p>
          <w:p w14:paraId="1AE748C3">
            <w:r>
              <w:rPr>
                <w:rFonts w:hint="eastAsia"/>
                <w:b/>
                <w:bCs/>
                <w:szCs w:val="21"/>
              </w:rPr>
              <w:t>电子邮件：</w:t>
            </w:r>
            <w:r>
              <w:rPr>
                <w:rFonts w:hint="eastAsia"/>
                <w:szCs w:val="21"/>
              </w:rPr>
              <w:t>*</w:t>
            </w:r>
            <w:r>
              <w:rPr>
                <w:szCs w:val="21"/>
              </w:rPr>
              <w:t>**</w:t>
            </w:r>
          </w:p>
        </w:tc>
        <w:tc>
          <w:tcPr>
            <w:tcW w:w="5242" w:type="dxa"/>
          </w:tcPr>
          <w:p w14:paraId="56E63204">
            <w:pPr>
              <w:rPr>
                <w:b/>
                <w:bCs/>
                <w:szCs w:val="21"/>
              </w:rPr>
            </w:pPr>
            <w:r>
              <w:rPr>
                <w:b/>
                <w:bCs/>
                <w:szCs w:val="21"/>
              </w:rPr>
              <w:t>供应商（以下简称乙方）：***</w:t>
            </w:r>
          </w:p>
          <w:p w14:paraId="61247CA1">
            <w:pPr>
              <w:rPr>
                <w:b/>
                <w:bCs/>
                <w:szCs w:val="21"/>
              </w:rPr>
            </w:pPr>
            <w:r>
              <w:rPr>
                <w:b/>
                <w:bCs/>
                <w:szCs w:val="21"/>
              </w:rPr>
              <w:t>地址：***</w:t>
            </w:r>
          </w:p>
          <w:p w14:paraId="0748EE1F">
            <w:pPr>
              <w:rPr>
                <w:b/>
                <w:bCs/>
                <w:szCs w:val="21"/>
              </w:rPr>
            </w:pPr>
            <w:r>
              <w:rPr>
                <w:b/>
                <w:bCs/>
                <w:szCs w:val="21"/>
              </w:rPr>
              <w:t>移动电话：***</w:t>
            </w:r>
          </w:p>
          <w:p w14:paraId="1A68FCDB">
            <w:pPr>
              <w:contextualSpacing/>
              <w:rPr>
                <w:b/>
                <w:bCs/>
                <w:szCs w:val="21"/>
              </w:rPr>
            </w:pPr>
            <w:r>
              <w:rPr>
                <w:b/>
                <w:bCs/>
                <w:szCs w:val="21"/>
              </w:rPr>
              <w:t>联系人：***</w:t>
            </w:r>
          </w:p>
          <w:p w14:paraId="28B7DF60">
            <w:pPr>
              <w:rPr>
                <w:bCs/>
                <w:szCs w:val="21"/>
              </w:rPr>
            </w:pPr>
            <w:r>
              <w:rPr>
                <w:rFonts w:hint="eastAsia"/>
                <w:b/>
                <w:bCs/>
                <w:szCs w:val="21"/>
              </w:rPr>
              <w:t>电子邮件：</w:t>
            </w:r>
            <w:r>
              <w:rPr>
                <w:rFonts w:hint="eastAsia"/>
                <w:szCs w:val="21"/>
              </w:rPr>
              <w:t>*</w:t>
            </w:r>
            <w:r>
              <w:rPr>
                <w:szCs w:val="21"/>
              </w:rPr>
              <w:t>**</w:t>
            </w:r>
          </w:p>
        </w:tc>
      </w:tr>
    </w:tbl>
    <w:p w14:paraId="2EA78E17">
      <w:pPr>
        <w:ind w:firstLine="420" w:firstLineChars="200"/>
        <w:contextualSpacing/>
        <w:jc w:val="left"/>
        <w:rPr>
          <w:color w:val="000000"/>
          <w:szCs w:val="21"/>
        </w:rPr>
      </w:pPr>
    </w:p>
    <w:p w14:paraId="441E58E2">
      <w:pPr>
        <w:keepNext w:val="0"/>
        <w:keepLines w:val="0"/>
        <w:pageBreakBefore w:val="0"/>
        <w:kinsoku/>
        <w:wordWrap/>
        <w:overflowPunct/>
        <w:topLinePunct w:val="0"/>
        <w:autoSpaceDE/>
        <w:autoSpaceDN/>
        <w:bidi w:val="0"/>
        <w:adjustRightInd w:val="0"/>
        <w:spacing w:line="380" w:lineRule="exact"/>
        <w:ind w:firstLine="420" w:firstLineChars="200"/>
        <w:contextualSpacing/>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t>根据《中华人民共和国民法典》及甲方发布的***项目（项目编号</w:t>
      </w:r>
      <w:permStart w:id="0" w:edGrp="everyone"/>
      <w:r>
        <w:rPr>
          <w:rFonts w:hint="eastAsia" w:ascii="宋体" w:hAnsi="宋体" w:eastAsia="宋体" w:cs="宋体"/>
          <w:color w:val="000000"/>
          <w:sz w:val="21"/>
          <w:szCs w:val="21"/>
        </w:rPr>
        <w:t>：</w:t>
      </w:r>
      <w:r>
        <w:rPr>
          <w:rFonts w:hint="eastAsia" w:ascii="宋体" w:hAnsi="宋体" w:eastAsia="宋体" w:cs="宋体"/>
          <w:sz w:val="21"/>
          <w:szCs w:val="21"/>
        </w:rPr>
        <w:t>***</w:t>
      </w:r>
      <w:permEnd w:id="0"/>
      <w:r>
        <w:rPr>
          <w:rFonts w:hint="eastAsia" w:ascii="宋体" w:hAnsi="宋体" w:eastAsia="宋体" w:cs="宋体"/>
          <w:color w:val="000000"/>
          <w:sz w:val="21"/>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73FA94FD">
      <w:pPr>
        <w:keepNext w:val="0"/>
        <w:keepLines w:val="0"/>
        <w:pageBreakBefore w:val="0"/>
        <w:kinsoku/>
        <w:wordWrap/>
        <w:overflowPunct/>
        <w:topLinePunct w:val="0"/>
        <w:autoSpaceDE/>
        <w:autoSpaceDN/>
        <w:bidi w:val="0"/>
        <w:spacing w:line="380" w:lineRule="exact"/>
        <w:contextualSpacing/>
        <w:jc w:val="left"/>
        <w:textAlignment w:val="auto"/>
        <w:rPr>
          <w:rFonts w:hint="eastAsia" w:ascii="宋体" w:hAnsi="宋体" w:eastAsia="宋体" w:cs="宋体"/>
          <w:b/>
          <w:sz w:val="21"/>
          <w:szCs w:val="21"/>
        </w:rPr>
      </w:pPr>
    </w:p>
    <w:p w14:paraId="7056C779">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合同标的</w:t>
      </w:r>
    </w:p>
    <w:p w14:paraId="415479D1">
      <w:pPr>
        <w:pStyle w:val="9"/>
        <w:keepNext w:val="0"/>
        <w:keepLines w:val="0"/>
        <w:pageBreakBefore w:val="0"/>
        <w:numPr>
          <w:ilvl w:val="0"/>
          <w:numId w:val="13"/>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标的名称：</w:t>
      </w:r>
      <w:permStart w:id="1" w:edGrp="everyone"/>
      <w:r>
        <w:rPr>
          <w:rFonts w:hint="eastAsia" w:ascii="宋体" w:hAnsi="宋体" w:eastAsia="宋体" w:cs="宋体"/>
          <w:sz w:val="21"/>
          <w:szCs w:val="21"/>
        </w:rPr>
        <w:t>***</w:t>
      </w:r>
      <w:permEnd w:id="1"/>
      <w:r>
        <w:rPr>
          <w:rFonts w:hint="eastAsia" w:ascii="宋体" w:hAnsi="宋体" w:eastAsia="宋体" w:cs="宋体"/>
          <w:sz w:val="21"/>
          <w:szCs w:val="21"/>
        </w:rPr>
        <w:t>。</w:t>
      </w:r>
    </w:p>
    <w:p w14:paraId="3BF9DD04">
      <w:pPr>
        <w:pStyle w:val="9"/>
        <w:keepNext w:val="0"/>
        <w:keepLines w:val="0"/>
        <w:pageBreakBefore w:val="0"/>
        <w:numPr>
          <w:ilvl w:val="0"/>
          <w:numId w:val="13"/>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乙方向甲方提供服务的主要内容：***。</w:t>
      </w:r>
    </w:p>
    <w:p w14:paraId="6D2EB496">
      <w:pPr>
        <w:pStyle w:val="9"/>
        <w:keepNext w:val="0"/>
        <w:keepLines w:val="0"/>
        <w:pageBreakBefore w:val="0"/>
        <w:numPr>
          <w:ilvl w:val="0"/>
          <w:numId w:val="13"/>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服务分项明细：</w:t>
      </w:r>
      <w:r>
        <w:rPr>
          <w:rFonts w:hint="eastAsia" w:ascii="宋体" w:hAnsi="宋体" w:eastAsia="宋体" w:cs="宋体"/>
          <w:i/>
          <w:iCs/>
          <w:color w:val="000000"/>
          <w:sz w:val="21"/>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10E9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3FB9A22">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977" w:type="dxa"/>
            <w:vAlign w:val="center"/>
          </w:tcPr>
          <w:p w14:paraId="3771F800">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分项服务名称</w:t>
            </w:r>
          </w:p>
        </w:tc>
        <w:tc>
          <w:tcPr>
            <w:tcW w:w="3686" w:type="dxa"/>
            <w:vAlign w:val="center"/>
          </w:tcPr>
          <w:p w14:paraId="57B98AC9">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具体内容</w:t>
            </w:r>
          </w:p>
        </w:tc>
        <w:tc>
          <w:tcPr>
            <w:tcW w:w="963" w:type="dxa"/>
            <w:vAlign w:val="center"/>
          </w:tcPr>
          <w:p w14:paraId="6C4FA119">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分项价格（万元）</w:t>
            </w:r>
          </w:p>
        </w:tc>
        <w:tc>
          <w:tcPr>
            <w:tcW w:w="2016" w:type="dxa"/>
          </w:tcPr>
          <w:p w14:paraId="244801FB">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438F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582AD6D">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977" w:type="dxa"/>
            <w:vAlign w:val="center"/>
          </w:tcPr>
          <w:p w14:paraId="11F0DA10">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62B17BE">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ECDA59F">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7BA806A3">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F03C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7B340F5">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977" w:type="dxa"/>
            <w:vAlign w:val="center"/>
          </w:tcPr>
          <w:p w14:paraId="169BC297">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AFAE82A">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10E29181">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5FD0073">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49F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CDE7B27">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977" w:type="dxa"/>
            <w:vAlign w:val="center"/>
          </w:tcPr>
          <w:p w14:paraId="2CE6C4D3">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09D28D0D">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73D6A1D">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42047A3">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3B27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82A42DB">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977" w:type="dxa"/>
            <w:vAlign w:val="center"/>
          </w:tcPr>
          <w:p w14:paraId="28940AE5">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30698DDF">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5561E28F">
            <w:pPr>
              <w:pStyle w:val="29"/>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11260044">
            <w:pPr>
              <w:pStyle w:val="29"/>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bl>
    <w:p w14:paraId="68219535">
      <w:pPr>
        <w:pStyle w:val="29"/>
        <w:keepNext w:val="0"/>
        <w:keepLines w:val="0"/>
        <w:pageBreakBefore w:val="0"/>
        <w:numPr>
          <w:ilvl w:val="0"/>
          <w:numId w:val="12"/>
        </w:numPr>
        <w:kinsoku/>
        <w:wordWrap/>
        <w:overflowPunct/>
        <w:topLinePunct w:val="0"/>
        <w:autoSpaceDE/>
        <w:autoSpaceDN/>
        <w:bidi w:val="0"/>
        <w:spacing w:line="380" w:lineRule="exact"/>
        <w:ind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合同价款</w:t>
      </w:r>
    </w:p>
    <w:p w14:paraId="5AABFA69">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bookmarkStart w:id="95" w:name="OLE_LINK2"/>
      <w:bookmarkStart w:id="96" w:name="OLE_LINK1"/>
      <w:r>
        <w:rPr>
          <w:rFonts w:hint="eastAsia" w:ascii="宋体" w:hAnsi="宋体" w:eastAsia="宋体" w:cs="宋体"/>
          <w:color w:val="000000"/>
          <w:sz w:val="21"/>
          <w:szCs w:val="21"/>
        </w:rPr>
        <w:sym w:font="Wingdings 2" w:char="F052"/>
      </w:r>
      <w:r>
        <w:rPr>
          <w:rFonts w:hint="eastAsia" w:ascii="宋体" w:hAnsi="宋体" w:eastAsia="宋体" w:cs="宋体"/>
          <w:sz w:val="21"/>
          <w:szCs w:val="21"/>
        </w:rPr>
        <w:t>全包服务</w:t>
      </w:r>
    </w:p>
    <w:p w14:paraId="2AE35938">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D7A97F3">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半包服务</w:t>
      </w:r>
    </w:p>
    <w:p w14:paraId="0B7863E9">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1.本合同固定部分价款为</w:t>
      </w:r>
      <w:bookmarkStart w:id="97" w:name="OLE_LINK28"/>
      <w:r>
        <w:rPr>
          <w:rFonts w:hint="eastAsia" w:ascii="宋体" w:hAnsi="宋体" w:eastAsia="宋体" w:cs="宋体"/>
          <w:sz w:val="21"/>
          <w:szCs w:val="21"/>
        </w:rPr>
        <w:t>人民币大写：*** 圆整，即RMB *** 元</w:t>
      </w:r>
      <w:bookmarkEnd w:id="97"/>
      <w:r>
        <w:rPr>
          <w:rFonts w:hint="eastAsia" w:ascii="宋体" w:hAnsi="宋体" w:eastAsia="宋体" w:cs="宋体"/>
          <w:sz w:val="21"/>
          <w:szCs w:val="21"/>
        </w:rPr>
        <w:t>，该部分价款已包括***及税费在内的全部含税费用。本合同执行期间该部分合同价款不变，甲方无须向乙方支付本合同规定之外的其他任何费用。</w:t>
      </w:r>
    </w:p>
    <w:p w14:paraId="3C7CF0E4">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sz w:val="21"/>
          <w:szCs w:val="21"/>
          <w:highlight w:val="yellow"/>
        </w:rPr>
        <w:t>&lt;根据项目实际情况编制结算依据、标准等必要内容&gt;</w:t>
      </w:r>
    </w:p>
    <w:p w14:paraId="3D7C634B">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按实结算</w:t>
      </w:r>
    </w:p>
    <w:p w14:paraId="1E1C3EEC">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本合同支付总额不超过人民币大写：*** 圆整，即RMB *** 元，依据本合同单价进行结算，结算单价详见附件1《结算单价清单》。</w:t>
      </w:r>
    </w:p>
    <w:bookmarkEnd w:id="95"/>
    <w:bookmarkEnd w:id="96"/>
    <w:p w14:paraId="340C2782">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服务期限</w:t>
      </w:r>
      <w:r>
        <w:rPr>
          <w:rFonts w:hint="eastAsia" w:ascii="宋体" w:hAnsi="宋体" w:eastAsia="宋体" w:cs="宋体"/>
          <w:i/>
          <w:iCs/>
          <w:sz w:val="21"/>
          <w:szCs w:val="21"/>
          <w:highlight w:val="yellow"/>
        </w:rPr>
        <w:t>&lt;根据项目实际情况选择&gt;</w:t>
      </w:r>
    </w:p>
    <w:p w14:paraId="4BE0F017">
      <w:pPr>
        <w:pStyle w:val="29"/>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本</w:t>
      </w:r>
      <w:r>
        <w:rPr>
          <w:rFonts w:hint="eastAsia" w:ascii="宋体" w:hAnsi="宋体" w:eastAsia="宋体" w:cs="宋体"/>
          <w:bCs/>
          <w:sz w:val="21"/>
          <w:szCs w:val="21"/>
        </w:rPr>
        <w:t>合同服务期限为 *** 年，自 202* 年 *** 月 *** 日起至 202* 年 *** 月 *** 日。</w:t>
      </w:r>
    </w:p>
    <w:p w14:paraId="4AAA599B">
      <w:pPr>
        <w:pStyle w:val="29"/>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p>
    <w:p w14:paraId="6E934571">
      <w:pPr>
        <w:pStyle w:val="29"/>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本合同服务期限为双方签字盖章生效之日起 *** 年，即自 202* 年 *** 月 *** 日起至 202* 年 *** 月 *** 日。</w:t>
      </w:r>
    </w:p>
    <w:p w14:paraId="4E684401">
      <w:pPr>
        <w:pStyle w:val="29"/>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p>
    <w:p w14:paraId="3061A74C">
      <w:pPr>
        <w:pStyle w:val="29"/>
        <w:keepNext w:val="0"/>
        <w:keepLines w:val="0"/>
        <w:pageBreakBefore w:val="0"/>
        <w:kinsoku/>
        <w:wordWrap/>
        <w:overflowPunct/>
        <w:topLinePunct w:val="0"/>
        <w:autoSpaceDE/>
        <w:autoSpaceDN/>
        <w:bidi w:val="0"/>
        <w:spacing w:line="380" w:lineRule="exact"/>
        <w:ind w:left="105" w:leftChars="50" w:firstLine="315" w:firstLineChars="150"/>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本项目服务期为</w:t>
      </w:r>
      <w:r>
        <w:rPr>
          <w:rFonts w:hint="eastAsia" w:ascii="宋体" w:hAnsi="宋体" w:eastAsia="宋体" w:cs="宋体"/>
          <w:bCs/>
          <w:sz w:val="21"/>
          <w:szCs w:val="21"/>
          <w:u w:val="single"/>
        </w:rPr>
        <w:t>叁</w:t>
      </w:r>
      <w:r>
        <w:rPr>
          <w:rFonts w:hint="eastAsia" w:ascii="宋体" w:hAnsi="宋体" w:eastAsia="宋体" w:cs="宋体"/>
          <w:bCs/>
          <w:sz w:val="21"/>
          <w:szCs w:val="21"/>
        </w:rPr>
        <w:t>年（自202*年**月**日到202*年**月**日），合同一年一签，每年服务费为人民币 *** 元（大写：*** 圆整）。本合同为第***期，服务期为自202*年***月***日至202*年**月**日</w:t>
      </w:r>
      <w:r>
        <w:rPr>
          <w:rFonts w:hint="eastAsia" w:ascii="宋体" w:hAnsi="宋体" w:eastAsia="宋体" w:cs="宋体"/>
          <w:bCs/>
          <w:sz w:val="21"/>
          <w:szCs w:val="21"/>
          <w:u w:val="single"/>
        </w:rPr>
        <w:t>，经甲方考核合格后续签下一年合同</w:t>
      </w:r>
      <w:bookmarkStart w:id="98" w:name="OLE_LINK29"/>
      <w:r>
        <w:rPr>
          <w:rFonts w:hint="eastAsia" w:ascii="宋体" w:hAnsi="宋体" w:eastAsia="宋体" w:cs="宋体"/>
          <w:bCs/>
          <w:sz w:val="21"/>
          <w:szCs w:val="21"/>
        </w:rPr>
        <w:t>，考核标准详见附件</w:t>
      </w:r>
      <w:r>
        <w:rPr>
          <w:rFonts w:hint="eastAsia" w:ascii="宋体" w:hAnsi="宋体" w:eastAsia="宋体" w:cs="宋体"/>
          <w:bCs/>
          <w:sz w:val="21"/>
          <w:szCs w:val="21"/>
          <w:u w:val="single"/>
        </w:rPr>
        <w:t>2</w:t>
      </w:r>
      <w:r>
        <w:rPr>
          <w:rFonts w:hint="eastAsia" w:ascii="宋体" w:hAnsi="宋体" w:eastAsia="宋体" w:cs="宋体"/>
          <w:bCs/>
          <w:sz w:val="21"/>
          <w:szCs w:val="21"/>
        </w:rPr>
        <w:t>《考核标准》</w:t>
      </w:r>
      <w:bookmarkEnd w:id="98"/>
      <w:r>
        <w:rPr>
          <w:rFonts w:hint="eastAsia" w:ascii="宋体" w:hAnsi="宋体" w:eastAsia="宋体" w:cs="宋体"/>
          <w:bCs/>
          <w:sz w:val="21"/>
          <w:szCs w:val="21"/>
        </w:rPr>
        <w:t>。</w:t>
      </w:r>
    </w:p>
    <w:p w14:paraId="1345B3CD">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服务方案</w:t>
      </w:r>
    </w:p>
    <w:p w14:paraId="2DFF92A6">
      <w:pPr>
        <w:keepNext w:val="0"/>
        <w:keepLines w:val="0"/>
        <w:pageBreakBefore w:val="0"/>
        <w:kinsoku/>
        <w:wordWrap/>
        <w:overflowPunct/>
        <w:topLinePunct w:val="0"/>
        <w:autoSpaceDE/>
        <w:autoSpaceDN/>
        <w:bidi w:val="0"/>
        <w:spacing w:line="380" w:lineRule="exact"/>
        <w:ind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bCs/>
          <w:sz w:val="21"/>
          <w:szCs w:val="21"/>
        </w:rPr>
        <w:t>乙方应严格按照本合同服务方案和甲方要求提供服务，服务方案详见附件3《服务方案》。</w:t>
      </w:r>
    </w:p>
    <w:p w14:paraId="63FC2639">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验收</w:t>
      </w:r>
    </w:p>
    <w:p w14:paraId="236C5AD2">
      <w:pPr>
        <w:pStyle w:val="29"/>
        <w:keepNext w:val="0"/>
        <w:keepLines w:val="0"/>
        <w:pageBreakBefore w:val="0"/>
        <w:numPr>
          <w:ilvl w:val="0"/>
          <w:numId w:val="14"/>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甲、乙双方确定，按照本合同约定的验收方案对乙方按本合同约定所提供的服务进行验收。</w:t>
      </w:r>
    </w:p>
    <w:p w14:paraId="127A3D11">
      <w:pPr>
        <w:pStyle w:val="29"/>
        <w:keepNext w:val="0"/>
        <w:keepLines w:val="0"/>
        <w:pageBreakBefore w:val="0"/>
        <w:numPr>
          <w:ilvl w:val="0"/>
          <w:numId w:val="14"/>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验收方案：</w:t>
      </w:r>
    </w:p>
    <w:p w14:paraId="2D539E51">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验收主体：甲方</w:t>
      </w:r>
    </w:p>
    <w:p w14:paraId="295587D2">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验收组织方式：自行验收</w:t>
      </w:r>
    </w:p>
    <w:p w14:paraId="34F2CC8C">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验收程序：</w:t>
      </w:r>
      <w:r>
        <w:rPr>
          <w:rFonts w:hint="eastAsia" w:ascii="宋体" w:hAnsi="宋体" w:eastAsia="宋体" w:cs="宋体"/>
          <w:sz w:val="21"/>
          <w:szCs w:val="21"/>
        </w:rPr>
        <w:sym w:font="Wingdings 2" w:char="F052"/>
      </w:r>
      <w:r>
        <w:rPr>
          <w:rFonts w:hint="eastAsia" w:ascii="宋体" w:hAnsi="宋体" w:eastAsia="宋体" w:cs="宋体"/>
          <w:color w:val="000000"/>
          <w:sz w:val="21"/>
          <w:szCs w:val="21"/>
        </w:rPr>
        <w:t xml:space="preserve">一次性验收   </w:t>
      </w:r>
      <w:r>
        <w:rPr>
          <w:rFonts w:hint="eastAsia" w:ascii="宋体" w:hAnsi="宋体" w:eastAsia="宋体" w:cs="宋体"/>
          <w:sz w:val="21"/>
          <w:szCs w:val="21"/>
        </w:rPr>
        <w:sym w:font="Wingdings" w:char="F0A8"/>
      </w:r>
      <w:r>
        <w:rPr>
          <w:rFonts w:hint="eastAsia" w:ascii="宋体" w:hAnsi="宋体" w:eastAsia="宋体" w:cs="宋体"/>
          <w:color w:val="000000"/>
          <w:sz w:val="21"/>
          <w:szCs w:val="21"/>
        </w:rPr>
        <w:t>分段/分期验收</w:t>
      </w:r>
    </w:p>
    <w:p w14:paraId="2E46B810">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验收方式：</w:t>
      </w: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现场整体验收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考核验收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其它验收方式：</w:t>
      </w:r>
      <w:r>
        <w:rPr>
          <w:rFonts w:hint="eastAsia" w:ascii="宋体" w:hAnsi="宋体" w:eastAsia="宋体" w:cs="宋体"/>
          <w:color w:val="000000"/>
          <w:sz w:val="21"/>
          <w:szCs w:val="21"/>
          <w:u w:val="single"/>
          <w:shd w:val="clear" w:color="auto" w:fill="FFFFFF"/>
        </w:rPr>
        <w:t>***</w:t>
      </w:r>
    </w:p>
    <w:p w14:paraId="5B04528B">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履约验收内容：按照甲方的采购文件要求及乙方响应文件响应情况，由乙方向甲方提供的</w:t>
      </w:r>
      <w:r>
        <w:rPr>
          <w:rFonts w:hint="eastAsia" w:ascii="宋体" w:hAnsi="宋体" w:eastAsia="宋体" w:cs="宋体"/>
          <w:sz w:val="21"/>
          <w:szCs w:val="21"/>
          <w:u w:val="single"/>
        </w:rPr>
        <w:t>全部服务</w:t>
      </w:r>
      <w:r>
        <w:rPr>
          <w:rFonts w:hint="eastAsia" w:ascii="宋体" w:hAnsi="宋体" w:eastAsia="宋体" w:cs="宋体"/>
          <w:sz w:val="21"/>
          <w:szCs w:val="21"/>
        </w:rPr>
        <w:t>的履约情况。</w:t>
      </w:r>
    </w:p>
    <w:p w14:paraId="39A66DC0">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履约验收时间：</w:t>
      </w:r>
    </w:p>
    <w:p w14:paraId="648CD316">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服务期满且乙方完成所有服务内容后X日内通知甲方验收，甲方接乙方通知后X日内组织验收</w:t>
      </w:r>
    </w:p>
    <w:p w14:paraId="3670B147">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乙方完成每一阶段或轮次服务内容后X日内通知甲方验收，甲方接乙方通知后X日内组织验收</w:t>
      </w:r>
    </w:p>
    <w:p w14:paraId="5C285C00">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甲方完成考核后X日内组织验收</w:t>
      </w:r>
    </w:p>
    <w:p w14:paraId="467A026E">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 xml:space="preserve">其它验收时间：            </w:t>
      </w:r>
    </w:p>
    <w:p w14:paraId="6032832C">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是否邀请本项目的其他供应商：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3DE4A81">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是否邀请专家：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0ADBF2E">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是否邀请服务对象：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8D634F9">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是否邀请第三方检测机构：</w:t>
      </w:r>
      <w:r>
        <w:rPr>
          <w:rFonts w:hint="eastAsia" w:ascii="宋体" w:hAnsi="宋体" w:eastAsia="宋体" w:cs="宋体"/>
          <w:kern w:val="0"/>
          <w:sz w:val="21"/>
          <w:szCs w:val="21"/>
          <w:shd w:val="clear" w:color="auto" w:fill="FFFFFF"/>
        </w:rPr>
        <w:t xml:space="preserve">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7ADBF3D">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验收标准：</w:t>
      </w:r>
    </w:p>
    <w:p w14:paraId="7DF51521">
      <w:pPr>
        <w:pStyle w:val="16"/>
        <w:keepNext w:val="0"/>
        <w:keepLines w:val="0"/>
        <w:pageBreakBefore w:val="0"/>
        <w:numPr>
          <w:ilvl w:val="0"/>
          <w:numId w:val="16"/>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bookmarkStart w:id="99" w:name="OLE_LINK4"/>
      <w:r>
        <w:rPr>
          <w:rFonts w:hint="eastAsia" w:ascii="宋体" w:hAnsi="宋体" w:eastAsia="宋体" w:cs="宋体"/>
          <w:sz w:val="21"/>
          <w:szCs w:val="21"/>
          <w:shd w:val="clear" w:color="auto" w:fill="FFFFFF"/>
        </w:rPr>
        <w:t>国家相关法律法规、行业标准、技术规范。</w:t>
      </w:r>
    </w:p>
    <w:p w14:paraId="250FB2C4">
      <w:pPr>
        <w:pStyle w:val="16"/>
        <w:keepNext w:val="0"/>
        <w:keepLines w:val="0"/>
        <w:pageBreakBefore w:val="0"/>
        <w:numPr>
          <w:ilvl w:val="0"/>
          <w:numId w:val="16"/>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甲方采购文件相关技术、服务要求、乙方响应文件相关响应内容。</w:t>
      </w:r>
    </w:p>
    <w:p w14:paraId="49CB302A">
      <w:pPr>
        <w:pStyle w:val="16"/>
        <w:keepNext w:val="0"/>
        <w:keepLines w:val="0"/>
        <w:pageBreakBefore w:val="0"/>
        <w:numPr>
          <w:ilvl w:val="0"/>
          <w:numId w:val="16"/>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如本项目验收方式为考核验收，则考核结果须为合格。</w:t>
      </w:r>
    </w:p>
    <w:bookmarkEnd w:id="99"/>
    <w:p w14:paraId="7B51151F">
      <w:pPr>
        <w:pStyle w:val="16"/>
        <w:keepNext w:val="0"/>
        <w:keepLines w:val="0"/>
        <w:pageBreakBefore w:val="0"/>
        <w:numPr>
          <w:ilvl w:val="0"/>
          <w:numId w:val="16"/>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如验收时，甲方与乙方认为本项目验收标准中的技术指标、质量要求等内容存在相互抵触或对其理解存在异议，应按照其中更严格的要求、标准等进行验收。</w:t>
      </w:r>
    </w:p>
    <w:p w14:paraId="1F93FEF8">
      <w:pPr>
        <w:pStyle w:val="16"/>
        <w:keepNext w:val="0"/>
        <w:keepLines w:val="0"/>
        <w:pageBreakBefore w:val="0"/>
        <w:numPr>
          <w:ilvl w:val="0"/>
          <w:numId w:val="16"/>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参照《财政部关于进一步加强政府采购需求和履约验收管理的指导意见》（财库〔2016〕205号）的要求进行验收。</w:t>
      </w:r>
    </w:p>
    <w:p w14:paraId="0A93B369">
      <w:pPr>
        <w:pStyle w:val="16"/>
        <w:keepNext w:val="0"/>
        <w:keepLines w:val="0"/>
        <w:pageBreakBefore w:val="0"/>
        <w:numPr>
          <w:ilvl w:val="0"/>
          <w:numId w:val="16"/>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其它标准：</w:t>
      </w:r>
      <w:r>
        <w:rPr>
          <w:rFonts w:hint="eastAsia" w:ascii="宋体" w:hAnsi="宋体" w:eastAsia="宋体" w:cs="宋体"/>
          <w:sz w:val="21"/>
          <w:szCs w:val="21"/>
          <w:u w:val="single"/>
        </w:rPr>
        <w:t>无。</w:t>
      </w:r>
    </w:p>
    <w:p w14:paraId="5E710AB7">
      <w:pPr>
        <w:pStyle w:val="29"/>
        <w:keepNext w:val="0"/>
        <w:keepLines w:val="0"/>
        <w:pageBreakBefore w:val="0"/>
        <w:numPr>
          <w:ilvl w:val="0"/>
          <w:numId w:val="15"/>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其它验收要求：</w:t>
      </w:r>
      <w:r>
        <w:rPr>
          <w:rFonts w:hint="eastAsia" w:ascii="宋体" w:hAnsi="宋体" w:eastAsia="宋体" w:cs="宋体"/>
          <w:color w:val="000000"/>
          <w:kern w:val="0"/>
          <w:sz w:val="21"/>
          <w:szCs w:val="21"/>
          <w:u w:val="single"/>
        </w:rPr>
        <w:t>无</w:t>
      </w:r>
      <w:r>
        <w:rPr>
          <w:rFonts w:hint="eastAsia" w:ascii="宋体" w:hAnsi="宋体" w:eastAsia="宋体" w:cs="宋体"/>
          <w:i/>
          <w:iCs/>
          <w:color w:val="000000"/>
          <w:kern w:val="0"/>
          <w:sz w:val="21"/>
          <w:szCs w:val="21"/>
          <w:highlight w:val="yellow"/>
        </w:rPr>
        <w:t>&lt;如有请填写</w:t>
      </w:r>
      <w:r>
        <w:rPr>
          <w:rFonts w:hint="eastAsia" w:ascii="宋体" w:hAnsi="宋体" w:eastAsia="宋体" w:cs="宋体"/>
          <w:i/>
          <w:iCs/>
          <w:color w:val="000000"/>
          <w:kern w:val="0"/>
          <w:sz w:val="21"/>
          <w:szCs w:val="21"/>
        </w:rPr>
        <w:t>&gt;</w:t>
      </w:r>
    </w:p>
    <w:p w14:paraId="119A7F8A">
      <w:pPr>
        <w:pStyle w:val="29"/>
        <w:keepNext w:val="0"/>
        <w:keepLines w:val="0"/>
        <w:pageBreakBefore w:val="0"/>
        <w:numPr>
          <w:ilvl w:val="0"/>
          <w:numId w:val="1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5580944F">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付款方式</w:t>
      </w:r>
    </w:p>
    <w:p w14:paraId="34E3500A">
      <w:pPr>
        <w:pStyle w:val="9"/>
        <w:keepNext w:val="0"/>
        <w:keepLines w:val="0"/>
        <w:pageBreakBefore w:val="0"/>
        <w:numPr>
          <w:ilvl w:val="0"/>
          <w:numId w:val="17"/>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履约保证金：</w:t>
      </w:r>
    </w:p>
    <w:p w14:paraId="59AB7DD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乙方在合同签订生效之日起的</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个工作日内，按合同总价</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%支付履约保证金；本合同服务期满且验收合格后，甲方接到乙方付款申请后</w:t>
      </w:r>
      <w:r>
        <w:rPr>
          <w:rFonts w:hint="eastAsia" w:ascii="宋体" w:hAnsi="宋体" w:eastAsia="宋体" w:cs="宋体"/>
          <w:color w:val="000000"/>
          <w:sz w:val="21"/>
          <w:szCs w:val="21"/>
          <w:u w:val="single"/>
        </w:rPr>
        <w:t>30</w:t>
      </w:r>
      <w:r>
        <w:rPr>
          <w:rFonts w:hint="eastAsia" w:ascii="宋体" w:hAnsi="宋体" w:eastAsia="宋体" w:cs="宋体"/>
          <w:color w:val="000000"/>
          <w:sz w:val="21"/>
          <w:szCs w:val="21"/>
        </w:rPr>
        <w:t>个工作日内，甲方一次性无息退还乙方的履约保证金；经验收后乙方履约不合格的，履约保证金不予退还。</w:t>
      </w:r>
    </w:p>
    <w:p w14:paraId="0812993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本合同不涉及履约保证金。</w:t>
      </w:r>
    </w:p>
    <w:p w14:paraId="18BED6E0">
      <w:pPr>
        <w:pStyle w:val="9"/>
        <w:keepNext w:val="0"/>
        <w:keepLines w:val="0"/>
        <w:pageBreakBefore w:val="0"/>
        <w:numPr>
          <w:ilvl w:val="0"/>
          <w:numId w:val="17"/>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本合同价款采用以下方式支付，以人民币结算：</w:t>
      </w:r>
    </w:p>
    <w:p w14:paraId="61FC3AD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一次性支付：</w:t>
      </w:r>
    </w:p>
    <w:p w14:paraId="5E3F27F7">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sz w:val="21"/>
          <w:szCs w:val="21"/>
        </w:rPr>
        <w:t>本合同服务期满且经甲方验收合格后</w:t>
      </w:r>
      <w:r>
        <w:rPr>
          <w:rFonts w:hint="eastAsia" w:ascii="宋体" w:hAnsi="宋体" w:eastAsia="宋体" w:cs="宋体"/>
          <w:sz w:val="21"/>
          <w:szCs w:val="21"/>
          <w:u w:val="single"/>
        </w:rPr>
        <w:t>5</w:t>
      </w:r>
      <w:r>
        <w:rPr>
          <w:rFonts w:hint="eastAsia" w:ascii="宋体" w:hAnsi="宋体" w:eastAsia="宋体" w:cs="宋体"/>
          <w:sz w:val="21"/>
          <w:szCs w:val="21"/>
        </w:rPr>
        <w:t>日内</w:t>
      </w:r>
      <w:r>
        <w:rPr>
          <w:rFonts w:hint="eastAsia" w:ascii="宋体" w:hAnsi="宋体" w:eastAsia="宋体" w:cs="宋体"/>
          <w:color w:val="000000"/>
          <w:sz w:val="21"/>
          <w:szCs w:val="21"/>
        </w:rPr>
        <w:t>，乙方须向甲方提供合法有效票据及其他相关请款资料，甲方自收到乙方请款资料后</w:t>
      </w:r>
      <w:r>
        <w:rPr>
          <w:rFonts w:hint="eastAsia" w:ascii="宋体" w:hAnsi="宋体" w:eastAsia="宋体" w:cs="宋体"/>
          <w:color w:val="000000"/>
          <w:sz w:val="21"/>
          <w:szCs w:val="21"/>
          <w:u w:val="single"/>
        </w:rPr>
        <w:t>55</w:t>
      </w:r>
      <w:r>
        <w:rPr>
          <w:rFonts w:hint="eastAsia" w:ascii="宋体" w:hAnsi="宋体" w:eastAsia="宋体" w:cs="宋体"/>
          <w:color w:val="000000"/>
          <w:sz w:val="21"/>
          <w:szCs w:val="21"/>
        </w:rPr>
        <w:t>日内支付合同总价100%的金额给乙方。</w:t>
      </w:r>
    </w:p>
    <w:p w14:paraId="767FF6C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分阶段支付，支付期限、方式及额度如下：</w:t>
      </w:r>
    </w:p>
    <w:p w14:paraId="3EAFD114">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bookmarkStart w:id="100" w:name="OLE_LINK30"/>
      <w:r>
        <w:rPr>
          <w:rFonts w:hint="eastAsia" w:ascii="宋体" w:hAnsi="宋体" w:eastAsia="宋体" w:cs="宋体"/>
          <w:sz w:val="21"/>
          <w:szCs w:val="21"/>
        </w:rPr>
        <w:t>固定部分价款</w:t>
      </w:r>
      <w:bookmarkEnd w:id="100"/>
      <w:r>
        <w:rPr>
          <w:rFonts w:hint="eastAsia" w:ascii="宋体" w:hAnsi="宋体" w:eastAsia="宋体" w:cs="宋体"/>
          <w:color w:val="000000"/>
          <w:sz w:val="21"/>
          <w:szCs w:val="21"/>
        </w:rPr>
        <w:t>：</w:t>
      </w:r>
      <w:r>
        <w:rPr>
          <w:rFonts w:hint="eastAsia" w:ascii="宋体" w:hAnsi="宋体" w:eastAsia="宋体" w:cs="宋体"/>
          <w:sz w:val="21"/>
          <w:szCs w:val="21"/>
        </w:rPr>
        <w:t>本合同服务期满且经甲方验收合格后5日内</w:t>
      </w:r>
      <w:r>
        <w:rPr>
          <w:rFonts w:hint="eastAsia" w:ascii="宋体" w:hAnsi="宋体" w:eastAsia="宋体" w:cs="宋体"/>
          <w:color w:val="000000"/>
          <w:sz w:val="21"/>
          <w:szCs w:val="21"/>
        </w:rPr>
        <w:t>，乙方须向甲方提供合法有效票据及其他相关请款资料，甲方自收到乙方请款资料后55日内向乙方支付本合同</w:t>
      </w:r>
      <w:r>
        <w:rPr>
          <w:rFonts w:hint="eastAsia" w:ascii="宋体" w:hAnsi="宋体" w:eastAsia="宋体" w:cs="宋体"/>
          <w:color w:val="000000"/>
          <w:sz w:val="21"/>
          <w:szCs w:val="21"/>
          <w:u w:val="single"/>
        </w:rPr>
        <w:t>第二条</w:t>
      </w:r>
      <w:r>
        <w:rPr>
          <w:rFonts w:hint="eastAsia" w:ascii="宋体" w:hAnsi="宋体" w:eastAsia="宋体" w:cs="宋体"/>
          <w:color w:val="000000"/>
          <w:sz w:val="21"/>
          <w:szCs w:val="21"/>
        </w:rPr>
        <w:t>写明的全部</w:t>
      </w:r>
      <w:r>
        <w:rPr>
          <w:rFonts w:hint="eastAsia" w:ascii="宋体" w:hAnsi="宋体" w:eastAsia="宋体" w:cs="宋体"/>
          <w:sz w:val="21"/>
          <w:szCs w:val="21"/>
        </w:rPr>
        <w:t>固定部分价款</w:t>
      </w:r>
      <w:r>
        <w:rPr>
          <w:rFonts w:hint="eastAsia" w:ascii="宋体" w:hAnsi="宋体" w:eastAsia="宋体" w:cs="宋体"/>
          <w:color w:val="000000"/>
          <w:sz w:val="21"/>
          <w:szCs w:val="21"/>
        </w:rPr>
        <w:t>。</w:t>
      </w:r>
    </w:p>
    <w:p w14:paraId="75A0C735">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（2）按实结算部分：每</w:t>
      </w:r>
      <w:r>
        <w:rPr>
          <w:rFonts w:hint="eastAsia" w:ascii="宋体" w:hAnsi="宋体" w:eastAsia="宋体" w:cs="宋体"/>
          <w:color w:val="000000"/>
          <w:sz w:val="21"/>
          <w:szCs w:val="21"/>
          <w:u w:val="single"/>
        </w:rPr>
        <w:t>XX</w:t>
      </w:r>
      <w:r>
        <w:rPr>
          <w:rFonts w:hint="eastAsia" w:ascii="宋体" w:hAnsi="宋体" w:eastAsia="宋体" w:cs="宋体"/>
          <w:i/>
          <w:iCs/>
          <w:sz w:val="21"/>
          <w:szCs w:val="21"/>
          <w:highlight w:val="yellow"/>
        </w:rPr>
        <w:t>&lt;约定按固定周期支付的（如每季度），可根据项目具体情况编制本条款&gt;</w:t>
      </w:r>
      <w:r>
        <w:rPr>
          <w:rFonts w:hint="eastAsia" w:ascii="宋体" w:hAnsi="宋体" w:eastAsia="宋体" w:cs="宋体"/>
          <w:color w:val="000000"/>
          <w:sz w:val="21"/>
          <w:szCs w:val="21"/>
        </w:rPr>
        <w:t>结算一次费用，结算单价以</w:t>
      </w:r>
      <w:r>
        <w:rPr>
          <w:rFonts w:hint="eastAsia" w:ascii="宋体" w:hAnsi="宋体" w:eastAsia="宋体" w:cs="宋体"/>
          <w:sz w:val="21"/>
          <w:szCs w:val="21"/>
        </w:rPr>
        <w:t>《结算单价清单》</w:t>
      </w:r>
      <w:r>
        <w:rPr>
          <w:rFonts w:hint="eastAsia" w:ascii="宋体" w:hAnsi="宋体" w:eastAsia="宋体" w:cs="宋体"/>
          <w:color w:val="000000"/>
          <w:sz w:val="21"/>
          <w:szCs w:val="21"/>
        </w:rPr>
        <w:t>为准。</w:t>
      </w:r>
      <w:r>
        <w:rPr>
          <w:rFonts w:hint="eastAsia" w:ascii="宋体" w:hAnsi="宋体" w:eastAsia="宋体" w:cs="宋体"/>
          <w:sz w:val="21"/>
          <w:szCs w:val="21"/>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sz w:val="21"/>
          <w:szCs w:val="21"/>
          <w:u w:val="single"/>
          <w:lang w:bidi="ar"/>
        </w:rPr>
        <w:t>55</w:t>
      </w:r>
      <w:r>
        <w:rPr>
          <w:rFonts w:hint="eastAsia" w:ascii="宋体" w:hAnsi="宋体" w:eastAsia="宋体" w:cs="宋体"/>
          <w:sz w:val="21"/>
          <w:szCs w:val="21"/>
          <w:lang w:bidi="ar"/>
        </w:rPr>
        <w:t>日内，向乙方全额支付上述结算费用。</w:t>
      </w:r>
    </w:p>
    <w:p w14:paraId="5EC2C152">
      <w:pPr>
        <w:pStyle w:val="9"/>
        <w:keepNext w:val="0"/>
        <w:keepLines w:val="0"/>
        <w:pageBreakBefore w:val="0"/>
        <w:numPr>
          <w:ilvl w:val="0"/>
          <w:numId w:val="17"/>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甲方付款前，乙方需</w:t>
      </w:r>
      <w:r>
        <w:rPr>
          <w:rFonts w:hint="eastAsia" w:ascii="宋体" w:hAnsi="宋体" w:eastAsia="宋体" w:cs="宋体"/>
          <w:sz w:val="21"/>
          <w:szCs w:val="21"/>
          <w:lang w:bidi="ar"/>
        </w:rPr>
        <w:t>提供合法有效票据及其他相关请款资料</w:t>
      </w:r>
      <w:r>
        <w:rPr>
          <w:rFonts w:hint="eastAsia" w:ascii="宋体" w:hAnsi="宋体" w:eastAsia="宋体" w:cs="宋体"/>
          <w:sz w:val="21"/>
          <w:szCs w:val="21"/>
        </w:rPr>
        <w:t>，否则甲方有权拒绝支付且不承担任何违约责任，且乙方不得因此停止服务。</w:t>
      </w:r>
    </w:p>
    <w:p w14:paraId="2DC0CC99">
      <w:pPr>
        <w:pStyle w:val="9"/>
        <w:keepNext w:val="0"/>
        <w:keepLines w:val="0"/>
        <w:pageBreakBefore w:val="0"/>
        <w:numPr>
          <w:ilvl w:val="0"/>
          <w:numId w:val="17"/>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乙方开票信息应与合同预留账户信息一致。如有变更，乙方应当在变更后3日内通知甲方。否则，由此造成的损失由乙方自行承担。</w:t>
      </w:r>
    </w:p>
    <w:p w14:paraId="56D9DF46">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双方权利与义务</w:t>
      </w:r>
    </w:p>
    <w:p w14:paraId="62705D20">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甲方权利与义务</w:t>
      </w:r>
    </w:p>
    <w:p w14:paraId="590E8BAC">
      <w:pPr>
        <w:pStyle w:val="29"/>
        <w:keepNext w:val="0"/>
        <w:keepLines w:val="0"/>
        <w:pageBreakBefore w:val="0"/>
        <w:numPr>
          <w:ilvl w:val="0"/>
          <w:numId w:val="19"/>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按合同约定向乙方支付费用。</w:t>
      </w:r>
    </w:p>
    <w:p w14:paraId="184833A4">
      <w:pPr>
        <w:pStyle w:val="29"/>
        <w:keepNext w:val="0"/>
        <w:keepLines w:val="0"/>
        <w:pageBreakBefore w:val="0"/>
        <w:numPr>
          <w:ilvl w:val="0"/>
          <w:numId w:val="19"/>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保证乙方实施服务所必须的外部条件如电源、水源的正常供应及开启、关闭等。</w:t>
      </w:r>
    </w:p>
    <w:p w14:paraId="08C6B074">
      <w:pPr>
        <w:pStyle w:val="29"/>
        <w:keepNext w:val="0"/>
        <w:keepLines w:val="0"/>
        <w:pageBreakBefore w:val="0"/>
        <w:numPr>
          <w:ilvl w:val="0"/>
          <w:numId w:val="19"/>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对于乙方在提供服务期间所提供的信息，甲方应予保密，未经乙方书面同意，甲方不得擅自使用或透露给第三方。</w:t>
      </w:r>
    </w:p>
    <w:p w14:paraId="0BCD5926">
      <w:pPr>
        <w:pStyle w:val="29"/>
        <w:keepNext w:val="0"/>
        <w:keepLines w:val="0"/>
        <w:pageBreakBefore w:val="0"/>
        <w:numPr>
          <w:ilvl w:val="0"/>
          <w:numId w:val="19"/>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甲方对服务人员不满意的，有权要求乙方在7日内更换相关服务人员。</w:t>
      </w:r>
    </w:p>
    <w:p w14:paraId="60C8337D">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乙方权利与义务</w:t>
      </w:r>
    </w:p>
    <w:p w14:paraId="5EC5F453">
      <w:pPr>
        <w:pStyle w:val="9"/>
        <w:keepNext w:val="0"/>
        <w:keepLines w:val="0"/>
        <w:pageBreakBefore w:val="0"/>
        <w:numPr>
          <w:ilvl w:val="0"/>
          <w:numId w:val="20"/>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按本合同约定向甲方提供服务。</w:t>
      </w:r>
    </w:p>
    <w:p w14:paraId="02A9CF7D">
      <w:pPr>
        <w:pStyle w:val="9"/>
        <w:keepNext w:val="0"/>
        <w:keepLines w:val="0"/>
        <w:pageBreakBefore w:val="0"/>
        <w:numPr>
          <w:ilvl w:val="0"/>
          <w:numId w:val="20"/>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乙方应保证提供的服务人员具备相应的服务能力和服务资质（如涉及）。</w:t>
      </w:r>
    </w:p>
    <w:p w14:paraId="531E4955">
      <w:pPr>
        <w:pStyle w:val="9"/>
        <w:keepNext w:val="0"/>
        <w:keepLines w:val="0"/>
        <w:pageBreakBefore w:val="0"/>
        <w:numPr>
          <w:ilvl w:val="0"/>
          <w:numId w:val="20"/>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735C6A19">
      <w:pPr>
        <w:pStyle w:val="9"/>
        <w:keepNext w:val="0"/>
        <w:keepLines w:val="0"/>
        <w:pageBreakBefore w:val="0"/>
        <w:numPr>
          <w:ilvl w:val="0"/>
          <w:numId w:val="20"/>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如服务涉及计算机软件产品的，乙方须承诺在服务中设备安装的软件已获得软件厂商的正规授权。</w:t>
      </w:r>
    </w:p>
    <w:p w14:paraId="2C58BFE1">
      <w:pPr>
        <w:pStyle w:val="9"/>
        <w:keepNext w:val="0"/>
        <w:keepLines w:val="0"/>
        <w:pageBreakBefore w:val="0"/>
        <w:numPr>
          <w:ilvl w:val="0"/>
          <w:numId w:val="20"/>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乙方对在按本合同约定向甲方提供服务过程中所获得的所有数据、商业秘密或其它技术及经营信息负有保密的义务，不得向任何第三方透露或泄露。</w:t>
      </w:r>
    </w:p>
    <w:p w14:paraId="11B61F2D">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违约责任</w:t>
      </w:r>
      <w:r>
        <w:rPr>
          <w:rFonts w:hint="eastAsia" w:ascii="宋体" w:hAnsi="宋体" w:eastAsia="宋体" w:cs="宋体"/>
          <w:bCs/>
          <w:i/>
          <w:iCs/>
          <w:sz w:val="21"/>
          <w:szCs w:val="21"/>
          <w:highlight w:val="yellow"/>
        </w:rPr>
        <w:t>&lt;本条款中违约金比例可根据项目实际情况确定，如合同无固定总金额的，请按实际需求调整表述&gt;</w:t>
      </w:r>
    </w:p>
    <w:p w14:paraId="5EFE946D">
      <w:pPr>
        <w:pStyle w:val="9"/>
        <w:keepNext w:val="0"/>
        <w:keepLines w:val="0"/>
        <w:pageBreakBefore w:val="0"/>
        <w:numPr>
          <w:ilvl w:val="0"/>
          <w:numId w:val="21"/>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甲方违约责任：甲方无正当理由拒绝乙方按本合同约定提供服务的，甲方应偿付合同总金额的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p w14:paraId="5A3E43BF">
      <w:pPr>
        <w:pStyle w:val="29"/>
        <w:keepNext w:val="0"/>
        <w:keepLines w:val="0"/>
        <w:pageBreakBefore w:val="0"/>
        <w:numPr>
          <w:ilvl w:val="0"/>
          <w:numId w:val="21"/>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乙方违约责任：</w:t>
      </w:r>
    </w:p>
    <w:p w14:paraId="12D093B7">
      <w:pPr>
        <w:pStyle w:val="9"/>
        <w:keepNext w:val="0"/>
        <w:keepLines w:val="0"/>
        <w:pageBreakBefore w:val="0"/>
        <w:numPr>
          <w:ilvl w:val="0"/>
          <w:numId w:val="22"/>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bookmarkStart w:id="101" w:name="OLE_LINK17"/>
      <w:bookmarkStart w:id="102" w:name="OLE_LINK18"/>
      <w:r>
        <w:rPr>
          <w:rFonts w:hint="eastAsia" w:ascii="宋体" w:hAnsi="宋体" w:eastAsia="宋体" w:cs="宋体"/>
          <w:sz w:val="21"/>
          <w:szCs w:val="21"/>
        </w:rPr>
        <w:t>乙方应派遣具备相关资质的技术人员为甲方提供服务，服务过程中，乙方技术人员因操作不当、未采取必要的安全防范措施等原因导致安全责任事故的，由乙方承担由此造成的全部法律责任。</w:t>
      </w:r>
    </w:p>
    <w:p w14:paraId="029AD166">
      <w:pPr>
        <w:pStyle w:val="9"/>
        <w:keepNext w:val="0"/>
        <w:keepLines w:val="0"/>
        <w:pageBreakBefore w:val="0"/>
        <w:numPr>
          <w:ilvl w:val="0"/>
          <w:numId w:val="22"/>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因乙方在服务中更换的备品备件或原材料在质保期内并在正常使用情况下出现质量原因导致甲方或第三方财产或人身损害的，由乙方承担赔偿责任。</w:t>
      </w:r>
    </w:p>
    <w:p w14:paraId="76D10404">
      <w:pPr>
        <w:pStyle w:val="9"/>
        <w:keepNext w:val="0"/>
        <w:keepLines w:val="0"/>
        <w:pageBreakBefore w:val="0"/>
        <w:numPr>
          <w:ilvl w:val="0"/>
          <w:numId w:val="22"/>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在本合同的履行中，如乙方提供的服务存在设计、工艺或材料缺陷（包括潜在缺陷），乙方应当对由于上述缺陷造成的损失负责。</w:t>
      </w:r>
    </w:p>
    <w:p w14:paraId="1A31D2A4">
      <w:pPr>
        <w:pStyle w:val="9"/>
        <w:keepNext w:val="0"/>
        <w:keepLines w:val="0"/>
        <w:pageBreakBefore w:val="0"/>
        <w:numPr>
          <w:ilvl w:val="0"/>
          <w:numId w:val="22"/>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在本合同履行中，如乙方未按本合同约定及时向甲方提供服务，每发生一次，乙方应按</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lang w:val="en-US" w:eastAsia="zh-CN"/>
        </w:rPr>
        <w:t>3</w:t>
      </w:r>
      <w:r>
        <w:rPr>
          <w:rFonts w:hint="eastAsia" w:ascii="宋体" w:hAnsi="宋体" w:eastAsia="宋体" w:cs="宋体"/>
          <w:sz w:val="21"/>
          <w:szCs w:val="21"/>
        </w:rPr>
        <w:t>‰向甲方支付违约金。甲方可采取必要的补救措施，但由此而产生的风险责任和费用将由乙方负担，甲方根据合同规定对乙方行使的其他权利不受影响。</w:t>
      </w:r>
    </w:p>
    <w:p w14:paraId="41D4BAD0">
      <w:pPr>
        <w:pStyle w:val="9"/>
        <w:keepNext w:val="0"/>
        <w:keepLines w:val="0"/>
        <w:pageBreakBefore w:val="0"/>
        <w:numPr>
          <w:ilvl w:val="0"/>
          <w:numId w:val="22"/>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乙方在提供服务过程中侵犯他人知识产权，甲方有权单方解除合同，并要求乙方赔偿所造成的损失，同时甲方有权要求对方按照</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%支付违约金。</w:t>
      </w:r>
    </w:p>
    <w:p w14:paraId="78342411">
      <w:pPr>
        <w:pStyle w:val="9"/>
        <w:keepNext w:val="0"/>
        <w:keepLines w:val="0"/>
        <w:pageBreakBefore w:val="0"/>
        <w:numPr>
          <w:ilvl w:val="0"/>
          <w:numId w:val="22"/>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乙方违反保密义务，甲方有权单方解除合同，乙方应按甲方实际损失向甲方进行赔偿并向甲方支付</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bookmarkEnd w:id="101"/>
    <w:bookmarkEnd w:id="102"/>
    <w:p w14:paraId="771B9E3D">
      <w:pPr>
        <w:pStyle w:val="9"/>
        <w:keepNext w:val="0"/>
        <w:keepLines w:val="0"/>
        <w:pageBreakBefore w:val="0"/>
        <w:numPr>
          <w:ilvl w:val="0"/>
          <w:numId w:val="22"/>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乙方偿付的违约金不足以弥补甲方损失的，还应按甲方损失尚未弥补的部分，支付赔偿金给甲方。</w:t>
      </w:r>
    </w:p>
    <w:p w14:paraId="21B207D0">
      <w:pPr>
        <w:pStyle w:val="9"/>
        <w:keepNext w:val="0"/>
        <w:keepLines w:val="0"/>
        <w:pageBreakBefore w:val="0"/>
        <w:numPr>
          <w:ilvl w:val="0"/>
          <w:numId w:val="22"/>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乙方未按照本合同约定的时限提供合法发票或提供发票瑕疵（包括但不限于发票种类有误、发票金额有误等），甲方付款时限相应顺延并不承担任何延期支付的违约责任。</w:t>
      </w:r>
    </w:p>
    <w:p w14:paraId="33339C13">
      <w:pPr>
        <w:pStyle w:val="9"/>
        <w:keepNext w:val="0"/>
        <w:keepLines w:val="0"/>
        <w:pageBreakBefore w:val="0"/>
        <w:numPr>
          <w:ilvl w:val="0"/>
          <w:numId w:val="22"/>
        </w:numPr>
        <w:kinsoku/>
        <w:wordWrap/>
        <w:overflowPunct/>
        <w:topLinePunct w:val="0"/>
        <w:autoSpaceDE/>
        <w:autoSpaceDN/>
        <w:bidi w:val="0"/>
        <w:snapToGrid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DD8785D">
      <w:pPr>
        <w:pStyle w:val="9"/>
        <w:keepNext w:val="0"/>
        <w:keepLines w:val="0"/>
        <w:pageBreakBefore w:val="0"/>
        <w:kinsoku/>
        <w:wordWrap/>
        <w:overflowPunct/>
        <w:topLinePunct w:val="0"/>
        <w:autoSpaceDE/>
        <w:autoSpaceDN/>
        <w:bidi w:val="0"/>
        <w:spacing w:after="0" w:line="380" w:lineRule="exact"/>
        <w:ind w:left="0" w:leftChars="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3.本合同履行中如有任何一方违约，那么守约方为保障自己合法权益而产生的律师费、诉讼费、差旅费、公告费等，均由违约方承担。</w:t>
      </w:r>
    </w:p>
    <w:p w14:paraId="087BCB4B">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不可抗力</w:t>
      </w:r>
    </w:p>
    <w:p w14:paraId="078B8FD4">
      <w:pPr>
        <w:pStyle w:val="29"/>
        <w:keepNext w:val="0"/>
        <w:keepLines w:val="0"/>
        <w:pageBreakBefore w:val="0"/>
        <w:kinsoku/>
        <w:wordWrap/>
        <w:overflowPunct/>
        <w:topLinePunct w:val="0"/>
        <w:autoSpaceDE/>
        <w:autoSpaceDN/>
        <w:bidi w:val="0"/>
        <w:snapToGrid w:val="0"/>
        <w:spacing w:line="380" w:lineRule="exact"/>
        <w:textAlignment w:val="auto"/>
        <w:rPr>
          <w:rFonts w:hint="eastAsia" w:ascii="宋体" w:hAnsi="宋体" w:eastAsia="宋体" w:cs="宋体"/>
          <w:bCs/>
          <w:sz w:val="21"/>
          <w:szCs w:val="21"/>
        </w:rPr>
      </w:pPr>
      <w:r>
        <w:rPr>
          <w:rFonts w:hint="eastAsia" w:ascii="宋体" w:hAnsi="宋体" w:eastAsia="宋体" w:cs="宋体"/>
          <w:bCs/>
          <w:sz w:val="21"/>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 w:val="21"/>
          <w:szCs w:val="21"/>
          <w:lang w:val="en-US" w:eastAsia="zh-CN"/>
        </w:rPr>
        <w:t>30</w:t>
      </w:r>
      <w:r>
        <w:rPr>
          <w:rFonts w:hint="eastAsia" w:ascii="宋体" w:hAnsi="宋体" w:eastAsia="宋体" w:cs="宋体"/>
          <w:bCs/>
          <w:sz w:val="21"/>
          <w:szCs w:val="21"/>
        </w:rPr>
        <w:t>日，甲方有权解除合同，双方互不承担违约责任。</w:t>
      </w:r>
    </w:p>
    <w:p w14:paraId="04BDE3C0">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合同终止及解除</w:t>
      </w:r>
    </w:p>
    <w:p w14:paraId="552B5126">
      <w:pPr>
        <w:pStyle w:val="29"/>
        <w:keepNext w:val="0"/>
        <w:keepLines w:val="0"/>
        <w:pageBreakBefore w:val="0"/>
        <w:numPr>
          <w:ilvl w:val="0"/>
          <w:numId w:val="23"/>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合同一方发现可能致使本合同无法按约定继续履行的情形时，应当及时通知另一方并采取适当措施减少损失；没有及时通知并采取适当措施，致使损失扩大的，应当就扩大的损失承担责任。</w:t>
      </w:r>
    </w:p>
    <w:p w14:paraId="7C5340A4">
      <w:pPr>
        <w:pStyle w:val="29"/>
        <w:keepNext w:val="0"/>
        <w:keepLines w:val="0"/>
        <w:pageBreakBefore w:val="0"/>
        <w:numPr>
          <w:ilvl w:val="0"/>
          <w:numId w:val="23"/>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在甲、乙任何一方有严重违约行为时，另一方有权单方解除合同。</w:t>
      </w:r>
    </w:p>
    <w:p w14:paraId="5E63D4DE">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争议解决办法</w:t>
      </w:r>
    </w:p>
    <w:p w14:paraId="26D21314">
      <w:pPr>
        <w:pStyle w:val="29"/>
        <w:keepNext w:val="0"/>
        <w:keepLines w:val="0"/>
        <w:pageBreakBefore w:val="0"/>
        <w:numPr>
          <w:ilvl w:val="0"/>
          <w:numId w:val="2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因服务质量问题发生争议，由质量技术监督部门或其指定的质量鉴定机构进行质量鉴定，结果符合标准的，鉴定费由甲方承担；不符合标准的，鉴定费由乙方承担。</w:t>
      </w:r>
    </w:p>
    <w:p w14:paraId="029A6F91">
      <w:pPr>
        <w:pStyle w:val="29"/>
        <w:keepNext w:val="0"/>
        <w:keepLines w:val="0"/>
        <w:pageBreakBefore w:val="0"/>
        <w:numPr>
          <w:ilvl w:val="0"/>
          <w:numId w:val="2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合同履行期间,若双方发生争议，可协商或由有关部门调解解决，协商或调解不成的，任何一方均有权向甲方所在地具有管辖权的人民法院起诉。</w:t>
      </w:r>
    </w:p>
    <w:p w14:paraId="49B19412">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送达（送达地址是司法机关、执法机关和仲裁机关将法律文书送达给当事人的收件地址）</w:t>
      </w:r>
    </w:p>
    <w:p w14:paraId="0636E1A3">
      <w:pPr>
        <w:pStyle w:val="34"/>
        <w:keepNext w:val="0"/>
        <w:keepLines w:val="0"/>
        <w:pageBreakBefore w:val="0"/>
        <w:numPr>
          <w:ilvl w:val="0"/>
          <w:numId w:val="25"/>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甲方送达地址：四川省成都市青羊区一环路西二段32号。</w:t>
      </w:r>
    </w:p>
    <w:p w14:paraId="362D409A">
      <w:pPr>
        <w:pStyle w:val="34"/>
        <w:keepNext w:val="0"/>
        <w:keepLines w:val="0"/>
        <w:pageBreakBefore w:val="0"/>
        <w:numPr>
          <w:ilvl w:val="0"/>
          <w:numId w:val="25"/>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乙方送达地址：***</w:t>
      </w:r>
    </w:p>
    <w:p w14:paraId="6C978075">
      <w:pPr>
        <w:pStyle w:val="34"/>
        <w:keepNext w:val="0"/>
        <w:keepLines w:val="0"/>
        <w:pageBreakBefore w:val="0"/>
        <w:numPr>
          <w:ilvl w:val="0"/>
          <w:numId w:val="25"/>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600EECE">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其他</w:t>
      </w:r>
    </w:p>
    <w:p w14:paraId="306815CF">
      <w:pPr>
        <w:pStyle w:val="29"/>
        <w:keepNext w:val="0"/>
        <w:keepLines w:val="0"/>
        <w:pageBreakBefore w:val="0"/>
        <w:numPr>
          <w:ilvl w:val="0"/>
          <w:numId w:val="26"/>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如有未尽事宜，由双方依法订立补充合同。补充合同及本合同附件均为本合同的组成部分，与本合同具有同等法律效力。</w:t>
      </w:r>
    </w:p>
    <w:p w14:paraId="513D143F">
      <w:pPr>
        <w:pStyle w:val="29"/>
        <w:keepNext w:val="0"/>
        <w:keepLines w:val="0"/>
        <w:pageBreakBefore w:val="0"/>
        <w:numPr>
          <w:ilvl w:val="0"/>
          <w:numId w:val="26"/>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本合同一式四份，自双方签字且盖章之日起生效。甲方三份，乙方一份。</w:t>
      </w:r>
    </w:p>
    <w:p w14:paraId="5C9514A7">
      <w:pPr>
        <w:pStyle w:val="29"/>
        <w:keepNext w:val="0"/>
        <w:keepLines w:val="0"/>
        <w:pageBreakBefore w:val="0"/>
        <w:numPr>
          <w:ilvl w:val="0"/>
          <w:numId w:val="12"/>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合同附件</w:t>
      </w:r>
    </w:p>
    <w:p w14:paraId="3A8F98E9">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本合同为</w:t>
      </w:r>
      <w:r>
        <w:rPr>
          <w:rFonts w:hint="eastAsia" w:ascii="宋体" w:hAnsi="宋体" w:eastAsia="宋体" w:cs="宋体"/>
          <w:sz w:val="21"/>
          <w:szCs w:val="21"/>
          <w:u w:val="single"/>
        </w:rPr>
        <w:t>有</w:t>
      </w:r>
      <w:r>
        <w:rPr>
          <w:rFonts w:hint="eastAsia" w:ascii="宋体" w:hAnsi="宋体" w:eastAsia="宋体" w:cs="宋体"/>
          <w:sz w:val="21"/>
          <w:szCs w:val="21"/>
        </w:rPr>
        <w:t>附件合同，附件如下：</w:t>
      </w:r>
      <w:r>
        <w:rPr>
          <w:rFonts w:hint="eastAsia" w:ascii="宋体" w:hAnsi="宋体" w:eastAsia="宋体" w:cs="宋体"/>
          <w:i/>
          <w:iCs/>
          <w:sz w:val="21"/>
          <w:szCs w:val="21"/>
          <w:highlight w:val="yellow"/>
        </w:rPr>
        <w:t>&lt;根据项目实际情况编制&gt;</w:t>
      </w:r>
    </w:p>
    <w:p w14:paraId="1C68F264">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附件1《</w:t>
      </w:r>
      <w:bookmarkStart w:id="103" w:name="OLE_LINK32"/>
      <w:r>
        <w:rPr>
          <w:rFonts w:hint="eastAsia" w:ascii="宋体" w:hAnsi="宋体" w:eastAsia="宋体" w:cs="宋体"/>
          <w:sz w:val="21"/>
          <w:szCs w:val="21"/>
        </w:rPr>
        <w:t>结算单价清单</w:t>
      </w:r>
      <w:bookmarkEnd w:id="103"/>
      <w:r>
        <w:rPr>
          <w:rFonts w:hint="eastAsia" w:ascii="宋体" w:hAnsi="宋体" w:eastAsia="宋体" w:cs="宋体"/>
          <w:sz w:val="21"/>
          <w:szCs w:val="21"/>
        </w:rPr>
        <w:t>》</w:t>
      </w:r>
    </w:p>
    <w:p w14:paraId="316CDF16">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附件2《考核标准》</w:t>
      </w:r>
    </w:p>
    <w:p w14:paraId="47EE6110">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附件3《服务方案》</w:t>
      </w:r>
    </w:p>
    <w:p w14:paraId="552DC3E7">
      <w:pPr>
        <w:keepNext w:val="0"/>
        <w:keepLines w:val="0"/>
        <w:pageBreakBefore w:val="0"/>
        <w:kinsoku/>
        <w:wordWrap/>
        <w:overflowPunct/>
        <w:topLinePunct w:val="0"/>
        <w:autoSpaceDE/>
        <w:autoSpaceDN/>
        <w:bidi w:val="0"/>
        <w:spacing w:line="38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——以下无正文——</w:t>
      </w:r>
    </w:p>
    <w:tbl>
      <w:tblPr>
        <w:tblStyle w:val="18"/>
        <w:tblW w:w="5000" w:type="pct"/>
        <w:jc w:val="center"/>
        <w:tblLayout w:type="autofit"/>
        <w:tblCellMar>
          <w:top w:w="0" w:type="dxa"/>
          <w:left w:w="0" w:type="dxa"/>
          <w:bottom w:w="0" w:type="dxa"/>
          <w:right w:w="0" w:type="dxa"/>
        </w:tblCellMar>
      </w:tblPr>
      <w:tblGrid>
        <w:gridCol w:w="4688"/>
        <w:gridCol w:w="4950"/>
      </w:tblGrid>
      <w:tr w14:paraId="76DEE611">
        <w:tblPrEx>
          <w:tblCellMar>
            <w:top w:w="0" w:type="dxa"/>
            <w:left w:w="0" w:type="dxa"/>
            <w:bottom w:w="0" w:type="dxa"/>
            <w:right w:w="0" w:type="dxa"/>
          </w:tblCellMar>
        </w:tblPrEx>
        <w:trPr>
          <w:trHeight w:val="519" w:hRule="atLeast"/>
          <w:jc w:val="center"/>
        </w:trPr>
        <w:tc>
          <w:tcPr>
            <w:tcW w:w="10214" w:type="dxa"/>
            <w:gridSpan w:val="2"/>
          </w:tcPr>
          <w:p w14:paraId="41A7EEB0">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签订时间：202*年***月***日</w:t>
            </w:r>
          </w:p>
        </w:tc>
      </w:tr>
      <w:tr w14:paraId="3324515B">
        <w:tblPrEx>
          <w:tblCellMar>
            <w:top w:w="0" w:type="dxa"/>
            <w:left w:w="0" w:type="dxa"/>
            <w:bottom w:w="0" w:type="dxa"/>
            <w:right w:w="0" w:type="dxa"/>
          </w:tblCellMar>
        </w:tblPrEx>
        <w:trPr>
          <w:jc w:val="center"/>
        </w:trPr>
        <w:tc>
          <w:tcPr>
            <w:tcW w:w="4967" w:type="dxa"/>
          </w:tcPr>
          <w:p w14:paraId="1914C25A">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甲方：四川省人民医院（盖章）</w:t>
            </w:r>
          </w:p>
          <w:p w14:paraId="51F56BA2">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278998B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    址：四川省成都市一环路西二段32号</w:t>
            </w:r>
          </w:p>
          <w:p w14:paraId="5EF02AD1">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开户银行：建设银行成都青羊支行</w:t>
            </w:r>
          </w:p>
          <w:p w14:paraId="6086BEE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账号：5100 1446 4360 5037 4282</w:t>
            </w:r>
          </w:p>
        </w:tc>
        <w:tc>
          <w:tcPr>
            <w:tcW w:w="5247" w:type="dxa"/>
          </w:tcPr>
          <w:p w14:paraId="4D1217F6">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乙方：</w:t>
            </w:r>
            <w:permStart w:id="2" w:edGrp="everyone"/>
            <w:r>
              <w:rPr>
                <w:rFonts w:hint="eastAsia" w:ascii="宋体" w:hAnsi="宋体" w:eastAsia="宋体" w:cs="宋体"/>
                <w:sz w:val="21"/>
                <w:szCs w:val="21"/>
              </w:rPr>
              <w:t>***</w:t>
            </w:r>
            <w:permEnd w:id="2"/>
            <w:r>
              <w:rPr>
                <w:rFonts w:hint="eastAsia" w:ascii="宋体" w:hAnsi="宋体" w:eastAsia="宋体" w:cs="宋体"/>
                <w:sz w:val="21"/>
                <w:szCs w:val="21"/>
              </w:rPr>
              <w:t>（盖章）</w:t>
            </w:r>
          </w:p>
          <w:p w14:paraId="21FB85E3">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02F3BD67">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地址：</w:t>
            </w:r>
            <w:permStart w:id="3" w:edGrp="everyone"/>
            <w:r>
              <w:rPr>
                <w:rFonts w:hint="eastAsia" w:ascii="宋体" w:hAnsi="宋体" w:eastAsia="宋体" w:cs="宋体"/>
                <w:sz w:val="21"/>
                <w:szCs w:val="21"/>
              </w:rPr>
              <w:t>***</w:t>
            </w:r>
            <w:permEnd w:id="3"/>
          </w:p>
          <w:p w14:paraId="6BB9791B">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w:t>
            </w:r>
            <w:permStart w:id="4" w:edGrp="everyone"/>
            <w:r>
              <w:rPr>
                <w:rFonts w:hint="eastAsia" w:ascii="宋体" w:hAnsi="宋体" w:eastAsia="宋体" w:cs="宋体"/>
                <w:sz w:val="21"/>
                <w:szCs w:val="21"/>
              </w:rPr>
              <w:t>***</w:t>
            </w:r>
          </w:p>
          <w:permEnd w:id="4"/>
          <w:p w14:paraId="5D72E5CB">
            <w:pPr>
              <w:keepNext w:val="0"/>
              <w:keepLines w:val="0"/>
              <w:pageBreakBefore w:val="0"/>
              <w:widowControl/>
              <w:kinsoku/>
              <w:wordWrap/>
              <w:overflowPunct/>
              <w:topLinePunct w:val="0"/>
              <w:autoSpaceDE/>
              <w:autoSpaceDN/>
              <w:bidi w:val="0"/>
              <w:spacing w:line="38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账号：</w:t>
            </w:r>
            <w:permStart w:id="5" w:edGrp="everyone"/>
            <w:r>
              <w:rPr>
                <w:rFonts w:hint="eastAsia" w:ascii="宋体" w:hAnsi="宋体" w:eastAsia="宋体" w:cs="宋体"/>
                <w:sz w:val="21"/>
                <w:szCs w:val="21"/>
              </w:rPr>
              <w:t>***</w:t>
            </w:r>
            <w:permEnd w:id="5"/>
          </w:p>
        </w:tc>
      </w:tr>
    </w:tbl>
    <w:p w14:paraId="3743C453">
      <w:pPr>
        <w:rPr>
          <w:b/>
          <w:bCs/>
          <w:szCs w:val="21"/>
        </w:rPr>
      </w:pPr>
      <w:r>
        <w:rPr>
          <w:b/>
          <w:bCs/>
          <w:szCs w:val="21"/>
        </w:rPr>
        <w:br w:type="page"/>
      </w:r>
    </w:p>
    <w:p w14:paraId="013D3502">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41EED08">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D643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B4895D3">
            <w:pPr>
              <w:widowControl/>
              <w:jc w:val="center"/>
              <w:rPr>
                <w:b/>
                <w:bCs/>
                <w:szCs w:val="21"/>
              </w:rPr>
            </w:pPr>
            <w:r>
              <w:rPr>
                <w:rFonts w:hint="eastAsia"/>
                <w:b/>
                <w:bCs/>
                <w:szCs w:val="21"/>
              </w:rPr>
              <w:t>序号</w:t>
            </w:r>
          </w:p>
        </w:tc>
        <w:tc>
          <w:tcPr>
            <w:tcW w:w="3686" w:type="dxa"/>
            <w:vAlign w:val="center"/>
          </w:tcPr>
          <w:p w14:paraId="19584100">
            <w:pPr>
              <w:widowControl/>
              <w:jc w:val="center"/>
              <w:rPr>
                <w:b/>
                <w:bCs/>
                <w:szCs w:val="21"/>
              </w:rPr>
            </w:pPr>
            <w:r>
              <w:rPr>
                <w:rFonts w:hint="eastAsia"/>
                <w:b/>
                <w:bCs/>
                <w:szCs w:val="21"/>
              </w:rPr>
              <w:t>结算项目名称</w:t>
            </w:r>
          </w:p>
        </w:tc>
        <w:tc>
          <w:tcPr>
            <w:tcW w:w="3402" w:type="dxa"/>
            <w:vAlign w:val="center"/>
          </w:tcPr>
          <w:p w14:paraId="189588A6">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5B33DC3D">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63351272">
            <w:pPr>
              <w:widowControl/>
              <w:jc w:val="center"/>
              <w:rPr>
                <w:b/>
                <w:bCs/>
                <w:szCs w:val="21"/>
              </w:rPr>
            </w:pPr>
            <w:r>
              <w:rPr>
                <w:rFonts w:hint="eastAsia"/>
                <w:b/>
                <w:bCs/>
                <w:szCs w:val="21"/>
              </w:rPr>
              <w:t>结算单价</w:t>
            </w:r>
          </w:p>
        </w:tc>
      </w:tr>
      <w:tr w14:paraId="76E1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3872DB6">
            <w:pPr>
              <w:widowControl/>
              <w:jc w:val="center"/>
              <w:rPr>
                <w:szCs w:val="21"/>
              </w:rPr>
            </w:pPr>
            <w:r>
              <w:rPr>
                <w:rFonts w:hint="eastAsia"/>
                <w:szCs w:val="21"/>
              </w:rPr>
              <w:t>1</w:t>
            </w:r>
          </w:p>
        </w:tc>
        <w:tc>
          <w:tcPr>
            <w:tcW w:w="3686" w:type="dxa"/>
            <w:vAlign w:val="center"/>
          </w:tcPr>
          <w:p w14:paraId="1B51F472">
            <w:pPr>
              <w:widowControl/>
              <w:jc w:val="left"/>
              <w:rPr>
                <w:szCs w:val="21"/>
              </w:rPr>
            </w:pPr>
          </w:p>
        </w:tc>
        <w:tc>
          <w:tcPr>
            <w:tcW w:w="3402" w:type="dxa"/>
            <w:vAlign w:val="center"/>
          </w:tcPr>
          <w:p w14:paraId="7DD7FFC4">
            <w:pPr>
              <w:widowControl/>
              <w:jc w:val="left"/>
              <w:rPr>
                <w:szCs w:val="21"/>
              </w:rPr>
            </w:pPr>
          </w:p>
        </w:tc>
        <w:tc>
          <w:tcPr>
            <w:tcW w:w="992" w:type="dxa"/>
            <w:vAlign w:val="center"/>
          </w:tcPr>
          <w:p w14:paraId="0FE89261">
            <w:pPr>
              <w:widowControl/>
              <w:jc w:val="center"/>
              <w:rPr>
                <w:szCs w:val="21"/>
              </w:rPr>
            </w:pPr>
          </w:p>
        </w:tc>
        <w:tc>
          <w:tcPr>
            <w:tcW w:w="986" w:type="dxa"/>
            <w:vAlign w:val="center"/>
          </w:tcPr>
          <w:p w14:paraId="0F2A25BF">
            <w:pPr>
              <w:widowControl/>
              <w:jc w:val="center"/>
              <w:rPr>
                <w:szCs w:val="21"/>
              </w:rPr>
            </w:pPr>
          </w:p>
        </w:tc>
      </w:tr>
      <w:tr w14:paraId="752D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13D3369">
            <w:pPr>
              <w:widowControl/>
              <w:jc w:val="center"/>
              <w:rPr>
                <w:szCs w:val="21"/>
              </w:rPr>
            </w:pPr>
            <w:r>
              <w:rPr>
                <w:rFonts w:hint="eastAsia"/>
                <w:szCs w:val="21"/>
              </w:rPr>
              <w:t>2</w:t>
            </w:r>
          </w:p>
        </w:tc>
        <w:tc>
          <w:tcPr>
            <w:tcW w:w="3686" w:type="dxa"/>
            <w:vAlign w:val="center"/>
          </w:tcPr>
          <w:p w14:paraId="0A223391">
            <w:pPr>
              <w:widowControl/>
              <w:jc w:val="left"/>
              <w:rPr>
                <w:szCs w:val="21"/>
              </w:rPr>
            </w:pPr>
          </w:p>
        </w:tc>
        <w:tc>
          <w:tcPr>
            <w:tcW w:w="3402" w:type="dxa"/>
            <w:vAlign w:val="center"/>
          </w:tcPr>
          <w:p w14:paraId="41AB15F4">
            <w:pPr>
              <w:widowControl/>
              <w:jc w:val="left"/>
              <w:rPr>
                <w:szCs w:val="21"/>
              </w:rPr>
            </w:pPr>
          </w:p>
        </w:tc>
        <w:tc>
          <w:tcPr>
            <w:tcW w:w="992" w:type="dxa"/>
            <w:vAlign w:val="center"/>
          </w:tcPr>
          <w:p w14:paraId="070B9E57">
            <w:pPr>
              <w:widowControl/>
              <w:jc w:val="center"/>
              <w:rPr>
                <w:szCs w:val="21"/>
              </w:rPr>
            </w:pPr>
          </w:p>
        </w:tc>
        <w:tc>
          <w:tcPr>
            <w:tcW w:w="986" w:type="dxa"/>
            <w:vAlign w:val="center"/>
          </w:tcPr>
          <w:p w14:paraId="6CEDF7E5">
            <w:pPr>
              <w:widowControl/>
              <w:jc w:val="center"/>
              <w:rPr>
                <w:szCs w:val="21"/>
              </w:rPr>
            </w:pPr>
          </w:p>
        </w:tc>
      </w:tr>
      <w:tr w14:paraId="016A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EA6CF83">
            <w:pPr>
              <w:widowControl/>
              <w:jc w:val="center"/>
              <w:rPr>
                <w:szCs w:val="21"/>
              </w:rPr>
            </w:pPr>
            <w:r>
              <w:rPr>
                <w:szCs w:val="21"/>
              </w:rPr>
              <w:t>…</w:t>
            </w:r>
          </w:p>
        </w:tc>
        <w:tc>
          <w:tcPr>
            <w:tcW w:w="3686" w:type="dxa"/>
            <w:vAlign w:val="center"/>
          </w:tcPr>
          <w:p w14:paraId="73663D6A">
            <w:pPr>
              <w:widowControl/>
              <w:jc w:val="left"/>
              <w:rPr>
                <w:szCs w:val="21"/>
              </w:rPr>
            </w:pPr>
          </w:p>
        </w:tc>
        <w:tc>
          <w:tcPr>
            <w:tcW w:w="3402" w:type="dxa"/>
            <w:vAlign w:val="center"/>
          </w:tcPr>
          <w:p w14:paraId="1D6D4B46">
            <w:pPr>
              <w:widowControl/>
              <w:jc w:val="left"/>
              <w:rPr>
                <w:szCs w:val="21"/>
              </w:rPr>
            </w:pPr>
          </w:p>
        </w:tc>
        <w:tc>
          <w:tcPr>
            <w:tcW w:w="992" w:type="dxa"/>
            <w:vAlign w:val="center"/>
          </w:tcPr>
          <w:p w14:paraId="222BAC48">
            <w:pPr>
              <w:widowControl/>
              <w:jc w:val="center"/>
              <w:rPr>
                <w:szCs w:val="21"/>
              </w:rPr>
            </w:pPr>
          </w:p>
        </w:tc>
        <w:tc>
          <w:tcPr>
            <w:tcW w:w="986" w:type="dxa"/>
            <w:vAlign w:val="center"/>
          </w:tcPr>
          <w:p w14:paraId="0F066CCC">
            <w:pPr>
              <w:widowControl/>
              <w:jc w:val="center"/>
              <w:rPr>
                <w:szCs w:val="21"/>
              </w:rPr>
            </w:pPr>
          </w:p>
        </w:tc>
      </w:tr>
    </w:tbl>
    <w:p w14:paraId="7E4B40E7">
      <w:pPr>
        <w:widowControl/>
        <w:jc w:val="left"/>
        <w:rPr>
          <w:szCs w:val="21"/>
        </w:rPr>
        <w:sectPr>
          <w:headerReference r:id="rId6" w:type="default"/>
          <w:footerReference r:id="rId7" w:type="default"/>
          <w:pgSz w:w="11906" w:h="16838"/>
          <w:pgMar w:top="851" w:right="1134" w:bottom="851" w:left="1134" w:header="0" w:footer="567" w:gutter="0"/>
          <w:pgNumType w:fmt="decimal" w:start="1"/>
          <w:cols w:space="425" w:num="1"/>
          <w:docGrid w:linePitch="312" w:charSpace="0"/>
        </w:sectPr>
      </w:pPr>
    </w:p>
    <w:p w14:paraId="05444452">
      <w:pPr>
        <w:widowControl/>
        <w:jc w:val="left"/>
        <w:rPr>
          <w:rFonts w:ascii="宋体" w:hAnsi="宋体"/>
          <w:b/>
          <w:bCs/>
          <w:szCs w:val="21"/>
        </w:rPr>
      </w:pPr>
      <w:r>
        <w:rPr>
          <w:rFonts w:hint="eastAsia" w:ascii="宋体" w:hAnsi="宋体"/>
          <w:b/>
          <w:bCs/>
          <w:szCs w:val="21"/>
        </w:rPr>
        <w:t>附件2：考核标准</w:t>
      </w:r>
    </w:p>
    <w:p w14:paraId="43DD6514"/>
    <w:p w14:paraId="11E34C38">
      <w:r>
        <w:rPr>
          <w:rFonts w:hint="eastAsia"/>
        </w:rPr>
        <w:t>*</w:t>
      </w:r>
      <w:r>
        <w:t>**</w:t>
      </w:r>
    </w:p>
    <w:p w14:paraId="4B448798">
      <w:r>
        <w:br w:type="page"/>
      </w:r>
    </w:p>
    <w:p w14:paraId="2C133F9F">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60BFA308"/>
    <w:p w14:paraId="6F9E11C8">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AA813D5-E704-4953-88DD-1A452035B8B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BDACFF5-6B1D-4891-AAAC-926999B3A4B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4D9DF3A-9D2B-4052-9F69-EC786B13CD9B}"/>
  </w:font>
  <w:font w:name="FangSong_GB2312">
    <w:altName w:val="仿宋"/>
    <w:panose1 w:val="020B0604020000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AD75E6C-63E1-46EA-BADA-993C9C8E86DC}"/>
  </w:font>
  <w:font w:name="Segoe UI Symbol">
    <w:panose1 w:val="020B0502040204020203"/>
    <w:charset w:val="00"/>
    <w:family w:val="swiss"/>
    <w:pitch w:val="default"/>
    <w:sig w:usb0="800001E3" w:usb1="1200FFEF" w:usb2="00040000" w:usb3="04000000" w:csb0="00000001" w:csb1="40000000"/>
    <w:embedRegular r:id="rId5" w:fontKey="{54518361-61DD-4A5C-B941-BFDCE203BF3C}"/>
  </w:font>
  <w:font w:name="Wingdings 2">
    <w:altName w:val="Wingdings"/>
    <w:panose1 w:val="05020102010507070707"/>
    <w:charset w:val="4D"/>
    <w:family w:val="decorative"/>
    <w:pitch w:val="default"/>
    <w:sig w:usb0="00000000" w:usb1="00000000" w:usb2="00000000" w:usb3="00000000" w:csb0="80000000" w:csb1="00000000"/>
    <w:embedRegular r:id="rId6" w:fontKey="{05887959-BEC2-4474-9844-9B369A7CBE1B}"/>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2E5B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1FB22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1FB22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51DE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A51DE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687B7">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lvlText w:val="%1"/>
      <w:lvlJc w:val="left"/>
      <w:pPr>
        <w:tabs>
          <w:tab w:val="left" w:pos="420"/>
        </w:tabs>
        <w:ind w:left="425" w:hanging="425"/>
      </w:pPr>
      <w:rPr>
        <w:rFonts w:hint="default"/>
      </w:rPr>
    </w:lvl>
  </w:abstractNum>
  <w:abstractNum w:abstractNumId="1">
    <w:nsid w:val="00000001"/>
    <w:multiLevelType w:val="singleLevel"/>
    <w:tmpl w:val="00000001"/>
    <w:lvl w:ilvl="0" w:tentative="0">
      <w:start w:val="1"/>
      <w:numFmt w:val="decimal"/>
      <w:suff w:val="nothing"/>
      <w:lvlText w:val="（%1）"/>
      <w:lvlJc w:val="left"/>
    </w:lvl>
  </w:abstractNum>
  <w:abstractNum w:abstractNumId="2">
    <w:nsid w:val="00000002"/>
    <w:multiLevelType w:val="singleLevel"/>
    <w:tmpl w:val="00000002"/>
    <w:lvl w:ilvl="0" w:tentative="0">
      <w:start w:val="1"/>
      <w:numFmt w:val="decimal"/>
      <w:lvlText w:val="(%1)"/>
      <w:lvlJc w:val="left"/>
      <w:pPr>
        <w:tabs>
          <w:tab w:val="left" w:pos="0"/>
        </w:tabs>
        <w:ind w:left="-61" w:firstLine="61"/>
      </w:pPr>
      <w:rPr>
        <w:rFonts w:hint="default"/>
      </w:rPr>
    </w:lvl>
  </w:abstractNum>
  <w:abstractNum w:abstractNumId="3">
    <w:nsid w:val="00000003"/>
    <w:multiLevelType w:val="singleLevel"/>
    <w:tmpl w:val="00000003"/>
    <w:lvl w:ilvl="0" w:tentative="0">
      <w:start w:val="1"/>
      <w:numFmt w:val="chineseCounting"/>
      <w:pStyle w:val="4"/>
      <w:suff w:val="nothing"/>
      <w:lvlText w:val="%1、"/>
      <w:lvlJc w:val="left"/>
      <w:pPr>
        <w:ind w:left="0" w:firstLine="420"/>
      </w:pPr>
      <w:rPr>
        <w:rFonts w:hint="eastAsia"/>
      </w:rPr>
    </w:lvl>
  </w:abstractNum>
  <w:abstractNum w:abstractNumId="4">
    <w:nsid w:val="00000004"/>
    <w:multiLevelType w:val="singleLevel"/>
    <w:tmpl w:val="00000004"/>
    <w:lvl w:ilvl="0" w:tentative="0">
      <w:start w:val="1"/>
      <w:numFmt w:val="decimal"/>
      <w:suff w:val="nothing"/>
      <w:lvlText w:val="（%1）"/>
      <w:lvlJc w:val="left"/>
      <w:pPr>
        <w:ind w:left="-210"/>
      </w:pPr>
    </w:lvl>
  </w:abstractNum>
  <w:abstractNum w:abstractNumId="5">
    <w:nsid w:val="00000005"/>
    <w:multiLevelType w:val="singleLevel"/>
    <w:tmpl w:val="00000005"/>
    <w:lvl w:ilvl="0" w:tentative="0">
      <w:start w:val="1"/>
      <w:numFmt w:val="decimal"/>
      <w:lvlText w:val="(%1)"/>
      <w:lvlJc w:val="left"/>
      <w:pPr>
        <w:ind w:left="218" w:hanging="425"/>
      </w:pPr>
      <w:rPr>
        <w:rFonts w:hint="default"/>
      </w:rPr>
    </w:lvl>
  </w:abstractNum>
  <w:abstractNum w:abstractNumId="6">
    <w:nsid w:val="00000006"/>
    <w:multiLevelType w:val="multilevel"/>
    <w:tmpl w:val="00000006"/>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00000007"/>
    <w:multiLevelType w:val="singleLevel"/>
    <w:tmpl w:val="00000007"/>
    <w:lvl w:ilvl="0" w:tentative="0">
      <w:start w:val="1"/>
      <w:numFmt w:val="decimal"/>
      <w:lvlText w:val="(%1)"/>
      <w:lvlJc w:val="left"/>
      <w:pPr>
        <w:ind w:left="425" w:hanging="425"/>
      </w:pPr>
      <w:rPr>
        <w:rFonts w:hint="default"/>
      </w:rPr>
    </w:lvl>
  </w:abstractNum>
  <w:abstractNum w:abstractNumId="8">
    <w:nsid w:val="00000008"/>
    <w:multiLevelType w:val="multilevel"/>
    <w:tmpl w:val="00000008"/>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9">
    <w:nsid w:val="00000009"/>
    <w:multiLevelType w:val="singleLevel"/>
    <w:tmpl w:val="00000009"/>
    <w:lvl w:ilvl="0" w:tentative="0">
      <w:start w:val="1"/>
      <w:numFmt w:val="decimal"/>
      <w:lvlText w:val="%1."/>
      <w:lvlJc w:val="left"/>
      <w:pPr>
        <w:tabs>
          <w:tab w:val="left" w:pos="0"/>
        </w:tabs>
        <w:ind w:left="0" w:firstLine="0"/>
      </w:pPr>
      <w:rPr>
        <w:rFonts w:hint="default"/>
      </w:rPr>
    </w:lvl>
  </w:abstractNum>
  <w:abstractNum w:abstractNumId="10">
    <w:nsid w:val="0000000A"/>
    <w:multiLevelType w:val="singleLevel"/>
    <w:tmpl w:val="0000000A"/>
    <w:lvl w:ilvl="0" w:tentative="0">
      <w:start w:val="1"/>
      <w:numFmt w:val="decimal"/>
      <w:lvlText w:val="%1"/>
      <w:lvlJc w:val="left"/>
      <w:pPr>
        <w:tabs>
          <w:tab w:val="left" w:pos="0"/>
        </w:tabs>
        <w:ind w:left="210" w:firstLine="0"/>
      </w:pPr>
      <w:rPr>
        <w:rFonts w:hint="default"/>
      </w:rPr>
    </w:lvl>
  </w:abstractNum>
  <w:abstractNum w:abstractNumId="11">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5">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7">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8">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3"/>
  </w:num>
  <w:num w:numId="3">
    <w:abstractNumId w:val="8"/>
  </w:num>
  <w:num w:numId="4">
    <w:abstractNumId w:val="10"/>
  </w:num>
  <w:num w:numId="5">
    <w:abstractNumId w:val="5"/>
  </w:num>
  <w:num w:numId="6">
    <w:abstractNumId w:val="9"/>
  </w:num>
  <w:num w:numId="7">
    <w:abstractNumId w:val="7"/>
  </w:num>
  <w:num w:numId="8">
    <w:abstractNumId w:val="2"/>
  </w:num>
  <w:num w:numId="9">
    <w:abstractNumId w:val="1"/>
  </w:num>
  <w:num w:numId="10">
    <w:abstractNumId w:val="0"/>
  </w:num>
  <w:num w:numId="11">
    <w:abstractNumId w:val="4"/>
  </w:num>
  <w:num w:numId="12">
    <w:abstractNumId w:val="17"/>
  </w:num>
  <w:num w:numId="13">
    <w:abstractNumId w:val="22"/>
  </w:num>
  <w:num w:numId="14">
    <w:abstractNumId w:val="25"/>
  </w:num>
  <w:num w:numId="15">
    <w:abstractNumId w:val="20"/>
  </w:num>
  <w:num w:numId="16">
    <w:abstractNumId w:val="14"/>
  </w:num>
  <w:num w:numId="17">
    <w:abstractNumId w:val="12"/>
  </w:num>
  <w:num w:numId="18">
    <w:abstractNumId w:val="23"/>
  </w:num>
  <w:num w:numId="19">
    <w:abstractNumId w:val="19"/>
  </w:num>
  <w:num w:numId="20">
    <w:abstractNumId w:val="13"/>
  </w:num>
  <w:num w:numId="21">
    <w:abstractNumId w:val="16"/>
  </w:num>
  <w:num w:numId="22">
    <w:abstractNumId w:val="24"/>
  </w:num>
  <w:num w:numId="23">
    <w:abstractNumId w:val="11"/>
  </w:num>
  <w:num w:numId="24">
    <w:abstractNumId w:val="21"/>
  </w:num>
  <w:num w:numId="25">
    <w:abstractNumId w:val="1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7820"/>
    <w:rsid w:val="01DC338D"/>
    <w:rsid w:val="03DD7F34"/>
    <w:rsid w:val="0721638A"/>
    <w:rsid w:val="080E209C"/>
    <w:rsid w:val="08D83748"/>
    <w:rsid w:val="0EBD5965"/>
    <w:rsid w:val="0F365007"/>
    <w:rsid w:val="0F73174D"/>
    <w:rsid w:val="16562D99"/>
    <w:rsid w:val="174759C4"/>
    <w:rsid w:val="19612842"/>
    <w:rsid w:val="1A3D7527"/>
    <w:rsid w:val="1B111B27"/>
    <w:rsid w:val="1B5C578B"/>
    <w:rsid w:val="1C19367C"/>
    <w:rsid w:val="1C554657"/>
    <w:rsid w:val="1D8F0CF8"/>
    <w:rsid w:val="1DB721E6"/>
    <w:rsid w:val="1EEC5078"/>
    <w:rsid w:val="1FE83A91"/>
    <w:rsid w:val="23431CB8"/>
    <w:rsid w:val="24B2046F"/>
    <w:rsid w:val="24EF141E"/>
    <w:rsid w:val="25292B82"/>
    <w:rsid w:val="282E54C8"/>
    <w:rsid w:val="2BCF3D57"/>
    <w:rsid w:val="2BD94628"/>
    <w:rsid w:val="2E582ED9"/>
    <w:rsid w:val="2EFC1307"/>
    <w:rsid w:val="2F0361F1"/>
    <w:rsid w:val="319E48F7"/>
    <w:rsid w:val="31FD7EEC"/>
    <w:rsid w:val="32002EBC"/>
    <w:rsid w:val="32A6687B"/>
    <w:rsid w:val="356E45E1"/>
    <w:rsid w:val="379A790F"/>
    <w:rsid w:val="3AE96BE3"/>
    <w:rsid w:val="3D0F35EB"/>
    <w:rsid w:val="3E1A3557"/>
    <w:rsid w:val="40294CB3"/>
    <w:rsid w:val="40431C88"/>
    <w:rsid w:val="43DB5537"/>
    <w:rsid w:val="460A251E"/>
    <w:rsid w:val="47743CD8"/>
    <w:rsid w:val="49534E8D"/>
    <w:rsid w:val="496E4757"/>
    <w:rsid w:val="4B725074"/>
    <w:rsid w:val="4BC26F3C"/>
    <w:rsid w:val="4C854292"/>
    <w:rsid w:val="4F0E056F"/>
    <w:rsid w:val="52B70629"/>
    <w:rsid w:val="52FE4D9E"/>
    <w:rsid w:val="54E3603E"/>
    <w:rsid w:val="57BB500C"/>
    <w:rsid w:val="590654C3"/>
    <w:rsid w:val="5BAB0986"/>
    <w:rsid w:val="5D327B1E"/>
    <w:rsid w:val="5F230066"/>
    <w:rsid w:val="5F2F7659"/>
    <w:rsid w:val="604638E0"/>
    <w:rsid w:val="630006BE"/>
    <w:rsid w:val="659B5296"/>
    <w:rsid w:val="67073C9A"/>
    <w:rsid w:val="69461C41"/>
    <w:rsid w:val="6A4B66C3"/>
    <w:rsid w:val="6BD97063"/>
    <w:rsid w:val="6C637AF6"/>
    <w:rsid w:val="6D9B526C"/>
    <w:rsid w:val="70217B4D"/>
    <w:rsid w:val="71BB2380"/>
    <w:rsid w:val="799A19CB"/>
    <w:rsid w:val="79F44681"/>
    <w:rsid w:val="7A077F60"/>
    <w:rsid w:val="7A5F5873"/>
    <w:rsid w:val="7AF91823"/>
    <w:rsid w:val="7EA83C8C"/>
    <w:rsid w:val="7EDC3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ascii="Calibri" w:hAnsi="Calibri" w:eastAsia="黑体" w:cs="宋体"/>
      <w:b/>
      <w:kern w:val="44"/>
      <w:sz w:val="36"/>
      <w:lang w:val="zh-CN" w:eastAsia="zh-CN" w:bidi="ar-SA"/>
    </w:rPr>
  </w:style>
  <w:style w:type="paragraph" w:styleId="4">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qFormat/>
    <w:uiPriority w:val="0"/>
    <w:pPr>
      <w:keepNext/>
      <w:keepLines/>
      <w:spacing w:before="260" w:after="260" w:line="413" w:lineRule="auto"/>
      <w:outlineLvl w:val="2"/>
    </w:pPr>
    <w:rPr>
      <w:b/>
      <w:sz w:val="32"/>
    </w:rPr>
  </w:style>
  <w:style w:type="character" w:default="1" w:styleId="20">
    <w:name w:val="Default Paragraph Font"/>
    <w:qFormat/>
    <w:uiPriority w:val="1"/>
  </w:style>
  <w:style w:type="table" w:default="1" w:styleId="18">
    <w:name w:val="Normal Table"/>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7"/>
    <w:qFormat/>
    <w:uiPriority w:val="0"/>
    <w:pPr>
      <w:jc w:val="left"/>
    </w:pPr>
  </w:style>
  <w:style w:type="paragraph" w:styleId="8">
    <w:name w:val="Body Text Indent"/>
    <w:basedOn w:val="1"/>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rPr>
  </w:style>
  <w:style w:type="paragraph" w:styleId="15">
    <w:name w:val="annotation subject"/>
    <w:basedOn w:val="7"/>
    <w:next w:val="7"/>
    <w:link w:val="38"/>
    <w:qFormat/>
    <w:uiPriority w:val="0"/>
    <w:rPr>
      <w:b/>
      <w:bCs/>
    </w:rPr>
  </w:style>
  <w:style w:type="paragraph" w:styleId="16">
    <w:name w:val="Body Text First Indent"/>
    <w:basedOn w:val="2"/>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7"/>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_cb19544e-0d8e-45a2-8ebe-c14fe0c99e6a"/>
    <w:link w:val="4"/>
    <w:qFormat/>
    <w:uiPriority w:val="0"/>
    <w:rPr>
      <w:rFonts w:ascii="Times New Roman" w:hAnsi="Times New Roman" w:eastAsia="仿宋" w:cs="Times New Roman"/>
      <w:b/>
      <w:sz w:val="32"/>
    </w:rPr>
  </w:style>
  <w:style w:type="paragraph" w:customStyle="1" w:styleId="41">
    <w:name w:val="sht标题1"/>
    <w:basedOn w:val="1"/>
    <w:next w:val="3"/>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4.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acf54f-116c-4408-9b1f-9887e1ccdace}">
  <ds:schemaRefs/>
</ds:datastoreItem>
</file>

<file path=customXml/itemProps3.xml><?xml version="1.0" encoding="utf-8"?>
<ds:datastoreItem xmlns:ds="http://schemas.openxmlformats.org/officeDocument/2006/customXml" ds:itemID="{d06481bf-590a-40e6-9f35-170c1c4317b6}">
  <ds:schemaRefs/>
</ds:datastoreItem>
</file>

<file path=customXml/itemProps4.xml><?xml version="1.0" encoding="utf-8"?>
<ds:datastoreItem xmlns:ds="http://schemas.openxmlformats.org/officeDocument/2006/customXml" ds:itemID="{be1d2651-cc0f-48da-b5cc-c0ced2725cf6}">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1307</Words>
  <Characters>1396</Characters>
  <Paragraphs>1103</Paragraphs>
  <TotalTime>3</TotalTime>
  <ScaleCrop>false</ScaleCrop>
  <LinksUpToDate>false</LinksUpToDate>
  <CharactersWithSpaces>1468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好嘞</cp:lastModifiedBy>
  <dcterms:modified xsi:type="dcterms:W3CDTF">2026-05-14T00:25:12Z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a7364328af8943dc87fb61a35ddf4d1c_23</vt:lpwstr>
  </property>
  <property fmtid="{D5CDD505-2E9C-101B-9397-08002B2CF9AE}" pid="4" name="KSOTemplateDocerSaveRecord">
    <vt:lpwstr>eyJoZGlkIjoiYzBmNjVkODg4YTI3YTdkZTY0YmRiY2Y4YmFkMWQ1OTIiLCJ1c2VySWQiOiI2NDE5ODgzNDAifQ==</vt:lpwstr>
  </property>
</Properties>
</file>