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四川省人民医院问卷采集和营养分析软件建设采购项目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10</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bookmarkStart w:id="39" w:name="_GoBack"/>
          <w:bookmarkEnd w:id="39"/>
        </w:p>
        <w:p w14:paraId="7F215F51">
          <w:pPr>
            <w:pStyle w:val="11"/>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2"/>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1"/>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1"/>
            <w:tabs>
              <w:tab w:val="right" w:leader="dot" w:pos="8294"/>
            </w:tabs>
            <w:spacing w:line="360" w:lineRule="auto"/>
            <w:rPr>
              <w:rFonts w:ascii="仿宋" w:hAnsi="仿宋" w:eastAsia="仿宋" w:cs="仿宋"/>
              <w:color w:val="auto"/>
              <w:sz w:val="24"/>
              <w:szCs w:val="24"/>
              <w:highlight w:val="none"/>
            </w:rPr>
          </w:pPr>
        </w:p>
        <w:p w14:paraId="38BE06C9">
          <w:pPr>
            <w:pStyle w:val="11"/>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4"/>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shd w:val="clear"/>
                <w:lang w:eastAsia="zh-CN"/>
              </w:rPr>
              <w:t>四川省人民医院问卷采集和营养分析软件建设采购项目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CGZX-YXX20261404</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9.8万</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2"/>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2"/>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2"/>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w:t>
            </w:r>
            <w:r>
              <w:rPr>
                <w:rFonts w:hint="eastAsia" w:ascii="仿宋" w:hAnsi="仿宋" w:eastAsia="仿宋" w:cs="仿宋"/>
                <w:color w:val="auto"/>
                <w:sz w:val="22"/>
                <w:szCs w:val="22"/>
                <w:highlight w:val="none"/>
                <w:u w:val="none"/>
                <w:lang w:val="zh-CN"/>
              </w:rPr>
              <w:t>金额：</w:t>
            </w:r>
            <w:r>
              <w:rPr>
                <w:rFonts w:hint="eastAsia" w:ascii="仿宋" w:hAnsi="仿宋" w:eastAsia="仿宋" w:cs="仿宋"/>
                <w:color w:val="auto"/>
                <w:sz w:val="22"/>
                <w:szCs w:val="22"/>
                <w:highlight w:val="none"/>
                <w:u w:val="none"/>
                <w:lang w:val="en-US" w:eastAsia="zh-CN"/>
              </w:rPr>
              <w:t>合同总价10%（逾期未缴纳履约保证金，视为自动放弃成交资格。）</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w:t>
            </w:r>
            <w:r>
              <w:rPr>
                <w:rFonts w:hint="eastAsia" w:ascii="仿宋" w:hAnsi="仿宋" w:eastAsia="仿宋" w:cs="仿宋"/>
                <w:color w:val="auto"/>
                <w:sz w:val="22"/>
                <w:szCs w:val="22"/>
                <w:highlight w:val="none"/>
                <w:lang w:val="zh-CN" w:eastAsia="zh-CN"/>
              </w:rPr>
              <w:t>履约保证金可以以支票、汇票、本票或者金融机构出具的保函等非现金形式提交（包括网银转账，电汇等方式）</w:t>
            </w:r>
            <w:r>
              <w:rPr>
                <w:rFonts w:hint="eastAsia" w:ascii="仿宋" w:hAnsi="仿宋" w:eastAsia="仿宋" w:cs="仿宋"/>
                <w:color w:val="auto"/>
                <w:sz w:val="22"/>
                <w:szCs w:val="22"/>
                <w:highlight w:val="none"/>
                <w:lang w:val="zh-CN"/>
              </w:rPr>
              <w:t>，收款单位、开户行、银行账号签订合同前同采购人约定；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FE"/>
            </w:r>
            <w:r>
              <w:rPr>
                <w:rFonts w:hint="eastAsia" w:ascii="仿宋" w:hAnsi="仿宋" w:eastAsia="仿宋" w:cs="仿宋"/>
                <w:color w:val="auto"/>
                <w:sz w:val="22"/>
                <w:szCs w:val="22"/>
                <w:highlight w:val="none"/>
                <w:lang w:val="zh-CN" w:eastAsia="zh-CN"/>
              </w:rPr>
              <w:t>合同生效后7个工作日内</w:t>
            </w:r>
            <w:r>
              <w:rPr>
                <w:rFonts w:hint="eastAsia" w:ascii="仿宋" w:hAnsi="仿宋" w:eastAsia="仿宋" w:cs="仿宋"/>
                <w:color w:val="auto"/>
                <w:sz w:val="22"/>
                <w:szCs w:val="22"/>
                <w:highlight w:val="none"/>
                <w:lang w:val="zh-CN"/>
              </w:rPr>
              <w:t>；</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w:t>
            </w:r>
            <w:r>
              <w:rPr>
                <w:rFonts w:hint="eastAsia" w:ascii="仿宋" w:hAnsi="仿宋" w:eastAsia="仿宋" w:cs="仿宋"/>
                <w:color w:val="auto"/>
                <w:sz w:val="22"/>
                <w:szCs w:val="22"/>
                <w:highlight w:val="none"/>
                <w:lang w:val="zh-CN" w:eastAsia="zh-CN"/>
              </w:rPr>
              <w:t>项目验收合格且服务期结束后，供应商向采购人提交退款申请及相应票据，采购人在 30 工作日内将履约保证金扣减考核金额（如涉及考核）后一次性无息退还。</w:t>
            </w:r>
            <w:r>
              <w:rPr>
                <w:rFonts w:hint="eastAsia" w:ascii="仿宋" w:hAnsi="仿宋" w:eastAsia="仿宋" w:cs="仿宋"/>
                <w:color w:val="auto"/>
                <w:sz w:val="22"/>
                <w:szCs w:val="22"/>
                <w:highlight w:val="none"/>
                <w:lang w:val="zh-CN"/>
              </w:rPr>
              <w:t>；</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eastAsia="zh-CN"/>
              </w:rPr>
              <w:t>供应商拒绝履行与采购人订立的合同</w:t>
            </w:r>
            <w:r>
              <w:rPr>
                <w:rFonts w:hint="eastAsia" w:ascii="仿宋" w:hAnsi="仿宋" w:eastAsia="仿宋" w:cs="仿宋"/>
                <w:color w:val="auto"/>
                <w:sz w:val="22"/>
                <w:szCs w:val="22"/>
                <w:highlight w:val="none"/>
                <w:lang w:val="zh-CN"/>
              </w:rPr>
              <w:t>；</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eastAsia="zh-CN"/>
              </w:rPr>
              <w:t>因供应商严重违约或其它违法违规行为等情形，导致双方无法继续履约</w:t>
            </w:r>
            <w:r>
              <w:rPr>
                <w:rFonts w:hint="eastAsia" w:ascii="仿宋" w:hAnsi="仿宋" w:eastAsia="仿宋" w:cs="仿宋"/>
                <w:color w:val="auto"/>
                <w:sz w:val="22"/>
                <w:szCs w:val="22"/>
                <w:highlight w:val="none"/>
                <w:lang w:val="zh-CN"/>
              </w:rPr>
              <w:t>。</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87393060</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叶</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4"/>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 </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3060</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4"/>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5"/>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449"/>
        <w:gridCol w:w="3251"/>
        <w:gridCol w:w="3064"/>
        <w:gridCol w:w="1526"/>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2"/>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2"/>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2"/>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51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91"/>
        <w:gridCol w:w="1284"/>
        <w:gridCol w:w="2243"/>
        <w:gridCol w:w="845"/>
        <w:gridCol w:w="1017"/>
        <w:gridCol w:w="2316"/>
      </w:tblGrid>
      <w:tr w14:paraId="1DC7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6" w:type="pct"/>
            <w:shd w:val="clear" w:color="auto" w:fill="auto"/>
            <w:tcMar>
              <w:top w:w="0" w:type="dxa"/>
              <w:left w:w="105" w:type="dxa"/>
              <w:bottom w:w="0" w:type="dxa"/>
              <w:right w:w="105" w:type="dxa"/>
            </w:tcMar>
            <w:vAlign w:val="center"/>
          </w:tcPr>
          <w:p w14:paraId="527287D8">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序号</w:t>
            </w:r>
          </w:p>
        </w:tc>
        <w:tc>
          <w:tcPr>
            <w:tcW w:w="755" w:type="pct"/>
            <w:shd w:val="clear" w:color="auto" w:fill="auto"/>
            <w:tcMar>
              <w:top w:w="0" w:type="dxa"/>
              <w:left w:w="105" w:type="dxa"/>
              <w:bottom w:w="0" w:type="dxa"/>
              <w:right w:w="105" w:type="dxa"/>
            </w:tcMar>
            <w:vAlign w:val="center"/>
          </w:tcPr>
          <w:p w14:paraId="19DFE88E">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品名</w:t>
            </w:r>
          </w:p>
        </w:tc>
        <w:tc>
          <w:tcPr>
            <w:tcW w:w="1319" w:type="pct"/>
            <w:shd w:val="clear" w:color="auto" w:fill="auto"/>
            <w:tcMar>
              <w:top w:w="0" w:type="dxa"/>
              <w:left w:w="105" w:type="dxa"/>
              <w:bottom w:w="0" w:type="dxa"/>
              <w:right w:w="105" w:type="dxa"/>
            </w:tcMar>
            <w:vAlign w:val="center"/>
          </w:tcPr>
          <w:p w14:paraId="4BEEE805">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详细描述</w:t>
            </w:r>
          </w:p>
        </w:tc>
        <w:tc>
          <w:tcPr>
            <w:tcW w:w="497" w:type="pct"/>
            <w:shd w:val="clear" w:color="auto" w:fill="auto"/>
            <w:tcMar>
              <w:top w:w="0" w:type="dxa"/>
              <w:left w:w="105" w:type="dxa"/>
              <w:bottom w:w="0" w:type="dxa"/>
              <w:right w:w="105" w:type="dxa"/>
            </w:tcMar>
            <w:vAlign w:val="center"/>
          </w:tcPr>
          <w:p w14:paraId="523BF9B6">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数量</w:t>
            </w:r>
          </w:p>
        </w:tc>
        <w:tc>
          <w:tcPr>
            <w:tcW w:w="598" w:type="pct"/>
            <w:shd w:val="clear" w:color="auto" w:fill="auto"/>
            <w:tcMar>
              <w:top w:w="0" w:type="dxa"/>
              <w:left w:w="105" w:type="dxa"/>
              <w:bottom w:w="0" w:type="dxa"/>
              <w:right w:w="105" w:type="dxa"/>
            </w:tcMar>
            <w:vAlign w:val="center"/>
          </w:tcPr>
          <w:p w14:paraId="744D88DF">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单位</w:t>
            </w:r>
          </w:p>
        </w:tc>
        <w:tc>
          <w:tcPr>
            <w:tcW w:w="1362" w:type="pct"/>
            <w:shd w:val="clear" w:color="auto" w:fill="auto"/>
            <w:tcMar>
              <w:top w:w="0" w:type="dxa"/>
              <w:left w:w="105" w:type="dxa"/>
              <w:bottom w:w="0" w:type="dxa"/>
              <w:right w:w="105" w:type="dxa"/>
            </w:tcMar>
            <w:vAlign w:val="center"/>
          </w:tcPr>
          <w:p w14:paraId="64CB62F3">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限高单价（元）</w:t>
            </w:r>
          </w:p>
        </w:tc>
      </w:tr>
      <w:tr w14:paraId="07B1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6" w:type="pct"/>
            <w:shd w:val="clear" w:color="auto" w:fill="auto"/>
            <w:tcMar>
              <w:top w:w="0" w:type="dxa"/>
              <w:left w:w="105" w:type="dxa"/>
              <w:bottom w:w="0" w:type="dxa"/>
              <w:right w:w="105" w:type="dxa"/>
            </w:tcMar>
            <w:vAlign w:val="center"/>
          </w:tcPr>
          <w:p w14:paraId="3C51EF73">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755" w:type="pct"/>
            <w:shd w:val="clear" w:color="auto" w:fill="auto"/>
            <w:tcMar>
              <w:top w:w="0" w:type="dxa"/>
              <w:left w:w="105" w:type="dxa"/>
              <w:bottom w:w="0" w:type="dxa"/>
              <w:right w:w="105" w:type="dxa"/>
            </w:tcMar>
            <w:vAlign w:val="center"/>
          </w:tcPr>
          <w:p w14:paraId="39307B85">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问卷采集和营养分析软件</w:t>
            </w:r>
          </w:p>
        </w:tc>
        <w:tc>
          <w:tcPr>
            <w:tcW w:w="1319" w:type="pct"/>
            <w:shd w:val="clear" w:color="auto" w:fill="auto"/>
            <w:tcMar>
              <w:top w:w="0" w:type="dxa"/>
              <w:left w:w="105" w:type="dxa"/>
              <w:bottom w:w="0" w:type="dxa"/>
              <w:right w:w="105" w:type="dxa"/>
            </w:tcMar>
            <w:vAlign w:val="center"/>
          </w:tcPr>
          <w:p w14:paraId="0B348D64">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以问卷采集为核心、完成营养数据的拆分、评估和分析，指导体重控制的工具软件</w:t>
            </w:r>
          </w:p>
        </w:tc>
        <w:tc>
          <w:tcPr>
            <w:tcW w:w="497" w:type="pct"/>
            <w:shd w:val="clear" w:color="auto" w:fill="auto"/>
            <w:tcMar>
              <w:top w:w="0" w:type="dxa"/>
              <w:left w:w="105" w:type="dxa"/>
              <w:bottom w:w="0" w:type="dxa"/>
              <w:right w:w="105" w:type="dxa"/>
            </w:tcMar>
            <w:vAlign w:val="center"/>
          </w:tcPr>
          <w:p w14:paraId="3EF47C27">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598" w:type="pct"/>
            <w:shd w:val="clear" w:color="auto" w:fill="auto"/>
            <w:tcMar>
              <w:top w:w="0" w:type="dxa"/>
              <w:left w:w="105" w:type="dxa"/>
              <w:bottom w:w="0" w:type="dxa"/>
              <w:right w:w="105" w:type="dxa"/>
            </w:tcMar>
            <w:vAlign w:val="center"/>
          </w:tcPr>
          <w:p w14:paraId="0FC88238">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1362" w:type="pct"/>
            <w:shd w:val="clear" w:color="auto" w:fill="auto"/>
            <w:tcMar>
              <w:top w:w="0" w:type="dxa"/>
              <w:left w:w="105" w:type="dxa"/>
              <w:bottom w:w="0" w:type="dxa"/>
              <w:right w:w="105" w:type="dxa"/>
            </w:tcMar>
            <w:vAlign w:val="center"/>
          </w:tcPr>
          <w:p w14:paraId="1161E654">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98000</w:t>
            </w:r>
          </w:p>
        </w:tc>
      </w:tr>
    </w:tbl>
    <w:p w14:paraId="0D44EFC6">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5BC80749">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480" w:firstLineChars="20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项目实施期间，凡涉及非东软系统对接产生的费用，则由成交供应商承担，涵盖设备、包装、运输、安装、调试、税费及可能衍生的各项支出，均包含在本次采购费用中，采购人不再支付成交金额以外的任何款项。对接过程中，成交供应商应与采购人除“东软”外现有软件供应商友好协商，并于协商前向采购人提交接口方案清单，对接所产生费用的限高价为本项目合同总价的10%。</w:t>
      </w:r>
    </w:p>
    <w:tbl>
      <w:tblPr>
        <w:tblStyle w:val="14"/>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7"/>
        <w:gridCol w:w="1400"/>
        <w:gridCol w:w="3104"/>
        <w:gridCol w:w="3009"/>
      </w:tblGrid>
      <w:tr w14:paraId="1D68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441" w:type="pct"/>
            <w:shd w:val="clear" w:color="auto" w:fill="auto"/>
            <w:tcMar>
              <w:top w:w="0" w:type="dxa"/>
              <w:left w:w="105" w:type="dxa"/>
              <w:bottom w:w="0" w:type="dxa"/>
              <w:right w:w="105" w:type="dxa"/>
            </w:tcMar>
            <w:vAlign w:val="center"/>
          </w:tcPr>
          <w:p w14:paraId="4DB3D9CA">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序号</w:t>
            </w:r>
          </w:p>
        </w:tc>
        <w:tc>
          <w:tcPr>
            <w:tcW w:w="849" w:type="pct"/>
            <w:shd w:val="clear" w:color="auto" w:fill="auto"/>
            <w:tcMar>
              <w:top w:w="0" w:type="dxa"/>
              <w:left w:w="105" w:type="dxa"/>
              <w:bottom w:w="0" w:type="dxa"/>
              <w:right w:w="105" w:type="dxa"/>
            </w:tcMar>
            <w:vAlign w:val="center"/>
          </w:tcPr>
          <w:p w14:paraId="0E4128DC">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软硬件</w:t>
            </w:r>
          </w:p>
        </w:tc>
        <w:tc>
          <w:tcPr>
            <w:tcW w:w="1883" w:type="pct"/>
            <w:shd w:val="clear" w:color="auto" w:fill="auto"/>
            <w:tcMar>
              <w:top w:w="0" w:type="dxa"/>
              <w:left w:w="105" w:type="dxa"/>
              <w:bottom w:w="0" w:type="dxa"/>
              <w:right w:w="105" w:type="dxa"/>
            </w:tcMar>
            <w:vAlign w:val="center"/>
          </w:tcPr>
          <w:p w14:paraId="0A6EA764">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生产厂商（全称）</w:t>
            </w:r>
          </w:p>
        </w:tc>
        <w:tc>
          <w:tcPr>
            <w:tcW w:w="1825" w:type="pct"/>
            <w:shd w:val="clear" w:color="auto" w:fill="auto"/>
            <w:tcMar>
              <w:top w:w="0" w:type="dxa"/>
              <w:left w:w="105" w:type="dxa"/>
              <w:bottom w:w="0" w:type="dxa"/>
              <w:right w:w="105" w:type="dxa"/>
            </w:tcMar>
            <w:vAlign w:val="center"/>
          </w:tcPr>
          <w:p w14:paraId="58CB8F37">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对接描述</w:t>
            </w:r>
          </w:p>
        </w:tc>
      </w:tr>
      <w:tr w14:paraId="4EC5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441" w:type="pct"/>
            <w:shd w:val="clear" w:color="auto" w:fill="auto"/>
            <w:tcMar>
              <w:top w:w="0" w:type="dxa"/>
              <w:left w:w="105" w:type="dxa"/>
              <w:bottom w:w="0" w:type="dxa"/>
              <w:right w:w="105" w:type="dxa"/>
            </w:tcMar>
            <w:vAlign w:val="center"/>
          </w:tcPr>
          <w:p w14:paraId="3FC21CB2">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849" w:type="pct"/>
            <w:shd w:val="clear" w:color="auto" w:fill="auto"/>
            <w:tcMar>
              <w:top w:w="0" w:type="dxa"/>
              <w:left w:w="105" w:type="dxa"/>
              <w:bottom w:w="0" w:type="dxa"/>
              <w:right w:w="105" w:type="dxa"/>
            </w:tcMar>
            <w:vAlign w:val="center"/>
          </w:tcPr>
          <w:p w14:paraId="4FADBBE3">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体检系统</w:t>
            </w:r>
          </w:p>
        </w:tc>
        <w:tc>
          <w:tcPr>
            <w:tcW w:w="1883" w:type="pct"/>
            <w:shd w:val="clear" w:color="auto" w:fill="auto"/>
            <w:tcMar>
              <w:top w:w="0" w:type="dxa"/>
              <w:left w:w="105" w:type="dxa"/>
              <w:bottom w:w="0" w:type="dxa"/>
              <w:right w:w="105" w:type="dxa"/>
            </w:tcMar>
            <w:vAlign w:val="center"/>
          </w:tcPr>
          <w:p w14:paraId="007A886E">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天瑞康健(福州)信息科技有限公司</w:t>
            </w:r>
          </w:p>
        </w:tc>
        <w:tc>
          <w:tcPr>
            <w:tcW w:w="1825" w:type="pct"/>
            <w:shd w:val="clear" w:color="auto" w:fill="auto"/>
            <w:tcMar>
              <w:top w:w="0" w:type="dxa"/>
              <w:left w:w="105" w:type="dxa"/>
              <w:bottom w:w="0" w:type="dxa"/>
              <w:right w:w="105" w:type="dxa"/>
            </w:tcMar>
            <w:vAlign w:val="center"/>
          </w:tcPr>
          <w:p w14:paraId="590C5AAA">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根据要求对接体检系统接口，实现体检报告记录查询和体检报告详情查询和结果回传体检系统</w:t>
            </w:r>
          </w:p>
        </w:tc>
      </w:tr>
    </w:tbl>
    <w:p w14:paraId="63A6868D">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default"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2.1技术要求</w:t>
      </w:r>
    </w:p>
    <w:tbl>
      <w:tblPr>
        <w:tblStyle w:val="1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09"/>
        <w:gridCol w:w="1197"/>
        <w:gridCol w:w="864"/>
        <w:gridCol w:w="1192"/>
        <w:gridCol w:w="4315"/>
      </w:tblGrid>
      <w:tr w14:paraId="1B65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100BF727">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序号</w:t>
            </w:r>
          </w:p>
        </w:tc>
        <w:tc>
          <w:tcPr>
            <w:tcW w:w="723" w:type="pct"/>
            <w:shd w:val="clear" w:color="auto" w:fill="auto"/>
            <w:noWrap/>
            <w:tcMar>
              <w:top w:w="0" w:type="dxa"/>
              <w:left w:w="105" w:type="dxa"/>
              <w:bottom w:w="0" w:type="dxa"/>
              <w:right w:w="105" w:type="dxa"/>
            </w:tcMar>
            <w:vAlign w:val="center"/>
          </w:tcPr>
          <w:p w14:paraId="5395AAA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用户侧</w:t>
            </w:r>
          </w:p>
        </w:tc>
        <w:tc>
          <w:tcPr>
            <w:tcW w:w="522" w:type="pct"/>
            <w:shd w:val="clear" w:color="auto" w:fill="auto"/>
            <w:tcMar>
              <w:top w:w="0" w:type="dxa"/>
              <w:left w:w="105" w:type="dxa"/>
              <w:bottom w:w="0" w:type="dxa"/>
              <w:right w:w="105" w:type="dxa"/>
            </w:tcMar>
            <w:vAlign w:val="center"/>
          </w:tcPr>
          <w:p w14:paraId="4985864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模块</w:t>
            </w:r>
          </w:p>
        </w:tc>
        <w:tc>
          <w:tcPr>
            <w:tcW w:w="720" w:type="pct"/>
            <w:shd w:val="clear" w:color="auto" w:fill="auto"/>
            <w:tcMar>
              <w:top w:w="0" w:type="dxa"/>
              <w:left w:w="105" w:type="dxa"/>
              <w:bottom w:w="0" w:type="dxa"/>
              <w:right w:w="105" w:type="dxa"/>
            </w:tcMar>
            <w:vAlign w:val="center"/>
          </w:tcPr>
          <w:p w14:paraId="4DB19C4C">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需求点</w:t>
            </w:r>
          </w:p>
        </w:tc>
        <w:tc>
          <w:tcPr>
            <w:tcW w:w="2605" w:type="pct"/>
            <w:shd w:val="clear" w:color="auto" w:fill="auto"/>
            <w:tcMar>
              <w:top w:w="0" w:type="dxa"/>
              <w:left w:w="105" w:type="dxa"/>
              <w:bottom w:w="0" w:type="dxa"/>
              <w:right w:w="105" w:type="dxa"/>
            </w:tcMar>
            <w:vAlign w:val="center"/>
          </w:tcPr>
          <w:p w14:paraId="1353E93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需求拆分</w:t>
            </w:r>
          </w:p>
        </w:tc>
      </w:tr>
      <w:tr w14:paraId="3F98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vMerge w:val="restart"/>
            <w:shd w:val="clear" w:color="auto" w:fill="auto"/>
            <w:noWrap/>
            <w:tcMar>
              <w:top w:w="0" w:type="dxa"/>
              <w:left w:w="105" w:type="dxa"/>
              <w:bottom w:w="0" w:type="dxa"/>
              <w:right w:w="105" w:type="dxa"/>
            </w:tcMar>
            <w:vAlign w:val="center"/>
          </w:tcPr>
          <w:p w14:paraId="3F28D2C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723" w:type="pct"/>
            <w:vMerge w:val="restart"/>
            <w:shd w:val="clear" w:color="auto" w:fill="auto"/>
            <w:noWrap/>
            <w:tcMar>
              <w:top w:w="0" w:type="dxa"/>
              <w:left w:w="105" w:type="dxa"/>
              <w:bottom w:w="0" w:type="dxa"/>
              <w:right w:w="105" w:type="dxa"/>
            </w:tcMar>
            <w:vAlign w:val="center"/>
          </w:tcPr>
          <w:p w14:paraId="3B49284A">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就诊人端</w:t>
            </w:r>
          </w:p>
        </w:tc>
        <w:tc>
          <w:tcPr>
            <w:tcW w:w="522" w:type="pct"/>
            <w:vMerge w:val="restart"/>
            <w:shd w:val="clear" w:color="auto" w:fill="auto"/>
            <w:tcMar>
              <w:top w:w="0" w:type="dxa"/>
              <w:left w:w="105" w:type="dxa"/>
              <w:bottom w:w="0" w:type="dxa"/>
              <w:right w:w="105" w:type="dxa"/>
            </w:tcMar>
            <w:vAlign w:val="center"/>
          </w:tcPr>
          <w:p w14:paraId="2B770487">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个人主页</w:t>
            </w:r>
          </w:p>
        </w:tc>
        <w:tc>
          <w:tcPr>
            <w:tcW w:w="720" w:type="pct"/>
            <w:vMerge w:val="restart"/>
            <w:shd w:val="clear" w:color="auto" w:fill="auto"/>
            <w:tcMar>
              <w:top w:w="0" w:type="dxa"/>
              <w:left w:w="105" w:type="dxa"/>
              <w:bottom w:w="0" w:type="dxa"/>
              <w:right w:w="105" w:type="dxa"/>
            </w:tcMar>
            <w:vAlign w:val="center"/>
          </w:tcPr>
          <w:p w14:paraId="5D5F13E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膳食问卷采集</w:t>
            </w:r>
          </w:p>
        </w:tc>
        <w:tc>
          <w:tcPr>
            <w:tcW w:w="2605" w:type="pct"/>
            <w:shd w:val="clear" w:color="auto" w:fill="auto"/>
            <w:tcMar>
              <w:top w:w="0" w:type="dxa"/>
              <w:left w:w="105" w:type="dxa"/>
              <w:bottom w:w="0" w:type="dxa"/>
              <w:right w:w="105" w:type="dxa"/>
            </w:tcMar>
            <w:vAlign w:val="center"/>
          </w:tcPr>
          <w:p w14:paraId="3500208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支持用户在移动端线上和线下自主进行膳食调查问卷的填写，其中问卷内容包含：</w:t>
            </w:r>
          </w:p>
        </w:tc>
      </w:tr>
      <w:tr w14:paraId="75B7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95" w:hRule="atLeast"/>
        </w:trPr>
        <w:tc>
          <w:tcPr>
            <w:tcW w:w="428" w:type="pct"/>
            <w:vMerge w:val="continue"/>
            <w:shd w:val="clear" w:color="auto" w:fill="auto"/>
            <w:noWrap/>
            <w:tcMar>
              <w:top w:w="0" w:type="dxa"/>
              <w:left w:w="105" w:type="dxa"/>
              <w:bottom w:w="0" w:type="dxa"/>
              <w:right w:w="105" w:type="dxa"/>
            </w:tcMar>
            <w:vAlign w:val="center"/>
          </w:tcPr>
          <w:p w14:paraId="0CA17FD7">
            <w:pPr>
              <w:widowControl/>
              <w:jc w:val="center"/>
              <w:rPr>
                <w:rFonts w:hint="eastAsia" w:ascii="仿宋" w:hAnsi="仿宋" w:eastAsia="仿宋" w:cs="仿宋"/>
                <w:kern w:val="0"/>
                <w:sz w:val="24"/>
                <w:szCs w:val="24"/>
                <w:lang w:bidi="ar"/>
              </w:rPr>
            </w:pPr>
          </w:p>
        </w:tc>
        <w:tc>
          <w:tcPr>
            <w:tcW w:w="723" w:type="pct"/>
            <w:vMerge w:val="continue"/>
            <w:shd w:val="clear" w:color="auto" w:fill="auto"/>
            <w:noWrap/>
            <w:tcMar>
              <w:top w:w="0" w:type="dxa"/>
              <w:left w:w="105" w:type="dxa"/>
              <w:bottom w:w="0" w:type="dxa"/>
              <w:right w:w="105" w:type="dxa"/>
            </w:tcMar>
            <w:vAlign w:val="center"/>
          </w:tcPr>
          <w:p w14:paraId="02342CDE">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1F63A6CC">
            <w:pPr>
              <w:widowControl/>
              <w:jc w:val="left"/>
              <w:rPr>
                <w:rFonts w:hint="eastAsia" w:ascii="仿宋" w:hAnsi="仿宋" w:eastAsia="仿宋" w:cs="仿宋"/>
                <w:kern w:val="0"/>
                <w:sz w:val="24"/>
                <w:szCs w:val="24"/>
                <w:lang w:bidi="ar"/>
              </w:rPr>
            </w:pPr>
          </w:p>
        </w:tc>
        <w:tc>
          <w:tcPr>
            <w:tcW w:w="720" w:type="pct"/>
            <w:vMerge w:val="continue"/>
            <w:shd w:val="clear" w:color="auto" w:fill="auto"/>
            <w:tcMar>
              <w:top w:w="0" w:type="dxa"/>
              <w:left w:w="105" w:type="dxa"/>
              <w:bottom w:w="0" w:type="dxa"/>
              <w:right w:w="105" w:type="dxa"/>
            </w:tcMar>
            <w:vAlign w:val="center"/>
          </w:tcPr>
          <w:p w14:paraId="3BA020AA">
            <w:pPr>
              <w:widowControl/>
              <w:jc w:val="left"/>
              <w:rPr>
                <w:rFonts w:hint="eastAsia" w:ascii="仿宋" w:hAnsi="仿宋" w:eastAsia="仿宋" w:cs="仿宋"/>
                <w:kern w:val="0"/>
                <w:sz w:val="24"/>
                <w:szCs w:val="24"/>
                <w:lang w:bidi="ar"/>
              </w:rPr>
            </w:pPr>
          </w:p>
        </w:tc>
        <w:tc>
          <w:tcPr>
            <w:tcW w:w="2605" w:type="pct"/>
            <w:shd w:val="clear" w:color="auto" w:fill="auto"/>
            <w:tcMar>
              <w:top w:w="0" w:type="dxa"/>
              <w:left w:w="105" w:type="dxa"/>
              <w:bottom w:w="0" w:type="dxa"/>
              <w:right w:w="105" w:type="dxa"/>
            </w:tcMar>
            <w:vAlign w:val="center"/>
          </w:tcPr>
          <w:p w14:paraId="20D9A9FB">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饮酒情况、饮食油腻程度、饮食咸味程度、吃肉习惯、甜食习惯、饮食种类、各类食物摄入频次与量等问卷式膳食调查（可选择填写常规问卷和适合不同慢病的膳食问卷，包含平衡膳食、抗高血压膳食和地中海膳食不同类型问卷）</w:t>
            </w:r>
          </w:p>
        </w:tc>
      </w:tr>
      <w:tr w14:paraId="5862D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22911DB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723" w:type="pct"/>
            <w:vMerge w:val="continue"/>
            <w:shd w:val="clear" w:color="auto" w:fill="auto"/>
            <w:noWrap/>
            <w:tcMar>
              <w:top w:w="0" w:type="dxa"/>
              <w:left w:w="105" w:type="dxa"/>
              <w:bottom w:w="0" w:type="dxa"/>
              <w:right w:w="105" w:type="dxa"/>
            </w:tcMar>
            <w:vAlign w:val="center"/>
          </w:tcPr>
          <w:p w14:paraId="549C6D98">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756CA9E1">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51DB6748">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数据与报告查看</w:t>
            </w:r>
          </w:p>
        </w:tc>
        <w:tc>
          <w:tcPr>
            <w:tcW w:w="2605" w:type="pct"/>
            <w:shd w:val="clear" w:color="auto" w:fill="auto"/>
            <w:tcMar>
              <w:top w:w="0" w:type="dxa"/>
              <w:left w:w="105" w:type="dxa"/>
              <w:bottom w:w="0" w:type="dxa"/>
              <w:right w:w="105" w:type="dxa"/>
            </w:tcMar>
            <w:vAlign w:val="center"/>
          </w:tcPr>
          <w:p w14:paraId="69EFCBB7">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支持用户按多次填写膳食问卷，支持用户查看营养调查分析报告</w:t>
            </w:r>
          </w:p>
        </w:tc>
      </w:tr>
      <w:tr w14:paraId="349A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25" w:hRule="atLeast"/>
        </w:trPr>
        <w:tc>
          <w:tcPr>
            <w:tcW w:w="428" w:type="pct"/>
            <w:shd w:val="clear" w:color="auto" w:fill="auto"/>
            <w:noWrap/>
            <w:tcMar>
              <w:top w:w="0" w:type="dxa"/>
              <w:left w:w="105" w:type="dxa"/>
              <w:bottom w:w="0" w:type="dxa"/>
              <w:right w:w="105" w:type="dxa"/>
            </w:tcMar>
            <w:vAlign w:val="center"/>
          </w:tcPr>
          <w:p w14:paraId="093D4634">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723" w:type="pct"/>
            <w:vMerge w:val="continue"/>
            <w:shd w:val="clear" w:color="auto" w:fill="auto"/>
            <w:noWrap/>
            <w:tcMar>
              <w:top w:w="0" w:type="dxa"/>
              <w:left w:w="105" w:type="dxa"/>
              <w:bottom w:w="0" w:type="dxa"/>
              <w:right w:w="105" w:type="dxa"/>
            </w:tcMar>
            <w:vAlign w:val="center"/>
          </w:tcPr>
          <w:p w14:paraId="5BA106C2">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2A0068CC">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0D273B7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膳食数据智能分析</w:t>
            </w:r>
          </w:p>
        </w:tc>
        <w:tc>
          <w:tcPr>
            <w:tcW w:w="2605" w:type="pct"/>
            <w:shd w:val="clear" w:color="auto" w:fill="auto"/>
            <w:tcMar>
              <w:top w:w="0" w:type="dxa"/>
              <w:left w:w="105" w:type="dxa"/>
              <w:bottom w:w="0" w:type="dxa"/>
              <w:right w:w="105" w:type="dxa"/>
            </w:tcMar>
            <w:vAlign w:val="center"/>
          </w:tcPr>
          <w:p w14:paraId="099CADE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支持患者问卷提交后在移动端获取分析报告（但报告需经医生审核提交后，患者端才可见）：包含膳食得分、膳食风险、膳食习惯、日均食物摄入量等进行分析，附带指导性意见</w:t>
            </w:r>
          </w:p>
        </w:tc>
      </w:tr>
      <w:tr w14:paraId="38E5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6DD0F4B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723" w:type="pct"/>
            <w:vMerge w:val="continue"/>
            <w:shd w:val="clear" w:color="auto" w:fill="auto"/>
            <w:noWrap/>
            <w:tcMar>
              <w:top w:w="0" w:type="dxa"/>
              <w:left w:w="105" w:type="dxa"/>
              <w:bottom w:w="0" w:type="dxa"/>
              <w:right w:w="105" w:type="dxa"/>
            </w:tcMar>
            <w:vAlign w:val="center"/>
          </w:tcPr>
          <w:p w14:paraId="479FB644">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01EE93C7">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4FC009F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膳管变化分析对比</w:t>
            </w:r>
          </w:p>
        </w:tc>
        <w:tc>
          <w:tcPr>
            <w:tcW w:w="2605" w:type="pct"/>
            <w:shd w:val="clear" w:color="auto" w:fill="auto"/>
            <w:tcMar>
              <w:top w:w="0" w:type="dxa"/>
              <w:left w:w="105" w:type="dxa"/>
              <w:bottom w:w="0" w:type="dxa"/>
              <w:right w:w="105" w:type="dxa"/>
            </w:tcMar>
            <w:vAlign w:val="center"/>
          </w:tcPr>
          <w:p w14:paraId="14C3810D">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支持生成不同阶段填写的膳食问卷结果的比对</w:t>
            </w:r>
          </w:p>
        </w:tc>
      </w:tr>
      <w:tr w14:paraId="6AE9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428" w:type="pct"/>
            <w:shd w:val="clear" w:color="auto" w:fill="auto"/>
            <w:noWrap/>
            <w:tcMar>
              <w:top w:w="0" w:type="dxa"/>
              <w:left w:w="105" w:type="dxa"/>
              <w:bottom w:w="0" w:type="dxa"/>
              <w:right w:w="105" w:type="dxa"/>
            </w:tcMar>
            <w:vAlign w:val="center"/>
          </w:tcPr>
          <w:p w14:paraId="65EF3E7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723" w:type="pct"/>
            <w:vMerge w:val="continue"/>
            <w:shd w:val="clear" w:color="auto" w:fill="auto"/>
            <w:noWrap/>
            <w:tcMar>
              <w:top w:w="0" w:type="dxa"/>
              <w:left w:w="105" w:type="dxa"/>
              <w:bottom w:w="0" w:type="dxa"/>
              <w:right w:w="105" w:type="dxa"/>
            </w:tcMar>
            <w:vAlign w:val="center"/>
          </w:tcPr>
          <w:p w14:paraId="24B415BF">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39776788">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4979C172">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预设营养模型评价</w:t>
            </w:r>
          </w:p>
        </w:tc>
        <w:tc>
          <w:tcPr>
            <w:tcW w:w="2605" w:type="pct"/>
            <w:shd w:val="clear" w:color="auto" w:fill="auto"/>
            <w:tcMar>
              <w:top w:w="0" w:type="dxa"/>
              <w:left w:w="105" w:type="dxa"/>
              <w:bottom w:w="0" w:type="dxa"/>
              <w:right w:w="105" w:type="dxa"/>
            </w:tcMar>
            <w:vAlign w:val="center"/>
          </w:tcPr>
          <w:p w14:paraId="3F283DA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个体和团体用户选择单个或多个预训练的营养评估模型，进行餐食的智能个性评价：内置平衡膳食、抗高血压膳食和地中海膳食等多种减重膳食模式，支持提供自定义方案的扩充框架接口，覆盖不同患者的个性化需求。患者可根据自身的具体情况选择，也可由医生推荐选择，基于患者个体特征，通过标准算法对用户提交的摄入情况进行智能风险分析与评价，并用高、中、低个等级进行展示，给出推荐个性化改进营养指导方案。</w:t>
            </w:r>
          </w:p>
        </w:tc>
      </w:tr>
      <w:tr w14:paraId="6650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25" w:hRule="atLeast"/>
        </w:trPr>
        <w:tc>
          <w:tcPr>
            <w:tcW w:w="428" w:type="pct"/>
            <w:shd w:val="clear" w:color="auto" w:fill="auto"/>
            <w:noWrap/>
            <w:tcMar>
              <w:top w:w="0" w:type="dxa"/>
              <w:left w:w="105" w:type="dxa"/>
              <w:bottom w:w="0" w:type="dxa"/>
              <w:right w:w="105" w:type="dxa"/>
            </w:tcMar>
            <w:vAlign w:val="center"/>
          </w:tcPr>
          <w:p w14:paraId="3642DEF4">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723" w:type="pct"/>
            <w:vMerge w:val="continue"/>
            <w:shd w:val="clear" w:color="auto" w:fill="auto"/>
            <w:noWrap/>
            <w:tcMar>
              <w:top w:w="0" w:type="dxa"/>
              <w:left w:w="105" w:type="dxa"/>
              <w:bottom w:w="0" w:type="dxa"/>
              <w:right w:w="105" w:type="dxa"/>
            </w:tcMar>
            <w:vAlign w:val="center"/>
          </w:tcPr>
          <w:p w14:paraId="41EB3812">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14967D75">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0628819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营养数据分析与查看</w:t>
            </w:r>
          </w:p>
        </w:tc>
        <w:tc>
          <w:tcPr>
            <w:tcW w:w="2605" w:type="pct"/>
            <w:shd w:val="clear" w:color="auto" w:fill="auto"/>
            <w:tcMar>
              <w:top w:w="0" w:type="dxa"/>
              <w:left w:w="105" w:type="dxa"/>
              <w:bottom w:w="0" w:type="dxa"/>
              <w:right w:w="105" w:type="dxa"/>
            </w:tcMar>
            <w:vAlign w:val="center"/>
          </w:tcPr>
          <w:p w14:paraId="049B3D13">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支持对用户填写的膳食问卷数据拆分和汇总分析，显示饮食评价分数、7大种类食物摄入量信息、营养素摄入量、营养数值明细（数据至少包括当餐能量、宏量&amp;微量营养素、宏量营养素供能比）</w:t>
            </w:r>
          </w:p>
        </w:tc>
      </w:tr>
      <w:tr w14:paraId="534D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95" w:hRule="atLeast"/>
        </w:trPr>
        <w:tc>
          <w:tcPr>
            <w:tcW w:w="428" w:type="pct"/>
            <w:shd w:val="clear" w:color="auto" w:fill="auto"/>
            <w:noWrap/>
            <w:tcMar>
              <w:top w:w="0" w:type="dxa"/>
              <w:left w:w="105" w:type="dxa"/>
              <w:bottom w:w="0" w:type="dxa"/>
              <w:right w:w="105" w:type="dxa"/>
            </w:tcMar>
            <w:vAlign w:val="center"/>
          </w:tcPr>
          <w:p w14:paraId="3F4D5C9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723" w:type="pct"/>
            <w:vMerge w:val="restart"/>
            <w:shd w:val="clear" w:color="auto" w:fill="auto"/>
            <w:tcMar>
              <w:top w:w="0" w:type="dxa"/>
              <w:left w:w="105" w:type="dxa"/>
              <w:bottom w:w="0" w:type="dxa"/>
              <w:right w:w="105" w:type="dxa"/>
            </w:tcMar>
            <w:vAlign w:val="center"/>
          </w:tcPr>
          <w:p w14:paraId="184A1AB0">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医护服务端</w:t>
            </w:r>
          </w:p>
        </w:tc>
        <w:tc>
          <w:tcPr>
            <w:tcW w:w="522" w:type="pct"/>
            <w:vMerge w:val="restart"/>
            <w:shd w:val="clear" w:color="auto" w:fill="auto"/>
            <w:tcMar>
              <w:top w:w="0" w:type="dxa"/>
              <w:left w:w="105" w:type="dxa"/>
              <w:bottom w:w="0" w:type="dxa"/>
              <w:right w:w="105" w:type="dxa"/>
            </w:tcMar>
            <w:vAlign w:val="center"/>
          </w:tcPr>
          <w:p w14:paraId="72AA8035">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营养膳食问卷采集</w:t>
            </w:r>
          </w:p>
        </w:tc>
        <w:tc>
          <w:tcPr>
            <w:tcW w:w="720" w:type="pct"/>
            <w:shd w:val="clear" w:color="auto" w:fill="auto"/>
            <w:tcMar>
              <w:top w:w="0" w:type="dxa"/>
              <w:left w:w="105" w:type="dxa"/>
              <w:bottom w:w="0" w:type="dxa"/>
              <w:right w:w="105" w:type="dxa"/>
            </w:tcMar>
            <w:vAlign w:val="center"/>
          </w:tcPr>
          <w:p w14:paraId="3612DC61">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自动匹配体检待评估状态</w:t>
            </w:r>
          </w:p>
        </w:tc>
        <w:tc>
          <w:tcPr>
            <w:tcW w:w="2605" w:type="pct"/>
            <w:shd w:val="clear" w:color="auto" w:fill="auto"/>
            <w:tcMar>
              <w:top w:w="0" w:type="dxa"/>
              <w:left w:w="105" w:type="dxa"/>
              <w:bottom w:w="0" w:type="dxa"/>
              <w:right w:w="105" w:type="dxa"/>
            </w:tcMar>
            <w:vAlign w:val="center"/>
          </w:tcPr>
          <w:p w14:paraId="3E33257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支持接收体检系统个人和团体患者选定的不同类型膳食调查激活用户信息，自动建档生成待评估问卷状态。</w:t>
            </w:r>
          </w:p>
        </w:tc>
      </w:tr>
      <w:tr w14:paraId="33BB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350" w:hRule="atLeast"/>
        </w:trPr>
        <w:tc>
          <w:tcPr>
            <w:tcW w:w="428" w:type="pct"/>
            <w:shd w:val="clear" w:color="auto" w:fill="auto"/>
            <w:noWrap/>
            <w:tcMar>
              <w:top w:w="0" w:type="dxa"/>
              <w:left w:w="105" w:type="dxa"/>
              <w:bottom w:w="0" w:type="dxa"/>
              <w:right w:w="105" w:type="dxa"/>
            </w:tcMar>
            <w:vAlign w:val="center"/>
          </w:tcPr>
          <w:p w14:paraId="6203B24D">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723" w:type="pct"/>
            <w:vMerge w:val="continue"/>
            <w:shd w:val="clear" w:color="auto" w:fill="auto"/>
            <w:tcMar>
              <w:top w:w="0" w:type="dxa"/>
              <w:left w:w="105" w:type="dxa"/>
              <w:bottom w:w="0" w:type="dxa"/>
              <w:right w:w="105" w:type="dxa"/>
            </w:tcMar>
            <w:vAlign w:val="center"/>
          </w:tcPr>
          <w:p w14:paraId="79031C98">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06E29E14">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130107A5">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手动增加体检待评估问卷+后台删除问卷</w:t>
            </w:r>
          </w:p>
        </w:tc>
        <w:tc>
          <w:tcPr>
            <w:tcW w:w="2605" w:type="pct"/>
            <w:shd w:val="clear" w:color="auto" w:fill="auto"/>
            <w:tcMar>
              <w:top w:w="0" w:type="dxa"/>
              <w:left w:w="105" w:type="dxa"/>
              <w:bottom w:w="0" w:type="dxa"/>
              <w:right w:w="105" w:type="dxa"/>
            </w:tcMar>
            <w:vAlign w:val="center"/>
          </w:tcPr>
          <w:p w14:paraId="0D59E83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支持对就诊人手动单独建档和选定的不同类型膳食调查激活用户信息，手动建档生成待评估问卷状态；</w:t>
            </w:r>
            <w:r>
              <w:rPr>
                <w:rFonts w:hint="eastAsia" w:ascii="仿宋" w:hAnsi="仿宋" w:eastAsia="仿宋" w:cs="仿宋"/>
                <w:kern w:val="0"/>
                <w:sz w:val="24"/>
                <w:szCs w:val="24"/>
                <w:lang w:val="en-US" w:eastAsia="zh-CN" w:bidi="ar"/>
              </w:rPr>
              <w:br w:type="textWrapping"/>
            </w:r>
            <w:r>
              <w:rPr>
                <w:rFonts w:hint="eastAsia" w:ascii="仿宋" w:hAnsi="仿宋" w:eastAsia="仿宋" w:cs="仿宋"/>
                <w:kern w:val="0"/>
                <w:sz w:val="24"/>
                <w:szCs w:val="24"/>
                <w:lang w:val="en-US" w:eastAsia="zh-CN" w:bidi="ar"/>
              </w:rPr>
              <w:t>支持从后台删除患者错填、漏填、误填的问卷，需管理员权限。</w:t>
            </w:r>
          </w:p>
        </w:tc>
      </w:tr>
      <w:tr w14:paraId="7C9F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95" w:hRule="atLeast"/>
        </w:trPr>
        <w:tc>
          <w:tcPr>
            <w:tcW w:w="428" w:type="pct"/>
            <w:shd w:val="clear" w:color="auto" w:fill="auto"/>
            <w:noWrap/>
            <w:tcMar>
              <w:top w:w="0" w:type="dxa"/>
              <w:left w:w="105" w:type="dxa"/>
              <w:bottom w:w="0" w:type="dxa"/>
              <w:right w:w="105" w:type="dxa"/>
            </w:tcMar>
            <w:vAlign w:val="center"/>
          </w:tcPr>
          <w:p w14:paraId="7834507E">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723" w:type="pct"/>
            <w:vMerge w:val="continue"/>
            <w:shd w:val="clear" w:color="auto" w:fill="auto"/>
            <w:tcMar>
              <w:top w:w="0" w:type="dxa"/>
              <w:left w:w="105" w:type="dxa"/>
              <w:bottom w:w="0" w:type="dxa"/>
              <w:right w:w="105" w:type="dxa"/>
            </w:tcMar>
            <w:vAlign w:val="center"/>
          </w:tcPr>
          <w:p w14:paraId="159F5E05">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20863BD4">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4B24A79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患者查询</w:t>
            </w:r>
          </w:p>
        </w:tc>
        <w:tc>
          <w:tcPr>
            <w:tcW w:w="2605" w:type="pct"/>
            <w:shd w:val="clear" w:color="auto" w:fill="auto"/>
            <w:tcMar>
              <w:top w:w="0" w:type="dxa"/>
              <w:left w:w="105" w:type="dxa"/>
              <w:bottom w:w="0" w:type="dxa"/>
              <w:right w:w="105" w:type="dxa"/>
            </w:tcMar>
            <w:vAlign w:val="center"/>
          </w:tcPr>
          <w:p w14:paraId="38F53DC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支持按登记号、姓名、就诊状态及接诊医生维度快速检索</w:t>
            </w:r>
          </w:p>
        </w:tc>
      </w:tr>
      <w:tr w14:paraId="1669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60" w:hRule="atLeast"/>
        </w:trPr>
        <w:tc>
          <w:tcPr>
            <w:tcW w:w="428" w:type="pct"/>
            <w:shd w:val="clear" w:color="auto" w:fill="auto"/>
            <w:noWrap/>
            <w:tcMar>
              <w:top w:w="0" w:type="dxa"/>
              <w:left w:w="105" w:type="dxa"/>
              <w:bottom w:w="0" w:type="dxa"/>
              <w:right w:w="105" w:type="dxa"/>
            </w:tcMar>
            <w:vAlign w:val="center"/>
          </w:tcPr>
          <w:p w14:paraId="0C5D2E34">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723" w:type="pct"/>
            <w:vMerge w:val="continue"/>
            <w:shd w:val="clear" w:color="auto" w:fill="auto"/>
            <w:tcMar>
              <w:top w:w="0" w:type="dxa"/>
              <w:left w:w="105" w:type="dxa"/>
              <w:bottom w:w="0" w:type="dxa"/>
              <w:right w:w="105" w:type="dxa"/>
            </w:tcMar>
            <w:vAlign w:val="center"/>
          </w:tcPr>
          <w:p w14:paraId="3540174C">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687102A6">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70B918B4">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生理数据匹配</w:t>
            </w:r>
          </w:p>
        </w:tc>
        <w:tc>
          <w:tcPr>
            <w:tcW w:w="2605" w:type="pct"/>
            <w:shd w:val="clear" w:color="auto" w:fill="auto"/>
            <w:tcMar>
              <w:top w:w="0" w:type="dxa"/>
              <w:left w:w="105" w:type="dxa"/>
              <w:bottom w:w="0" w:type="dxa"/>
              <w:right w:w="105" w:type="dxa"/>
            </w:tcMar>
            <w:vAlign w:val="center"/>
          </w:tcPr>
          <w:p w14:paraId="60155DF7">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支持手动录入或从体检系统的数据一键导入当日身高、体重等健康数据，或指定采集患者最近一次检测数据和检查报告结果</w:t>
            </w:r>
          </w:p>
        </w:tc>
      </w:tr>
      <w:tr w14:paraId="6860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780" w:hRule="atLeast"/>
        </w:trPr>
        <w:tc>
          <w:tcPr>
            <w:tcW w:w="428" w:type="pct"/>
            <w:shd w:val="clear" w:color="auto" w:fill="auto"/>
            <w:noWrap/>
            <w:tcMar>
              <w:top w:w="0" w:type="dxa"/>
              <w:left w:w="105" w:type="dxa"/>
              <w:bottom w:w="0" w:type="dxa"/>
              <w:right w:w="105" w:type="dxa"/>
            </w:tcMar>
            <w:vAlign w:val="center"/>
          </w:tcPr>
          <w:p w14:paraId="4A9503E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723" w:type="pct"/>
            <w:vMerge w:val="continue"/>
            <w:shd w:val="clear" w:color="auto" w:fill="auto"/>
            <w:tcMar>
              <w:top w:w="0" w:type="dxa"/>
              <w:left w:w="105" w:type="dxa"/>
              <w:bottom w:w="0" w:type="dxa"/>
              <w:right w:w="105" w:type="dxa"/>
            </w:tcMar>
            <w:vAlign w:val="center"/>
          </w:tcPr>
          <w:p w14:paraId="3EC4658E">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500C23E7">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07CE573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膳食问卷采集</w:t>
            </w:r>
          </w:p>
        </w:tc>
        <w:tc>
          <w:tcPr>
            <w:tcW w:w="2605" w:type="pct"/>
            <w:shd w:val="clear" w:color="auto" w:fill="auto"/>
            <w:tcMar>
              <w:top w:w="0" w:type="dxa"/>
              <w:left w:w="105" w:type="dxa"/>
              <w:bottom w:w="0" w:type="dxa"/>
              <w:right w:w="105" w:type="dxa"/>
            </w:tcMar>
            <w:vAlign w:val="center"/>
          </w:tcPr>
          <w:p w14:paraId="020714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支持在PC端或门诊窗口指导患者进行膳食调查问卷的填写，其中问卷内容包含：</w:t>
            </w:r>
          </w:p>
          <w:p w14:paraId="70F6A5C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饮酒情况、饮食油腻程度、饮食咸味程度、吃肉习惯、甜食习惯、饮食种类、各类食物摄入频次与量等问卷式膳食调查（可选择填写常规问卷和适合不同慢病的膳食问卷，包括平衡膳食、抗高血压膳食和地中海膳食不同类型问卷）</w:t>
            </w:r>
          </w:p>
        </w:tc>
      </w:tr>
      <w:tr w14:paraId="6118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7C2C05B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w:t>
            </w:r>
          </w:p>
        </w:tc>
        <w:tc>
          <w:tcPr>
            <w:tcW w:w="723" w:type="pct"/>
            <w:vMerge w:val="continue"/>
            <w:shd w:val="clear" w:color="auto" w:fill="auto"/>
            <w:tcMar>
              <w:top w:w="0" w:type="dxa"/>
              <w:left w:w="105" w:type="dxa"/>
              <w:bottom w:w="0" w:type="dxa"/>
              <w:right w:w="105" w:type="dxa"/>
            </w:tcMar>
            <w:vAlign w:val="center"/>
          </w:tcPr>
          <w:p w14:paraId="190A04E0">
            <w:pPr>
              <w:widowControl/>
              <w:jc w:val="left"/>
              <w:rPr>
                <w:rFonts w:hint="eastAsia" w:ascii="仿宋" w:hAnsi="仿宋" w:eastAsia="仿宋" w:cs="仿宋"/>
                <w:kern w:val="0"/>
                <w:sz w:val="24"/>
                <w:szCs w:val="24"/>
                <w:lang w:bidi="ar"/>
              </w:rPr>
            </w:pPr>
          </w:p>
        </w:tc>
        <w:tc>
          <w:tcPr>
            <w:tcW w:w="522" w:type="pct"/>
            <w:vMerge w:val="restart"/>
            <w:shd w:val="clear" w:color="auto" w:fill="auto"/>
            <w:tcMar>
              <w:top w:w="0" w:type="dxa"/>
              <w:left w:w="105" w:type="dxa"/>
              <w:bottom w:w="0" w:type="dxa"/>
              <w:right w:w="105" w:type="dxa"/>
            </w:tcMar>
            <w:vAlign w:val="center"/>
          </w:tcPr>
          <w:p w14:paraId="370FAE71">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营养膳食分析与报告</w:t>
            </w:r>
          </w:p>
        </w:tc>
        <w:tc>
          <w:tcPr>
            <w:tcW w:w="720" w:type="pct"/>
            <w:shd w:val="clear" w:color="auto" w:fill="auto"/>
            <w:tcMar>
              <w:top w:w="0" w:type="dxa"/>
              <w:left w:w="105" w:type="dxa"/>
              <w:bottom w:w="0" w:type="dxa"/>
              <w:right w:w="105" w:type="dxa"/>
            </w:tcMar>
            <w:vAlign w:val="center"/>
          </w:tcPr>
          <w:p w14:paraId="3848C858">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膳食得分自动计算</w:t>
            </w:r>
          </w:p>
        </w:tc>
        <w:tc>
          <w:tcPr>
            <w:tcW w:w="2605" w:type="pct"/>
            <w:shd w:val="clear" w:color="auto" w:fill="auto"/>
            <w:tcMar>
              <w:top w:w="0" w:type="dxa"/>
              <w:left w:w="105" w:type="dxa"/>
              <w:bottom w:w="0" w:type="dxa"/>
              <w:right w:w="105" w:type="dxa"/>
            </w:tcMar>
            <w:vAlign w:val="center"/>
          </w:tcPr>
          <w:p w14:paraId="4418C64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根据患者问卷填写信息，进行平衡膳食、抗高血压膳食和地中海膳食等不同膳食模式的评价得分计算，并按评分框架进行评价等级判定，智能生成膳食行为误区或缺陷，医生审核后发放</w:t>
            </w:r>
          </w:p>
        </w:tc>
      </w:tr>
      <w:tr w14:paraId="15A2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45" w:hRule="atLeast"/>
        </w:trPr>
        <w:tc>
          <w:tcPr>
            <w:tcW w:w="428" w:type="pct"/>
            <w:shd w:val="clear" w:color="auto" w:fill="auto"/>
            <w:noWrap/>
            <w:tcMar>
              <w:top w:w="0" w:type="dxa"/>
              <w:left w:w="105" w:type="dxa"/>
              <w:bottom w:w="0" w:type="dxa"/>
              <w:right w:w="105" w:type="dxa"/>
            </w:tcMar>
            <w:vAlign w:val="center"/>
          </w:tcPr>
          <w:p w14:paraId="196BF7F5">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p>
        </w:tc>
        <w:tc>
          <w:tcPr>
            <w:tcW w:w="723" w:type="pct"/>
            <w:vMerge w:val="continue"/>
            <w:shd w:val="clear" w:color="auto" w:fill="auto"/>
            <w:tcMar>
              <w:top w:w="0" w:type="dxa"/>
              <w:left w:w="105" w:type="dxa"/>
              <w:bottom w:w="0" w:type="dxa"/>
              <w:right w:w="105" w:type="dxa"/>
            </w:tcMar>
            <w:vAlign w:val="center"/>
          </w:tcPr>
          <w:p w14:paraId="5A80E3CD">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1DF6F716">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2A8B1343">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膳食风险自动预判定</w:t>
            </w:r>
          </w:p>
        </w:tc>
        <w:tc>
          <w:tcPr>
            <w:tcW w:w="2605" w:type="pct"/>
            <w:shd w:val="clear" w:color="auto" w:fill="auto"/>
            <w:tcMar>
              <w:top w:w="0" w:type="dxa"/>
              <w:left w:w="105" w:type="dxa"/>
              <w:bottom w:w="0" w:type="dxa"/>
              <w:right w:w="105" w:type="dxa"/>
            </w:tcMar>
            <w:vAlign w:val="center"/>
          </w:tcPr>
          <w:p w14:paraId="35D7F895">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根据患者问卷填写信息，进行平衡膳食、抗高血压膳食和地中海膳食等不同膳食模式的风险得分计算，并按评分框架进行风险等级判定，审核后出具报告</w:t>
            </w:r>
          </w:p>
        </w:tc>
      </w:tr>
      <w:tr w14:paraId="549B6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25" w:hRule="atLeast"/>
        </w:trPr>
        <w:tc>
          <w:tcPr>
            <w:tcW w:w="428" w:type="pct"/>
            <w:shd w:val="clear" w:color="auto" w:fill="auto"/>
            <w:noWrap/>
            <w:tcMar>
              <w:top w:w="0" w:type="dxa"/>
              <w:left w:w="105" w:type="dxa"/>
              <w:bottom w:w="0" w:type="dxa"/>
              <w:right w:w="105" w:type="dxa"/>
            </w:tcMar>
            <w:vAlign w:val="center"/>
          </w:tcPr>
          <w:p w14:paraId="5EF2E398">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14</w:t>
            </w:r>
          </w:p>
        </w:tc>
        <w:tc>
          <w:tcPr>
            <w:tcW w:w="723" w:type="pct"/>
            <w:vMerge w:val="continue"/>
            <w:shd w:val="clear" w:color="auto" w:fill="auto"/>
            <w:tcMar>
              <w:top w:w="0" w:type="dxa"/>
              <w:left w:w="105" w:type="dxa"/>
              <w:bottom w:w="0" w:type="dxa"/>
              <w:right w:w="105" w:type="dxa"/>
            </w:tcMar>
            <w:vAlign w:val="center"/>
          </w:tcPr>
          <w:p w14:paraId="6C108389">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1D2FDC78">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615205ED">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食物日均摄入量分析和对比</w:t>
            </w:r>
          </w:p>
        </w:tc>
        <w:tc>
          <w:tcPr>
            <w:tcW w:w="2605" w:type="pct"/>
            <w:shd w:val="clear" w:color="auto" w:fill="auto"/>
            <w:tcMar>
              <w:top w:w="0" w:type="dxa"/>
              <w:left w:w="105" w:type="dxa"/>
              <w:bottom w:w="0" w:type="dxa"/>
              <w:right w:w="105" w:type="dxa"/>
            </w:tcMar>
            <w:vAlign w:val="center"/>
          </w:tcPr>
          <w:p w14:paraId="2449E406">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对信息采集完整的患者，智能提取问卷信息，进行日均各类食物摄入的具体摄入量推算，并与行业推荐标准进行摄入量对比</w:t>
            </w:r>
          </w:p>
        </w:tc>
      </w:tr>
      <w:tr w14:paraId="3B23D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111CA900">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15</w:t>
            </w:r>
          </w:p>
        </w:tc>
        <w:tc>
          <w:tcPr>
            <w:tcW w:w="723" w:type="pct"/>
            <w:vMerge w:val="continue"/>
            <w:shd w:val="clear" w:color="auto" w:fill="auto"/>
            <w:tcMar>
              <w:top w:w="0" w:type="dxa"/>
              <w:left w:w="105" w:type="dxa"/>
              <w:bottom w:w="0" w:type="dxa"/>
              <w:right w:w="105" w:type="dxa"/>
            </w:tcMar>
            <w:vAlign w:val="center"/>
          </w:tcPr>
          <w:p w14:paraId="215D6902">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2843D284">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329EF7F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营养素摄入分析</w:t>
            </w:r>
          </w:p>
        </w:tc>
        <w:tc>
          <w:tcPr>
            <w:tcW w:w="2605" w:type="pct"/>
            <w:shd w:val="clear" w:color="auto" w:fill="auto"/>
            <w:tcMar>
              <w:top w:w="0" w:type="dxa"/>
              <w:left w:w="105" w:type="dxa"/>
              <w:bottom w:w="0" w:type="dxa"/>
              <w:right w:w="105" w:type="dxa"/>
            </w:tcMar>
            <w:vAlign w:val="center"/>
          </w:tcPr>
          <w:p w14:paraId="7F19235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根据患者问卷填写信息，进行日均能量、宏量营养素、微量营养素的摄入量推算，并根据性别与行业推荐标准进行摄入量对比</w:t>
            </w:r>
          </w:p>
        </w:tc>
      </w:tr>
      <w:tr w14:paraId="6425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119C508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16</w:t>
            </w:r>
          </w:p>
        </w:tc>
        <w:tc>
          <w:tcPr>
            <w:tcW w:w="723" w:type="pct"/>
            <w:vMerge w:val="continue"/>
            <w:shd w:val="clear" w:color="auto" w:fill="auto"/>
            <w:tcMar>
              <w:top w:w="0" w:type="dxa"/>
              <w:left w:w="105" w:type="dxa"/>
              <w:bottom w:w="0" w:type="dxa"/>
              <w:right w:w="105" w:type="dxa"/>
            </w:tcMar>
            <w:vAlign w:val="center"/>
          </w:tcPr>
          <w:p w14:paraId="1444B1A4">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66440336">
            <w:pPr>
              <w:widowControl/>
              <w:jc w:val="left"/>
              <w:rPr>
                <w:rFonts w:hint="eastAsia" w:ascii="仿宋" w:hAnsi="仿宋" w:eastAsia="仿宋" w:cs="仿宋"/>
                <w:kern w:val="0"/>
                <w:sz w:val="24"/>
                <w:szCs w:val="24"/>
                <w:lang w:bidi="ar"/>
              </w:rPr>
            </w:pPr>
          </w:p>
        </w:tc>
        <w:tc>
          <w:tcPr>
            <w:tcW w:w="720" w:type="pct"/>
            <w:vMerge w:val="restart"/>
            <w:shd w:val="clear" w:color="auto" w:fill="auto"/>
            <w:tcMar>
              <w:top w:w="0" w:type="dxa"/>
              <w:left w:w="105" w:type="dxa"/>
              <w:bottom w:w="0" w:type="dxa"/>
              <w:right w:w="105" w:type="dxa"/>
            </w:tcMar>
            <w:vAlign w:val="center"/>
          </w:tcPr>
          <w:p w14:paraId="2AEA2CA1">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饮食模式和膳食习惯指导</w:t>
            </w:r>
          </w:p>
        </w:tc>
        <w:tc>
          <w:tcPr>
            <w:tcW w:w="2605" w:type="pct"/>
            <w:shd w:val="clear" w:color="auto" w:fill="auto"/>
            <w:tcMar>
              <w:top w:w="0" w:type="dxa"/>
              <w:left w:w="105" w:type="dxa"/>
              <w:bottom w:w="0" w:type="dxa"/>
              <w:right w:w="105" w:type="dxa"/>
            </w:tcMar>
            <w:vAlign w:val="center"/>
          </w:tcPr>
          <w:p w14:paraId="765923ED">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患者的调查问卷类型，生成包括平衡饮食、抗高血压膳食和地中海膳食等不同饮食模式的指导建议。为医生提供智能推荐功能，快速诊断，并可基于患者个体特征，进行修改，助力医生高效指导患者。经医生审核后出具报告，保存在体检系统中。</w:t>
            </w:r>
          </w:p>
        </w:tc>
      </w:tr>
      <w:tr w14:paraId="06BE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2124B3CE">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17</w:t>
            </w:r>
          </w:p>
        </w:tc>
        <w:tc>
          <w:tcPr>
            <w:tcW w:w="723" w:type="pct"/>
            <w:vMerge w:val="continue"/>
            <w:shd w:val="clear" w:color="auto" w:fill="auto"/>
            <w:tcMar>
              <w:top w:w="0" w:type="dxa"/>
              <w:left w:w="105" w:type="dxa"/>
              <w:bottom w:w="0" w:type="dxa"/>
              <w:right w:w="105" w:type="dxa"/>
            </w:tcMar>
            <w:vAlign w:val="center"/>
          </w:tcPr>
          <w:p w14:paraId="4E8B6B60">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0BE8FAA5">
            <w:pPr>
              <w:widowControl/>
              <w:jc w:val="left"/>
              <w:rPr>
                <w:rFonts w:hint="eastAsia" w:ascii="仿宋" w:hAnsi="仿宋" w:eastAsia="仿宋" w:cs="仿宋"/>
                <w:kern w:val="0"/>
                <w:sz w:val="24"/>
                <w:szCs w:val="24"/>
                <w:lang w:bidi="ar"/>
              </w:rPr>
            </w:pPr>
          </w:p>
        </w:tc>
        <w:tc>
          <w:tcPr>
            <w:tcW w:w="720" w:type="pct"/>
            <w:vMerge w:val="continue"/>
            <w:shd w:val="clear" w:color="auto" w:fill="auto"/>
            <w:tcMar>
              <w:top w:w="0" w:type="dxa"/>
              <w:left w:w="105" w:type="dxa"/>
              <w:bottom w:w="0" w:type="dxa"/>
              <w:right w:w="105" w:type="dxa"/>
            </w:tcMar>
            <w:vAlign w:val="center"/>
          </w:tcPr>
          <w:p w14:paraId="3DEE9E0F">
            <w:pPr>
              <w:widowControl/>
              <w:jc w:val="left"/>
              <w:rPr>
                <w:rFonts w:hint="eastAsia" w:ascii="仿宋" w:hAnsi="仿宋" w:eastAsia="仿宋" w:cs="仿宋"/>
                <w:kern w:val="0"/>
                <w:sz w:val="24"/>
                <w:szCs w:val="24"/>
                <w:lang w:bidi="ar"/>
              </w:rPr>
            </w:pPr>
          </w:p>
        </w:tc>
        <w:tc>
          <w:tcPr>
            <w:tcW w:w="2605" w:type="pct"/>
            <w:shd w:val="clear" w:color="auto" w:fill="auto"/>
            <w:tcMar>
              <w:top w:w="0" w:type="dxa"/>
              <w:left w:w="105" w:type="dxa"/>
              <w:bottom w:w="0" w:type="dxa"/>
              <w:right w:w="105" w:type="dxa"/>
            </w:tcMar>
            <w:vAlign w:val="center"/>
          </w:tcPr>
          <w:p w14:paraId="18CD9AC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为提升医生的工作效率，系统支持预设食谱模板及快捷插入功能。医生可将常用的饮食计划保存为模板，在制定新方案时快速调用，减少重复操作</w:t>
            </w:r>
          </w:p>
        </w:tc>
      </w:tr>
      <w:tr w14:paraId="0009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78180FF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18</w:t>
            </w:r>
          </w:p>
        </w:tc>
        <w:tc>
          <w:tcPr>
            <w:tcW w:w="723" w:type="pct"/>
            <w:vMerge w:val="continue"/>
            <w:shd w:val="clear" w:color="auto" w:fill="auto"/>
            <w:tcMar>
              <w:top w:w="0" w:type="dxa"/>
              <w:left w:w="105" w:type="dxa"/>
              <w:bottom w:w="0" w:type="dxa"/>
              <w:right w:w="105" w:type="dxa"/>
            </w:tcMar>
            <w:vAlign w:val="center"/>
          </w:tcPr>
          <w:p w14:paraId="230A2443">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5286BE37">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4AE6B89B">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预设营养宣教</w:t>
            </w:r>
          </w:p>
        </w:tc>
        <w:tc>
          <w:tcPr>
            <w:tcW w:w="2605" w:type="pct"/>
            <w:shd w:val="clear" w:color="auto" w:fill="auto"/>
            <w:tcMar>
              <w:top w:w="0" w:type="dxa"/>
              <w:left w:w="105" w:type="dxa"/>
              <w:bottom w:w="0" w:type="dxa"/>
              <w:right w:w="105" w:type="dxa"/>
            </w:tcMar>
            <w:vAlign w:val="center"/>
          </w:tcPr>
          <w:p w14:paraId="2BC6773C">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支持预设定制健康教育内容：涵盖饮食、误区、常见问题不良反应、高蛋白、轻断食、限能量，帮助患者全面了解相关知识，按需要插入报告模板。每个类目下的宣教内容均可按需更新。</w:t>
            </w:r>
          </w:p>
        </w:tc>
      </w:tr>
      <w:tr w14:paraId="6A18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1DBE07F5">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19</w:t>
            </w:r>
          </w:p>
        </w:tc>
        <w:tc>
          <w:tcPr>
            <w:tcW w:w="723" w:type="pct"/>
            <w:vMerge w:val="continue"/>
            <w:shd w:val="clear" w:color="auto" w:fill="auto"/>
            <w:tcMar>
              <w:top w:w="0" w:type="dxa"/>
              <w:left w:w="105" w:type="dxa"/>
              <w:bottom w:w="0" w:type="dxa"/>
              <w:right w:w="105" w:type="dxa"/>
            </w:tcMar>
            <w:vAlign w:val="center"/>
          </w:tcPr>
          <w:p w14:paraId="07921946">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56923A14">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11C32533">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报告推送</w:t>
            </w:r>
          </w:p>
        </w:tc>
        <w:tc>
          <w:tcPr>
            <w:tcW w:w="2605" w:type="pct"/>
            <w:shd w:val="clear" w:color="auto" w:fill="auto"/>
            <w:tcMar>
              <w:top w:w="0" w:type="dxa"/>
              <w:left w:w="105" w:type="dxa"/>
              <w:bottom w:w="0" w:type="dxa"/>
              <w:right w:w="105" w:type="dxa"/>
            </w:tcMar>
            <w:vAlign w:val="center"/>
          </w:tcPr>
          <w:p w14:paraId="61CC8C0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经医生确认的报告，将自动、实时地同步至体检系统。患者可通过体检报告程序随时调阅，确保治即时获取与信息同步。</w:t>
            </w:r>
          </w:p>
        </w:tc>
      </w:tr>
      <w:tr w14:paraId="773F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40" w:hRule="atLeast"/>
        </w:trPr>
        <w:tc>
          <w:tcPr>
            <w:tcW w:w="428" w:type="pct"/>
            <w:shd w:val="clear" w:color="auto" w:fill="auto"/>
            <w:noWrap/>
            <w:tcMar>
              <w:top w:w="0" w:type="dxa"/>
              <w:left w:w="105" w:type="dxa"/>
              <w:bottom w:w="0" w:type="dxa"/>
              <w:right w:w="105" w:type="dxa"/>
            </w:tcMar>
            <w:vAlign w:val="center"/>
          </w:tcPr>
          <w:p w14:paraId="258DD7F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w:t>
            </w:r>
          </w:p>
        </w:tc>
        <w:tc>
          <w:tcPr>
            <w:tcW w:w="723" w:type="pct"/>
            <w:vMerge w:val="continue"/>
            <w:shd w:val="clear" w:color="auto" w:fill="auto"/>
            <w:tcMar>
              <w:top w:w="0" w:type="dxa"/>
              <w:left w:w="105" w:type="dxa"/>
              <w:bottom w:w="0" w:type="dxa"/>
              <w:right w:w="105" w:type="dxa"/>
            </w:tcMar>
            <w:vAlign w:val="center"/>
          </w:tcPr>
          <w:p w14:paraId="7F1E24BE">
            <w:pPr>
              <w:widowControl/>
              <w:jc w:val="left"/>
              <w:rPr>
                <w:rFonts w:hint="eastAsia" w:ascii="仿宋" w:hAnsi="仿宋" w:eastAsia="仿宋" w:cs="仿宋"/>
                <w:kern w:val="0"/>
                <w:sz w:val="24"/>
                <w:szCs w:val="24"/>
                <w:lang w:bidi="ar"/>
              </w:rPr>
            </w:pPr>
          </w:p>
        </w:tc>
        <w:tc>
          <w:tcPr>
            <w:tcW w:w="522" w:type="pct"/>
            <w:shd w:val="clear" w:color="auto" w:fill="auto"/>
            <w:tcMar>
              <w:top w:w="0" w:type="dxa"/>
              <w:left w:w="105" w:type="dxa"/>
              <w:bottom w:w="0" w:type="dxa"/>
              <w:right w:w="105" w:type="dxa"/>
            </w:tcMar>
            <w:vAlign w:val="center"/>
          </w:tcPr>
          <w:p w14:paraId="2EEB54C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就诊人信息查询</w:t>
            </w:r>
          </w:p>
        </w:tc>
        <w:tc>
          <w:tcPr>
            <w:tcW w:w="720" w:type="pct"/>
            <w:shd w:val="clear" w:color="auto" w:fill="auto"/>
            <w:tcMar>
              <w:top w:w="0" w:type="dxa"/>
              <w:left w:w="105" w:type="dxa"/>
              <w:bottom w:w="0" w:type="dxa"/>
              <w:right w:w="105" w:type="dxa"/>
            </w:tcMar>
            <w:vAlign w:val="center"/>
          </w:tcPr>
          <w:p w14:paraId="3F0C53A1">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问卷信息画像</w:t>
            </w:r>
          </w:p>
        </w:tc>
        <w:tc>
          <w:tcPr>
            <w:tcW w:w="2605" w:type="pct"/>
            <w:shd w:val="clear" w:color="auto" w:fill="auto"/>
            <w:tcMar>
              <w:top w:w="0" w:type="dxa"/>
              <w:left w:w="105" w:type="dxa"/>
              <w:bottom w:w="0" w:type="dxa"/>
              <w:right w:w="105" w:type="dxa"/>
            </w:tcMar>
            <w:vAlign w:val="center"/>
          </w:tcPr>
          <w:p w14:paraId="7F5877A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患者膳食问卷数据，支持医生可一键调阅，即时获取患者的问卷画像，为诊疗决策提供完整数据支撑，助力医生快速掌握患者概况，为医生的后续临床决策提供关键信息支持</w:t>
            </w:r>
          </w:p>
        </w:tc>
      </w:tr>
      <w:tr w14:paraId="19CC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2D44235B">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21</w:t>
            </w:r>
          </w:p>
        </w:tc>
        <w:tc>
          <w:tcPr>
            <w:tcW w:w="723" w:type="pct"/>
            <w:vMerge w:val="continue"/>
            <w:shd w:val="clear" w:color="auto" w:fill="auto"/>
            <w:tcMar>
              <w:top w:w="0" w:type="dxa"/>
              <w:left w:w="105" w:type="dxa"/>
              <w:bottom w:w="0" w:type="dxa"/>
              <w:right w:w="105" w:type="dxa"/>
            </w:tcMar>
            <w:vAlign w:val="center"/>
          </w:tcPr>
          <w:p w14:paraId="426224F1">
            <w:pPr>
              <w:widowControl/>
              <w:jc w:val="left"/>
              <w:rPr>
                <w:rFonts w:hint="eastAsia" w:ascii="仿宋" w:hAnsi="仿宋" w:eastAsia="仿宋" w:cs="仿宋"/>
                <w:kern w:val="0"/>
                <w:sz w:val="24"/>
                <w:szCs w:val="24"/>
                <w:lang w:bidi="ar"/>
              </w:rPr>
            </w:pPr>
          </w:p>
        </w:tc>
        <w:tc>
          <w:tcPr>
            <w:tcW w:w="522" w:type="pct"/>
            <w:vMerge w:val="restart"/>
            <w:shd w:val="clear" w:color="auto" w:fill="auto"/>
            <w:tcMar>
              <w:top w:w="0" w:type="dxa"/>
              <w:left w:w="105" w:type="dxa"/>
              <w:bottom w:w="0" w:type="dxa"/>
              <w:right w:w="105" w:type="dxa"/>
            </w:tcMar>
            <w:vAlign w:val="center"/>
          </w:tcPr>
          <w:p w14:paraId="1047B9C7">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团队营养管理</w:t>
            </w:r>
          </w:p>
        </w:tc>
        <w:tc>
          <w:tcPr>
            <w:tcW w:w="720" w:type="pct"/>
            <w:shd w:val="clear" w:color="auto" w:fill="auto"/>
            <w:tcMar>
              <w:top w:w="0" w:type="dxa"/>
              <w:left w:w="105" w:type="dxa"/>
              <w:bottom w:w="0" w:type="dxa"/>
              <w:right w:w="105" w:type="dxa"/>
            </w:tcMar>
            <w:vAlign w:val="center"/>
          </w:tcPr>
          <w:p w14:paraId="40DDE6B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团队建档</w:t>
            </w:r>
          </w:p>
        </w:tc>
        <w:tc>
          <w:tcPr>
            <w:tcW w:w="2605" w:type="pct"/>
            <w:shd w:val="clear" w:color="auto" w:fill="auto"/>
            <w:tcMar>
              <w:top w:w="0" w:type="dxa"/>
              <w:left w:w="105" w:type="dxa"/>
              <w:bottom w:w="0" w:type="dxa"/>
              <w:right w:w="105" w:type="dxa"/>
            </w:tcMar>
            <w:vAlign w:val="center"/>
          </w:tcPr>
          <w:p w14:paraId="0613D428">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支持团体建档，批量导入体检系统，群体内可导入或手动添加个体客户</w:t>
            </w:r>
          </w:p>
        </w:tc>
      </w:tr>
      <w:tr w14:paraId="0163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6C912612">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22</w:t>
            </w:r>
          </w:p>
        </w:tc>
        <w:tc>
          <w:tcPr>
            <w:tcW w:w="723" w:type="pct"/>
            <w:vMerge w:val="continue"/>
            <w:shd w:val="clear" w:color="auto" w:fill="auto"/>
            <w:tcMar>
              <w:top w:w="0" w:type="dxa"/>
              <w:left w:w="105" w:type="dxa"/>
              <w:bottom w:w="0" w:type="dxa"/>
              <w:right w:w="105" w:type="dxa"/>
            </w:tcMar>
            <w:vAlign w:val="center"/>
          </w:tcPr>
          <w:p w14:paraId="0B1EFB44">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4DD449A8">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605E87C7">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团体营养数据画像</w:t>
            </w:r>
          </w:p>
        </w:tc>
        <w:tc>
          <w:tcPr>
            <w:tcW w:w="2605" w:type="pct"/>
            <w:shd w:val="clear" w:color="auto" w:fill="auto"/>
            <w:tcMar>
              <w:top w:w="0" w:type="dxa"/>
              <w:left w:w="105" w:type="dxa"/>
              <w:bottom w:w="0" w:type="dxa"/>
              <w:right w:w="105" w:type="dxa"/>
            </w:tcMar>
            <w:vAlign w:val="center"/>
          </w:tcPr>
          <w:p w14:paraId="079E75F2">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支持以团体为筛选，展示群体管理数据，支持根据团体对象调查核心数据变化（参考个体数据，呈现单位平均水平），出具团体公共营养管理分析与报告，根据采购人需求，可以增加、调整统计报表内容</w:t>
            </w:r>
          </w:p>
        </w:tc>
      </w:tr>
      <w:tr w14:paraId="32E14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76B67DC4">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23</w:t>
            </w:r>
          </w:p>
        </w:tc>
        <w:tc>
          <w:tcPr>
            <w:tcW w:w="723" w:type="pct"/>
            <w:vMerge w:val="continue"/>
            <w:shd w:val="clear" w:color="auto" w:fill="auto"/>
            <w:tcMar>
              <w:top w:w="0" w:type="dxa"/>
              <w:left w:w="105" w:type="dxa"/>
              <w:bottom w:w="0" w:type="dxa"/>
              <w:right w:w="105" w:type="dxa"/>
            </w:tcMar>
            <w:vAlign w:val="center"/>
          </w:tcPr>
          <w:p w14:paraId="262EC52C">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31C84CBA">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5726A6FE">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团体膳食干预变化分析</w:t>
            </w:r>
          </w:p>
        </w:tc>
        <w:tc>
          <w:tcPr>
            <w:tcW w:w="2605" w:type="pct"/>
            <w:shd w:val="clear" w:color="auto" w:fill="auto"/>
            <w:tcMar>
              <w:top w:w="0" w:type="dxa"/>
              <w:left w:w="105" w:type="dxa"/>
              <w:bottom w:w="0" w:type="dxa"/>
              <w:right w:w="105" w:type="dxa"/>
            </w:tcMar>
            <w:vAlign w:val="center"/>
          </w:tcPr>
          <w:p w14:paraId="6433A586">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生成不同阶段填写的同类型膳食问卷结果的团体结果比对，或按时间灵活统计分析，包括管理患者总体数据、人口学结构、人群画像、饮食情况、膳食结构变化情况等，支持快速查询及一键生成报表，助力医生和管理者精准掌握团队管理效果的全貌。</w:t>
            </w:r>
          </w:p>
        </w:tc>
      </w:tr>
      <w:tr w14:paraId="2D62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1D8C5660">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24</w:t>
            </w:r>
          </w:p>
        </w:tc>
        <w:tc>
          <w:tcPr>
            <w:tcW w:w="723" w:type="pct"/>
            <w:vMerge w:val="continue"/>
            <w:shd w:val="clear" w:color="auto" w:fill="auto"/>
            <w:tcMar>
              <w:top w:w="0" w:type="dxa"/>
              <w:left w:w="105" w:type="dxa"/>
              <w:bottom w:w="0" w:type="dxa"/>
              <w:right w:w="105" w:type="dxa"/>
            </w:tcMar>
            <w:vAlign w:val="center"/>
          </w:tcPr>
          <w:p w14:paraId="1A318120">
            <w:pPr>
              <w:widowControl/>
              <w:jc w:val="left"/>
              <w:rPr>
                <w:rFonts w:hint="eastAsia" w:ascii="仿宋" w:hAnsi="仿宋" w:eastAsia="仿宋" w:cs="仿宋"/>
                <w:kern w:val="0"/>
                <w:sz w:val="24"/>
                <w:szCs w:val="24"/>
                <w:lang w:bidi="ar"/>
              </w:rPr>
            </w:pPr>
          </w:p>
        </w:tc>
        <w:tc>
          <w:tcPr>
            <w:tcW w:w="522" w:type="pct"/>
            <w:vMerge w:val="restart"/>
            <w:shd w:val="clear" w:color="auto" w:fill="auto"/>
            <w:tcMar>
              <w:top w:w="0" w:type="dxa"/>
              <w:left w:w="105" w:type="dxa"/>
              <w:bottom w:w="0" w:type="dxa"/>
              <w:right w:w="105" w:type="dxa"/>
            </w:tcMar>
            <w:vAlign w:val="center"/>
          </w:tcPr>
          <w:p w14:paraId="325D467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数据留存与导出</w:t>
            </w:r>
          </w:p>
        </w:tc>
        <w:tc>
          <w:tcPr>
            <w:tcW w:w="720" w:type="pct"/>
            <w:vMerge w:val="restart"/>
            <w:shd w:val="clear" w:color="auto" w:fill="auto"/>
            <w:tcMar>
              <w:top w:w="0" w:type="dxa"/>
              <w:left w:w="105" w:type="dxa"/>
              <w:bottom w:w="0" w:type="dxa"/>
              <w:right w:w="105" w:type="dxa"/>
            </w:tcMar>
            <w:vAlign w:val="center"/>
          </w:tcPr>
          <w:p w14:paraId="33AD1B5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数据筛选</w:t>
            </w:r>
          </w:p>
        </w:tc>
        <w:tc>
          <w:tcPr>
            <w:tcW w:w="2605" w:type="pct"/>
            <w:shd w:val="clear" w:color="auto" w:fill="auto"/>
            <w:tcMar>
              <w:top w:w="0" w:type="dxa"/>
              <w:left w:w="105" w:type="dxa"/>
              <w:bottom w:w="0" w:type="dxa"/>
              <w:right w:w="105" w:type="dxa"/>
            </w:tcMar>
            <w:vAlign w:val="center"/>
          </w:tcPr>
          <w:p w14:paraId="6F3F790E">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支持用户按时间进行就诊人的各项问卷、报告的查看及筛选功能</w:t>
            </w:r>
          </w:p>
        </w:tc>
      </w:tr>
      <w:tr w14:paraId="1D8A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7AE6F65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25</w:t>
            </w:r>
          </w:p>
        </w:tc>
        <w:tc>
          <w:tcPr>
            <w:tcW w:w="723" w:type="pct"/>
            <w:vMerge w:val="continue"/>
            <w:shd w:val="clear" w:color="auto" w:fill="auto"/>
            <w:tcMar>
              <w:top w:w="0" w:type="dxa"/>
              <w:left w:w="105" w:type="dxa"/>
              <w:bottom w:w="0" w:type="dxa"/>
              <w:right w:w="105" w:type="dxa"/>
            </w:tcMar>
            <w:vAlign w:val="center"/>
          </w:tcPr>
          <w:p w14:paraId="54D52EE9">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1AC9757B">
            <w:pPr>
              <w:widowControl/>
              <w:jc w:val="left"/>
              <w:rPr>
                <w:rFonts w:hint="eastAsia" w:ascii="仿宋" w:hAnsi="仿宋" w:eastAsia="仿宋" w:cs="仿宋"/>
                <w:kern w:val="0"/>
                <w:sz w:val="24"/>
                <w:szCs w:val="24"/>
                <w:lang w:bidi="ar"/>
              </w:rPr>
            </w:pPr>
          </w:p>
        </w:tc>
        <w:tc>
          <w:tcPr>
            <w:tcW w:w="720" w:type="pct"/>
            <w:vMerge w:val="continue"/>
            <w:shd w:val="clear" w:color="auto" w:fill="auto"/>
            <w:tcMar>
              <w:top w:w="0" w:type="dxa"/>
              <w:left w:w="105" w:type="dxa"/>
              <w:bottom w:w="0" w:type="dxa"/>
              <w:right w:w="105" w:type="dxa"/>
            </w:tcMar>
            <w:vAlign w:val="center"/>
          </w:tcPr>
          <w:p w14:paraId="6D4E9503">
            <w:pPr>
              <w:widowControl/>
              <w:jc w:val="left"/>
              <w:rPr>
                <w:rFonts w:hint="eastAsia" w:ascii="仿宋" w:hAnsi="仿宋" w:eastAsia="仿宋" w:cs="仿宋"/>
                <w:kern w:val="0"/>
                <w:sz w:val="24"/>
                <w:szCs w:val="24"/>
                <w:lang w:bidi="ar"/>
              </w:rPr>
            </w:pPr>
          </w:p>
        </w:tc>
        <w:tc>
          <w:tcPr>
            <w:tcW w:w="2605" w:type="pct"/>
            <w:shd w:val="clear" w:color="auto" w:fill="auto"/>
            <w:tcMar>
              <w:top w:w="0" w:type="dxa"/>
              <w:left w:w="105" w:type="dxa"/>
              <w:bottom w:w="0" w:type="dxa"/>
              <w:right w:w="105" w:type="dxa"/>
            </w:tcMar>
            <w:vAlign w:val="center"/>
          </w:tcPr>
          <w:p w14:paraId="33F920C6">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支持用户按接诊医师和所属团体等信息筛选患者情况</w:t>
            </w:r>
          </w:p>
        </w:tc>
      </w:tr>
      <w:tr w14:paraId="1403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6BD67AE0">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26</w:t>
            </w:r>
          </w:p>
        </w:tc>
        <w:tc>
          <w:tcPr>
            <w:tcW w:w="723" w:type="pct"/>
            <w:vMerge w:val="continue"/>
            <w:shd w:val="clear" w:color="auto" w:fill="auto"/>
            <w:tcMar>
              <w:top w:w="0" w:type="dxa"/>
              <w:left w:w="105" w:type="dxa"/>
              <w:bottom w:w="0" w:type="dxa"/>
              <w:right w:w="105" w:type="dxa"/>
            </w:tcMar>
            <w:vAlign w:val="center"/>
          </w:tcPr>
          <w:p w14:paraId="5C236BAB">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74B302AB">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2FF1CFA8">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数据导出</w:t>
            </w:r>
          </w:p>
        </w:tc>
        <w:tc>
          <w:tcPr>
            <w:tcW w:w="2605" w:type="pct"/>
            <w:shd w:val="clear" w:color="auto" w:fill="auto"/>
            <w:tcMar>
              <w:top w:w="0" w:type="dxa"/>
              <w:left w:w="105" w:type="dxa"/>
              <w:bottom w:w="0" w:type="dxa"/>
              <w:right w:w="105" w:type="dxa"/>
            </w:tcMar>
            <w:vAlign w:val="center"/>
          </w:tcPr>
          <w:p w14:paraId="04EC494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支持用户就已筛选数据进行表格化一键导出功能，并支持不同数据类目的选择设置</w:t>
            </w:r>
          </w:p>
        </w:tc>
      </w:tr>
      <w:tr w14:paraId="446D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74E6223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27</w:t>
            </w:r>
          </w:p>
        </w:tc>
        <w:tc>
          <w:tcPr>
            <w:tcW w:w="723" w:type="pct"/>
            <w:vMerge w:val="restart"/>
            <w:shd w:val="clear" w:color="auto" w:fill="auto"/>
            <w:tcMar>
              <w:top w:w="0" w:type="dxa"/>
              <w:left w:w="105" w:type="dxa"/>
              <w:bottom w:w="0" w:type="dxa"/>
              <w:right w:w="105" w:type="dxa"/>
            </w:tcMar>
            <w:vAlign w:val="center"/>
          </w:tcPr>
          <w:p w14:paraId="4166BB5F">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后台管理端</w:t>
            </w:r>
          </w:p>
        </w:tc>
        <w:tc>
          <w:tcPr>
            <w:tcW w:w="522" w:type="pct"/>
            <w:vMerge w:val="restart"/>
            <w:shd w:val="clear" w:color="auto" w:fill="auto"/>
            <w:tcMar>
              <w:top w:w="0" w:type="dxa"/>
              <w:left w:w="105" w:type="dxa"/>
              <w:bottom w:w="0" w:type="dxa"/>
              <w:right w:w="105" w:type="dxa"/>
            </w:tcMar>
            <w:vAlign w:val="center"/>
          </w:tcPr>
          <w:p w14:paraId="7F5DFB47">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管理质量控制</w:t>
            </w:r>
          </w:p>
        </w:tc>
        <w:tc>
          <w:tcPr>
            <w:tcW w:w="720" w:type="pct"/>
            <w:shd w:val="clear" w:color="auto" w:fill="auto"/>
            <w:tcMar>
              <w:top w:w="0" w:type="dxa"/>
              <w:left w:w="105" w:type="dxa"/>
              <w:bottom w:w="0" w:type="dxa"/>
              <w:right w:w="105" w:type="dxa"/>
            </w:tcMar>
            <w:vAlign w:val="center"/>
          </w:tcPr>
          <w:p w14:paraId="56E3E089">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日常管理数据查看</w:t>
            </w:r>
          </w:p>
        </w:tc>
        <w:tc>
          <w:tcPr>
            <w:tcW w:w="2605" w:type="pct"/>
            <w:shd w:val="clear" w:color="auto" w:fill="auto"/>
            <w:tcMar>
              <w:top w:w="0" w:type="dxa"/>
              <w:left w:w="105" w:type="dxa"/>
              <w:bottom w:w="0" w:type="dxa"/>
              <w:right w:w="105" w:type="dxa"/>
            </w:tcMar>
            <w:vAlign w:val="center"/>
          </w:tcPr>
          <w:p w14:paraId="15DA3A0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支持评估&amp;调查完成率、膳食打卡的数据统计，并支持按照不同管理角色统计工作量</w:t>
            </w:r>
          </w:p>
        </w:tc>
      </w:tr>
      <w:tr w14:paraId="55A1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0FAE76E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28</w:t>
            </w:r>
          </w:p>
        </w:tc>
        <w:tc>
          <w:tcPr>
            <w:tcW w:w="723" w:type="pct"/>
            <w:vMerge w:val="continue"/>
            <w:shd w:val="clear" w:color="auto" w:fill="auto"/>
            <w:tcMar>
              <w:top w:w="0" w:type="dxa"/>
              <w:left w:w="105" w:type="dxa"/>
              <w:bottom w:w="0" w:type="dxa"/>
              <w:right w:w="105" w:type="dxa"/>
            </w:tcMar>
            <w:vAlign w:val="center"/>
          </w:tcPr>
          <w:p w14:paraId="02186B96">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59728C64">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035D5E70">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阶段数据变化汇总驾驶舱</w:t>
            </w:r>
          </w:p>
        </w:tc>
        <w:tc>
          <w:tcPr>
            <w:tcW w:w="2605" w:type="pct"/>
            <w:shd w:val="clear" w:color="auto" w:fill="auto"/>
            <w:tcMar>
              <w:top w:w="0" w:type="dxa"/>
              <w:left w:w="105" w:type="dxa"/>
              <w:bottom w:w="0" w:type="dxa"/>
              <w:right w:w="105" w:type="dxa"/>
            </w:tcMar>
            <w:vAlign w:val="center"/>
          </w:tcPr>
          <w:p w14:paraId="7722C635">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可呈现某阶段完成营养分析成员的全貌，实现对营养分析人群的宏观监控与进度评估。可量化汇总评估患者总体数据、核心指标，为管理质控调整提供依据：根据采购人需求，可以增加、调整统计报表内容</w:t>
            </w:r>
          </w:p>
        </w:tc>
      </w:tr>
      <w:tr w14:paraId="44AF6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428" w:type="pct"/>
            <w:shd w:val="clear" w:color="auto" w:fill="auto"/>
            <w:noWrap/>
            <w:tcMar>
              <w:top w:w="0" w:type="dxa"/>
              <w:left w:w="105" w:type="dxa"/>
              <w:bottom w:w="0" w:type="dxa"/>
              <w:right w:w="105" w:type="dxa"/>
            </w:tcMar>
            <w:vAlign w:val="center"/>
          </w:tcPr>
          <w:p w14:paraId="000C5E75">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29</w:t>
            </w:r>
          </w:p>
        </w:tc>
        <w:tc>
          <w:tcPr>
            <w:tcW w:w="723" w:type="pct"/>
            <w:vMerge w:val="continue"/>
            <w:shd w:val="clear" w:color="auto" w:fill="auto"/>
            <w:tcMar>
              <w:top w:w="0" w:type="dxa"/>
              <w:left w:w="105" w:type="dxa"/>
              <w:bottom w:w="0" w:type="dxa"/>
              <w:right w:w="105" w:type="dxa"/>
            </w:tcMar>
            <w:vAlign w:val="center"/>
          </w:tcPr>
          <w:p w14:paraId="7CDB3D22">
            <w:pPr>
              <w:widowControl/>
              <w:jc w:val="left"/>
              <w:rPr>
                <w:rFonts w:hint="eastAsia" w:ascii="仿宋" w:hAnsi="仿宋" w:eastAsia="仿宋" w:cs="仿宋"/>
                <w:kern w:val="0"/>
                <w:sz w:val="24"/>
                <w:szCs w:val="24"/>
                <w:lang w:bidi="ar"/>
              </w:rPr>
            </w:pPr>
          </w:p>
        </w:tc>
        <w:tc>
          <w:tcPr>
            <w:tcW w:w="522" w:type="pct"/>
            <w:vMerge w:val="restart"/>
            <w:shd w:val="clear" w:color="auto" w:fill="auto"/>
            <w:tcMar>
              <w:top w:w="0" w:type="dxa"/>
              <w:left w:w="105" w:type="dxa"/>
              <w:bottom w:w="0" w:type="dxa"/>
              <w:right w:w="105" w:type="dxa"/>
            </w:tcMar>
            <w:vAlign w:val="center"/>
          </w:tcPr>
          <w:p w14:paraId="607241A6">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机构与人员管理</w:t>
            </w:r>
          </w:p>
        </w:tc>
        <w:tc>
          <w:tcPr>
            <w:tcW w:w="720" w:type="pct"/>
            <w:shd w:val="clear" w:color="auto" w:fill="auto"/>
            <w:tcMar>
              <w:top w:w="0" w:type="dxa"/>
              <w:left w:w="105" w:type="dxa"/>
              <w:bottom w:w="0" w:type="dxa"/>
              <w:right w:w="105" w:type="dxa"/>
            </w:tcMar>
            <w:vAlign w:val="center"/>
          </w:tcPr>
          <w:p w14:paraId="2B746868">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新建机构&amp;人员</w:t>
            </w:r>
          </w:p>
        </w:tc>
        <w:tc>
          <w:tcPr>
            <w:tcW w:w="2605" w:type="pct"/>
            <w:shd w:val="clear" w:color="auto" w:fill="auto"/>
            <w:tcMar>
              <w:top w:w="0" w:type="dxa"/>
              <w:left w:w="105" w:type="dxa"/>
              <w:bottom w:w="0" w:type="dxa"/>
              <w:right w:w="105" w:type="dxa"/>
            </w:tcMar>
            <w:vAlign w:val="center"/>
          </w:tcPr>
          <w:p w14:paraId="38ED0011">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支持用户新建立机构、科室、医生的相关信息，支持新建医护人员账号，并支持设置关联架构</w:t>
            </w:r>
          </w:p>
        </w:tc>
      </w:tr>
      <w:tr w14:paraId="50D3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3BE4F019">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30</w:t>
            </w:r>
          </w:p>
        </w:tc>
        <w:tc>
          <w:tcPr>
            <w:tcW w:w="723" w:type="pct"/>
            <w:vMerge w:val="continue"/>
            <w:shd w:val="clear" w:color="auto" w:fill="auto"/>
            <w:tcMar>
              <w:top w:w="0" w:type="dxa"/>
              <w:left w:w="105" w:type="dxa"/>
              <w:bottom w:w="0" w:type="dxa"/>
              <w:right w:w="105" w:type="dxa"/>
            </w:tcMar>
            <w:vAlign w:val="center"/>
          </w:tcPr>
          <w:p w14:paraId="49482A69">
            <w:pPr>
              <w:widowControl/>
              <w:jc w:val="left"/>
              <w:rPr>
                <w:rFonts w:hint="eastAsia" w:ascii="仿宋" w:hAnsi="仿宋" w:eastAsia="仿宋" w:cs="仿宋"/>
                <w:kern w:val="0"/>
                <w:sz w:val="24"/>
                <w:szCs w:val="24"/>
                <w:lang w:bidi="ar"/>
              </w:rPr>
            </w:pPr>
          </w:p>
        </w:tc>
        <w:tc>
          <w:tcPr>
            <w:tcW w:w="522" w:type="pct"/>
            <w:vMerge w:val="continue"/>
            <w:shd w:val="clear" w:color="auto" w:fill="auto"/>
            <w:tcMar>
              <w:top w:w="0" w:type="dxa"/>
              <w:left w:w="105" w:type="dxa"/>
              <w:bottom w:w="0" w:type="dxa"/>
              <w:right w:w="105" w:type="dxa"/>
            </w:tcMar>
            <w:vAlign w:val="center"/>
          </w:tcPr>
          <w:p w14:paraId="03EE2B63">
            <w:pPr>
              <w:widowControl/>
              <w:jc w:val="left"/>
              <w:rPr>
                <w:rFonts w:hint="eastAsia" w:ascii="仿宋" w:hAnsi="仿宋" w:eastAsia="仿宋" w:cs="仿宋"/>
                <w:kern w:val="0"/>
                <w:sz w:val="24"/>
                <w:szCs w:val="24"/>
                <w:lang w:bidi="ar"/>
              </w:rPr>
            </w:pPr>
          </w:p>
        </w:tc>
        <w:tc>
          <w:tcPr>
            <w:tcW w:w="720" w:type="pct"/>
            <w:shd w:val="clear" w:color="auto" w:fill="auto"/>
            <w:tcMar>
              <w:top w:w="0" w:type="dxa"/>
              <w:left w:w="105" w:type="dxa"/>
              <w:bottom w:w="0" w:type="dxa"/>
              <w:right w:w="105" w:type="dxa"/>
            </w:tcMar>
            <w:vAlign w:val="center"/>
          </w:tcPr>
          <w:p w14:paraId="634B6BD4">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权限设置</w:t>
            </w:r>
          </w:p>
        </w:tc>
        <w:tc>
          <w:tcPr>
            <w:tcW w:w="2605" w:type="pct"/>
            <w:shd w:val="clear" w:color="auto" w:fill="auto"/>
            <w:tcMar>
              <w:top w:w="0" w:type="dxa"/>
              <w:left w:w="105" w:type="dxa"/>
              <w:bottom w:w="0" w:type="dxa"/>
              <w:right w:w="105" w:type="dxa"/>
            </w:tcMar>
            <w:vAlign w:val="center"/>
          </w:tcPr>
          <w:p w14:paraId="6B3F71C5">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支持用户管理不同角色相关权限，以限制和实现相关功能</w:t>
            </w:r>
          </w:p>
        </w:tc>
      </w:tr>
      <w:tr w14:paraId="70D2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1A88646E">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31</w:t>
            </w:r>
          </w:p>
        </w:tc>
        <w:tc>
          <w:tcPr>
            <w:tcW w:w="723" w:type="pct"/>
            <w:vMerge w:val="continue"/>
            <w:shd w:val="clear" w:color="auto" w:fill="auto"/>
            <w:tcMar>
              <w:top w:w="0" w:type="dxa"/>
              <w:left w:w="105" w:type="dxa"/>
              <w:bottom w:w="0" w:type="dxa"/>
              <w:right w:w="105" w:type="dxa"/>
            </w:tcMar>
            <w:vAlign w:val="center"/>
          </w:tcPr>
          <w:p w14:paraId="23E71B8F">
            <w:pPr>
              <w:widowControl/>
              <w:jc w:val="left"/>
              <w:rPr>
                <w:rFonts w:hint="eastAsia" w:ascii="仿宋" w:hAnsi="仿宋" w:eastAsia="仿宋" w:cs="仿宋"/>
                <w:kern w:val="0"/>
                <w:sz w:val="24"/>
                <w:szCs w:val="24"/>
                <w:lang w:bidi="ar"/>
              </w:rPr>
            </w:pPr>
          </w:p>
        </w:tc>
        <w:tc>
          <w:tcPr>
            <w:tcW w:w="522" w:type="pct"/>
            <w:shd w:val="clear" w:color="auto" w:fill="auto"/>
            <w:tcMar>
              <w:top w:w="0" w:type="dxa"/>
              <w:left w:w="105" w:type="dxa"/>
              <w:bottom w:w="0" w:type="dxa"/>
              <w:right w:w="105" w:type="dxa"/>
            </w:tcMar>
            <w:vAlign w:val="center"/>
          </w:tcPr>
          <w:p w14:paraId="37D80915">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系统管理</w:t>
            </w:r>
          </w:p>
        </w:tc>
        <w:tc>
          <w:tcPr>
            <w:tcW w:w="720" w:type="pct"/>
            <w:shd w:val="clear" w:color="auto" w:fill="auto"/>
            <w:tcMar>
              <w:top w:w="0" w:type="dxa"/>
              <w:left w:w="105" w:type="dxa"/>
              <w:bottom w:w="0" w:type="dxa"/>
              <w:right w:w="105" w:type="dxa"/>
            </w:tcMar>
            <w:vAlign w:val="center"/>
          </w:tcPr>
          <w:p w14:paraId="2F9DC977">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系统管理</w:t>
            </w:r>
          </w:p>
        </w:tc>
        <w:tc>
          <w:tcPr>
            <w:tcW w:w="2605" w:type="pct"/>
            <w:shd w:val="clear" w:color="auto" w:fill="auto"/>
            <w:tcMar>
              <w:top w:w="0" w:type="dxa"/>
              <w:left w:w="105" w:type="dxa"/>
              <w:bottom w:w="0" w:type="dxa"/>
              <w:right w:w="105" w:type="dxa"/>
            </w:tcMar>
            <w:vAlign w:val="center"/>
          </w:tcPr>
          <w:p w14:paraId="68CC2A0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支持用户管理用户、角色、菜单等各项系统底层管理功能</w:t>
            </w:r>
          </w:p>
        </w:tc>
      </w:tr>
      <w:tr w14:paraId="4C30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428" w:type="pct"/>
            <w:shd w:val="clear" w:color="auto" w:fill="auto"/>
            <w:noWrap/>
            <w:tcMar>
              <w:top w:w="0" w:type="dxa"/>
              <w:left w:w="105" w:type="dxa"/>
              <w:bottom w:w="0" w:type="dxa"/>
              <w:right w:w="105" w:type="dxa"/>
            </w:tcMar>
            <w:vAlign w:val="center"/>
          </w:tcPr>
          <w:p w14:paraId="3E569EBA">
            <w:pPr>
              <w:keepNext w:val="0"/>
              <w:keepLines w:val="0"/>
              <w:widowControl/>
              <w:suppressLineNumbers w:val="0"/>
              <w:spacing w:before="0" w:beforeAutospacing="1" w:after="0" w:afterAutospacing="1"/>
              <w:ind w:left="0" w:right="0"/>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32</w:t>
            </w:r>
          </w:p>
        </w:tc>
        <w:tc>
          <w:tcPr>
            <w:tcW w:w="723" w:type="pct"/>
            <w:vMerge w:val="continue"/>
            <w:shd w:val="clear" w:color="auto" w:fill="auto"/>
            <w:tcMar>
              <w:top w:w="0" w:type="dxa"/>
              <w:left w:w="105" w:type="dxa"/>
              <w:bottom w:w="0" w:type="dxa"/>
              <w:right w:w="105" w:type="dxa"/>
            </w:tcMar>
            <w:vAlign w:val="center"/>
          </w:tcPr>
          <w:p w14:paraId="7570675A">
            <w:pPr>
              <w:widowControl/>
              <w:jc w:val="left"/>
              <w:rPr>
                <w:rFonts w:hint="eastAsia" w:ascii="仿宋" w:hAnsi="仿宋" w:eastAsia="仿宋" w:cs="仿宋"/>
                <w:kern w:val="0"/>
                <w:sz w:val="24"/>
                <w:szCs w:val="24"/>
                <w:lang w:bidi="ar"/>
              </w:rPr>
            </w:pPr>
          </w:p>
        </w:tc>
        <w:tc>
          <w:tcPr>
            <w:tcW w:w="522" w:type="pct"/>
            <w:shd w:val="clear" w:color="auto" w:fill="auto"/>
            <w:tcMar>
              <w:top w:w="0" w:type="dxa"/>
              <w:left w:w="105" w:type="dxa"/>
              <w:bottom w:w="0" w:type="dxa"/>
              <w:right w:w="105" w:type="dxa"/>
            </w:tcMar>
            <w:vAlign w:val="center"/>
          </w:tcPr>
          <w:p w14:paraId="706203AA">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系统监控</w:t>
            </w:r>
          </w:p>
        </w:tc>
        <w:tc>
          <w:tcPr>
            <w:tcW w:w="720" w:type="pct"/>
            <w:shd w:val="clear" w:color="auto" w:fill="auto"/>
            <w:tcMar>
              <w:top w:w="0" w:type="dxa"/>
              <w:left w:w="105" w:type="dxa"/>
              <w:bottom w:w="0" w:type="dxa"/>
              <w:right w:w="105" w:type="dxa"/>
            </w:tcMar>
            <w:vAlign w:val="center"/>
          </w:tcPr>
          <w:p w14:paraId="21FB2C43">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系统监控</w:t>
            </w:r>
          </w:p>
        </w:tc>
        <w:tc>
          <w:tcPr>
            <w:tcW w:w="2605" w:type="pct"/>
            <w:shd w:val="clear" w:color="auto" w:fill="auto"/>
            <w:tcMar>
              <w:top w:w="0" w:type="dxa"/>
              <w:left w:w="105" w:type="dxa"/>
              <w:bottom w:w="0" w:type="dxa"/>
              <w:right w:w="105" w:type="dxa"/>
            </w:tcMar>
            <w:vAlign w:val="center"/>
          </w:tcPr>
          <w:p w14:paraId="0674D1FF">
            <w:pPr>
              <w:keepNext w:val="0"/>
              <w:keepLines w:val="0"/>
              <w:widowControl/>
              <w:suppressLineNumbers w:val="0"/>
              <w:spacing w:before="0" w:beforeAutospacing="1" w:after="0" w:afterAutospacing="1"/>
              <w:ind w:left="0" w:right="0"/>
              <w:jc w:val="left"/>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支持用户查看在线用户、缓存监控、admin监控各项系统监控功能</w:t>
            </w:r>
          </w:p>
        </w:tc>
      </w:tr>
    </w:tbl>
    <w:p w14:paraId="028FFCC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rPr>
        <w:t>服务要求</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6"/>
        <w:gridCol w:w="1217"/>
        <w:gridCol w:w="5145"/>
        <w:gridCol w:w="1210"/>
      </w:tblGrid>
      <w:tr w14:paraId="65C9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2" w:type="pct"/>
            <w:shd w:val="clear" w:color="auto" w:fill="auto"/>
            <w:tcMar>
              <w:top w:w="0" w:type="dxa"/>
              <w:left w:w="105" w:type="dxa"/>
              <w:bottom w:w="0" w:type="dxa"/>
              <w:right w:w="105" w:type="dxa"/>
            </w:tcMar>
            <w:vAlign w:val="center"/>
          </w:tcPr>
          <w:p w14:paraId="3A46095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734" w:type="pct"/>
            <w:shd w:val="clear" w:color="auto" w:fill="auto"/>
            <w:tcMar>
              <w:top w:w="0" w:type="dxa"/>
              <w:left w:w="105" w:type="dxa"/>
              <w:bottom w:w="0" w:type="dxa"/>
              <w:right w:w="105" w:type="dxa"/>
            </w:tcMar>
            <w:vAlign w:val="center"/>
          </w:tcPr>
          <w:p w14:paraId="7D57F4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24"/>
                <w:szCs w:val="24"/>
                <w:lang w:val="en-US" w:eastAsia="zh-CN" w:bidi="ar"/>
              </w:rPr>
            </w:pPr>
            <w:r>
              <w:rPr>
                <w:rStyle w:val="17"/>
                <w:rFonts w:hint="eastAsia" w:ascii="仿宋" w:hAnsi="仿宋" w:eastAsia="仿宋" w:cs="仿宋"/>
                <w:bCs/>
                <w:kern w:val="0"/>
                <w:sz w:val="24"/>
                <w:szCs w:val="24"/>
                <w:lang w:val="en-US" w:eastAsia="zh-CN" w:bidi="ar"/>
              </w:rPr>
              <w:t>服务类型</w:t>
            </w:r>
          </w:p>
        </w:tc>
        <w:tc>
          <w:tcPr>
            <w:tcW w:w="3103" w:type="pct"/>
            <w:shd w:val="clear" w:color="auto" w:fill="auto"/>
            <w:tcMar>
              <w:top w:w="0" w:type="dxa"/>
              <w:left w:w="105" w:type="dxa"/>
              <w:bottom w:w="0" w:type="dxa"/>
              <w:right w:w="105" w:type="dxa"/>
            </w:tcMar>
            <w:vAlign w:val="center"/>
          </w:tcPr>
          <w:p w14:paraId="1FC044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24"/>
                <w:szCs w:val="24"/>
                <w:lang w:val="en-US" w:eastAsia="zh-CN" w:bidi="ar"/>
              </w:rPr>
            </w:pPr>
            <w:r>
              <w:rPr>
                <w:rStyle w:val="17"/>
                <w:rFonts w:hint="eastAsia" w:ascii="仿宋" w:hAnsi="仿宋" w:eastAsia="仿宋" w:cs="仿宋"/>
                <w:bCs/>
                <w:kern w:val="0"/>
                <w:sz w:val="24"/>
                <w:szCs w:val="24"/>
                <w:lang w:val="en-US" w:eastAsia="zh-CN" w:bidi="ar"/>
              </w:rPr>
              <w:t>服务内容</w:t>
            </w:r>
          </w:p>
        </w:tc>
        <w:tc>
          <w:tcPr>
            <w:tcW w:w="730" w:type="pct"/>
            <w:shd w:val="clear" w:color="auto" w:fill="auto"/>
            <w:tcMar>
              <w:top w:w="0" w:type="dxa"/>
              <w:left w:w="105" w:type="dxa"/>
              <w:bottom w:w="0" w:type="dxa"/>
              <w:right w:w="105" w:type="dxa"/>
            </w:tcMar>
            <w:vAlign w:val="center"/>
          </w:tcPr>
          <w:p w14:paraId="3279DF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bCs/>
                <w:kern w:val="0"/>
                <w:sz w:val="24"/>
                <w:szCs w:val="24"/>
                <w:lang w:val="en-US" w:eastAsia="zh-CN" w:bidi="ar"/>
              </w:rPr>
            </w:pPr>
            <w:r>
              <w:rPr>
                <w:rStyle w:val="17"/>
                <w:rFonts w:hint="eastAsia" w:ascii="仿宋" w:hAnsi="仿宋" w:eastAsia="仿宋" w:cs="仿宋"/>
                <w:bCs/>
                <w:kern w:val="0"/>
                <w:sz w:val="24"/>
                <w:szCs w:val="24"/>
                <w:lang w:val="en-US" w:eastAsia="zh-CN" w:bidi="ar"/>
              </w:rPr>
              <w:t>服务期</w:t>
            </w:r>
          </w:p>
        </w:tc>
      </w:tr>
      <w:tr w14:paraId="522C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2" w:type="pct"/>
            <w:shd w:val="clear" w:color="auto" w:fill="auto"/>
            <w:tcMar>
              <w:top w:w="0" w:type="dxa"/>
              <w:left w:w="105" w:type="dxa"/>
              <w:bottom w:w="0" w:type="dxa"/>
              <w:right w:w="105" w:type="dxa"/>
            </w:tcMar>
            <w:vAlign w:val="center"/>
          </w:tcPr>
          <w:p w14:paraId="24CE4C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734" w:type="pct"/>
            <w:shd w:val="clear" w:color="auto" w:fill="auto"/>
            <w:tcMar>
              <w:top w:w="0" w:type="dxa"/>
              <w:left w:w="105" w:type="dxa"/>
              <w:bottom w:w="0" w:type="dxa"/>
              <w:right w:w="105" w:type="dxa"/>
            </w:tcMar>
            <w:vAlign w:val="center"/>
          </w:tcPr>
          <w:p w14:paraId="019FA9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基本服务</w:t>
            </w:r>
          </w:p>
        </w:tc>
        <w:tc>
          <w:tcPr>
            <w:tcW w:w="3103" w:type="pct"/>
            <w:shd w:val="clear" w:color="auto" w:fill="auto"/>
            <w:tcMar>
              <w:top w:w="0" w:type="dxa"/>
              <w:left w:w="105" w:type="dxa"/>
              <w:bottom w:w="0" w:type="dxa"/>
              <w:right w:w="105" w:type="dxa"/>
            </w:tcMar>
            <w:vAlign w:val="top"/>
          </w:tcPr>
          <w:p w14:paraId="675D37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基本服务至少满足以下内容：</w:t>
            </w:r>
          </w:p>
          <w:p w14:paraId="2A2A73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45DF23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4E3EB7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3、数据质量：</w:t>
            </w:r>
            <w:r>
              <w:rPr>
                <w:rFonts w:hint="eastAsia" w:ascii="仿宋" w:hAnsi="仿宋" w:eastAsia="仿宋" w:cs="仿宋"/>
                <w:kern w:val="0"/>
                <w:sz w:val="24"/>
                <w:szCs w:val="24"/>
                <w:lang w:val="en-US" w:eastAsia="zh-CN" w:bidi="ar"/>
              </w:rPr>
              <w:t>供应商收到异议后，成交供应商应在5个工作日内对数据质量问题进行原因查找和反馈，30个工作日内对数据质量问题进行数据清洗；</w:t>
            </w:r>
          </w:p>
          <w:p w14:paraId="4CE933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48726E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5、定期巡检：</w:t>
            </w:r>
            <w:r>
              <w:rPr>
                <w:rFonts w:hint="eastAsia" w:ascii="仿宋" w:hAnsi="仿宋" w:eastAsia="仿宋" w:cs="仿宋"/>
                <w:kern w:val="0"/>
                <w:sz w:val="24"/>
                <w:szCs w:val="24"/>
                <w:lang w:val="en-US" w:eastAsia="zh-CN" w:bidi="ar"/>
              </w:rPr>
              <w:t>服务期内季度提供至少1次软件服务期巡检报告；</w:t>
            </w:r>
          </w:p>
          <w:p w14:paraId="3D793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6、培训服务：</w:t>
            </w:r>
            <w:r>
              <w:rPr>
                <w:rFonts w:hint="eastAsia" w:ascii="仿宋" w:hAnsi="仿宋" w:eastAsia="仿宋" w:cs="仿宋"/>
                <w:kern w:val="0"/>
                <w:sz w:val="24"/>
                <w:szCs w:val="24"/>
                <w:lang w:val="en-US" w:eastAsia="zh-CN" w:bidi="ar"/>
              </w:rPr>
              <w:t>每年提供≥2次培训服务，并提交培训方案和签到表；</w:t>
            </w:r>
          </w:p>
          <w:p w14:paraId="31903AD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7、文档服务：</w:t>
            </w:r>
            <w:r>
              <w:rPr>
                <w:rFonts w:hint="eastAsia" w:ascii="仿宋" w:hAnsi="仿宋" w:eastAsia="仿宋" w:cs="仿宋"/>
                <w:kern w:val="0"/>
                <w:sz w:val="24"/>
                <w:szCs w:val="24"/>
                <w:lang w:val="en-US" w:eastAsia="zh-CN" w:bidi="ar"/>
              </w:rPr>
              <w:t>上线运行之日提交本次采购内容的《四川省人民医院应用系统档案》。服务期满后需提交本次采购内容的运维记录签字扫描版本。</w:t>
            </w:r>
          </w:p>
          <w:p w14:paraId="540A8F9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8、人员服务：</w:t>
            </w:r>
            <w:r>
              <w:rPr>
                <w:rFonts w:hint="eastAsia" w:ascii="仿宋" w:hAnsi="仿宋" w:eastAsia="仿宋" w:cs="仿宋"/>
                <w:kern w:val="0"/>
                <w:sz w:val="24"/>
                <w:szCs w:val="24"/>
                <w:shd w:val="clear"/>
                <w:lang w:val="en-US" w:eastAsia="zh-CN" w:bidi="ar"/>
              </w:rPr>
              <w:t>无</w:t>
            </w:r>
          </w:p>
          <w:p w14:paraId="7D6AB6E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9、</w:t>
            </w:r>
            <w:r>
              <w:rPr>
                <w:rStyle w:val="17"/>
                <w:rFonts w:hint="eastAsia" w:ascii="仿宋" w:hAnsi="仿宋" w:eastAsia="仿宋" w:cs="仿宋"/>
                <w:kern w:val="0"/>
                <w:sz w:val="24"/>
                <w:szCs w:val="24"/>
                <w:lang w:val="en-US" w:eastAsia="zh-CN" w:bidi="ar"/>
              </w:rPr>
              <w:t>基础功能升级或改造服务：</w:t>
            </w:r>
          </w:p>
          <w:p w14:paraId="2EEAD79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在服务期内，根据实际业务需求，提供软件功能升级或改造服务（价格包含在本次项目总价中，采购人不再单独支付其他费用）。</w:t>
            </w:r>
          </w:p>
          <w:p w14:paraId="3B42E9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10、</w:t>
            </w:r>
            <w:r>
              <w:rPr>
                <w:rStyle w:val="17"/>
                <w:rFonts w:hint="eastAsia" w:ascii="仿宋" w:hAnsi="仿宋" w:eastAsia="仿宋" w:cs="仿宋"/>
                <w:kern w:val="0"/>
                <w:sz w:val="24"/>
                <w:szCs w:val="24"/>
                <w:lang w:val="en-US" w:eastAsia="zh-CN" w:bidi="ar"/>
              </w:rPr>
              <w:t>其他：</w:t>
            </w:r>
          </w:p>
          <w:p w14:paraId="502457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1）服务期内，采购</w:t>
            </w:r>
            <w:r>
              <w:rPr>
                <w:rFonts w:hint="eastAsia" w:ascii="仿宋" w:hAnsi="仿宋" w:eastAsia="仿宋" w:cs="仿宋"/>
                <w:kern w:val="0"/>
                <w:sz w:val="24"/>
                <w:szCs w:val="24"/>
                <w:u w:val="none"/>
                <w:lang w:val="en-US" w:eastAsia="zh-CN" w:bidi="ar"/>
              </w:rPr>
              <w:t>人</w:t>
            </w:r>
            <w:r>
              <w:rPr>
                <w:rStyle w:val="17"/>
                <w:rFonts w:hint="eastAsia" w:ascii="仿宋" w:hAnsi="仿宋" w:eastAsia="仿宋" w:cs="仿宋"/>
                <w:kern w:val="0"/>
                <w:sz w:val="24"/>
                <w:szCs w:val="24"/>
                <w:u w:val="none"/>
                <w:lang w:val="en-US" w:eastAsia="zh-CN" w:bidi="ar"/>
              </w:rPr>
              <w:t>每月</w:t>
            </w:r>
            <w:r>
              <w:rPr>
                <w:rFonts w:hint="eastAsia" w:ascii="仿宋" w:hAnsi="仿宋" w:eastAsia="仿宋" w:cs="仿宋"/>
                <w:kern w:val="0"/>
                <w:sz w:val="24"/>
                <w:szCs w:val="24"/>
                <w:u w:val="none"/>
                <w:lang w:val="en-US" w:eastAsia="zh-CN" w:bidi="ar"/>
              </w:rPr>
              <w:t>按照</w:t>
            </w:r>
            <w:r>
              <w:rPr>
                <w:rStyle w:val="17"/>
                <w:rFonts w:hint="eastAsia" w:ascii="仿宋" w:hAnsi="仿宋" w:eastAsia="仿宋" w:cs="仿宋"/>
                <w:kern w:val="0"/>
                <w:sz w:val="24"/>
                <w:szCs w:val="24"/>
                <w:u w:val="none"/>
                <w:lang w:val="en-US" w:eastAsia="zh-CN" w:bidi="ar"/>
              </w:rPr>
              <w:t>四川省人民医院供应商考核</w:t>
            </w:r>
            <w:r>
              <w:rPr>
                <w:rFonts w:hint="eastAsia" w:ascii="仿宋" w:hAnsi="仿宋" w:eastAsia="仿宋" w:cs="仿宋"/>
                <w:kern w:val="0"/>
                <w:sz w:val="24"/>
                <w:szCs w:val="24"/>
                <w:u w:val="none"/>
                <w:lang w:val="en-US" w:eastAsia="zh-CN" w:bidi="ar"/>
              </w:rPr>
              <w:t>指标对供应商行为</w:t>
            </w:r>
            <w:r>
              <w:rPr>
                <w:rFonts w:hint="eastAsia" w:ascii="仿宋" w:hAnsi="仿宋" w:eastAsia="仿宋" w:cs="仿宋"/>
                <w:kern w:val="0"/>
                <w:sz w:val="24"/>
                <w:szCs w:val="24"/>
                <w:lang w:val="en-US" w:eastAsia="zh-CN" w:bidi="ar"/>
              </w:rPr>
              <w:t>进行评价考核，考核结果关联履约保证金。</w:t>
            </w:r>
          </w:p>
          <w:p w14:paraId="3D8B15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2）成交供应商应当与本项目相关的第三方保持有痕的沟通，明确项目的具体要求和功能等方面的细节。采购人负责组织、监督和验收，以确保项目的顺利完成。</w:t>
            </w:r>
          </w:p>
          <w:p w14:paraId="3A7551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3）如涉及因本项目开发的系统原因造成采购人的经济损失，由成交供应商负责向采购人进行赔偿。</w:t>
            </w:r>
          </w:p>
        </w:tc>
        <w:tc>
          <w:tcPr>
            <w:tcW w:w="730" w:type="pct"/>
            <w:vMerge w:val="restart"/>
            <w:shd w:val="clear" w:color="auto" w:fill="auto"/>
            <w:tcMar>
              <w:top w:w="0" w:type="dxa"/>
              <w:left w:w="105" w:type="dxa"/>
              <w:bottom w:w="0" w:type="dxa"/>
              <w:right w:w="105" w:type="dxa"/>
            </w:tcMar>
            <w:vAlign w:val="center"/>
          </w:tcPr>
          <w:p w14:paraId="3DB384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验收合格之日起，提供不低于3年</w:t>
            </w:r>
          </w:p>
        </w:tc>
      </w:tr>
      <w:tr w14:paraId="6BF29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32" w:type="pct"/>
            <w:shd w:val="clear" w:color="auto" w:fill="auto"/>
            <w:tcMar>
              <w:top w:w="0" w:type="dxa"/>
              <w:left w:w="105" w:type="dxa"/>
              <w:bottom w:w="0" w:type="dxa"/>
              <w:right w:w="105" w:type="dxa"/>
            </w:tcMar>
            <w:vAlign w:val="center"/>
          </w:tcPr>
          <w:p w14:paraId="09C691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2</w:t>
            </w:r>
          </w:p>
        </w:tc>
        <w:tc>
          <w:tcPr>
            <w:tcW w:w="734" w:type="pct"/>
            <w:shd w:val="clear" w:color="auto" w:fill="auto"/>
            <w:tcMar>
              <w:top w:w="0" w:type="dxa"/>
              <w:left w:w="105" w:type="dxa"/>
              <w:bottom w:w="0" w:type="dxa"/>
              <w:right w:w="105" w:type="dxa"/>
            </w:tcMar>
            <w:vAlign w:val="center"/>
          </w:tcPr>
          <w:p w14:paraId="6ED51E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质保服务</w:t>
            </w:r>
          </w:p>
        </w:tc>
        <w:tc>
          <w:tcPr>
            <w:tcW w:w="3103" w:type="pct"/>
            <w:shd w:val="clear" w:color="auto" w:fill="auto"/>
            <w:tcMar>
              <w:top w:w="0" w:type="dxa"/>
              <w:left w:w="105" w:type="dxa"/>
              <w:bottom w:w="0" w:type="dxa"/>
              <w:right w:w="105" w:type="dxa"/>
            </w:tcMar>
            <w:vAlign w:val="center"/>
          </w:tcPr>
          <w:p w14:paraId="3E4129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222" w:rightChars="-106"/>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保证软件功能正常运行，提供7*24小时质保服务。</w:t>
            </w:r>
          </w:p>
        </w:tc>
        <w:tc>
          <w:tcPr>
            <w:tcW w:w="730" w:type="pct"/>
            <w:vMerge w:val="continue"/>
            <w:shd w:val="clear" w:color="auto" w:fill="auto"/>
            <w:tcMar>
              <w:top w:w="0" w:type="dxa"/>
              <w:left w:w="105" w:type="dxa"/>
              <w:bottom w:w="0" w:type="dxa"/>
              <w:right w:w="105" w:type="dxa"/>
            </w:tcMar>
            <w:vAlign w:val="top"/>
          </w:tcPr>
          <w:p w14:paraId="31C30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p>
        </w:tc>
      </w:tr>
    </w:tbl>
    <w:p w14:paraId="2E0E11A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2"/>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3.1实施时间：合同生效后，需在5个工作日内开始实施。</w:t>
      </w:r>
    </w:p>
    <w:p w14:paraId="051E6825">
      <w:pPr>
        <w:pStyle w:val="2"/>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sz w:val="24"/>
          <w:szCs w:val="24"/>
          <w:lang w:val="en-US" w:eastAsia="zh-CN"/>
        </w:rPr>
        <w:t>实施周期：本项目开始实施之日起20日内，完成本项目包含的所有软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2CB74218">
      <w:pPr>
        <w:pStyle w:val="2"/>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3.3服务地点：本项目涉及的四川省人民医院所有院区。</w:t>
      </w:r>
    </w:p>
    <w:p w14:paraId="7B914D43">
      <w:pPr>
        <w:pStyle w:val="2"/>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b w:val="0"/>
          <w:sz w:val="24"/>
          <w:szCs w:val="24"/>
          <w:vertAlign w:val="baseline"/>
          <w:lang w:val="en-US" w:eastAsia="zh-CN"/>
        </w:rPr>
        <w:t>付款条件：总价包干，一次性付款，合同签订生效且项目验收合格后，供应商于5日内向采购人提供合法有效票据及其他相关请款资料，采购人于接到上述票据及资料以后的30日内，向供应商支付合同总价100%的金额（如有因考核等原因产生的扣款，应在支付前予以扣除）。</w:t>
      </w:r>
    </w:p>
    <w:p w14:paraId="55CA3204">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3.5</w:t>
      </w:r>
      <w:bookmarkStart w:id="8" w:name="_Toc15867"/>
      <w:bookmarkStart w:id="9" w:name="第四章"/>
      <w:r>
        <w:rPr>
          <w:rFonts w:hint="eastAsia" w:ascii="仿宋" w:hAnsi="仿宋" w:eastAsia="仿宋" w:cs="仿宋"/>
          <w:b w:val="0"/>
          <w:bCs/>
          <w:color w:val="auto"/>
          <w:sz w:val="24"/>
          <w:szCs w:val="24"/>
          <w:lang w:val="en-US" w:eastAsia="zh-CN"/>
        </w:rPr>
        <w:t>履约验收方案</w:t>
      </w:r>
    </w:p>
    <w:p w14:paraId="76B8D8E1">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（5）履约验收内容:按照基于本项目采购需求编制的采购文件要求及供应商响应文件情况，由供应商实施完成的所有软件功能。</w:t>
      </w:r>
    </w:p>
    <w:p w14:paraId="7C1DC9C8">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（6）履约验收时间：系统上线正式使用后5日内通知采购人验收，采购人接供应商通知后10日内组织验收。</w:t>
      </w:r>
    </w:p>
    <w:p w14:paraId="41CD86B6">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3）产品生产厂家出具的产品说明书、技术白皮书等官方技术资料（如涉及）。</w:t>
      </w:r>
    </w:p>
    <w:p w14:paraId="3D750A0A">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jc w:val="both"/>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（12）履约验收其它事项：无</w:t>
      </w:r>
      <w:r>
        <w:rPr>
          <w:rFonts w:hint="eastAsia" w:ascii="仿宋" w:hAnsi="仿宋" w:eastAsia="仿宋" w:cs="仿宋"/>
          <w:b w:val="0"/>
          <w:bCs w:val="0"/>
          <w:color w:val="auto"/>
          <w:kern w:val="2"/>
          <w:sz w:val="24"/>
          <w:szCs w:val="24"/>
          <w:highlight w:val="none"/>
          <w:u w:color="000000"/>
          <w:lang w:val="en-US" w:eastAsia="zh-CN" w:bidi="ar-SA"/>
        </w:rPr>
        <w:t>。</w:t>
      </w:r>
    </w:p>
    <w:p w14:paraId="5183E51A">
      <w:pPr>
        <w:pageBreakBefore w:val="0"/>
        <w:kinsoku/>
        <w:wordWrap/>
        <w:overflowPunct/>
        <w:topLinePunct w:val="0"/>
        <w:autoSpaceDE/>
        <w:autoSpaceDN/>
        <w:bidi w:val="0"/>
        <w:adjustRightInd w:val="0"/>
        <w:snapToGrid w:val="0"/>
        <w:spacing w:beforeAutospacing="0" w:afterAutospacing="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3.6知识产权归属：由采购人、供应商双方共同开发的项目：采购人、供应商双方共同研发的该系统软件产品，知识产权归采购人、供应商双方共同拥有，软件所有数据归采购人所有。</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53"/>
        <w:gridCol w:w="861"/>
        <w:gridCol w:w="1184"/>
        <w:gridCol w:w="1505"/>
        <w:gridCol w:w="2475"/>
        <w:gridCol w:w="989"/>
      </w:tblGrid>
      <w:tr w14:paraId="3FA3D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000" w:type="pct"/>
            <w:gridSpan w:val="6"/>
            <w:shd w:val="clear" w:color="auto" w:fill="auto"/>
            <w:tcMar>
              <w:top w:w="0" w:type="dxa"/>
              <w:left w:w="105" w:type="dxa"/>
              <w:bottom w:w="0" w:type="dxa"/>
              <w:right w:w="105" w:type="dxa"/>
            </w:tcMar>
            <w:vAlign w:val="top"/>
          </w:tcPr>
          <w:p w14:paraId="28F4E443">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32"/>
                <w:szCs w:val="32"/>
                <w:lang w:val="en-US" w:eastAsia="zh-CN" w:bidi="ar"/>
              </w:rPr>
              <w:t>四川省人民医院供应商考核</w:t>
            </w:r>
          </w:p>
        </w:tc>
      </w:tr>
      <w:tr w14:paraId="2775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shd w:val="clear" w:color="auto" w:fill="auto"/>
            <w:tcMar>
              <w:top w:w="0" w:type="dxa"/>
              <w:left w:w="105" w:type="dxa"/>
              <w:bottom w:w="0" w:type="dxa"/>
              <w:right w:w="105" w:type="dxa"/>
            </w:tcMar>
            <w:vAlign w:val="center"/>
          </w:tcPr>
          <w:p w14:paraId="026CE1D3">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供应商</w:t>
            </w:r>
          </w:p>
        </w:tc>
        <w:tc>
          <w:tcPr>
            <w:tcW w:w="1237" w:type="pct"/>
            <w:gridSpan w:val="2"/>
            <w:shd w:val="clear" w:color="auto" w:fill="auto"/>
            <w:tcMar>
              <w:top w:w="0" w:type="dxa"/>
              <w:left w:w="105" w:type="dxa"/>
              <w:bottom w:w="0" w:type="dxa"/>
              <w:right w:w="105" w:type="dxa"/>
            </w:tcMar>
            <w:vAlign w:val="center"/>
          </w:tcPr>
          <w:p w14:paraId="1DB9C4B4">
            <w:pPr>
              <w:keepNext w:val="0"/>
              <w:keepLines w:val="0"/>
              <w:widowControl/>
              <w:suppressLineNumbers w:val="0"/>
              <w:spacing w:line="240" w:lineRule="auto"/>
              <w:jc w:val="left"/>
              <w:rPr>
                <w:rFonts w:hint="eastAsia" w:ascii="仿宋" w:hAnsi="仿宋" w:eastAsia="仿宋" w:cs="仿宋"/>
                <w:kern w:val="0"/>
                <w:sz w:val="24"/>
                <w:szCs w:val="24"/>
                <w:lang w:bidi="ar"/>
              </w:rPr>
            </w:pPr>
          </w:p>
        </w:tc>
        <w:tc>
          <w:tcPr>
            <w:tcW w:w="910" w:type="pct"/>
            <w:shd w:val="clear" w:color="auto" w:fill="auto"/>
            <w:tcMar>
              <w:top w:w="0" w:type="dxa"/>
              <w:left w:w="105" w:type="dxa"/>
              <w:bottom w:w="0" w:type="dxa"/>
              <w:right w:w="105" w:type="dxa"/>
            </w:tcMar>
            <w:vAlign w:val="center"/>
          </w:tcPr>
          <w:p w14:paraId="71D2A2F5">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合同名</w:t>
            </w:r>
          </w:p>
        </w:tc>
        <w:tc>
          <w:tcPr>
            <w:tcW w:w="2093" w:type="pct"/>
            <w:gridSpan w:val="2"/>
            <w:shd w:val="clear" w:color="auto" w:fill="auto"/>
            <w:tcMar>
              <w:top w:w="0" w:type="dxa"/>
              <w:left w:w="105" w:type="dxa"/>
              <w:bottom w:w="0" w:type="dxa"/>
              <w:right w:w="105" w:type="dxa"/>
            </w:tcMar>
            <w:vAlign w:val="top"/>
          </w:tcPr>
          <w:p w14:paraId="65A5B408">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7ED7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58" w:type="pct"/>
            <w:shd w:val="clear" w:color="auto" w:fill="auto"/>
            <w:tcMar>
              <w:top w:w="0" w:type="dxa"/>
              <w:left w:w="105" w:type="dxa"/>
              <w:bottom w:w="0" w:type="dxa"/>
              <w:right w:w="105" w:type="dxa"/>
            </w:tcMar>
            <w:vAlign w:val="center"/>
          </w:tcPr>
          <w:p w14:paraId="1D848B60">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指标类别</w:t>
            </w:r>
          </w:p>
        </w:tc>
        <w:tc>
          <w:tcPr>
            <w:tcW w:w="521" w:type="pct"/>
            <w:shd w:val="clear" w:color="auto" w:fill="auto"/>
            <w:tcMar>
              <w:top w:w="0" w:type="dxa"/>
              <w:left w:w="105" w:type="dxa"/>
              <w:bottom w:w="0" w:type="dxa"/>
              <w:right w:w="105" w:type="dxa"/>
            </w:tcMar>
            <w:vAlign w:val="center"/>
          </w:tcPr>
          <w:p w14:paraId="06DE05CD">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指标</w:t>
            </w:r>
          </w:p>
        </w:tc>
        <w:tc>
          <w:tcPr>
            <w:tcW w:w="3123" w:type="pct"/>
            <w:gridSpan w:val="3"/>
            <w:shd w:val="clear" w:color="auto" w:fill="auto"/>
            <w:tcMar>
              <w:top w:w="0" w:type="dxa"/>
              <w:left w:w="105" w:type="dxa"/>
              <w:bottom w:w="0" w:type="dxa"/>
              <w:right w:w="105" w:type="dxa"/>
            </w:tcMar>
            <w:vAlign w:val="center"/>
          </w:tcPr>
          <w:p w14:paraId="0B58E975">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考核内容</w:t>
            </w:r>
          </w:p>
        </w:tc>
        <w:tc>
          <w:tcPr>
            <w:tcW w:w="596" w:type="pct"/>
            <w:shd w:val="clear" w:color="auto" w:fill="auto"/>
            <w:tcMar>
              <w:top w:w="0" w:type="dxa"/>
              <w:left w:w="105" w:type="dxa"/>
              <w:bottom w:w="0" w:type="dxa"/>
              <w:right w:w="105" w:type="dxa"/>
            </w:tcMar>
            <w:vAlign w:val="center"/>
          </w:tcPr>
          <w:p w14:paraId="5BDD19A0">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w:t>
            </w:r>
          </w:p>
        </w:tc>
      </w:tr>
      <w:tr w14:paraId="0248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58" w:type="pct"/>
            <w:vMerge w:val="restart"/>
            <w:shd w:val="clear" w:color="auto" w:fill="auto"/>
            <w:tcMar>
              <w:top w:w="0" w:type="dxa"/>
              <w:left w:w="105" w:type="dxa"/>
              <w:bottom w:w="0" w:type="dxa"/>
              <w:right w:w="105" w:type="dxa"/>
            </w:tcMar>
            <w:vAlign w:val="center"/>
          </w:tcPr>
          <w:p w14:paraId="6E552C22">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性能质</w:t>
            </w:r>
          </w:p>
          <w:p w14:paraId="0C5A1A6B">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量评价</w:t>
            </w:r>
          </w:p>
        </w:tc>
        <w:tc>
          <w:tcPr>
            <w:tcW w:w="521" w:type="pct"/>
            <w:shd w:val="clear" w:color="auto" w:fill="auto"/>
            <w:tcMar>
              <w:top w:w="0" w:type="dxa"/>
              <w:left w:w="105" w:type="dxa"/>
              <w:bottom w:w="0" w:type="dxa"/>
              <w:right w:w="105" w:type="dxa"/>
            </w:tcMar>
            <w:vAlign w:val="center"/>
          </w:tcPr>
          <w:p w14:paraId="41164D57">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稳定性</w:t>
            </w:r>
          </w:p>
        </w:tc>
        <w:tc>
          <w:tcPr>
            <w:tcW w:w="3123" w:type="pct"/>
            <w:gridSpan w:val="3"/>
            <w:shd w:val="clear" w:color="auto" w:fill="auto"/>
            <w:tcMar>
              <w:top w:w="0" w:type="dxa"/>
              <w:left w:w="105" w:type="dxa"/>
              <w:bottom w:w="0" w:type="dxa"/>
              <w:right w:w="105" w:type="dxa"/>
            </w:tcMar>
            <w:vAlign w:val="center"/>
          </w:tcPr>
          <w:p w14:paraId="1DCB793C">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596" w:type="pct"/>
            <w:shd w:val="clear" w:color="auto" w:fill="auto"/>
            <w:tcMar>
              <w:top w:w="0" w:type="dxa"/>
              <w:left w:w="105" w:type="dxa"/>
              <w:bottom w:w="0" w:type="dxa"/>
              <w:right w:w="105" w:type="dxa"/>
            </w:tcMar>
            <w:vAlign w:val="top"/>
          </w:tcPr>
          <w:p w14:paraId="3E82A9C1">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777D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01689668">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698F604A">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安全性</w:t>
            </w:r>
          </w:p>
        </w:tc>
        <w:tc>
          <w:tcPr>
            <w:tcW w:w="3123" w:type="pct"/>
            <w:gridSpan w:val="3"/>
            <w:shd w:val="clear" w:color="auto" w:fill="auto"/>
            <w:tcMar>
              <w:top w:w="0" w:type="dxa"/>
              <w:left w:w="105" w:type="dxa"/>
              <w:bottom w:w="0" w:type="dxa"/>
              <w:right w:w="105" w:type="dxa"/>
            </w:tcMar>
            <w:vAlign w:val="center"/>
          </w:tcPr>
          <w:p w14:paraId="5C6290B6">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596" w:type="pct"/>
            <w:shd w:val="clear" w:color="auto" w:fill="auto"/>
            <w:tcMar>
              <w:top w:w="0" w:type="dxa"/>
              <w:left w:w="105" w:type="dxa"/>
              <w:bottom w:w="0" w:type="dxa"/>
              <w:right w:w="105" w:type="dxa"/>
            </w:tcMar>
            <w:vAlign w:val="top"/>
          </w:tcPr>
          <w:p w14:paraId="640CAE9F">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3BB0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483A808D">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034CB41C">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用户满意度</w:t>
            </w:r>
          </w:p>
        </w:tc>
        <w:tc>
          <w:tcPr>
            <w:tcW w:w="3123" w:type="pct"/>
            <w:gridSpan w:val="3"/>
            <w:shd w:val="clear" w:color="auto" w:fill="auto"/>
            <w:tcMar>
              <w:top w:w="0" w:type="dxa"/>
              <w:left w:w="105" w:type="dxa"/>
              <w:bottom w:w="0" w:type="dxa"/>
              <w:right w:w="105" w:type="dxa"/>
            </w:tcMar>
            <w:vAlign w:val="center"/>
          </w:tcPr>
          <w:p w14:paraId="056C555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596" w:type="pct"/>
            <w:shd w:val="clear" w:color="auto" w:fill="auto"/>
            <w:tcMar>
              <w:top w:w="0" w:type="dxa"/>
              <w:left w:w="105" w:type="dxa"/>
              <w:bottom w:w="0" w:type="dxa"/>
              <w:right w:w="105" w:type="dxa"/>
            </w:tcMar>
            <w:vAlign w:val="top"/>
          </w:tcPr>
          <w:p w14:paraId="2E876929">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892F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trPr>
        <w:tc>
          <w:tcPr>
            <w:tcW w:w="758" w:type="pct"/>
            <w:vMerge w:val="restart"/>
            <w:shd w:val="clear" w:color="auto" w:fill="auto"/>
            <w:tcMar>
              <w:top w:w="0" w:type="dxa"/>
              <w:left w:w="105" w:type="dxa"/>
              <w:bottom w:w="0" w:type="dxa"/>
              <w:right w:w="105" w:type="dxa"/>
            </w:tcMar>
            <w:vAlign w:val="center"/>
          </w:tcPr>
          <w:p w14:paraId="1F891F66">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使用支</w:t>
            </w:r>
          </w:p>
          <w:p w14:paraId="7D18F17C">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持评价</w:t>
            </w:r>
          </w:p>
        </w:tc>
        <w:tc>
          <w:tcPr>
            <w:tcW w:w="521" w:type="pct"/>
            <w:shd w:val="clear" w:color="auto" w:fill="auto"/>
            <w:tcMar>
              <w:top w:w="0" w:type="dxa"/>
              <w:left w:w="105" w:type="dxa"/>
              <w:bottom w:w="0" w:type="dxa"/>
              <w:right w:w="105" w:type="dxa"/>
            </w:tcMar>
            <w:vAlign w:val="center"/>
          </w:tcPr>
          <w:p w14:paraId="532B7DC8">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考勤</w:t>
            </w:r>
          </w:p>
        </w:tc>
        <w:tc>
          <w:tcPr>
            <w:tcW w:w="3123" w:type="pct"/>
            <w:gridSpan w:val="3"/>
            <w:shd w:val="clear" w:color="auto" w:fill="auto"/>
            <w:tcMar>
              <w:top w:w="0" w:type="dxa"/>
              <w:left w:w="105" w:type="dxa"/>
              <w:bottom w:w="0" w:type="dxa"/>
              <w:right w:w="105" w:type="dxa"/>
            </w:tcMar>
            <w:vAlign w:val="center"/>
          </w:tcPr>
          <w:p w14:paraId="72EA9F40">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596" w:type="pct"/>
            <w:shd w:val="clear" w:color="auto" w:fill="auto"/>
            <w:tcMar>
              <w:top w:w="0" w:type="dxa"/>
              <w:left w:w="105" w:type="dxa"/>
              <w:bottom w:w="0" w:type="dxa"/>
              <w:right w:w="105" w:type="dxa"/>
            </w:tcMar>
            <w:vAlign w:val="top"/>
          </w:tcPr>
          <w:p w14:paraId="7C3881A9">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12F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7C539870">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710DBFDD">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响应速度</w:t>
            </w:r>
          </w:p>
        </w:tc>
        <w:tc>
          <w:tcPr>
            <w:tcW w:w="3123" w:type="pct"/>
            <w:gridSpan w:val="3"/>
            <w:shd w:val="clear" w:color="auto" w:fill="auto"/>
            <w:tcMar>
              <w:top w:w="0" w:type="dxa"/>
              <w:left w:w="105" w:type="dxa"/>
              <w:bottom w:w="0" w:type="dxa"/>
              <w:right w:w="105" w:type="dxa"/>
            </w:tcMar>
            <w:vAlign w:val="center"/>
          </w:tcPr>
          <w:p w14:paraId="24E60713">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596" w:type="pct"/>
            <w:shd w:val="clear" w:color="auto" w:fill="auto"/>
            <w:tcMar>
              <w:top w:w="0" w:type="dxa"/>
              <w:left w:w="105" w:type="dxa"/>
              <w:bottom w:w="0" w:type="dxa"/>
              <w:right w:w="105" w:type="dxa"/>
            </w:tcMar>
            <w:vAlign w:val="top"/>
          </w:tcPr>
          <w:p w14:paraId="2C1D66FC">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0F6F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32DBFA19">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7FB2F03C">
            <w:pPr>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备件供应</w:t>
            </w:r>
          </w:p>
          <w:p w14:paraId="4458E8E7">
            <w:pPr>
              <w:keepNext w:val="0"/>
              <w:keepLines w:val="0"/>
              <w:widowControl/>
              <w:suppressLineNumbers w:val="0"/>
              <w:autoSpaceDE w:val="0"/>
              <w:autoSpaceDN/>
              <w:spacing w:before="0" w:beforeAutospacing="0" w:after="0" w:afterAutospacing="0"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3123" w:type="pct"/>
            <w:gridSpan w:val="3"/>
            <w:shd w:val="clear" w:color="auto" w:fill="auto"/>
            <w:tcMar>
              <w:top w:w="0" w:type="dxa"/>
              <w:left w:w="105" w:type="dxa"/>
              <w:bottom w:w="0" w:type="dxa"/>
              <w:right w:w="105" w:type="dxa"/>
            </w:tcMar>
            <w:vAlign w:val="center"/>
          </w:tcPr>
          <w:p w14:paraId="7FDB1838">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596" w:type="pct"/>
            <w:shd w:val="clear" w:color="auto" w:fill="auto"/>
            <w:tcMar>
              <w:top w:w="0" w:type="dxa"/>
              <w:left w:w="105" w:type="dxa"/>
              <w:bottom w:w="0" w:type="dxa"/>
              <w:right w:w="105" w:type="dxa"/>
            </w:tcMar>
            <w:vAlign w:val="top"/>
          </w:tcPr>
          <w:p w14:paraId="30B95736">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171E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3E5AB551">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0F96A14B">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定期巡检</w:t>
            </w:r>
          </w:p>
        </w:tc>
        <w:tc>
          <w:tcPr>
            <w:tcW w:w="3123" w:type="pct"/>
            <w:gridSpan w:val="3"/>
            <w:shd w:val="clear" w:color="auto" w:fill="auto"/>
            <w:tcMar>
              <w:top w:w="0" w:type="dxa"/>
              <w:left w:w="105" w:type="dxa"/>
              <w:bottom w:w="0" w:type="dxa"/>
              <w:right w:w="105" w:type="dxa"/>
            </w:tcMar>
            <w:vAlign w:val="center"/>
          </w:tcPr>
          <w:p w14:paraId="52B3277E">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596" w:type="pct"/>
            <w:shd w:val="clear" w:color="auto" w:fill="auto"/>
            <w:tcMar>
              <w:top w:w="0" w:type="dxa"/>
              <w:left w:w="105" w:type="dxa"/>
              <w:bottom w:w="0" w:type="dxa"/>
              <w:right w:w="105" w:type="dxa"/>
            </w:tcMar>
            <w:vAlign w:val="top"/>
          </w:tcPr>
          <w:p w14:paraId="536C3E4F">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1EA3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209620FB">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5B85C48B">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培训服务</w:t>
            </w:r>
          </w:p>
        </w:tc>
        <w:tc>
          <w:tcPr>
            <w:tcW w:w="3123" w:type="pct"/>
            <w:gridSpan w:val="3"/>
            <w:shd w:val="clear" w:color="auto" w:fill="auto"/>
            <w:tcMar>
              <w:top w:w="0" w:type="dxa"/>
              <w:left w:w="105" w:type="dxa"/>
              <w:bottom w:w="0" w:type="dxa"/>
              <w:right w:w="105" w:type="dxa"/>
            </w:tcMar>
            <w:vAlign w:val="center"/>
          </w:tcPr>
          <w:p w14:paraId="734FAC91">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596" w:type="pct"/>
            <w:shd w:val="clear" w:color="auto" w:fill="auto"/>
            <w:tcMar>
              <w:top w:w="0" w:type="dxa"/>
              <w:left w:w="105" w:type="dxa"/>
              <w:bottom w:w="0" w:type="dxa"/>
              <w:right w:w="105" w:type="dxa"/>
            </w:tcMar>
            <w:vAlign w:val="top"/>
          </w:tcPr>
          <w:p w14:paraId="778DACAB">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7C9B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7237BBC2">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639B807E">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技术文档</w:t>
            </w:r>
          </w:p>
        </w:tc>
        <w:tc>
          <w:tcPr>
            <w:tcW w:w="3123" w:type="pct"/>
            <w:gridSpan w:val="3"/>
            <w:shd w:val="clear" w:color="auto" w:fill="auto"/>
            <w:tcMar>
              <w:top w:w="0" w:type="dxa"/>
              <w:left w:w="105" w:type="dxa"/>
              <w:bottom w:w="0" w:type="dxa"/>
              <w:right w:w="105" w:type="dxa"/>
            </w:tcMar>
            <w:vAlign w:val="center"/>
          </w:tcPr>
          <w:p w14:paraId="0126BCE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596" w:type="pct"/>
            <w:shd w:val="clear" w:color="auto" w:fill="auto"/>
            <w:tcMar>
              <w:top w:w="0" w:type="dxa"/>
              <w:left w:w="105" w:type="dxa"/>
              <w:bottom w:w="0" w:type="dxa"/>
              <w:right w:w="105" w:type="dxa"/>
            </w:tcMar>
            <w:vAlign w:val="top"/>
          </w:tcPr>
          <w:p w14:paraId="3FB66FF1">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28D6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0" w:hRule="atLeast"/>
        </w:trPr>
        <w:tc>
          <w:tcPr>
            <w:tcW w:w="758" w:type="pct"/>
            <w:vMerge w:val="restart"/>
            <w:shd w:val="clear" w:color="auto" w:fill="auto"/>
            <w:tcMar>
              <w:top w:w="0" w:type="dxa"/>
              <w:left w:w="105" w:type="dxa"/>
              <w:bottom w:w="0" w:type="dxa"/>
              <w:right w:w="105" w:type="dxa"/>
            </w:tcMar>
            <w:vAlign w:val="center"/>
          </w:tcPr>
          <w:p w14:paraId="41ABE8EB">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违规违</w:t>
            </w:r>
          </w:p>
          <w:p w14:paraId="0149CD57">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纪评价</w:t>
            </w:r>
          </w:p>
        </w:tc>
        <w:tc>
          <w:tcPr>
            <w:tcW w:w="521" w:type="pct"/>
            <w:shd w:val="clear" w:color="auto" w:fill="auto"/>
            <w:tcMar>
              <w:top w:w="0" w:type="dxa"/>
              <w:left w:w="105" w:type="dxa"/>
              <w:bottom w:w="0" w:type="dxa"/>
              <w:right w:w="105" w:type="dxa"/>
            </w:tcMar>
            <w:vAlign w:val="center"/>
          </w:tcPr>
          <w:p w14:paraId="11A6E68F">
            <w:pPr>
              <w:keepNext w:val="0"/>
              <w:keepLines w:val="0"/>
              <w:widowControl/>
              <w:suppressLineNumbers w:val="0"/>
              <w:autoSpaceDE w:val="0"/>
              <w:autoSpaceDN/>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廉洁从业</w:t>
            </w:r>
          </w:p>
        </w:tc>
        <w:tc>
          <w:tcPr>
            <w:tcW w:w="3123" w:type="pct"/>
            <w:gridSpan w:val="3"/>
            <w:shd w:val="clear" w:color="auto" w:fill="auto"/>
            <w:tcMar>
              <w:top w:w="0" w:type="dxa"/>
              <w:left w:w="105" w:type="dxa"/>
              <w:bottom w:w="0" w:type="dxa"/>
              <w:right w:w="105" w:type="dxa"/>
            </w:tcMar>
            <w:vAlign w:val="center"/>
          </w:tcPr>
          <w:p w14:paraId="05CA5A27">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违反行业廉洁要求或违法违纪行为，一旦查实，一票否决</w:t>
            </w:r>
          </w:p>
        </w:tc>
        <w:tc>
          <w:tcPr>
            <w:tcW w:w="596" w:type="pct"/>
            <w:shd w:val="clear" w:color="auto" w:fill="auto"/>
            <w:tcMar>
              <w:top w:w="0" w:type="dxa"/>
              <w:left w:w="105" w:type="dxa"/>
              <w:bottom w:w="0" w:type="dxa"/>
              <w:right w:w="105" w:type="dxa"/>
            </w:tcMar>
            <w:vAlign w:val="center"/>
          </w:tcPr>
          <w:p w14:paraId="36E2E4A3">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一票否决</w:t>
            </w:r>
          </w:p>
        </w:tc>
      </w:tr>
      <w:tr w14:paraId="4523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252BC675">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40441A12">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安全规范</w:t>
            </w:r>
          </w:p>
        </w:tc>
        <w:tc>
          <w:tcPr>
            <w:tcW w:w="3123" w:type="pct"/>
            <w:gridSpan w:val="3"/>
            <w:shd w:val="clear" w:color="auto" w:fill="auto"/>
            <w:tcMar>
              <w:top w:w="0" w:type="dxa"/>
              <w:left w:w="105" w:type="dxa"/>
              <w:bottom w:w="0" w:type="dxa"/>
              <w:right w:w="105" w:type="dxa"/>
            </w:tcMar>
            <w:vAlign w:val="center"/>
          </w:tcPr>
          <w:p w14:paraId="01DCD3B7">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596" w:type="pct"/>
            <w:shd w:val="clear" w:color="auto" w:fill="auto"/>
            <w:tcMar>
              <w:top w:w="0" w:type="dxa"/>
              <w:left w:w="105" w:type="dxa"/>
              <w:bottom w:w="0" w:type="dxa"/>
              <w:right w:w="105" w:type="dxa"/>
            </w:tcMar>
            <w:vAlign w:val="center"/>
          </w:tcPr>
          <w:p w14:paraId="43972A7A">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332C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58" w:type="pct"/>
            <w:vMerge w:val="continue"/>
            <w:shd w:val="clear" w:color="auto" w:fill="auto"/>
            <w:tcMar>
              <w:top w:w="0" w:type="dxa"/>
              <w:left w:w="105" w:type="dxa"/>
              <w:bottom w:w="0" w:type="dxa"/>
              <w:right w:w="105" w:type="dxa"/>
            </w:tcMar>
            <w:vAlign w:val="center"/>
          </w:tcPr>
          <w:p w14:paraId="03DB3FAB">
            <w:pPr>
              <w:widowControl/>
              <w:spacing w:line="240" w:lineRule="auto"/>
              <w:jc w:val="left"/>
              <w:rPr>
                <w:rFonts w:hint="eastAsia" w:ascii="仿宋" w:hAnsi="仿宋" w:eastAsia="仿宋" w:cs="仿宋"/>
                <w:kern w:val="0"/>
                <w:sz w:val="24"/>
                <w:szCs w:val="24"/>
                <w:lang w:bidi="ar"/>
              </w:rPr>
            </w:pPr>
          </w:p>
        </w:tc>
        <w:tc>
          <w:tcPr>
            <w:tcW w:w="521" w:type="pct"/>
            <w:shd w:val="clear" w:color="auto" w:fill="auto"/>
            <w:tcMar>
              <w:top w:w="0" w:type="dxa"/>
              <w:left w:w="105" w:type="dxa"/>
              <w:bottom w:w="0" w:type="dxa"/>
              <w:right w:w="105" w:type="dxa"/>
            </w:tcMar>
            <w:vAlign w:val="center"/>
          </w:tcPr>
          <w:p w14:paraId="63EBCBDE">
            <w:pPr>
              <w:keepNext w:val="0"/>
              <w:keepLines w:val="0"/>
              <w:widowControl/>
              <w:suppressLineNumbers w:val="0"/>
              <w:autoSpaceDE w:val="0"/>
              <w:autoSpaceDN/>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其他违纪违规</w:t>
            </w:r>
          </w:p>
        </w:tc>
        <w:tc>
          <w:tcPr>
            <w:tcW w:w="3123" w:type="pct"/>
            <w:gridSpan w:val="3"/>
            <w:shd w:val="clear" w:color="auto" w:fill="auto"/>
            <w:tcMar>
              <w:top w:w="0" w:type="dxa"/>
              <w:left w:w="105" w:type="dxa"/>
              <w:bottom w:w="0" w:type="dxa"/>
              <w:right w:w="105" w:type="dxa"/>
            </w:tcMar>
            <w:vAlign w:val="center"/>
          </w:tcPr>
          <w:p w14:paraId="2F7210E0">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596" w:type="pct"/>
            <w:shd w:val="clear" w:color="auto" w:fill="auto"/>
            <w:tcMar>
              <w:top w:w="0" w:type="dxa"/>
              <w:left w:w="105" w:type="dxa"/>
              <w:bottom w:w="0" w:type="dxa"/>
              <w:right w:w="105" w:type="dxa"/>
            </w:tcMar>
            <w:vAlign w:val="center"/>
          </w:tcPr>
          <w:p w14:paraId="772B55D2">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454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58" w:type="pct"/>
            <w:shd w:val="clear" w:color="auto" w:fill="auto"/>
            <w:tcMar>
              <w:top w:w="0" w:type="dxa"/>
              <w:left w:w="105" w:type="dxa"/>
              <w:bottom w:w="0" w:type="dxa"/>
              <w:right w:w="105" w:type="dxa"/>
            </w:tcMar>
            <w:vAlign w:val="center"/>
          </w:tcPr>
          <w:p w14:paraId="268E2A29">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扣分合计</w:t>
            </w:r>
          </w:p>
        </w:tc>
        <w:tc>
          <w:tcPr>
            <w:tcW w:w="4241" w:type="pct"/>
            <w:gridSpan w:val="5"/>
            <w:shd w:val="clear" w:color="auto" w:fill="auto"/>
            <w:tcMar>
              <w:top w:w="0" w:type="dxa"/>
              <w:left w:w="105" w:type="dxa"/>
              <w:bottom w:w="0" w:type="dxa"/>
              <w:right w:w="105" w:type="dxa"/>
            </w:tcMar>
            <w:vAlign w:val="center"/>
          </w:tcPr>
          <w:p w14:paraId="43E7F18C">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3C19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8" w:type="pct"/>
            <w:shd w:val="clear" w:color="auto" w:fill="auto"/>
            <w:tcMar>
              <w:top w:w="0" w:type="dxa"/>
              <w:left w:w="105" w:type="dxa"/>
              <w:bottom w:w="0" w:type="dxa"/>
              <w:right w:w="105" w:type="dxa"/>
            </w:tcMar>
            <w:vAlign w:val="center"/>
          </w:tcPr>
          <w:p w14:paraId="012747A6">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考核人</w:t>
            </w:r>
          </w:p>
        </w:tc>
        <w:tc>
          <w:tcPr>
            <w:tcW w:w="4241" w:type="pct"/>
            <w:gridSpan w:val="5"/>
            <w:shd w:val="clear" w:color="auto" w:fill="auto"/>
            <w:tcMar>
              <w:top w:w="0" w:type="dxa"/>
              <w:left w:w="105" w:type="dxa"/>
              <w:bottom w:w="0" w:type="dxa"/>
              <w:right w:w="105" w:type="dxa"/>
            </w:tcMar>
            <w:vAlign w:val="center"/>
          </w:tcPr>
          <w:p w14:paraId="5C5D3385">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1C1946EB">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6602F9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2"/>
          <w:sz w:val="24"/>
          <w:szCs w:val="24"/>
          <w:lang w:val="en-US" w:eastAsia="zh-CN" w:bidi="ar"/>
        </w:rPr>
        <w:t>备注：</w:t>
      </w:r>
    </w:p>
    <w:p w14:paraId="249CF7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1.服务期内，采购人可按照本项目采购需求内容对应的考核指标对供应商进行考核，具体指标以采购人要求为准；</w:t>
      </w:r>
    </w:p>
    <w:p w14:paraId="3F241A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2.考核关联最终付款金额，具体计算规则如下：</w:t>
      </w:r>
    </w:p>
    <w:p w14:paraId="12006D0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b w:val="0"/>
          <w:bCs/>
          <w:kern w:val="2"/>
          <w:sz w:val="24"/>
          <w:szCs w:val="24"/>
          <w:lang w:val="en-US" w:eastAsia="zh-CN" w:bidi="ar"/>
        </w:rPr>
        <w:t>1）</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=服务期汇总考核扣分之和÷服务期内考核次数；</w:t>
      </w:r>
    </w:p>
    <w:p w14:paraId="7FC4FE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≤3分，将对供应商进行诫勉谈话；</w:t>
      </w:r>
    </w:p>
    <w:p w14:paraId="7E84FF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3）3分&lt;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≤5分，对供应商提出警告，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扣除合同总金额5%费用，扣完为止；</w:t>
      </w:r>
    </w:p>
    <w:p w14:paraId="5E10E7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4）5分&lt;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≤10分，对供应商提出严重警告，</w:t>
      </w:r>
      <w:r>
        <w:rPr>
          <w:rFonts w:hint="eastAsia" w:ascii="仿宋" w:hAnsi="仿宋" w:eastAsia="仿宋" w:cs="仿宋"/>
          <w:kern w:val="2"/>
          <w:sz w:val="24"/>
          <w:szCs w:val="24"/>
          <w:u w:val="single"/>
          <w:lang w:val="en-US" w:eastAsia="zh-CN" w:bidi="ar"/>
        </w:rPr>
        <w:t>从合同待支付金额中或履约保证金中</w:t>
      </w:r>
      <w:r>
        <w:rPr>
          <w:rFonts w:hint="eastAsia" w:ascii="仿宋" w:hAnsi="仿宋" w:eastAsia="仿宋" w:cs="仿宋"/>
          <w:kern w:val="2"/>
          <w:sz w:val="24"/>
          <w:szCs w:val="24"/>
          <w:lang w:val="en-US" w:eastAsia="zh-CN" w:bidi="ar"/>
        </w:rPr>
        <w:t>扣除合同总金额10%费用，扣完为止；</w:t>
      </w:r>
    </w:p>
    <w:p w14:paraId="10FAF6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5）10分&lt;</w:t>
      </w:r>
      <w:r>
        <w:rPr>
          <w:rStyle w:val="17"/>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，视为</w:t>
      </w:r>
      <w:r>
        <w:rPr>
          <w:rStyle w:val="17"/>
          <w:rFonts w:hint="eastAsia" w:ascii="仿宋" w:hAnsi="仿宋" w:eastAsia="仿宋" w:cs="仿宋"/>
          <w:kern w:val="2"/>
          <w:sz w:val="24"/>
          <w:szCs w:val="24"/>
          <w:lang w:val="en-US" w:eastAsia="zh-CN" w:bidi="ar"/>
        </w:rPr>
        <w:t>不合格</w:t>
      </w:r>
      <w:r>
        <w:rPr>
          <w:rFonts w:hint="eastAsia" w:ascii="仿宋" w:hAnsi="仿宋" w:eastAsia="仿宋" w:cs="仿宋"/>
          <w:kern w:val="2"/>
          <w:sz w:val="24"/>
          <w:szCs w:val="24"/>
          <w:lang w:val="en-US" w:eastAsia="zh-CN" w:bidi="ar"/>
        </w:rPr>
        <w:t>，终止合同，合同待支付金额不予支付，履约保证金（如有履约保证金）不予退还；</w:t>
      </w:r>
    </w:p>
    <w:p w14:paraId="645EFB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7207CD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4.如合同待支付金额或履约保证金中无款可扣且考核后出现扣款情况，供应商承诺在得到采购人考核结果后的10日内向采购人缴纳对应的扣款金额。（供应商提供承诺函）</w:t>
      </w:r>
    </w:p>
    <w:p w14:paraId="2139DC25">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kern w:val="2"/>
          <w:sz w:val="24"/>
          <w:szCs w:val="24"/>
          <w:lang w:val="en-US" w:eastAsia="zh-CN" w:bidi="ar"/>
        </w:rPr>
        <w:t>5.本考核指标最终解释权归四川省医学科学院·四川省人民医院。</w:t>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4"/>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2"/>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2"/>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2"/>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2"/>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2"/>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2"/>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2"/>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2"/>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2"/>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2"/>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2"/>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9428"/>
      <w:bookmarkStart w:id="11" w:name="_Toc19851"/>
      <w:bookmarkStart w:id="12" w:name="_Toc30609"/>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1544"/>
      <w:bookmarkStart w:id="14" w:name="_Toc9041"/>
      <w:bookmarkStart w:id="15" w:name="_Toc32352"/>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1472"/>
      <w:bookmarkStart w:id="17" w:name="_Toc24097"/>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24859"/>
      <w:bookmarkStart w:id="19" w:name="_Toc17163"/>
      <w:bookmarkStart w:id="20" w:name="_Toc1690"/>
      <w:bookmarkStart w:id="21" w:name="_Toc32749"/>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2"/>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2"/>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526"/>
      <w:bookmarkStart w:id="23" w:name="_Toc27135"/>
      <w:bookmarkStart w:id="24" w:name="_Toc2989"/>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2"/>
        <w:rPr>
          <w:rFonts w:hint="default" w:ascii="Times New Roman" w:hAnsi="Times New Roman" w:eastAsia="宋体" w:cs="Times New Roman"/>
          <w:color w:val="auto"/>
          <w:highlight w:val="none"/>
        </w:rPr>
      </w:pPr>
    </w:p>
    <w:p w14:paraId="5EF10334">
      <w:pPr>
        <w:pStyle w:val="2"/>
        <w:rPr>
          <w:rFonts w:hint="default" w:ascii="Times New Roman" w:hAnsi="Times New Roman" w:eastAsia="宋体" w:cs="Times New Roman"/>
          <w:color w:val="auto"/>
          <w:highlight w:val="none"/>
        </w:rPr>
      </w:pPr>
    </w:p>
    <w:p w14:paraId="5F14CCA9">
      <w:pPr>
        <w:pStyle w:val="2"/>
        <w:rPr>
          <w:rFonts w:hint="default" w:ascii="Times New Roman" w:hAnsi="Times New Roman" w:eastAsia="宋体" w:cs="Times New Roman"/>
          <w:color w:val="auto"/>
          <w:highlight w:val="none"/>
        </w:rPr>
      </w:pPr>
    </w:p>
    <w:p w14:paraId="3BFC6961">
      <w:pPr>
        <w:pStyle w:val="2"/>
        <w:rPr>
          <w:rFonts w:hint="default" w:ascii="Times New Roman" w:hAnsi="Times New Roman" w:eastAsia="宋体" w:cs="Times New Roman"/>
          <w:color w:val="auto"/>
          <w:highlight w:val="none"/>
        </w:rPr>
      </w:pPr>
    </w:p>
    <w:p w14:paraId="5D637CFD">
      <w:pPr>
        <w:pStyle w:val="2"/>
        <w:rPr>
          <w:rFonts w:hint="default" w:ascii="Times New Roman" w:hAnsi="Times New Roman" w:eastAsia="宋体" w:cs="Times New Roman"/>
          <w:color w:val="auto"/>
          <w:highlight w:val="none"/>
        </w:rPr>
      </w:pPr>
    </w:p>
    <w:p w14:paraId="4CBECC14">
      <w:pPr>
        <w:pStyle w:val="2"/>
        <w:jc w:val="center"/>
        <w:rPr>
          <w:rFonts w:hint="default" w:ascii="Times New Roman" w:hAnsi="Times New Roman" w:eastAsia="宋体" w:cs="Times New Roman"/>
          <w:b/>
          <w:bCs/>
          <w:color w:val="auto"/>
          <w:sz w:val="24"/>
          <w:szCs w:val="24"/>
          <w:highlight w:val="none"/>
          <w:lang w:val="zh-TW" w:eastAsia="zh-TW"/>
        </w:rPr>
      </w:pPr>
      <w:bookmarkStart w:id="26" w:name="_Toc7233"/>
      <w:bookmarkStart w:id="27" w:name="_Toc2031"/>
      <w:bookmarkStart w:id="28" w:name="_Toc5056"/>
      <w:bookmarkStart w:id="29" w:name="_Toc19987"/>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2"/>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2"/>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2"/>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2"/>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2"/>
        <w:spacing w:line="360" w:lineRule="auto"/>
        <w:rPr>
          <w:rFonts w:hint="default" w:ascii="宋体" w:hAnsi="宋体" w:eastAsia="宋体" w:cs="宋体"/>
          <w:color w:val="auto"/>
          <w:highlight w:val="none"/>
        </w:rPr>
      </w:pPr>
    </w:p>
    <w:p w14:paraId="7893543D">
      <w:pPr>
        <w:pStyle w:val="2"/>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2"/>
        <w:spacing w:line="360" w:lineRule="auto"/>
        <w:contextualSpacing/>
        <w:jc w:val="left"/>
        <w:rPr>
          <w:rFonts w:hint="default" w:ascii="宋体" w:hAnsi="宋体" w:eastAsia="宋体" w:cs="宋体"/>
          <w:color w:val="auto"/>
          <w:highlight w:val="none"/>
        </w:rPr>
      </w:pPr>
    </w:p>
    <w:p w14:paraId="54747478">
      <w:pPr>
        <w:pStyle w:val="2"/>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2"/>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2"/>
        <w:jc w:val="center"/>
        <w:rPr>
          <w:rFonts w:hint="default" w:cs="Times New Roman" w:asciiTheme="majorEastAsia" w:hAnsiTheme="majorEastAsia" w:eastAsiaTheme="majorEastAsia"/>
          <w:color w:val="auto"/>
          <w:sz w:val="30"/>
          <w:szCs w:val="30"/>
          <w:highlight w:val="none"/>
          <w:lang w:val="zh-TW" w:eastAsia="zh-TW"/>
        </w:rPr>
      </w:pPr>
    </w:p>
    <w:p w14:paraId="486B3188">
      <w:pPr>
        <w:pStyle w:val="2"/>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2"/>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2"/>
        <w:jc w:val="center"/>
        <w:rPr>
          <w:rFonts w:hint="default" w:ascii="Times New Roman" w:hAnsi="Times New Roman" w:eastAsia="宋体" w:cs="Times New Roman"/>
          <w:b/>
          <w:bCs/>
          <w:color w:val="auto"/>
          <w:sz w:val="36"/>
          <w:szCs w:val="36"/>
          <w:highlight w:val="none"/>
          <w:lang w:eastAsia="zh-TW"/>
        </w:rPr>
      </w:pPr>
    </w:p>
    <w:p w14:paraId="012E9352">
      <w:pPr>
        <w:pStyle w:val="2"/>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265"/>
        <w:gridCol w:w="4015"/>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10"/>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10"/>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2"/>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2"/>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871"/>
        <w:gridCol w:w="2200"/>
        <w:gridCol w:w="751"/>
        <w:gridCol w:w="882"/>
        <w:gridCol w:w="1042"/>
        <w:gridCol w:w="876"/>
        <w:gridCol w:w="1189"/>
      </w:tblGrid>
      <w:tr w14:paraId="2F1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287" w:type="pct"/>
            <w:vAlign w:val="center"/>
          </w:tcPr>
          <w:p w14:paraId="2E296EC2">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525" w:type="pct"/>
            <w:vAlign w:val="center"/>
          </w:tcPr>
          <w:p w14:paraId="0B4A421F">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lang w:val="en-US" w:eastAsia="zh-CN"/>
              </w:rPr>
            </w:pPr>
            <w:r>
              <w:rPr>
                <w:rStyle w:val="47"/>
                <w:rFonts w:hint="eastAsia" w:ascii="宋体" w:hAnsi="宋体" w:eastAsia="宋体" w:cs="宋体"/>
                <w:b/>
                <w:bCs w:val="0"/>
                <w:sz w:val="24"/>
                <w:szCs w:val="24"/>
              </w:rPr>
              <w:t>品名</w:t>
            </w:r>
          </w:p>
        </w:tc>
        <w:tc>
          <w:tcPr>
            <w:tcW w:w="1326" w:type="pct"/>
            <w:vAlign w:val="center"/>
          </w:tcPr>
          <w:p w14:paraId="29144366">
            <w:pPr>
              <w:pStyle w:val="13"/>
              <w:keepNext w:val="0"/>
              <w:keepLines w:val="0"/>
              <w:widowControl/>
              <w:suppressLineNumbers w:val="0"/>
              <w:spacing w:line="240" w:lineRule="auto"/>
              <w:ind w:left="0" w:leftChars="0" w:right="0" w:rightChars="0"/>
              <w:jc w:val="center"/>
              <w:rPr>
                <w:rFonts w:hint="eastAsia" w:ascii="宋体" w:hAnsi="宋体" w:eastAsia="宋体" w:cs="宋体"/>
                <w:b/>
                <w:bCs/>
                <w:color w:val="auto"/>
                <w:sz w:val="24"/>
                <w:szCs w:val="24"/>
                <w:highlight w:val="none"/>
              </w:rPr>
            </w:pPr>
            <w:r>
              <w:rPr>
                <w:rStyle w:val="17"/>
                <w:rFonts w:hint="eastAsia" w:ascii="宋体" w:hAnsi="宋体" w:eastAsia="宋体" w:cs="宋体"/>
                <w:b/>
                <w:bCs/>
                <w:sz w:val="24"/>
                <w:szCs w:val="24"/>
              </w:rPr>
              <w:t>详细描述</w:t>
            </w:r>
          </w:p>
        </w:tc>
        <w:tc>
          <w:tcPr>
            <w:tcW w:w="453" w:type="pct"/>
            <w:vAlign w:val="center"/>
          </w:tcPr>
          <w:p w14:paraId="53F00214">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数量</w:t>
            </w:r>
          </w:p>
        </w:tc>
        <w:tc>
          <w:tcPr>
            <w:tcW w:w="532" w:type="pct"/>
            <w:vAlign w:val="center"/>
          </w:tcPr>
          <w:p w14:paraId="63AEC50D">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单位</w:t>
            </w:r>
          </w:p>
        </w:tc>
        <w:tc>
          <w:tcPr>
            <w:tcW w:w="628" w:type="pct"/>
            <w:vAlign w:val="center"/>
          </w:tcPr>
          <w:p w14:paraId="425DEF37">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报价</w:t>
            </w:r>
            <w:r>
              <w:rPr>
                <w:rStyle w:val="47"/>
                <w:rFonts w:hint="eastAsia" w:ascii="宋体" w:hAnsi="宋体" w:eastAsia="宋体" w:cs="宋体"/>
                <w:b/>
                <w:bCs w:val="0"/>
                <w:sz w:val="24"/>
                <w:szCs w:val="24"/>
              </w:rPr>
              <w:t>（元）</w:t>
            </w:r>
          </w:p>
        </w:tc>
        <w:tc>
          <w:tcPr>
            <w:tcW w:w="528" w:type="pct"/>
            <w:vAlign w:val="center"/>
          </w:tcPr>
          <w:p w14:paraId="34003D31">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服务期</w:t>
            </w:r>
          </w:p>
        </w:tc>
        <w:tc>
          <w:tcPr>
            <w:tcW w:w="717" w:type="pct"/>
            <w:vAlign w:val="center"/>
          </w:tcPr>
          <w:p w14:paraId="2896F85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其它与报价相关并需要说明的内容</w:t>
            </w:r>
          </w:p>
        </w:tc>
      </w:tr>
      <w:tr w14:paraId="2947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87" w:type="pct"/>
            <w:vAlign w:val="center"/>
          </w:tcPr>
          <w:p w14:paraId="0127BD89">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1095" w:type="dxa"/>
            <w:vAlign w:val="center"/>
          </w:tcPr>
          <w:p w14:paraId="1E8FD720">
            <w:pPr>
              <w:pStyle w:val="48"/>
              <w:keepNext w:val="0"/>
              <w:keepLines w:val="0"/>
              <w:widowControl/>
              <w:suppressLineNumbers w:val="0"/>
              <w:ind w:left="0" w:leftChars="0" w:right="0" w:rightChars="0"/>
              <w:jc w:val="center"/>
              <w:rPr>
                <w:rStyle w:val="47"/>
                <w:rFonts w:hint="eastAsia" w:ascii="宋体" w:hAnsi="宋体" w:eastAsia="宋体" w:cs="宋体"/>
                <w:b/>
                <w:bCs/>
                <w:color w:val="auto"/>
                <w:sz w:val="24"/>
                <w:szCs w:val="24"/>
                <w:highlight w:val="none"/>
                <w:lang w:eastAsia="zh-CN"/>
              </w:rPr>
            </w:pPr>
            <w:r>
              <w:rPr>
                <w:rFonts w:hint="eastAsia" w:ascii="宋体" w:hAnsi="宋体" w:eastAsia="宋体" w:cs="宋体"/>
                <w:kern w:val="0"/>
                <w:sz w:val="24"/>
                <w:szCs w:val="24"/>
              </w:rPr>
              <w:t>问卷采集和营养分析软件</w:t>
            </w:r>
          </w:p>
        </w:tc>
        <w:tc>
          <w:tcPr>
            <w:tcW w:w="2764" w:type="dxa"/>
            <w:vAlign w:val="center"/>
          </w:tcPr>
          <w:p w14:paraId="7C6CAC25">
            <w:pPr>
              <w:pStyle w:val="48"/>
              <w:keepNext w:val="0"/>
              <w:keepLines w:val="0"/>
              <w:widowControl/>
              <w:suppressLineNumbers w:val="0"/>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rPr>
              <w:t>以问卷采集为核心、完成营养数据的拆分、评估和分析，指导体重控制的工具软件</w:t>
            </w:r>
          </w:p>
        </w:tc>
        <w:tc>
          <w:tcPr>
            <w:tcW w:w="944" w:type="dxa"/>
            <w:vAlign w:val="center"/>
          </w:tcPr>
          <w:p w14:paraId="763DE279">
            <w:pPr>
              <w:pStyle w:val="48"/>
              <w:keepNext w:val="0"/>
              <w:keepLines w:val="0"/>
              <w:widowControl/>
              <w:suppressLineNumbers w:val="0"/>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rPr>
              <w:t>1</w:t>
            </w:r>
          </w:p>
        </w:tc>
        <w:tc>
          <w:tcPr>
            <w:tcW w:w="1109" w:type="dxa"/>
            <w:vAlign w:val="center"/>
          </w:tcPr>
          <w:p w14:paraId="5807CE05">
            <w:pPr>
              <w:pStyle w:val="48"/>
              <w:keepNext w:val="0"/>
              <w:keepLines w:val="0"/>
              <w:widowControl/>
              <w:suppressLineNumbers w:val="0"/>
              <w:ind w:left="0" w:leftChars="0" w:right="0" w:rightChars="0"/>
              <w:jc w:val="center"/>
              <w:rPr>
                <w:rFonts w:hint="eastAsia" w:ascii="宋体" w:hAnsi="宋体" w:eastAsia="宋体" w:cs="宋体"/>
                <w:b/>
                <w:bCs/>
                <w:color w:val="auto"/>
                <w:sz w:val="24"/>
                <w:szCs w:val="24"/>
                <w:highlight w:val="none"/>
              </w:rPr>
            </w:pPr>
            <w:r>
              <w:rPr>
                <w:rFonts w:hint="eastAsia" w:ascii="宋体" w:hAnsi="宋体" w:eastAsia="宋体" w:cs="宋体"/>
                <w:kern w:val="0"/>
                <w:sz w:val="24"/>
                <w:szCs w:val="24"/>
              </w:rPr>
              <w:t>套</w:t>
            </w:r>
          </w:p>
        </w:tc>
        <w:tc>
          <w:tcPr>
            <w:tcW w:w="628" w:type="pct"/>
            <w:vAlign w:val="center"/>
          </w:tcPr>
          <w:p w14:paraId="2220C808">
            <w:pPr>
              <w:spacing w:line="240" w:lineRule="auto"/>
              <w:jc w:val="center"/>
              <w:rPr>
                <w:rFonts w:hint="eastAsia" w:ascii="宋体" w:hAnsi="宋体" w:eastAsia="宋体" w:cs="宋体"/>
                <w:b/>
                <w:bCs/>
                <w:color w:val="auto"/>
                <w:sz w:val="24"/>
                <w:szCs w:val="24"/>
                <w:highlight w:val="none"/>
              </w:rPr>
            </w:pPr>
          </w:p>
        </w:tc>
        <w:tc>
          <w:tcPr>
            <w:tcW w:w="528" w:type="pct"/>
            <w:vAlign w:val="center"/>
          </w:tcPr>
          <w:p w14:paraId="6EE23800">
            <w:pPr>
              <w:spacing w:line="240" w:lineRule="auto"/>
              <w:jc w:val="center"/>
              <w:rPr>
                <w:rFonts w:hint="eastAsia" w:ascii="宋体" w:hAnsi="宋体" w:eastAsia="宋体" w:cs="宋体"/>
                <w:b/>
                <w:bCs/>
                <w:color w:val="auto"/>
                <w:sz w:val="24"/>
                <w:szCs w:val="24"/>
                <w:highlight w:val="none"/>
              </w:rPr>
            </w:pPr>
          </w:p>
        </w:tc>
        <w:tc>
          <w:tcPr>
            <w:tcW w:w="717" w:type="pct"/>
            <w:vAlign w:val="center"/>
          </w:tcPr>
          <w:p w14:paraId="5D1F26BF">
            <w:pPr>
              <w:spacing w:line="240" w:lineRule="auto"/>
              <w:jc w:val="center"/>
              <w:rPr>
                <w:rFonts w:hint="eastAsia" w:ascii="宋体" w:hAnsi="宋体" w:eastAsia="宋体" w:cs="宋体"/>
                <w:b/>
                <w:bCs/>
                <w:color w:val="auto"/>
                <w:sz w:val="24"/>
                <w:szCs w:val="24"/>
                <w:highlight w:val="none"/>
              </w:rPr>
            </w:pPr>
          </w:p>
        </w:tc>
      </w:tr>
    </w:tbl>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2"/>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2"/>
        <w:rPr>
          <w:rFonts w:hint="default" w:ascii="Times New Roman" w:hAnsi="Times New Roman" w:eastAsia="PMingLiU" w:cs="Times New Roman"/>
          <w:b/>
          <w:bCs/>
          <w:color w:val="auto"/>
          <w:sz w:val="36"/>
          <w:szCs w:val="36"/>
          <w:highlight w:val="none"/>
          <w:lang w:val="zh-TW" w:eastAsia="zh-TW"/>
        </w:rPr>
      </w:pPr>
    </w:p>
    <w:p w14:paraId="43321793">
      <w:pPr>
        <w:pStyle w:val="2"/>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2"/>
        <w:rPr>
          <w:rFonts w:hint="default" w:ascii="Times New Roman" w:hAnsi="Times New Roman" w:eastAsia="PMingLiU" w:cs="Times New Roman"/>
          <w:b/>
          <w:bCs/>
          <w:color w:val="auto"/>
          <w:sz w:val="36"/>
          <w:szCs w:val="36"/>
          <w:highlight w:val="none"/>
          <w:lang w:val="zh-TW" w:eastAsia="zh-TW"/>
        </w:rPr>
      </w:pPr>
    </w:p>
    <w:p w14:paraId="0A4BCA24">
      <w:pPr>
        <w:pStyle w:val="2"/>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4"/>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25F9E05E">
      <w:pPr>
        <w:contextualSpacing/>
        <w:rPr>
          <w:rFonts w:hint="eastAsia" w:ascii="Times New Roman" w:hAnsi="Times New Roman" w:eastAsia="宋体" w:cs="Times New Roman"/>
          <w:szCs w:val="21"/>
          <w:highlight w:val="none"/>
        </w:rPr>
      </w:pPr>
    </w:p>
    <w:tbl>
      <w:tblPr>
        <w:tblStyle w:val="14"/>
        <w:tblW w:w="5000" w:type="pct"/>
        <w:jc w:val="center"/>
        <w:tblLayout w:type="autofit"/>
        <w:tblCellMar>
          <w:top w:w="0" w:type="dxa"/>
          <w:left w:w="0" w:type="dxa"/>
          <w:bottom w:w="0" w:type="dxa"/>
          <w:right w:w="0" w:type="dxa"/>
        </w:tblCellMar>
      </w:tblPr>
      <w:tblGrid>
        <w:gridCol w:w="4040"/>
        <w:gridCol w:w="4260"/>
      </w:tblGrid>
      <w:tr w14:paraId="5CB82633">
        <w:tblPrEx>
          <w:tblCellMar>
            <w:top w:w="0" w:type="dxa"/>
            <w:left w:w="0" w:type="dxa"/>
            <w:bottom w:w="0" w:type="dxa"/>
            <w:right w:w="0" w:type="dxa"/>
          </w:tblCellMar>
        </w:tblPrEx>
        <w:trPr>
          <w:trHeight w:val="767" w:hRule="atLeast"/>
          <w:jc w:val="center"/>
        </w:trPr>
        <w:tc>
          <w:tcPr>
            <w:tcW w:w="10204" w:type="dxa"/>
            <w:gridSpan w:val="2"/>
            <w:noWrap w:val="0"/>
            <w:vAlign w:val="top"/>
          </w:tcPr>
          <w:p w14:paraId="692C59E5">
            <w:pPr>
              <w:contextualSpacing/>
              <w:rPr>
                <w:rFonts w:hint="default" w:ascii="Times New Roman" w:hAnsi="Times New Roman" w:eastAsia="宋体" w:cs="Times New Roman"/>
                <w:color w:val="000000"/>
                <w:szCs w:val="21"/>
                <w:highlight w:val="none"/>
              </w:rPr>
            </w:pPr>
            <w:r>
              <w:rPr>
                <w:rFonts w:hint="default" w:ascii="Times New Roman" w:hAnsi="Times New Roman" w:eastAsia="宋体" w:cs="Times New Roman"/>
                <w:b/>
                <w:bCs/>
                <w:color w:val="000000"/>
                <w:szCs w:val="21"/>
                <w:highlight w:val="none"/>
              </w:rPr>
              <w:t>合同编号</w:t>
            </w:r>
            <w:r>
              <w:rPr>
                <w:rFonts w:hint="default" w:ascii="Times New Roman" w:hAnsi="Times New Roman" w:eastAsia="宋体" w:cs="Times New Roman"/>
                <w:color w:val="000000"/>
                <w:szCs w:val="21"/>
                <w:highlight w:val="none"/>
              </w:rPr>
              <w:t>：</w:t>
            </w:r>
            <w:r>
              <w:rPr>
                <w:rFonts w:hint="eastAsia" w:ascii="Times New Roman" w:hAnsi="Times New Roman" w:eastAsia="宋体" w:cs="Times New Roman"/>
                <w:color w:val="000000"/>
                <w:szCs w:val="21"/>
                <w:highlight w:val="none"/>
              </w:rPr>
              <w:t>CGZX</w:t>
            </w:r>
            <w:r>
              <w:rPr>
                <w:rFonts w:hint="default" w:ascii="Times New Roman" w:hAnsi="Times New Roman" w:eastAsia="宋体" w:cs="Times New Roman"/>
                <w:color w:val="000000"/>
                <w:szCs w:val="21"/>
                <w:highlight w:val="none"/>
              </w:rPr>
              <w:t>-***</w:t>
            </w:r>
          </w:p>
          <w:p w14:paraId="327C1CE2">
            <w:pPr>
              <w:contextualSpacing/>
              <w:rPr>
                <w:rFonts w:hint="eastAsia" w:ascii="Times New Roman" w:hAnsi="Times New Roman" w:eastAsia="宋体" w:cs="Times New Roman"/>
                <w:color w:val="000000"/>
                <w:szCs w:val="21"/>
                <w:highlight w:val="none"/>
              </w:rPr>
            </w:pPr>
            <w:r>
              <w:rPr>
                <w:rFonts w:hint="default" w:ascii="Times New Roman" w:hAnsi="Times New Roman" w:eastAsia="宋体" w:cs="Times New Roman"/>
                <w:b/>
                <w:bCs/>
                <w:color w:val="000000"/>
                <w:szCs w:val="21"/>
                <w:highlight w:val="none"/>
              </w:rPr>
              <w:t>签订地点</w:t>
            </w:r>
            <w:r>
              <w:rPr>
                <w:rFonts w:hint="default" w:ascii="Times New Roman" w:hAnsi="Times New Roman" w:eastAsia="宋体" w:cs="Times New Roman"/>
                <w:color w:val="000000"/>
                <w:szCs w:val="21"/>
                <w:highlight w:val="none"/>
              </w:rPr>
              <w:t>：四川省人民医院</w:t>
            </w:r>
          </w:p>
        </w:tc>
      </w:tr>
      <w:tr w14:paraId="76E5811B">
        <w:tblPrEx>
          <w:tblCellMar>
            <w:top w:w="0" w:type="dxa"/>
            <w:left w:w="0" w:type="dxa"/>
            <w:bottom w:w="0" w:type="dxa"/>
            <w:right w:w="0" w:type="dxa"/>
          </w:tblCellMar>
        </w:tblPrEx>
        <w:trPr>
          <w:jc w:val="center"/>
        </w:trPr>
        <w:tc>
          <w:tcPr>
            <w:tcW w:w="4962" w:type="dxa"/>
            <w:noWrap w:val="0"/>
            <w:vAlign w:val="top"/>
          </w:tcPr>
          <w:p w14:paraId="36E1BB99">
            <w:pPr>
              <w:rPr>
                <w:rFonts w:hint="default" w:ascii="Times New Roman" w:hAnsi="Times New Roman" w:eastAsia="宋体" w:cs="Times New Roman"/>
                <w:szCs w:val="21"/>
                <w:highlight w:val="none"/>
              </w:rPr>
            </w:pPr>
            <w:r>
              <w:rPr>
                <w:rFonts w:hint="default" w:ascii="Times New Roman" w:hAnsi="Times New Roman" w:eastAsia="宋体" w:cs="Times New Roman"/>
                <w:b/>
                <w:bCs/>
                <w:szCs w:val="21"/>
                <w:highlight w:val="none"/>
              </w:rPr>
              <w:t>采购人（以下简称甲方）</w:t>
            </w:r>
            <w:r>
              <w:rPr>
                <w:rFonts w:hint="default" w:ascii="Times New Roman" w:hAnsi="Times New Roman" w:eastAsia="宋体" w:cs="Times New Roman"/>
                <w:szCs w:val="21"/>
                <w:highlight w:val="none"/>
              </w:rPr>
              <w:t>：四川省人民医院</w:t>
            </w:r>
          </w:p>
          <w:p w14:paraId="0F498B7A">
            <w:pPr>
              <w:rPr>
                <w:rFonts w:hint="default" w:ascii="Times New Roman" w:hAnsi="Times New Roman" w:eastAsia="宋体" w:cs="Times New Roman"/>
                <w:szCs w:val="21"/>
                <w:highlight w:val="none"/>
              </w:rPr>
            </w:pPr>
            <w:r>
              <w:rPr>
                <w:rFonts w:hint="default" w:ascii="Times New Roman" w:hAnsi="Times New Roman" w:eastAsia="宋体" w:cs="Times New Roman"/>
                <w:b/>
                <w:bCs/>
                <w:szCs w:val="21"/>
                <w:highlight w:val="none"/>
              </w:rPr>
              <w:t>地址</w:t>
            </w:r>
            <w:r>
              <w:rPr>
                <w:rFonts w:hint="default" w:ascii="Times New Roman" w:hAnsi="Times New Roman" w:eastAsia="宋体" w:cs="Times New Roman"/>
                <w:szCs w:val="21"/>
                <w:highlight w:val="none"/>
              </w:rPr>
              <w:t>：四川省成都市一环路西二段32号</w:t>
            </w:r>
          </w:p>
          <w:p w14:paraId="00DB54FB">
            <w:pPr>
              <w:rPr>
                <w:rFonts w:hint="eastAsia" w:ascii="Times New Roman" w:hAnsi="Times New Roman" w:eastAsia="宋体" w:cs="Times New Roman"/>
                <w:szCs w:val="21"/>
                <w:highlight w:val="none"/>
              </w:rPr>
            </w:pPr>
            <w:r>
              <w:rPr>
                <w:rFonts w:hint="default" w:ascii="Times New Roman" w:hAnsi="Times New Roman" w:eastAsia="宋体" w:cs="Times New Roman"/>
                <w:b/>
                <w:bCs/>
                <w:szCs w:val="21"/>
                <w:highlight w:val="none"/>
              </w:rPr>
              <w:t>项目联系人</w:t>
            </w:r>
            <w:r>
              <w:rPr>
                <w:rFonts w:hint="default" w:ascii="Times New Roman" w:hAnsi="Times New Roman" w:eastAsia="宋体" w:cs="Times New Roman"/>
                <w:szCs w:val="21"/>
                <w:highlight w:val="none"/>
              </w:rPr>
              <w:t xml:space="preserve">：*** </w:t>
            </w:r>
            <w:r>
              <w:rPr>
                <w:rFonts w:hint="default" w:ascii="Times New Roman" w:hAnsi="Times New Roman" w:eastAsia="宋体" w:cs="Times New Roman"/>
                <w:b/>
                <w:bCs/>
                <w:szCs w:val="21"/>
                <w:highlight w:val="none"/>
              </w:rPr>
              <w:t>电话</w:t>
            </w:r>
            <w:r>
              <w:rPr>
                <w:rFonts w:hint="default" w:ascii="Times New Roman" w:hAnsi="Times New Roman" w:eastAsia="宋体" w:cs="Times New Roman"/>
                <w:szCs w:val="21"/>
                <w:highlight w:val="none"/>
              </w:rPr>
              <w:t>：***</w:t>
            </w:r>
          </w:p>
        </w:tc>
        <w:tc>
          <w:tcPr>
            <w:tcW w:w="5242" w:type="dxa"/>
            <w:noWrap w:val="0"/>
            <w:vAlign w:val="top"/>
          </w:tcPr>
          <w:p w14:paraId="1448A130">
            <w:pPr>
              <w:rPr>
                <w:rFonts w:hint="default" w:ascii="Times New Roman" w:hAnsi="Times New Roman" w:eastAsia="宋体" w:cs="Times New Roman"/>
                <w:szCs w:val="21"/>
                <w:highlight w:val="none"/>
              </w:rPr>
            </w:pPr>
            <w:r>
              <w:rPr>
                <w:rFonts w:hint="default" w:ascii="Times New Roman" w:hAnsi="Times New Roman" w:eastAsia="宋体" w:cs="Times New Roman"/>
                <w:b/>
                <w:bCs/>
                <w:szCs w:val="21"/>
                <w:highlight w:val="none"/>
              </w:rPr>
              <w:t>供应商（以下简称乙方）</w:t>
            </w:r>
            <w:r>
              <w:rPr>
                <w:rFonts w:hint="default" w:ascii="Times New Roman" w:hAnsi="Times New Roman" w:eastAsia="宋体" w:cs="Times New Roman"/>
                <w:szCs w:val="21"/>
                <w:highlight w:val="none"/>
              </w:rPr>
              <w:t>：***</w:t>
            </w:r>
          </w:p>
          <w:p w14:paraId="3F9C36AD">
            <w:pPr>
              <w:rPr>
                <w:rFonts w:hint="default" w:ascii="Times New Roman" w:hAnsi="Times New Roman" w:eastAsia="宋体" w:cs="Times New Roman"/>
                <w:szCs w:val="21"/>
                <w:highlight w:val="none"/>
              </w:rPr>
            </w:pPr>
            <w:r>
              <w:rPr>
                <w:rFonts w:hint="default" w:ascii="Times New Roman" w:hAnsi="Times New Roman" w:eastAsia="宋体" w:cs="Times New Roman"/>
                <w:b/>
                <w:bCs/>
                <w:szCs w:val="21"/>
                <w:highlight w:val="none"/>
              </w:rPr>
              <w:t>地址</w:t>
            </w:r>
            <w:r>
              <w:rPr>
                <w:rFonts w:hint="default" w:ascii="Times New Roman" w:hAnsi="Times New Roman" w:eastAsia="宋体" w:cs="Times New Roman"/>
                <w:szCs w:val="21"/>
                <w:highlight w:val="none"/>
              </w:rPr>
              <w:t>：***</w:t>
            </w:r>
          </w:p>
          <w:p w14:paraId="680AF8AD">
            <w:pPr>
              <w:rPr>
                <w:rFonts w:hint="default" w:ascii="Times New Roman" w:hAnsi="Times New Roman" w:eastAsia="宋体" w:cs="Times New Roman"/>
                <w:szCs w:val="21"/>
                <w:highlight w:val="none"/>
              </w:rPr>
            </w:pPr>
            <w:r>
              <w:rPr>
                <w:rFonts w:hint="default" w:ascii="Times New Roman" w:hAnsi="Times New Roman" w:eastAsia="宋体" w:cs="Times New Roman"/>
                <w:b/>
                <w:bCs/>
                <w:szCs w:val="21"/>
                <w:highlight w:val="none"/>
              </w:rPr>
              <w:t>移动电话</w:t>
            </w:r>
            <w:r>
              <w:rPr>
                <w:rFonts w:hint="default" w:ascii="Times New Roman" w:hAnsi="Times New Roman" w:eastAsia="宋体" w:cs="Times New Roman"/>
                <w:szCs w:val="21"/>
                <w:highlight w:val="none"/>
              </w:rPr>
              <w:t>：***</w:t>
            </w:r>
          </w:p>
          <w:p w14:paraId="31FCA70C">
            <w:pPr>
              <w:contextualSpacing/>
              <w:rPr>
                <w:rFonts w:hint="eastAsia" w:ascii="Times New Roman" w:hAnsi="Times New Roman" w:eastAsia="宋体" w:cs="Times New Roman"/>
                <w:szCs w:val="21"/>
                <w:highlight w:val="none"/>
              </w:rPr>
            </w:pPr>
            <w:r>
              <w:rPr>
                <w:rFonts w:hint="default" w:ascii="Times New Roman" w:hAnsi="Times New Roman" w:eastAsia="宋体" w:cs="Times New Roman"/>
                <w:b/>
                <w:bCs/>
                <w:szCs w:val="21"/>
                <w:highlight w:val="none"/>
              </w:rPr>
              <w:t>联系人</w:t>
            </w:r>
            <w:r>
              <w:rPr>
                <w:rFonts w:hint="default" w:ascii="Times New Roman" w:hAnsi="Times New Roman" w:eastAsia="宋体" w:cs="Times New Roman"/>
                <w:szCs w:val="21"/>
                <w:highlight w:val="none"/>
              </w:rPr>
              <w:t>：***</w:t>
            </w:r>
          </w:p>
        </w:tc>
      </w:tr>
    </w:tbl>
    <w:p w14:paraId="78B08FA3">
      <w:pPr>
        <w:adjustRightInd w:val="0"/>
        <w:snapToGrid w:val="0"/>
        <w:spacing w:before="312" w:beforeLines="100" w:after="312" w:afterLines="100"/>
        <w:contextualSpacing/>
        <w:jc w:val="left"/>
        <w:rPr>
          <w:rFonts w:hint="default" w:ascii="Times New Roman" w:hAnsi="Times New Roman" w:eastAsia="宋体" w:cs="Times New Roman"/>
          <w:color w:val="000000"/>
          <w:szCs w:val="21"/>
          <w:highlight w:val="none"/>
        </w:rPr>
      </w:pPr>
      <w:bookmarkStart w:id="35" w:name="OLE_LINK6"/>
      <w:bookmarkStart w:id="36" w:name="OLE_LINK5"/>
    </w:p>
    <w:p w14:paraId="6E1BEE4E">
      <w:pPr>
        <w:adjustRightInd w:val="0"/>
        <w:snapToGrid w:val="0"/>
        <w:spacing w:before="312" w:beforeLines="100" w:after="312" w:afterLines="100"/>
        <w:ind w:firstLine="420" w:firstLineChars="200"/>
        <w:contextualSpacing/>
        <w:jc w:val="left"/>
        <w:rPr>
          <w:rFonts w:hint="default" w:ascii="Times New Roman" w:hAnsi="Times New Roman" w:eastAsia="宋体" w:cs="Times New Roman"/>
          <w:b/>
          <w:szCs w:val="21"/>
          <w:highlight w:val="none"/>
        </w:rPr>
      </w:pPr>
      <w:r>
        <w:rPr>
          <w:rFonts w:hint="default" w:ascii="Times New Roman" w:hAnsi="Times New Roman" w:eastAsia="宋体" w:cs="Times New Roman"/>
          <w:color w:val="000000"/>
          <w:szCs w:val="21"/>
          <w:highlight w:val="none"/>
        </w:rPr>
        <w:t>根据《中华人民共和国民法典》及甲方</w:t>
      </w:r>
      <w:r>
        <w:rPr>
          <w:rFonts w:hint="eastAsia" w:ascii="Times New Roman" w:hAnsi="Times New Roman" w:eastAsia="宋体" w:cs="Times New Roman"/>
          <w:color w:val="000000"/>
          <w:szCs w:val="21"/>
          <w:highlight w:val="none"/>
        </w:rPr>
        <w:t>发布</w:t>
      </w:r>
      <w:r>
        <w:rPr>
          <w:rFonts w:hint="default" w:ascii="Times New Roman" w:hAnsi="Times New Roman" w:eastAsia="宋体" w:cs="Times New Roman"/>
          <w:color w:val="000000"/>
          <w:szCs w:val="21"/>
          <w:highlight w:val="none"/>
        </w:rPr>
        <w:t>的</w:t>
      </w:r>
      <w:r>
        <w:rPr>
          <w:rFonts w:hint="eastAsia" w:ascii="Times New Roman" w:hAnsi="Times New Roman" w:eastAsia="宋体" w:cs="Times New Roman"/>
          <w:color w:val="000000"/>
          <w:szCs w:val="21"/>
          <w:highlight w:val="none"/>
        </w:rPr>
        <w:t>*</w:t>
      </w:r>
      <w:r>
        <w:rPr>
          <w:rFonts w:hint="default" w:ascii="Times New Roman" w:hAnsi="Times New Roman" w:eastAsia="宋体" w:cs="Times New Roman"/>
          <w:color w:val="000000"/>
          <w:szCs w:val="21"/>
          <w:highlight w:val="none"/>
        </w:rPr>
        <w:t>**项目（项目编号：</w:t>
      </w:r>
      <w:r>
        <w:rPr>
          <w:rFonts w:hint="default" w:ascii="Times New Roman" w:hAnsi="Times New Roman" w:eastAsia="宋体" w:cs="Times New Roman"/>
          <w:szCs w:val="21"/>
          <w:highlight w:val="none"/>
        </w:rPr>
        <w:t>***</w:t>
      </w:r>
      <w:r>
        <w:rPr>
          <w:rFonts w:hint="default" w:ascii="Times New Roman" w:hAnsi="Times New Roman" w:eastAsia="宋体" w:cs="Times New Roman"/>
          <w:color w:val="000000"/>
          <w:szCs w:val="21"/>
          <w:highlight w:val="none"/>
        </w:rPr>
        <w:t>）《采购文件》、乙方的《</w:t>
      </w:r>
      <w:r>
        <w:rPr>
          <w:rFonts w:hint="eastAsia" w:ascii="Times New Roman" w:hAnsi="Times New Roman" w:eastAsia="宋体" w:cs="Times New Roman"/>
          <w:color w:val="000000"/>
          <w:szCs w:val="21"/>
          <w:highlight w:val="none"/>
        </w:rPr>
        <w:t>响应</w:t>
      </w:r>
      <w:r>
        <w:rPr>
          <w:rFonts w:hint="default" w:ascii="Times New Roman" w:hAnsi="Times New Roman" w:eastAsia="宋体" w:cs="Times New Roman"/>
          <w:color w:val="000000"/>
          <w:szCs w:val="21"/>
          <w:highlight w:val="none"/>
        </w:rPr>
        <w:t>文件》，甲、乙双方同意签订本合同。详细技术说明及其他有关合同项目的特定信息</w:t>
      </w:r>
      <w:r>
        <w:rPr>
          <w:rFonts w:hint="eastAsia" w:ascii="Times New Roman" w:hAnsi="Times New Roman" w:eastAsia="宋体" w:cs="Times New Roman"/>
          <w:color w:val="000000"/>
          <w:szCs w:val="21"/>
          <w:highlight w:val="none"/>
        </w:rPr>
        <w:t>可</w:t>
      </w:r>
      <w:r>
        <w:rPr>
          <w:rFonts w:hint="default" w:ascii="Times New Roman" w:hAnsi="Times New Roman" w:eastAsia="宋体" w:cs="Times New Roman"/>
          <w:color w:val="000000"/>
          <w:szCs w:val="21"/>
          <w:highlight w:val="none"/>
        </w:rPr>
        <w:t>由合同附件予以说明，合同附件及本项目的《采购文件》、《</w:t>
      </w:r>
      <w:r>
        <w:rPr>
          <w:rFonts w:hint="eastAsia" w:ascii="Times New Roman" w:hAnsi="Times New Roman" w:eastAsia="宋体" w:cs="Times New Roman"/>
          <w:color w:val="000000"/>
          <w:szCs w:val="21"/>
          <w:highlight w:val="none"/>
        </w:rPr>
        <w:t>响应</w:t>
      </w:r>
      <w:r>
        <w:rPr>
          <w:rFonts w:hint="default" w:ascii="Times New Roman" w:hAnsi="Times New Roman" w:eastAsia="宋体" w:cs="Times New Roman"/>
          <w:color w:val="000000"/>
          <w:szCs w:val="21"/>
          <w:highlight w:val="none"/>
        </w:rPr>
        <w:t>文件》等均为本合同不可分割的部分。双方同意共同遵守</w:t>
      </w:r>
      <w:r>
        <w:rPr>
          <w:rFonts w:hint="eastAsia" w:ascii="Times New Roman" w:hAnsi="Times New Roman" w:eastAsia="宋体" w:cs="Times New Roman"/>
          <w:color w:val="000000"/>
          <w:szCs w:val="21"/>
          <w:highlight w:val="none"/>
        </w:rPr>
        <w:t>以下</w:t>
      </w:r>
      <w:r>
        <w:rPr>
          <w:rFonts w:hint="default" w:ascii="Times New Roman" w:hAnsi="Times New Roman" w:eastAsia="宋体" w:cs="Times New Roman"/>
          <w:color w:val="000000"/>
          <w:szCs w:val="21"/>
          <w:highlight w:val="none"/>
        </w:rPr>
        <w:t>条款：</w:t>
      </w:r>
    </w:p>
    <w:bookmarkEnd w:id="35"/>
    <w:bookmarkEnd w:id="36"/>
    <w:p w14:paraId="0B16EE6D">
      <w:pPr>
        <w:ind w:firstLine="420" w:firstLineChars="200"/>
        <w:rPr>
          <w:rFonts w:hint="default" w:ascii="Times New Roman" w:hAnsi="Times New Roman" w:eastAsia="宋体" w:cs="Times New Roman"/>
          <w:color w:val="000000"/>
          <w:szCs w:val="21"/>
          <w:highlight w:val="none"/>
        </w:rPr>
      </w:pPr>
    </w:p>
    <w:p w14:paraId="5B05CFDF">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开发项目</w:t>
      </w:r>
      <w:r>
        <w:rPr>
          <w:rFonts w:ascii="Times New Roman" w:hAnsi="Times New Roman" w:eastAsia="宋体" w:cs="Times New Roman"/>
          <w:b/>
          <w:bCs/>
          <w:kern w:val="2"/>
          <w:sz w:val="21"/>
          <w:szCs w:val="21"/>
          <w:highlight w:val="none"/>
          <w:lang w:val="en-US" w:eastAsia="zh-CN" w:bidi="ar-SA"/>
        </w:rPr>
        <w:t>信息</w:t>
      </w:r>
    </w:p>
    <w:p w14:paraId="4BE9E350">
      <w:pPr>
        <w:widowControl w:val="0"/>
        <w:numPr>
          <w:ilvl w:val="0"/>
          <w:numId w:val="18"/>
        </w:numPr>
        <w:ind w:left="420" w:hanging="42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软件名称：*</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w:t>
      </w:r>
    </w:p>
    <w:p w14:paraId="6196AD69">
      <w:pPr>
        <w:widowControl w:val="0"/>
        <w:numPr>
          <w:ilvl w:val="0"/>
          <w:numId w:val="18"/>
        </w:numPr>
        <w:ind w:left="420" w:hanging="42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软件的主要功能：</w:t>
      </w:r>
      <w:bookmarkStart w:id="37" w:name="OLE_LINK1"/>
      <w:r>
        <w:rPr>
          <w:rFonts w:hint="eastAsia"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i/>
          <w:iCs/>
          <w:color w:val="000000"/>
          <w:kern w:val="2"/>
          <w:sz w:val="21"/>
          <w:szCs w:val="21"/>
          <w:highlight w:val="none"/>
          <w:lang w:val="en-US" w:eastAsia="zh-CN" w:bidi="ar-SA"/>
        </w:rPr>
        <w:t>&lt;根据项目实际情况可附附件说明</w:t>
      </w:r>
      <w:bookmarkEnd w:id="37"/>
      <w:r>
        <w:rPr>
          <w:rFonts w:hint="eastAsia" w:ascii="Times New Roman" w:hAnsi="Times New Roman" w:eastAsia="宋体" w:cs="Times New Roman"/>
          <w:i/>
          <w:iCs/>
          <w:color w:val="000000"/>
          <w:kern w:val="2"/>
          <w:sz w:val="21"/>
          <w:szCs w:val="21"/>
          <w:highlight w:val="none"/>
          <w:lang w:val="en-US" w:eastAsia="zh-CN" w:bidi="ar-SA"/>
        </w:rPr>
        <w:t>&gt;</w:t>
      </w:r>
    </w:p>
    <w:p w14:paraId="608392C5">
      <w:pPr>
        <w:widowControl w:val="0"/>
        <w:numPr>
          <w:ilvl w:val="0"/>
          <w:numId w:val="18"/>
        </w:numPr>
        <w:ind w:left="420" w:hanging="42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软件的</w:t>
      </w:r>
      <w:r>
        <w:rPr>
          <w:rFonts w:hint="eastAsia" w:ascii="Times New Roman" w:hAnsi="Times New Roman" w:eastAsia="宋体" w:cs="Times New Roman"/>
          <w:kern w:val="2"/>
          <w:sz w:val="21"/>
          <w:szCs w:val="21"/>
          <w:highlight w:val="none"/>
          <w:lang w:val="en-US" w:eastAsia="zh-CN" w:bidi="ar-SA"/>
        </w:rPr>
        <w:t>设计</w:t>
      </w:r>
      <w:r>
        <w:rPr>
          <w:rFonts w:ascii="Times New Roman" w:hAnsi="Times New Roman" w:eastAsia="宋体" w:cs="Times New Roman"/>
          <w:kern w:val="2"/>
          <w:sz w:val="21"/>
          <w:szCs w:val="21"/>
          <w:highlight w:val="none"/>
          <w:lang w:val="en-US" w:eastAsia="zh-CN" w:bidi="ar-SA"/>
        </w:rPr>
        <w:t>要求：</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i/>
          <w:iCs/>
          <w:color w:val="000000"/>
          <w:kern w:val="2"/>
          <w:sz w:val="21"/>
          <w:szCs w:val="21"/>
          <w:highlight w:val="none"/>
          <w:lang w:val="en-US" w:eastAsia="zh-CN" w:bidi="ar-SA"/>
        </w:rPr>
        <w:t>&lt;根据项目实际情况可附附件说明&gt;</w:t>
      </w:r>
    </w:p>
    <w:p w14:paraId="3F2C1202">
      <w:pPr>
        <w:widowControl w:val="0"/>
        <w:numPr>
          <w:ilvl w:val="0"/>
          <w:numId w:val="18"/>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分项明细：</w:t>
      </w:r>
      <w:r>
        <w:rPr>
          <w:rFonts w:hint="eastAsia" w:ascii="Times New Roman" w:hAnsi="Times New Roman" w:eastAsia="宋体" w:cs="Times New Roman"/>
          <w:i/>
          <w:iCs/>
          <w:color w:val="000000"/>
          <w:kern w:val="2"/>
          <w:sz w:val="21"/>
          <w:szCs w:val="21"/>
          <w:highlight w:val="none"/>
          <w:lang w:val="en-US" w:eastAsia="zh-CN" w:bidi="ar-SA"/>
        </w:rPr>
        <w:t>&lt;根据项目实际情况调整&gt;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6"/>
        <w:gridCol w:w="2381"/>
        <w:gridCol w:w="2937"/>
        <w:gridCol w:w="848"/>
        <w:gridCol w:w="1628"/>
      </w:tblGrid>
      <w:tr w14:paraId="3FAC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E29BA5B">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序号</w:t>
            </w:r>
          </w:p>
        </w:tc>
        <w:tc>
          <w:tcPr>
            <w:tcW w:w="2977" w:type="dxa"/>
            <w:noWrap w:val="0"/>
            <w:vAlign w:val="center"/>
          </w:tcPr>
          <w:p w14:paraId="5723A56B">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分项名称</w:t>
            </w:r>
          </w:p>
        </w:tc>
        <w:tc>
          <w:tcPr>
            <w:tcW w:w="3686" w:type="dxa"/>
            <w:noWrap w:val="0"/>
            <w:vAlign w:val="center"/>
          </w:tcPr>
          <w:p w14:paraId="783AC154">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具体内容</w:t>
            </w:r>
          </w:p>
        </w:tc>
        <w:tc>
          <w:tcPr>
            <w:tcW w:w="963" w:type="dxa"/>
            <w:noWrap w:val="0"/>
            <w:vAlign w:val="center"/>
          </w:tcPr>
          <w:p w14:paraId="499FE5B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分项价格（万元）</w:t>
            </w:r>
          </w:p>
        </w:tc>
        <w:tc>
          <w:tcPr>
            <w:tcW w:w="2016" w:type="dxa"/>
            <w:noWrap w:val="0"/>
            <w:vAlign w:val="top"/>
          </w:tcPr>
          <w:p w14:paraId="28F1F42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备注</w:t>
            </w:r>
          </w:p>
        </w:tc>
      </w:tr>
      <w:tr w14:paraId="1853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F1B8073">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p>
        </w:tc>
        <w:tc>
          <w:tcPr>
            <w:tcW w:w="2977" w:type="dxa"/>
            <w:noWrap w:val="0"/>
            <w:vAlign w:val="center"/>
          </w:tcPr>
          <w:p w14:paraId="7519A27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noWrap w:val="0"/>
            <w:vAlign w:val="center"/>
          </w:tcPr>
          <w:p w14:paraId="07A00259">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noWrap w:val="0"/>
            <w:vAlign w:val="center"/>
          </w:tcPr>
          <w:p w14:paraId="2F3043D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noWrap w:val="0"/>
            <w:vAlign w:val="top"/>
          </w:tcPr>
          <w:p w14:paraId="2CC6B1DF">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512FB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7A435D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p>
        </w:tc>
        <w:tc>
          <w:tcPr>
            <w:tcW w:w="2977" w:type="dxa"/>
            <w:noWrap w:val="0"/>
            <w:vAlign w:val="center"/>
          </w:tcPr>
          <w:p w14:paraId="61EDBB2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noWrap w:val="0"/>
            <w:vAlign w:val="center"/>
          </w:tcPr>
          <w:p w14:paraId="4E1C9870">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noWrap w:val="0"/>
            <w:vAlign w:val="center"/>
          </w:tcPr>
          <w:p w14:paraId="52BA90F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noWrap w:val="0"/>
            <w:vAlign w:val="top"/>
          </w:tcPr>
          <w:p w14:paraId="6E4ACBE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037C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21A2AE64">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p>
        </w:tc>
        <w:tc>
          <w:tcPr>
            <w:tcW w:w="2977" w:type="dxa"/>
            <w:noWrap w:val="0"/>
            <w:vAlign w:val="center"/>
          </w:tcPr>
          <w:p w14:paraId="73E82090">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noWrap w:val="0"/>
            <w:vAlign w:val="center"/>
          </w:tcPr>
          <w:p w14:paraId="4BB811AD">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noWrap w:val="0"/>
            <w:vAlign w:val="center"/>
          </w:tcPr>
          <w:p w14:paraId="52C9E1B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noWrap w:val="0"/>
            <w:vAlign w:val="top"/>
          </w:tcPr>
          <w:p w14:paraId="4D404047">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1A91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0D4619ED">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w:t>
            </w:r>
          </w:p>
        </w:tc>
        <w:tc>
          <w:tcPr>
            <w:tcW w:w="2977" w:type="dxa"/>
            <w:noWrap w:val="0"/>
            <w:vAlign w:val="center"/>
          </w:tcPr>
          <w:p w14:paraId="0AC41D4C">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noWrap w:val="0"/>
            <w:vAlign w:val="center"/>
          </w:tcPr>
          <w:p w14:paraId="55051BE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noWrap w:val="0"/>
            <w:vAlign w:val="center"/>
          </w:tcPr>
          <w:p w14:paraId="7C0BCA5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noWrap w:val="0"/>
            <w:vAlign w:val="top"/>
          </w:tcPr>
          <w:p w14:paraId="3B9EAB30">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bl>
    <w:p w14:paraId="7642D33A">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合同总价</w:t>
      </w:r>
    </w:p>
    <w:p w14:paraId="0F17B4B3">
      <w:pPr>
        <w:widowControl w:val="0"/>
        <w:numPr>
          <w:ilvl w:val="3"/>
          <w:numId w:val="17"/>
        </w:numPr>
        <w:ind w:left="1680" w:hanging="420" w:firstLineChars="0"/>
        <w:contextualSpacing/>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w:t>
      </w:r>
      <w:r>
        <w:rPr>
          <w:rFonts w:ascii="Times New Roman" w:hAnsi="Times New Roman" w:eastAsia="宋体" w:cs="Times New Roman"/>
          <w:kern w:val="2"/>
          <w:sz w:val="21"/>
          <w:szCs w:val="21"/>
          <w:highlight w:val="none"/>
          <w:lang w:val="en-US" w:eastAsia="zh-CN" w:bidi="ar-SA"/>
        </w:rPr>
        <w:t>合同总价（含税）为人民币大写：*** 圆整，即RMB *** 元，该合同总价已包括</w:t>
      </w:r>
      <w:r>
        <w:rPr>
          <w:rFonts w:hint="eastAsia" w:ascii="Times New Roman" w:hAnsi="Times New Roman" w:eastAsia="宋体" w:cs="Times New Roman"/>
          <w:kern w:val="2"/>
          <w:sz w:val="21"/>
          <w:szCs w:val="21"/>
          <w:highlight w:val="none"/>
          <w:lang w:val="en-US" w:eastAsia="zh-CN" w:bidi="ar-SA"/>
        </w:rPr>
        <w:t>软件</w:t>
      </w:r>
      <w:r>
        <w:rPr>
          <w:rFonts w:ascii="Times New Roman" w:hAnsi="Times New Roman" w:eastAsia="宋体" w:cs="Times New Roman"/>
          <w:kern w:val="2"/>
          <w:sz w:val="21"/>
          <w:szCs w:val="21"/>
          <w:highlight w:val="none"/>
          <w:lang w:val="en-US" w:eastAsia="zh-CN" w:bidi="ar-SA"/>
        </w:rPr>
        <w:t>设计、</w:t>
      </w:r>
      <w:r>
        <w:rPr>
          <w:rFonts w:hint="eastAsia" w:ascii="Times New Roman" w:hAnsi="Times New Roman" w:eastAsia="宋体" w:cs="Times New Roman"/>
          <w:kern w:val="2"/>
          <w:sz w:val="21"/>
          <w:szCs w:val="21"/>
          <w:highlight w:val="none"/>
          <w:lang w:val="en-US" w:eastAsia="zh-CN" w:bidi="ar-SA"/>
        </w:rPr>
        <w:t>开发、交付、培训等服务、与其它第三方软件的全部接口、技术支持</w:t>
      </w:r>
      <w:r>
        <w:rPr>
          <w:rFonts w:ascii="Times New Roman" w:hAnsi="Times New Roman" w:eastAsia="宋体" w:cs="Times New Roman"/>
          <w:kern w:val="2"/>
          <w:sz w:val="21"/>
          <w:szCs w:val="21"/>
          <w:highlight w:val="none"/>
          <w:lang w:val="en-US" w:eastAsia="zh-CN" w:bidi="ar-SA"/>
        </w:rPr>
        <w:t>以及乙方为全面履行</w:t>
      </w:r>
      <w:r>
        <w:rPr>
          <w:rFonts w:hint="eastAsia" w:ascii="Times New Roman" w:hAnsi="Times New Roman" w:eastAsia="宋体" w:cs="Times New Roman"/>
          <w:kern w:val="2"/>
          <w:sz w:val="21"/>
          <w:szCs w:val="21"/>
          <w:highlight w:val="none"/>
          <w:lang w:val="en-US" w:eastAsia="zh-CN" w:bidi="ar-SA"/>
        </w:rPr>
        <w:t>本</w:t>
      </w:r>
      <w:r>
        <w:rPr>
          <w:rFonts w:ascii="Times New Roman" w:hAnsi="Times New Roman" w:eastAsia="宋体" w:cs="Times New Roman"/>
          <w:kern w:val="2"/>
          <w:sz w:val="21"/>
          <w:szCs w:val="21"/>
          <w:highlight w:val="none"/>
          <w:lang w:val="en-US" w:eastAsia="zh-CN" w:bidi="ar-SA"/>
        </w:rPr>
        <w:t>合同义务所完成的</w:t>
      </w:r>
      <w:r>
        <w:rPr>
          <w:rFonts w:hint="eastAsia" w:ascii="Times New Roman" w:hAnsi="Times New Roman" w:eastAsia="宋体" w:cs="Times New Roman"/>
          <w:kern w:val="2"/>
          <w:sz w:val="21"/>
          <w:szCs w:val="21"/>
          <w:highlight w:val="none"/>
          <w:lang w:val="en-US" w:eastAsia="zh-CN" w:bidi="ar-SA"/>
        </w:rPr>
        <w:t>其它</w:t>
      </w:r>
      <w:r>
        <w:rPr>
          <w:rFonts w:ascii="Times New Roman" w:hAnsi="Times New Roman" w:eastAsia="宋体" w:cs="Times New Roman"/>
          <w:kern w:val="2"/>
          <w:sz w:val="21"/>
          <w:szCs w:val="21"/>
          <w:highlight w:val="none"/>
          <w:lang w:val="en-US" w:eastAsia="zh-CN" w:bidi="ar-SA"/>
        </w:rPr>
        <w:t>所有事项的含税费用。</w:t>
      </w:r>
    </w:p>
    <w:p w14:paraId="3FB2CE24">
      <w:pPr>
        <w:widowControl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2.本合同执行期间合同总价不变，甲方无须另向乙方支付本合同规定之外的其他任何费用。</w:t>
      </w:r>
    </w:p>
    <w:p w14:paraId="62FD3AD1">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工期</w:t>
      </w:r>
    </w:p>
    <w:p w14:paraId="0124435B">
      <w:pPr>
        <w:widowControl w:val="0"/>
        <w:numPr>
          <w:ilvl w:val="0"/>
          <w:numId w:val="19"/>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工期：</w:t>
      </w:r>
    </w:p>
    <w:p w14:paraId="32FF7D8B">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Calibri" w:hAnsi="Calibri" w:eastAsia="宋体" w:cs="Times New Roman"/>
          <w:kern w:val="2"/>
          <w:sz w:val="21"/>
          <w:szCs w:val="22"/>
          <w:highlight w:val="none"/>
          <w:lang w:val="en-US" w:eastAsia="zh-CN" w:bidi="ar-SA"/>
        </w:rPr>
        <w:t>实施时间：</w:t>
      </w:r>
      <w:r>
        <w:rPr>
          <w:rFonts w:hint="eastAsia" w:ascii="宋体" w:hAnsi="宋体" w:eastAsia="宋体" w:cs="宋体"/>
          <w:kern w:val="2"/>
          <w:sz w:val="21"/>
          <w:szCs w:val="21"/>
          <w:highlight w:val="none"/>
          <w:lang w:val="en-US" w:eastAsia="zh-CN" w:bidi="ar-SA"/>
        </w:rPr>
        <w:t>从合同签订生效之日起，需在</w:t>
      </w:r>
      <w:r>
        <w:rPr>
          <w:rFonts w:hint="eastAsia" w:ascii="宋体" w:hAnsi="宋体" w:eastAsia="宋体" w:cs="宋体"/>
          <w:kern w:val="2"/>
          <w:sz w:val="21"/>
          <w:szCs w:val="21"/>
          <w:highlight w:val="none"/>
          <w:u w:val="single"/>
          <w:lang w:val="en-US" w:eastAsia="zh-CN" w:bidi="ar-SA"/>
        </w:rPr>
        <w:t xml:space="preserve">5 </w:t>
      </w:r>
      <w:r>
        <w:rPr>
          <w:rFonts w:hint="eastAsia" w:ascii="宋体" w:hAnsi="宋体" w:eastAsia="宋体" w:cs="宋体"/>
          <w:kern w:val="2"/>
          <w:sz w:val="21"/>
          <w:szCs w:val="21"/>
          <w:highlight w:val="none"/>
          <w:lang w:val="en-US" w:eastAsia="zh-CN" w:bidi="ar-SA"/>
        </w:rPr>
        <w:t>个工作日内开始实施</w:t>
      </w:r>
      <w:r>
        <w:rPr>
          <w:rFonts w:hint="eastAsia" w:ascii="Times New Roman" w:hAnsi="Times New Roman" w:eastAsia="宋体" w:cs="Times New Roman"/>
          <w:kern w:val="2"/>
          <w:sz w:val="21"/>
          <w:szCs w:val="21"/>
          <w:highlight w:val="none"/>
          <w:lang w:val="en-US" w:eastAsia="zh-CN" w:bidi="ar-SA"/>
        </w:rPr>
        <w:t>。</w:t>
      </w:r>
    </w:p>
    <w:p w14:paraId="204335A2">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实施周期：本项目开始实施之日起</w:t>
      </w:r>
      <w:r>
        <w:rPr>
          <w:rFonts w:hint="eastAsia" w:ascii="宋体" w:hAnsi="宋体" w:eastAsia="宋体" w:cs="宋体"/>
          <w:b/>
          <w:bCs/>
          <w:kern w:val="2"/>
          <w:sz w:val="21"/>
          <w:szCs w:val="21"/>
          <w:highlight w:val="none"/>
          <w:u w:val="single"/>
          <w:lang w:val="en-US" w:eastAsia="zh-CN" w:bidi="ar-SA"/>
        </w:rPr>
        <w:t xml:space="preserve">  60 </w:t>
      </w:r>
      <w:r>
        <w:rPr>
          <w:rFonts w:hint="eastAsia" w:ascii="宋体" w:hAnsi="宋体" w:eastAsia="宋体" w:cs="宋体"/>
          <w:kern w:val="2"/>
          <w:sz w:val="21"/>
          <w:szCs w:val="21"/>
          <w:highlight w:val="none"/>
          <w:lang w:val="en-US" w:eastAsia="zh-CN" w:bidi="ar-SA"/>
        </w:rPr>
        <w:t>日内，完成本项目包含的所有</w:t>
      </w:r>
      <w:r>
        <w:rPr>
          <w:rFonts w:hint="eastAsia" w:ascii="宋体" w:hAnsi="宋体" w:eastAsia="宋体" w:cs="宋体"/>
          <w:b/>
          <w:bCs/>
          <w:kern w:val="2"/>
          <w:sz w:val="21"/>
          <w:szCs w:val="21"/>
          <w:highlight w:val="none"/>
          <w:u w:val="single"/>
          <w:lang w:val="en-US" w:eastAsia="zh-CN" w:bidi="ar-SA"/>
        </w:rPr>
        <w:t>软件</w:t>
      </w:r>
      <w:r>
        <w:rPr>
          <w:rFonts w:hint="eastAsia" w:ascii="宋体" w:hAnsi="宋体" w:eastAsia="宋体" w:cs="宋体"/>
          <w:kern w:val="2"/>
          <w:sz w:val="21"/>
          <w:szCs w:val="21"/>
          <w:highlight w:val="none"/>
          <w:lang w:val="en-US" w:eastAsia="zh-CN" w:bidi="ar-SA"/>
        </w:rPr>
        <w:t>功能的上线运行，并通知甲方进行验收。未在实施周期内完成，视为乙方违约并自动放弃该项目，甲方有权终止合同，合同所有款项将不予支付</w:t>
      </w:r>
      <w:r>
        <w:rPr>
          <w:rFonts w:hint="eastAsia" w:ascii="宋体" w:hAnsi="宋体" w:eastAsia="宋体" w:cs="宋体"/>
          <w:bCs/>
          <w:color w:val="000000"/>
          <w:kern w:val="2"/>
          <w:sz w:val="21"/>
          <w:szCs w:val="22"/>
          <w:highlight w:val="none"/>
          <w:lang w:val="en-US" w:eastAsia="zh-CN" w:bidi="ar-SA"/>
        </w:rPr>
        <w:t>（如有履约保证金，</w:t>
      </w:r>
      <w:r>
        <w:rPr>
          <w:rFonts w:hint="eastAsia" w:ascii="宋体" w:hAnsi="宋体" w:eastAsia="宋体" w:cs="宋体"/>
          <w:kern w:val="2"/>
          <w:sz w:val="21"/>
          <w:szCs w:val="21"/>
          <w:highlight w:val="none"/>
          <w:lang w:val="en-US" w:eastAsia="zh-CN" w:bidi="ar-SA"/>
        </w:rPr>
        <w:t>将不予退还</w:t>
      </w:r>
      <w:r>
        <w:rPr>
          <w:rFonts w:hint="eastAsia" w:ascii="宋体" w:hAnsi="宋体" w:eastAsia="宋体" w:cs="宋体"/>
          <w:bCs/>
          <w:color w:val="000000"/>
          <w:kern w:val="2"/>
          <w:sz w:val="21"/>
          <w:szCs w:val="22"/>
          <w:highlight w:val="none"/>
          <w:lang w:val="en-US" w:eastAsia="zh-CN" w:bidi="ar-SA"/>
        </w:rPr>
        <w:t>），</w:t>
      </w:r>
      <w:r>
        <w:rPr>
          <w:rFonts w:hint="eastAsia" w:ascii="Calibri" w:hAnsi="Calibri" w:eastAsia="宋体" w:cs="Times New Roman"/>
          <w:kern w:val="2"/>
          <w:sz w:val="21"/>
          <w:szCs w:val="22"/>
          <w:highlight w:val="none"/>
          <w:lang w:val="en-US" w:eastAsia="zh-CN" w:bidi="ar-SA"/>
        </w:rPr>
        <w:t>已支付款项，供乙方应于7个工作日内退还甲方</w:t>
      </w:r>
      <w:r>
        <w:rPr>
          <w:rFonts w:hint="eastAsia" w:ascii="Times New Roman" w:hAnsi="Times New Roman" w:eastAsia="宋体" w:cs="Times New Roman"/>
          <w:kern w:val="2"/>
          <w:sz w:val="21"/>
          <w:szCs w:val="21"/>
          <w:highlight w:val="none"/>
          <w:lang w:val="en-US" w:eastAsia="zh-CN" w:bidi="ar-SA"/>
        </w:rPr>
        <w:t>。</w:t>
      </w:r>
    </w:p>
    <w:p w14:paraId="6AAC272A">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开发完成时间：</w:t>
      </w:r>
      <w:r>
        <w:rPr>
          <w:rFonts w:ascii="Times New Roman" w:hAnsi="Times New Roman" w:eastAsia="宋体" w:cs="Times New Roman"/>
          <w:kern w:val="2"/>
          <w:sz w:val="21"/>
          <w:szCs w:val="21"/>
          <w:highlight w:val="none"/>
          <w:lang w:val="en-US" w:eastAsia="zh-CN" w:bidi="ar-SA"/>
        </w:rPr>
        <w:t>202*</w:t>
      </w:r>
      <w:r>
        <w:rPr>
          <w:rFonts w:hint="eastAsia" w:ascii="Times New Roman" w:hAnsi="Times New Roman" w:eastAsia="宋体" w:cs="Times New Roman"/>
          <w:kern w:val="2"/>
          <w:sz w:val="21"/>
          <w:szCs w:val="21"/>
          <w:highlight w:val="none"/>
          <w:lang w:val="en-US" w:eastAsia="zh-CN" w:bidi="ar-SA"/>
        </w:rPr>
        <w:t>年*</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月*</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日。</w:t>
      </w:r>
    </w:p>
    <w:p w14:paraId="4DBF8298">
      <w:pPr>
        <w:widowControl w:val="0"/>
        <w:numPr>
          <w:ilvl w:val="0"/>
          <w:numId w:val="20"/>
        </w:numPr>
        <w:snapToGrid w:val="0"/>
        <w:ind w:left="0" w:firstLine="0" w:firstLineChars="0"/>
        <w:jc w:val="both"/>
        <w:rPr>
          <w:rFonts w:ascii="Times New Roman" w:hAnsi="Times New Roman" w:eastAsia="宋体" w:cs="Times New Roman"/>
          <w:kern w:val="2"/>
          <w:sz w:val="21"/>
          <w:szCs w:val="21"/>
          <w:highlight w:val="none"/>
          <w:u w:val="single"/>
          <w:lang w:val="en-US" w:eastAsia="zh-CN" w:bidi="ar-SA"/>
        </w:rPr>
      </w:pPr>
      <w:r>
        <w:rPr>
          <w:rFonts w:hint="eastAsia" w:ascii="Times New Roman" w:hAnsi="Times New Roman" w:eastAsia="宋体" w:cs="Times New Roman"/>
          <w:kern w:val="2"/>
          <w:sz w:val="21"/>
          <w:szCs w:val="21"/>
          <w:highlight w:val="none"/>
          <w:u w:val="single"/>
          <w:lang w:val="en-US" w:eastAsia="zh-CN" w:bidi="ar-SA"/>
        </w:rPr>
        <w:t>软件开发进度见附件：《开发进度表》</w:t>
      </w:r>
      <w:r>
        <w:rPr>
          <w:rFonts w:hint="eastAsia" w:ascii="Times New Roman" w:hAnsi="Times New Roman" w:eastAsia="宋体" w:cs="Times New Roman"/>
          <w:i/>
          <w:iCs/>
          <w:kern w:val="2"/>
          <w:sz w:val="21"/>
          <w:szCs w:val="21"/>
          <w:highlight w:val="none"/>
          <w:lang w:val="en-US" w:eastAsia="zh-CN" w:bidi="ar-SA"/>
        </w:rPr>
        <w:t>&lt;根据项目实际情况编制&gt;</w:t>
      </w:r>
    </w:p>
    <w:p w14:paraId="7D67103D">
      <w:pPr>
        <w:widowControl w:val="0"/>
        <w:numPr>
          <w:ilvl w:val="0"/>
          <w:numId w:val="19"/>
        </w:numPr>
        <w:ind w:left="420" w:hanging="42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如甲方原因推迟开发，甲方应向乙方提供书面延期通知书，并在确定继续开发时提供开工通知书，同时计算工期时应扣除因甲方原因造成的延期时间。</w:t>
      </w:r>
    </w:p>
    <w:p w14:paraId="60EB49F8">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交付</w:t>
      </w:r>
    </w:p>
    <w:p w14:paraId="45972CC0">
      <w:pPr>
        <w:widowControl w:val="0"/>
        <w:numPr>
          <w:ilvl w:val="0"/>
          <w:numId w:val="21"/>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交付的内容、形式及数量：</w:t>
      </w:r>
      <w:r>
        <w:rPr>
          <w:rFonts w:hint="eastAsia" w:ascii="Times New Roman" w:hAnsi="Times New Roman" w:eastAsia="宋体" w:cs="Times New Roman"/>
          <w:i/>
          <w:iCs/>
          <w:kern w:val="2"/>
          <w:sz w:val="21"/>
          <w:szCs w:val="21"/>
          <w:highlight w:val="none"/>
          <w:lang w:val="en-US" w:eastAsia="zh-CN" w:bidi="ar-SA"/>
        </w:rPr>
        <w:t>&lt;</w:t>
      </w:r>
      <w:r>
        <w:rPr>
          <w:rFonts w:ascii="Times New Roman" w:hAnsi="Times New Roman" w:eastAsia="宋体" w:cs="Times New Roman"/>
          <w:i/>
          <w:iCs/>
          <w:kern w:val="2"/>
          <w:sz w:val="21"/>
          <w:szCs w:val="21"/>
          <w:highlight w:val="none"/>
          <w:lang w:val="en-US" w:eastAsia="zh-CN" w:bidi="ar-SA"/>
        </w:rPr>
        <w:t>包括但不限于完成甲方功能要求的可执行软件、软件的设计文件、软件的测试报告、软件使用说明书及在开发过程中产生的其他文档</w:t>
      </w:r>
      <w:r>
        <w:rPr>
          <w:rFonts w:hint="eastAsia" w:ascii="Times New Roman" w:hAnsi="Times New Roman" w:eastAsia="宋体" w:cs="Times New Roman"/>
          <w:i/>
          <w:iCs/>
          <w:kern w:val="2"/>
          <w:sz w:val="21"/>
          <w:szCs w:val="21"/>
          <w:highlight w:val="none"/>
          <w:lang w:val="en-US" w:eastAsia="zh-CN" w:bidi="ar-SA"/>
        </w:rPr>
        <w:t>，根据项目实际情况编制本条款具体内容，如内容较多可附附件&gt;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5"/>
        <w:gridCol w:w="1461"/>
        <w:gridCol w:w="2145"/>
        <w:gridCol w:w="1703"/>
        <w:gridCol w:w="490"/>
        <w:gridCol w:w="490"/>
        <w:gridCol w:w="1596"/>
      </w:tblGrid>
      <w:tr w14:paraId="2FA0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CF5A6F6">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序号</w:t>
            </w:r>
          </w:p>
        </w:tc>
        <w:tc>
          <w:tcPr>
            <w:tcW w:w="1815" w:type="dxa"/>
            <w:noWrap w:val="0"/>
            <w:vAlign w:val="center"/>
          </w:tcPr>
          <w:p w14:paraId="66B758EE">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交付事项</w:t>
            </w:r>
          </w:p>
        </w:tc>
        <w:tc>
          <w:tcPr>
            <w:tcW w:w="2694" w:type="dxa"/>
            <w:noWrap w:val="0"/>
            <w:vAlign w:val="center"/>
          </w:tcPr>
          <w:p w14:paraId="66EECBE6">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交付内容</w:t>
            </w:r>
          </w:p>
        </w:tc>
        <w:tc>
          <w:tcPr>
            <w:tcW w:w="2126" w:type="dxa"/>
            <w:noWrap w:val="0"/>
            <w:vAlign w:val="center"/>
          </w:tcPr>
          <w:p w14:paraId="4676AB56">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交付形式</w:t>
            </w:r>
          </w:p>
        </w:tc>
        <w:tc>
          <w:tcPr>
            <w:tcW w:w="567" w:type="dxa"/>
            <w:noWrap w:val="0"/>
            <w:vAlign w:val="top"/>
          </w:tcPr>
          <w:p w14:paraId="08C22E67">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单位</w:t>
            </w:r>
          </w:p>
        </w:tc>
        <w:tc>
          <w:tcPr>
            <w:tcW w:w="567" w:type="dxa"/>
            <w:noWrap w:val="0"/>
            <w:vAlign w:val="top"/>
          </w:tcPr>
          <w:p w14:paraId="077A8F92">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数量</w:t>
            </w:r>
          </w:p>
        </w:tc>
        <w:tc>
          <w:tcPr>
            <w:tcW w:w="1987" w:type="dxa"/>
            <w:noWrap w:val="0"/>
            <w:vAlign w:val="top"/>
          </w:tcPr>
          <w:p w14:paraId="748429A3">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备注</w:t>
            </w:r>
          </w:p>
        </w:tc>
      </w:tr>
      <w:tr w14:paraId="42D0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56D9D5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p>
        </w:tc>
        <w:tc>
          <w:tcPr>
            <w:tcW w:w="1815" w:type="dxa"/>
            <w:noWrap w:val="0"/>
            <w:vAlign w:val="center"/>
          </w:tcPr>
          <w:p w14:paraId="1019BB2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694" w:type="dxa"/>
            <w:noWrap w:val="0"/>
            <w:vAlign w:val="center"/>
          </w:tcPr>
          <w:p w14:paraId="054EF5E7">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126" w:type="dxa"/>
            <w:noWrap w:val="0"/>
            <w:vAlign w:val="center"/>
          </w:tcPr>
          <w:p w14:paraId="04F9CC5C">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748705A6">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3C2C7ACA">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1987" w:type="dxa"/>
            <w:noWrap w:val="0"/>
            <w:vAlign w:val="center"/>
          </w:tcPr>
          <w:p w14:paraId="00EA8D2C">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2E67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74ADAEC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p>
        </w:tc>
        <w:tc>
          <w:tcPr>
            <w:tcW w:w="1815" w:type="dxa"/>
            <w:noWrap w:val="0"/>
            <w:vAlign w:val="center"/>
          </w:tcPr>
          <w:p w14:paraId="22E489ED">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694" w:type="dxa"/>
            <w:noWrap w:val="0"/>
            <w:vAlign w:val="center"/>
          </w:tcPr>
          <w:p w14:paraId="3FF7AFE9">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126" w:type="dxa"/>
            <w:noWrap w:val="0"/>
            <w:vAlign w:val="center"/>
          </w:tcPr>
          <w:p w14:paraId="5093F1AE">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76EE42E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27D5412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1987" w:type="dxa"/>
            <w:noWrap w:val="0"/>
            <w:vAlign w:val="center"/>
          </w:tcPr>
          <w:p w14:paraId="259B69F0">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0037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5F87E37D">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p>
        </w:tc>
        <w:tc>
          <w:tcPr>
            <w:tcW w:w="1815" w:type="dxa"/>
            <w:noWrap w:val="0"/>
            <w:vAlign w:val="center"/>
          </w:tcPr>
          <w:p w14:paraId="073F644E">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694" w:type="dxa"/>
            <w:noWrap w:val="0"/>
            <w:vAlign w:val="center"/>
          </w:tcPr>
          <w:p w14:paraId="57BB7EB3">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126" w:type="dxa"/>
            <w:noWrap w:val="0"/>
            <w:vAlign w:val="center"/>
          </w:tcPr>
          <w:p w14:paraId="59FA04F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71E9E86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4EFB3A9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1987" w:type="dxa"/>
            <w:noWrap w:val="0"/>
            <w:vAlign w:val="center"/>
          </w:tcPr>
          <w:p w14:paraId="0B5325B3">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1E98D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13A9B30">
            <w:pPr>
              <w:widowControl w:val="0"/>
              <w:ind w:firstLine="0" w:firstLineChars="0"/>
              <w:jc w:val="center"/>
              <w:rPr>
                <w:rFonts w:hint="eastAsia"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w:t>
            </w:r>
          </w:p>
        </w:tc>
        <w:tc>
          <w:tcPr>
            <w:tcW w:w="1815" w:type="dxa"/>
            <w:noWrap w:val="0"/>
            <w:vAlign w:val="center"/>
          </w:tcPr>
          <w:p w14:paraId="23ADA6CB">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694" w:type="dxa"/>
            <w:noWrap w:val="0"/>
            <w:vAlign w:val="center"/>
          </w:tcPr>
          <w:p w14:paraId="109C9CCA">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2126" w:type="dxa"/>
            <w:noWrap w:val="0"/>
            <w:vAlign w:val="center"/>
          </w:tcPr>
          <w:p w14:paraId="4446A70D">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2EAA5E06">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567" w:type="dxa"/>
            <w:noWrap w:val="0"/>
            <w:vAlign w:val="center"/>
          </w:tcPr>
          <w:p w14:paraId="281BE89C">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1987" w:type="dxa"/>
            <w:noWrap w:val="0"/>
            <w:vAlign w:val="center"/>
          </w:tcPr>
          <w:p w14:paraId="597CEBDB">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bl>
    <w:p w14:paraId="1FE957FC">
      <w:pPr>
        <w:widowControl w:val="0"/>
        <w:numPr>
          <w:ilvl w:val="0"/>
          <w:numId w:val="21"/>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服务地点：本项目涉及的四川省人民医院所有院区</w:t>
      </w:r>
      <w:r>
        <w:rPr>
          <w:rFonts w:hint="eastAsia" w:ascii="Times New Roman" w:hAnsi="Times New Roman" w:eastAsia="宋体" w:cs="Times New Roman"/>
          <w:kern w:val="2"/>
          <w:sz w:val="21"/>
          <w:szCs w:val="21"/>
          <w:highlight w:val="none"/>
          <w:lang w:val="en-US" w:eastAsia="zh-CN" w:bidi="ar-SA"/>
        </w:rPr>
        <w:t>。</w:t>
      </w:r>
    </w:p>
    <w:p w14:paraId="25C91B99">
      <w:pPr>
        <w:widowControl w:val="0"/>
        <w:numPr>
          <w:ilvl w:val="0"/>
          <w:numId w:val="17"/>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验收</w:t>
      </w:r>
    </w:p>
    <w:p w14:paraId="7CE5E665">
      <w:pPr>
        <w:widowControl w:val="0"/>
        <w:numPr>
          <w:ilvl w:val="0"/>
          <w:numId w:val="22"/>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甲、乙双方确定，按照本合同约定的验收方案对乙方交付的开发成果进行验收。</w:t>
      </w:r>
    </w:p>
    <w:p w14:paraId="0FB0E36B">
      <w:pPr>
        <w:widowControl w:val="0"/>
        <w:numPr>
          <w:ilvl w:val="0"/>
          <w:numId w:val="22"/>
        </w:numPr>
        <w:ind w:left="420" w:hanging="420" w:firstLineChars="0"/>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验收方案：</w:t>
      </w:r>
    </w:p>
    <w:p w14:paraId="766AB539">
      <w:pPr>
        <w:widowControl w:val="0"/>
        <w:numPr>
          <w:ilvl w:val="0"/>
          <w:numId w:val="23"/>
        </w:numPr>
        <w:ind w:left="0" w:firstLine="0" w:firstLineChars="0"/>
        <w:contextualSpacing/>
        <w:jc w:val="both"/>
        <w:rPr>
          <w:rFonts w:ascii="Calibri" w:hAnsi="Calibri" w:eastAsia="宋体" w:cs="Times New Roman"/>
          <w:color w:val="000000"/>
          <w:kern w:val="2"/>
          <w:sz w:val="21"/>
          <w:szCs w:val="21"/>
          <w:highlight w:val="none"/>
          <w:lang w:val="en-US" w:eastAsia="zh-CN" w:bidi="ar-SA"/>
        </w:rPr>
      </w:pPr>
      <w:r>
        <w:rPr>
          <w:rFonts w:hint="eastAsia" w:ascii="Calibri" w:hAnsi="Calibri" w:eastAsia="宋体" w:cs="Times New Roman"/>
          <w:color w:val="000000"/>
          <w:kern w:val="2"/>
          <w:sz w:val="21"/>
          <w:szCs w:val="21"/>
          <w:highlight w:val="none"/>
          <w:lang w:val="en-US" w:eastAsia="zh-CN" w:bidi="ar-SA"/>
        </w:rPr>
        <w:t>验收主体：甲方</w:t>
      </w:r>
    </w:p>
    <w:p w14:paraId="1E49B911">
      <w:pPr>
        <w:widowControl w:val="0"/>
        <w:numPr>
          <w:ilvl w:val="0"/>
          <w:numId w:val="23"/>
        </w:numPr>
        <w:ind w:left="0" w:firstLine="0" w:firstLineChars="0"/>
        <w:contextualSpacing/>
        <w:jc w:val="both"/>
        <w:rPr>
          <w:rFonts w:ascii="Calibri" w:hAnsi="Calibri" w:eastAsia="宋体" w:cs="Times New Roman"/>
          <w:color w:val="000000"/>
          <w:kern w:val="2"/>
          <w:sz w:val="21"/>
          <w:szCs w:val="21"/>
          <w:highlight w:val="none"/>
          <w:lang w:val="en-US" w:eastAsia="zh-CN" w:bidi="ar-SA"/>
        </w:rPr>
      </w:pPr>
      <w:r>
        <w:rPr>
          <w:rFonts w:hint="eastAsia" w:ascii="Calibri" w:hAnsi="Calibri" w:eastAsia="宋体" w:cs="Times New Roman"/>
          <w:color w:val="000000"/>
          <w:kern w:val="2"/>
          <w:sz w:val="21"/>
          <w:szCs w:val="21"/>
          <w:highlight w:val="none"/>
          <w:lang w:val="en-US" w:eastAsia="zh-CN" w:bidi="ar-SA"/>
        </w:rPr>
        <w:t>验收组织方式：自行验收</w:t>
      </w:r>
    </w:p>
    <w:p w14:paraId="48584312">
      <w:pPr>
        <w:widowControl w:val="0"/>
        <w:numPr>
          <w:ilvl w:val="0"/>
          <w:numId w:val="23"/>
        </w:numPr>
        <w:ind w:left="0" w:firstLine="0" w:firstLineChars="0"/>
        <w:contextualSpacing/>
        <w:jc w:val="both"/>
        <w:rPr>
          <w:rFonts w:ascii="Calibri" w:hAnsi="Calibri" w:eastAsia="宋体" w:cs="Times New Roman"/>
          <w:color w:val="000000"/>
          <w:kern w:val="2"/>
          <w:sz w:val="21"/>
          <w:szCs w:val="21"/>
          <w:highlight w:val="none"/>
          <w:lang w:val="en-US" w:eastAsia="zh-CN" w:bidi="ar-SA"/>
        </w:rPr>
      </w:pPr>
      <w:r>
        <w:rPr>
          <w:rFonts w:ascii="Calibri" w:hAnsi="Calibri" w:eastAsia="宋体" w:cs="Times New Roman"/>
          <w:color w:val="000000"/>
          <w:kern w:val="2"/>
          <w:sz w:val="21"/>
          <w:szCs w:val="21"/>
          <w:highlight w:val="none"/>
          <w:lang w:val="en-US" w:eastAsia="zh-CN" w:bidi="ar-SA"/>
        </w:rPr>
        <w:t>验收程序：</w:t>
      </w:r>
      <w:r>
        <w:rPr>
          <w:rFonts w:ascii="Calibri" w:hAnsi="Calibri" w:eastAsia="宋体" w:cs="Times New Roman"/>
          <w:kern w:val="2"/>
          <w:sz w:val="21"/>
          <w:szCs w:val="22"/>
          <w:highlight w:val="none"/>
          <w:lang w:val="en-US" w:eastAsia="zh-CN" w:bidi="ar-SA"/>
        </w:rPr>
        <w:sym w:font="Wingdings 2" w:char="F052"/>
      </w:r>
      <w:r>
        <w:rPr>
          <w:rFonts w:hint="eastAsia" w:ascii="Calibri" w:hAnsi="Calibri" w:eastAsia="宋体" w:cs="Times New Roman"/>
          <w:color w:val="000000"/>
          <w:kern w:val="2"/>
          <w:sz w:val="21"/>
          <w:szCs w:val="21"/>
          <w:highlight w:val="none"/>
          <w:lang w:val="en-US" w:eastAsia="zh-CN" w:bidi="ar-SA"/>
        </w:rPr>
        <w:t>一次性验收</w:t>
      </w:r>
      <w:r>
        <w:rPr>
          <w:rFonts w:ascii="Calibri" w:hAnsi="Calibri" w:eastAsia="宋体" w:cs="Times New Roman"/>
          <w:color w:val="000000"/>
          <w:kern w:val="2"/>
          <w:sz w:val="21"/>
          <w:szCs w:val="21"/>
          <w:highlight w:val="none"/>
          <w:lang w:val="en-US" w:eastAsia="zh-CN" w:bidi="ar-SA"/>
        </w:rPr>
        <w:t xml:space="preserve">   </w:t>
      </w:r>
      <w:r>
        <w:rPr>
          <w:rFonts w:ascii="Calibri" w:hAnsi="Calibri" w:eastAsia="宋体" w:cs="Times New Roman"/>
          <w:kern w:val="2"/>
          <w:sz w:val="21"/>
          <w:szCs w:val="22"/>
          <w:highlight w:val="none"/>
          <w:lang w:val="en-US" w:eastAsia="zh-CN" w:bidi="ar-SA"/>
        </w:rPr>
        <w:sym w:font="Wingdings" w:char="F0A8"/>
      </w:r>
      <w:r>
        <w:rPr>
          <w:rFonts w:hint="eastAsia" w:ascii="Calibri" w:hAnsi="Calibri" w:eastAsia="宋体" w:cs="Times New Roman"/>
          <w:color w:val="000000"/>
          <w:kern w:val="2"/>
          <w:sz w:val="21"/>
          <w:szCs w:val="21"/>
          <w:highlight w:val="none"/>
          <w:lang w:val="en-US" w:eastAsia="zh-CN" w:bidi="ar-SA"/>
        </w:rPr>
        <w:t>分段</w:t>
      </w:r>
      <w:r>
        <w:rPr>
          <w:rFonts w:ascii="Calibri" w:hAnsi="Calibri" w:eastAsia="宋体" w:cs="Times New Roman"/>
          <w:color w:val="000000"/>
          <w:kern w:val="2"/>
          <w:sz w:val="21"/>
          <w:szCs w:val="21"/>
          <w:highlight w:val="none"/>
          <w:lang w:val="en-US" w:eastAsia="zh-CN" w:bidi="ar-SA"/>
        </w:rPr>
        <w:t>/</w:t>
      </w:r>
      <w:r>
        <w:rPr>
          <w:rFonts w:hint="eastAsia" w:ascii="Calibri" w:hAnsi="Calibri" w:eastAsia="宋体" w:cs="Times New Roman"/>
          <w:color w:val="000000"/>
          <w:kern w:val="2"/>
          <w:sz w:val="21"/>
          <w:szCs w:val="21"/>
          <w:highlight w:val="none"/>
          <w:lang w:val="en-US" w:eastAsia="zh-CN" w:bidi="ar-SA"/>
        </w:rPr>
        <w:t>分期验收</w:t>
      </w:r>
    </w:p>
    <w:p w14:paraId="093E6289">
      <w:pPr>
        <w:widowControl w:val="0"/>
        <w:numPr>
          <w:ilvl w:val="0"/>
          <w:numId w:val="23"/>
        </w:numPr>
        <w:ind w:left="0" w:firstLine="0" w:firstLineChars="0"/>
        <w:contextualSpacing/>
        <w:jc w:val="both"/>
        <w:rPr>
          <w:rFonts w:ascii="Calibri" w:hAnsi="Calibri" w:eastAsia="宋体" w:cs="Times New Roman"/>
          <w:color w:val="000000"/>
          <w:kern w:val="2"/>
          <w:sz w:val="21"/>
          <w:szCs w:val="21"/>
          <w:highlight w:val="none"/>
          <w:lang w:val="en-US" w:eastAsia="zh-CN" w:bidi="ar-SA"/>
        </w:rPr>
      </w:pPr>
      <w:r>
        <w:rPr>
          <w:rFonts w:ascii="Calibri" w:hAnsi="Calibri" w:eastAsia="宋体" w:cs="Times New Roman"/>
          <w:color w:val="000000"/>
          <w:kern w:val="2"/>
          <w:sz w:val="21"/>
          <w:szCs w:val="21"/>
          <w:highlight w:val="none"/>
          <w:lang w:val="en-US" w:eastAsia="zh-CN" w:bidi="ar-SA"/>
        </w:rPr>
        <w:t>验收方式：</w:t>
      </w:r>
      <w:r>
        <w:rPr>
          <w:rFonts w:ascii="Calibri" w:hAnsi="Calibri" w:eastAsia="宋体" w:cs="Times New Roman"/>
          <w:color w:val="000000"/>
          <w:kern w:val="2"/>
          <w:sz w:val="21"/>
          <w:szCs w:val="22"/>
          <w:highlight w:val="none"/>
          <w:lang w:val="en-US" w:eastAsia="zh-CN" w:bidi="ar-SA"/>
        </w:rPr>
        <w:sym w:font="Wingdings 2" w:char="F052"/>
      </w:r>
      <w:r>
        <w:rPr>
          <w:rFonts w:hint="eastAsia" w:ascii="Calibri" w:hAnsi="Calibri" w:eastAsia="宋体" w:cs="Times New Roman"/>
          <w:color w:val="000000"/>
          <w:kern w:val="2"/>
          <w:sz w:val="21"/>
          <w:szCs w:val="22"/>
          <w:highlight w:val="none"/>
          <w:lang w:val="en-US" w:eastAsia="zh-CN" w:bidi="ar-SA"/>
        </w:rPr>
        <w:t>现场整体验收</w:t>
      </w:r>
      <w:r>
        <w:rPr>
          <w:rFonts w:ascii="Calibri" w:hAnsi="Calibri" w:eastAsia="宋体" w:cs="Times New Roman"/>
          <w:color w:val="000000"/>
          <w:kern w:val="0"/>
          <w:sz w:val="21"/>
          <w:szCs w:val="21"/>
          <w:highlight w:val="none"/>
          <w:shd w:val="clear" w:color="auto" w:fill="FFFFFF"/>
          <w:lang w:val="en-US" w:eastAsia="zh-CN" w:bidi="ar-SA"/>
        </w:rPr>
        <w:t xml:space="preserve">   </w:t>
      </w:r>
      <w:r>
        <w:rPr>
          <w:rFonts w:ascii="Calibri" w:hAnsi="Calibri" w:eastAsia="宋体" w:cs="Times New Roman"/>
          <w:color w:val="000000"/>
          <w:kern w:val="2"/>
          <w:sz w:val="21"/>
          <w:szCs w:val="22"/>
          <w:highlight w:val="none"/>
          <w:shd w:val="clear" w:color="auto" w:fill="FFFFFF"/>
          <w:lang w:val="en-US" w:eastAsia="zh-CN" w:bidi="ar-SA"/>
        </w:rPr>
        <w:sym w:font="Wingdings" w:char="F0A8"/>
      </w:r>
      <w:r>
        <w:rPr>
          <w:rFonts w:hint="eastAsia" w:ascii="Calibri" w:hAnsi="Calibri" w:eastAsia="宋体" w:cs="Times New Roman"/>
          <w:color w:val="000000"/>
          <w:kern w:val="2"/>
          <w:sz w:val="21"/>
          <w:szCs w:val="22"/>
          <w:highlight w:val="none"/>
          <w:shd w:val="clear" w:color="auto" w:fill="FFFFFF"/>
          <w:lang w:val="en-US" w:eastAsia="zh-CN" w:bidi="ar-SA"/>
        </w:rPr>
        <w:t>考核验收</w:t>
      </w:r>
      <w:r>
        <w:rPr>
          <w:rFonts w:ascii="Calibri" w:hAnsi="Calibri" w:eastAsia="宋体" w:cs="Times New Roman"/>
          <w:color w:val="000000"/>
          <w:kern w:val="0"/>
          <w:sz w:val="21"/>
          <w:szCs w:val="21"/>
          <w:highlight w:val="none"/>
          <w:shd w:val="clear" w:color="auto" w:fill="FFFFFF"/>
          <w:lang w:val="en-US" w:eastAsia="zh-CN" w:bidi="ar-SA"/>
        </w:rPr>
        <w:t xml:space="preserve">   </w:t>
      </w:r>
      <w:r>
        <w:rPr>
          <w:rFonts w:ascii="Calibri" w:hAnsi="Calibri" w:eastAsia="宋体" w:cs="Times New Roman"/>
          <w:color w:val="000000"/>
          <w:kern w:val="2"/>
          <w:sz w:val="21"/>
          <w:szCs w:val="22"/>
          <w:highlight w:val="none"/>
          <w:shd w:val="clear" w:color="auto" w:fill="FFFFFF"/>
          <w:lang w:val="en-US" w:eastAsia="zh-CN" w:bidi="ar-SA"/>
        </w:rPr>
        <w:sym w:font="Wingdings" w:char="F0A8"/>
      </w:r>
      <w:r>
        <w:rPr>
          <w:rFonts w:hint="eastAsia" w:ascii="Calibri" w:hAnsi="Calibri" w:eastAsia="宋体" w:cs="Times New Roman"/>
          <w:color w:val="000000"/>
          <w:kern w:val="2"/>
          <w:sz w:val="21"/>
          <w:szCs w:val="22"/>
          <w:highlight w:val="none"/>
          <w:shd w:val="clear" w:color="auto" w:fill="FFFFFF"/>
          <w:lang w:val="en-US" w:eastAsia="zh-CN" w:bidi="ar-SA"/>
        </w:rPr>
        <w:t>其它验收方式：</w:t>
      </w:r>
      <w:r>
        <w:rPr>
          <w:rFonts w:ascii="Calibri" w:hAnsi="Calibri" w:eastAsia="宋体" w:cs="Times New Roman"/>
          <w:color w:val="000000"/>
          <w:kern w:val="2"/>
          <w:sz w:val="21"/>
          <w:szCs w:val="22"/>
          <w:highlight w:val="none"/>
          <w:u w:val="single"/>
          <w:shd w:val="clear" w:color="auto" w:fill="FFFFFF"/>
          <w:lang w:val="en-US" w:eastAsia="zh-CN" w:bidi="ar-SA"/>
        </w:rPr>
        <w:t>***</w:t>
      </w:r>
    </w:p>
    <w:p w14:paraId="29E109A4">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履约</w:t>
      </w:r>
      <w:r>
        <w:rPr>
          <w:rFonts w:ascii="Calibri" w:hAnsi="Calibri" w:eastAsia="宋体" w:cs="Times New Roman"/>
          <w:kern w:val="2"/>
          <w:sz w:val="21"/>
          <w:szCs w:val="21"/>
          <w:highlight w:val="none"/>
          <w:lang w:val="en-US" w:eastAsia="zh-CN" w:bidi="ar-SA"/>
        </w:rPr>
        <w:t>验收内容：</w:t>
      </w:r>
      <w:r>
        <w:rPr>
          <w:rFonts w:hint="eastAsia" w:ascii="Calibri" w:hAnsi="Calibri" w:eastAsia="宋体" w:cs="Times New Roman"/>
          <w:kern w:val="2"/>
          <w:sz w:val="21"/>
          <w:szCs w:val="21"/>
          <w:highlight w:val="none"/>
          <w:lang w:val="en-US" w:eastAsia="zh-CN" w:bidi="ar-SA"/>
        </w:rPr>
        <w:t>按照甲方的采购文件要求及乙方响应文件响应情况，由乙方向甲方交付的</w:t>
      </w:r>
      <w:r>
        <w:rPr>
          <w:rFonts w:hint="eastAsia" w:ascii="Calibri" w:hAnsi="Calibri" w:eastAsia="宋体" w:cs="Times New Roman"/>
          <w:kern w:val="2"/>
          <w:sz w:val="21"/>
          <w:szCs w:val="21"/>
          <w:highlight w:val="none"/>
          <w:u w:val="single"/>
          <w:lang w:val="en-US" w:eastAsia="zh-CN" w:bidi="ar-SA"/>
        </w:rPr>
        <w:t>全部内容</w:t>
      </w:r>
      <w:r>
        <w:rPr>
          <w:rFonts w:hint="eastAsia" w:ascii="Calibri" w:hAnsi="Calibri" w:eastAsia="宋体" w:cs="Times New Roman"/>
          <w:kern w:val="2"/>
          <w:sz w:val="21"/>
          <w:szCs w:val="21"/>
          <w:highlight w:val="none"/>
          <w:lang w:val="en-US" w:eastAsia="zh-CN" w:bidi="ar-SA"/>
        </w:rPr>
        <w:t>。</w:t>
      </w:r>
    </w:p>
    <w:p w14:paraId="08C59896">
      <w:pPr>
        <w:widowControl w:val="0"/>
        <w:numPr>
          <w:ilvl w:val="0"/>
          <w:numId w:val="23"/>
        </w:numPr>
        <w:ind w:left="0" w:firstLine="0" w:firstLineChars="0"/>
        <w:contextualSpacing/>
        <w:jc w:val="both"/>
        <w:rPr>
          <w:rFonts w:ascii="Calibri" w:hAnsi="Calibri" w:eastAsia="宋体" w:cs="Times New Roman"/>
          <w:color w:val="000000"/>
          <w:kern w:val="2"/>
          <w:sz w:val="21"/>
          <w:szCs w:val="21"/>
          <w:highlight w:val="none"/>
          <w:lang w:val="en-US" w:eastAsia="zh-CN" w:bidi="ar-SA"/>
        </w:rPr>
      </w:pPr>
      <w:r>
        <w:rPr>
          <w:rFonts w:hint="eastAsia" w:ascii="Calibri" w:hAnsi="Calibri" w:eastAsia="宋体" w:cs="Times New Roman"/>
          <w:color w:val="000000"/>
          <w:kern w:val="2"/>
          <w:sz w:val="21"/>
          <w:szCs w:val="21"/>
          <w:highlight w:val="none"/>
          <w:lang w:val="en-US" w:eastAsia="zh-CN" w:bidi="ar-SA"/>
        </w:rPr>
        <w:t>履约</w:t>
      </w:r>
      <w:r>
        <w:rPr>
          <w:rFonts w:ascii="Calibri" w:hAnsi="Calibri" w:eastAsia="宋体" w:cs="Times New Roman"/>
          <w:color w:val="000000"/>
          <w:kern w:val="2"/>
          <w:sz w:val="21"/>
          <w:szCs w:val="21"/>
          <w:highlight w:val="none"/>
          <w:lang w:val="en-US" w:eastAsia="zh-CN" w:bidi="ar-SA"/>
        </w:rPr>
        <w:t>验收时间：</w:t>
      </w:r>
    </w:p>
    <w:p w14:paraId="74552A1F">
      <w:pPr>
        <w:widowControl w:val="0"/>
        <w:ind w:left="420" w:leftChars="200" w:firstLine="0" w:firstLineChars="0"/>
        <w:contextualSpacing/>
        <w:jc w:val="both"/>
        <w:rPr>
          <w:rFonts w:hint="eastAsia" w:ascii="Calibri" w:hAnsi="Calibri" w:eastAsia="宋体" w:cs="Times New Roman"/>
          <w:color w:val="000000"/>
          <w:kern w:val="2"/>
          <w:sz w:val="21"/>
          <w:szCs w:val="21"/>
          <w:highlight w:val="none"/>
          <w:lang w:val="en-US" w:eastAsia="zh-CN" w:bidi="ar-SA"/>
        </w:rPr>
      </w:pPr>
      <w:r>
        <w:rPr>
          <w:rFonts w:ascii="Calibri" w:hAnsi="Calibri" w:eastAsia="宋体" w:cs="Times New Roman"/>
          <w:kern w:val="2"/>
          <w:sz w:val="21"/>
          <w:szCs w:val="22"/>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w:t>
      </w:r>
      <w:r>
        <w:rPr>
          <w:rFonts w:hint="eastAsia" w:ascii="Times New Roman" w:hAnsi="Times New Roman" w:eastAsia="宋体" w:cs="Times New Roman"/>
          <w:color w:val="000000"/>
          <w:kern w:val="2"/>
          <w:sz w:val="21"/>
          <w:szCs w:val="21"/>
          <w:highlight w:val="none"/>
          <w:lang w:val="en-US" w:eastAsia="zh-CN" w:bidi="ar-SA"/>
        </w:rPr>
        <w:t>全部交付</w:t>
      </w:r>
      <w:r>
        <w:rPr>
          <w:rFonts w:ascii="Times New Roman" w:hAnsi="Times New Roman" w:eastAsia="宋体" w:cs="Times New Roman"/>
          <w:color w:val="000000"/>
          <w:kern w:val="2"/>
          <w:sz w:val="21"/>
          <w:szCs w:val="21"/>
          <w:highlight w:val="none"/>
          <w:lang w:val="en-US" w:eastAsia="zh-CN" w:bidi="ar-SA"/>
        </w:rPr>
        <w:t>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0A5D8BCE">
      <w:pPr>
        <w:widowControl w:val="0"/>
        <w:spacing w:after="0"/>
        <w:ind w:left="420" w:leftChars="200" w:firstLine="0" w:firstLineChars="0"/>
        <w:contextualSpacing/>
        <w:jc w:val="both"/>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2" w:char="00A3"/>
      </w:r>
      <w:r>
        <w:rPr>
          <w:rFonts w:hint="default"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hint="default"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hint="default"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hint="default"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hint="default" w:ascii="Times New Roman" w:hAnsi="Times New Roman" w:eastAsia="宋体" w:cs="Times New Roman"/>
          <w:color w:val="000000"/>
          <w:kern w:val="2"/>
          <w:sz w:val="21"/>
          <w:szCs w:val="21"/>
          <w:highlight w:val="none"/>
          <w:lang w:val="en-US" w:eastAsia="zh-CN" w:bidi="ar-SA"/>
        </w:rPr>
        <w:t>通知后X日内组织验收</w:t>
      </w:r>
    </w:p>
    <w:p w14:paraId="6AA4DCD3">
      <w:pPr>
        <w:widowControl w:val="0"/>
        <w:spacing w:after="0"/>
        <w:ind w:left="420" w:leftChars="200" w:firstLine="0" w:firstLineChars="0"/>
        <w:contextualSpacing/>
        <w:jc w:val="both"/>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hint="default"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hint="default"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hint="default"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hint="default" w:ascii="Times New Roman" w:hAnsi="Times New Roman" w:eastAsia="宋体" w:cs="Times New Roman"/>
          <w:color w:val="000000"/>
          <w:kern w:val="2"/>
          <w:sz w:val="21"/>
          <w:szCs w:val="21"/>
          <w:highlight w:val="none"/>
          <w:lang w:val="en-US" w:eastAsia="zh-CN" w:bidi="ar-SA"/>
        </w:rPr>
        <w:t>通知后X日内组织验收</w:t>
      </w:r>
    </w:p>
    <w:p w14:paraId="46845E0C">
      <w:pPr>
        <w:widowControl w:val="0"/>
        <w:spacing w:after="0"/>
        <w:ind w:left="420" w:leftChars="200" w:firstLine="0" w:firstLineChars="0"/>
        <w:contextualSpacing/>
        <w:jc w:val="both"/>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甲方</w:t>
      </w:r>
      <w:r>
        <w:rPr>
          <w:rFonts w:hint="default" w:ascii="Times New Roman" w:hAnsi="Times New Roman" w:eastAsia="宋体" w:cs="Times New Roman"/>
          <w:color w:val="000000"/>
          <w:kern w:val="2"/>
          <w:sz w:val="21"/>
          <w:szCs w:val="21"/>
          <w:highlight w:val="none"/>
          <w:lang w:val="en-US" w:eastAsia="zh-CN" w:bidi="ar-SA"/>
        </w:rPr>
        <w:t>完成考核后X日内组织验收</w:t>
      </w:r>
    </w:p>
    <w:p w14:paraId="503352EF">
      <w:pPr>
        <w:widowControl w:val="0"/>
        <w:spacing w:after="0"/>
        <w:ind w:left="420" w:leftChars="200" w:firstLine="0" w:firstLineChars="0"/>
        <w:contextualSpacing/>
        <w:jc w:val="both"/>
        <w:rPr>
          <w:rFonts w:hint="default" w:ascii="Times New Roman" w:hAnsi="Times New Roman" w:eastAsia="宋体" w:cs="Times New Roman"/>
          <w:color w:val="000000"/>
          <w:kern w:val="2"/>
          <w:sz w:val="21"/>
          <w:szCs w:val="21"/>
          <w:highlight w:val="none"/>
          <w:shd w:val="clear" w:color="auto" w:fill="FFFFFF"/>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F0A8"/>
      </w:r>
      <w:r>
        <w:rPr>
          <w:rFonts w:hint="default" w:ascii="Times New Roman" w:hAnsi="Times New Roman" w:eastAsia="宋体" w:cs="Times New Roman"/>
          <w:color w:val="000000"/>
          <w:kern w:val="2"/>
          <w:sz w:val="21"/>
          <w:szCs w:val="21"/>
          <w:highlight w:val="none"/>
          <w:lang w:val="en-US" w:eastAsia="zh-CN" w:bidi="ar-SA"/>
        </w:rPr>
        <w:t xml:space="preserve">其它验收时间：            </w:t>
      </w:r>
    </w:p>
    <w:p w14:paraId="409EEAB5">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 xml:space="preserve">是否邀请本项目的其他供应商： </w:t>
      </w:r>
      <w:r>
        <w:rPr>
          <w:rFonts w:ascii="Calibri" w:hAnsi="Calibri" w:eastAsia="宋体" w:cs="Times New Roman"/>
          <w:kern w:val="0"/>
          <w:sz w:val="21"/>
          <w:szCs w:val="22"/>
          <w:highlight w:val="none"/>
          <w:shd w:val="clear" w:color="auto" w:fill="FFFFFF"/>
          <w:lang w:val="en-US" w:eastAsia="zh-CN" w:bidi="ar-SA"/>
        </w:rPr>
        <w:sym w:font="Wingdings" w:char="F0A8"/>
      </w:r>
      <w:r>
        <w:rPr>
          <w:rFonts w:ascii="Calibri" w:hAnsi="Calibri" w:eastAsia="宋体" w:cs="Times New Roman"/>
          <w:kern w:val="2"/>
          <w:sz w:val="21"/>
          <w:szCs w:val="21"/>
          <w:highlight w:val="none"/>
          <w:shd w:val="clear" w:color="auto" w:fill="FFFFFF"/>
          <w:lang w:val="en-US" w:eastAsia="zh-CN" w:bidi="ar-SA"/>
        </w:rPr>
        <w:t xml:space="preserve">是   </w:t>
      </w:r>
      <w:r>
        <w:rPr>
          <w:rFonts w:ascii="Calibri" w:hAnsi="Calibri" w:eastAsia="宋体" w:cs="Times New Roman"/>
          <w:kern w:val="0"/>
          <w:sz w:val="21"/>
          <w:szCs w:val="22"/>
          <w:highlight w:val="none"/>
          <w:lang w:val="en-US" w:eastAsia="zh-CN" w:bidi="ar-SA"/>
        </w:rPr>
        <w:sym w:font="Wingdings 2" w:char="F052"/>
      </w:r>
      <w:r>
        <w:rPr>
          <w:rFonts w:ascii="Calibri" w:hAnsi="Calibri" w:eastAsia="宋体" w:cs="Times New Roman"/>
          <w:kern w:val="2"/>
          <w:sz w:val="21"/>
          <w:szCs w:val="21"/>
          <w:highlight w:val="none"/>
          <w:shd w:val="clear" w:color="auto" w:fill="FFFFFF"/>
          <w:lang w:val="en-US" w:eastAsia="zh-CN" w:bidi="ar-SA"/>
        </w:rPr>
        <w:t>否</w:t>
      </w:r>
    </w:p>
    <w:p w14:paraId="0709908A">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 xml:space="preserve">是否邀请专家： </w:t>
      </w:r>
      <w:r>
        <w:rPr>
          <w:rFonts w:ascii="Calibri" w:hAnsi="Calibri" w:eastAsia="宋体" w:cs="Times New Roman"/>
          <w:kern w:val="0"/>
          <w:sz w:val="21"/>
          <w:szCs w:val="22"/>
          <w:highlight w:val="none"/>
          <w:shd w:val="clear" w:color="auto" w:fill="FFFFFF"/>
          <w:lang w:val="en-US" w:eastAsia="zh-CN" w:bidi="ar-SA"/>
        </w:rPr>
        <w:sym w:font="Wingdings" w:char="F0A8"/>
      </w:r>
      <w:r>
        <w:rPr>
          <w:rFonts w:ascii="Calibri" w:hAnsi="Calibri" w:eastAsia="宋体" w:cs="Times New Roman"/>
          <w:kern w:val="2"/>
          <w:sz w:val="21"/>
          <w:szCs w:val="21"/>
          <w:highlight w:val="none"/>
          <w:shd w:val="clear" w:color="auto" w:fill="FFFFFF"/>
          <w:lang w:val="en-US" w:eastAsia="zh-CN" w:bidi="ar-SA"/>
        </w:rPr>
        <w:t xml:space="preserve">是   </w:t>
      </w:r>
      <w:r>
        <w:rPr>
          <w:rFonts w:ascii="Calibri" w:hAnsi="Calibri" w:eastAsia="宋体" w:cs="Times New Roman"/>
          <w:kern w:val="0"/>
          <w:sz w:val="21"/>
          <w:szCs w:val="22"/>
          <w:highlight w:val="none"/>
          <w:lang w:val="en-US" w:eastAsia="zh-CN" w:bidi="ar-SA"/>
        </w:rPr>
        <w:sym w:font="Wingdings 2" w:char="F052"/>
      </w:r>
      <w:r>
        <w:rPr>
          <w:rFonts w:ascii="Calibri" w:hAnsi="Calibri" w:eastAsia="宋体" w:cs="Times New Roman"/>
          <w:kern w:val="2"/>
          <w:sz w:val="21"/>
          <w:szCs w:val="21"/>
          <w:highlight w:val="none"/>
          <w:shd w:val="clear" w:color="auto" w:fill="FFFFFF"/>
          <w:lang w:val="en-US" w:eastAsia="zh-CN" w:bidi="ar-SA"/>
        </w:rPr>
        <w:t>否</w:t>
      </w:r>
    </w:p>
    <w:p w14:paraId="01ED88FC">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hint="eastAsia" w:ascii="Calibri" w:hAnsi="Calibri" w:eastAsia="宋体" w:cs="Times New Roman"/>
          <w:kern w:val="2"/>
          <w:sz w:val="21"/>
          <w:szCs w:val="21"/>
          <w:highlight w:val="none"/>
          <w:lang w:val="en-US" w:eastAsia="zh-CN" w:bidi="ar-SA"/>
        </w:rPr>
        <w:t xml:space="preserve">是否邀请服务对象： </w:t>
      </w:r>
      <w:r>
        <w:rPr>
          <w:rFonts w:ascii="Calibri" w:hAnsi="Calibri" w:eastAsia="宋体" w:cs="Times New Roman"/>
          <w:kern w:val="0"/>
          <w:sz w:val="21"/>
          <w:szCs w:val="22"/>
          <w:highlight w:val="none"/>
          <w:shd w:val="clear" w:color="auto" w:fill="FFFFFF"/>
          <w:lang w:val="en-US" w:eastAsia="zh-CN" w:bidi="ar-SA"/>
        </w:rPr>
        <w:sym w:font="Wingdings" w:char="F0A8"/>
      </w:r>
      <w:r>
        <w:rPr>
          <w:rFonts w:ascii="Calibri" w:hAnsi="Calibri" w:eastAsia="宋体" w:cs="Times New Roman"/>
          <w:kern w:val="2"/>
          <w:sz w:val="21"/>
          <w:szCs w:val="21"/>
          <w:highlight w:val="none"/>
          <w:shd w:val="clear" w:color="auto" w:fill="FFFFFF"/>
          <w:lang w:val="en-US" w:eastAsia="zh-CN" w:bidi="ar-SA"/>
        </w:rPr>
        <w:t xml:space="preserve">是   </w:t>
      </w:r>
      <w:r>
        <w:rPr>
          <w:rFonts w:ascii="Calibri" w:hAnsi="Calibri" w:eastAsia="宋体" w:cs="Times New Roman"/>
          <w:kern w:val="0"/>
          <w:sz w:val="21"/>
          <w:szCs w:val="22"/>
          <w:highlight w:val="none"/>
          <w:lang w:val="en-US" w:eastAsia="zh-CN" w:bidi="ar-SA"/>
        </w:rPr>
        <w:sym w:font="Wingdings 2" w:char="F052"/>
      </w:r>
      <w:r>
        <w:rPr>
          <w:rFonts w:ascii="Calibri" w:hAnsi="Calibri" w:eastAsia="宋体" w:cs="Times New Roman"/>
          <w:kern w:val="2"/>
          <w:sz w:val="21"/>
          <w:szCs w:val="21"/>
          <w:highlight w:val="none"/>
          <w:shd w:val="clear" w:color="auto" w:fill="FFFFFF"/>
          <w:lang w:val="en-US" w:eastAsia="zh-CN" w:bidi="ar-SA"/>
        </w:rPr>
        <w:t>否</w:t>
      </w:r>
    </w:p>
    <w:p w14:paraId="33E289E5">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ascii="Calibri" w:hAnsi="Calibri" w:eastAsia="宋体" w:cs="Times New Roman"/>
          <w:kern w:val="2"/>
          <w:sz w:val="21"/>
          <w:szCs w:val="21"/>
          <w:highlight w:val="none"/>
          <w:lang w:val="en-US" w:eastAsia="zh-CN" w:bidi="ar-SA"/>
        </w:rPr>
        <w:t>是否</w:t>
      </w:r>
      <w:r>
        <w:rPr>
          <w:rFonts w:hint="eastAsia" w:ascii="Calibri" w:hAnsi="Calibri" w:eastAsia="宋体" w:cs="Times New Roman"/>
          <w:kern w:val="2"/>
          <w:sz w:val="21"/>
          <w:szCs w:val="21"/>
          <w:highlight w:val="none"/>
          <w:lang w:val="en-US" w:eastAsia="zh-CN" w:bidi="ar-SA"/>
        </w:rPr>
        <w:t>邀请</w:t>
      </w:r>
      <w:r>
        <w:rPr>
          <w:rFonts w:ascii="Calibri" w:hAnsi="Calibri" w:eastAsia="宋体" w:cs="Times New Roman"/>
          <w:kern w:val="2"/>
          <w:sz w:val="21"/>
          <w:szCs w:val="21"/>
          <w:highlight w:val="none"/>
          <w:lang w:val="en-US" w:eastAsia="zh-CN" w:bidi="ar-SA"/>
        </w:rPr>
        <w:t>第三方检测机构：</w:t>
      </w:r>
      <w:r>
        <w:rPr>
          <w:rFonts w:ascii="Calibri" w:hAnsi="Calibri" w:eastAsia="宋体" w:cs="Times New Roman"/>
          <w:kern w:val="0"/>
          <w:sz w:val="21"/>
          <w:szCs w:val="22"/>
          <w:highlight w:val="none"/>
          <w:shd w:val="clear" w:color="auto" w:fill="FFFFFF"/>
          <w:lang w:val="en-US" w:eastAsia="zh-CN" w:bidi="ar-SA"/>
        </w:rPr>
        <w:t xml:space="preserve"> </w:t>
      </w:r>
      <w:r>
        <w:rPr>
          <w:rFonts w:ascii="Calibri" w:hAnsi="Calibri" w:eastAsia="宋体" w:cs="Times New Roman"/>
          <w:kern w:val="0"/>
          <w:sz w:val="21"/>
          <w:szCs w:val="22"/>
          <w:highlight w:val="none"/>
          <w:shd w:val="clear" w:color="auto" w:fill="FFFFFF"/>
          <w:lang w:val="en-US" w:eastAsia="zh-CN" w:bidi="ar-SA"/>
        </w:rPr>
        <w:sym w:font="Wingdings" w:char="F0A8"/>
      </w:r>
      <w:r>
        <w:rPr>
          <w:rFonts w:ascii="Calibri" w:hAnsi="Calibri" w:eastAsia="宋体" w:cs="Times New Roman"/>
          <w:kern w:val="2"/>
          <w:sz w:val="21"/>
          <w:szCs w:val="21"/>
          <w:highlight w:val="none"/>
          <w:shd w:val="clear" w:color="auto" w:fill="FFFFFF"/>
          <w:lang w:val="en-US" w:eastAsia="zh-CN" w:bidi="ar-SA"/>
        </w:rPr>
        <w:t xml:space="preserve">是   </w:t>
      </w:r>
      <w:r>
        <w:rPr>
          <w:rFonts w:ascii="Calibri" w:hAnsi="Calibri" w:eastAsia="宋体" w:cs="Times New Roman"/>
          <w:kern w:val="0"/>
          <w:sz w:val="21"/>
          <w:szCs w:val="22"/>
          <w:highlight w:val="none"/>
          <w:lang w:val="en-US" w:eastAsia="zh-CN" w:bidi="ar-SA"/>
        </w:rPr>
        <w:sym w:font="Wingdings 2" w:char="F052"/>
      </w:r>
      <w:r>
        <w:rPr>
          <w:rFonts w:ascii="Calibri" w:hAnsi="Calibri" w:eastAsia="宋体" w:cs="Times New Roman"/>
          <w:kern w:val="2"/>
          <w:sz w:val="21"/>
          <w:szCs w:val="21"/>
          <w:highlight w:val="none"/>
          <w:shd w:val="clear" w:color="auto" w:fill="FFFFFF"/>
          <w:lang w:val="en-US" w:eastAsia="zh-CN" w:bidi="ar-SA"/>
        </w:rPr>
        <w:t>否</w:t>
      </w:r>
    </w:p>
    <w:p w14:paraId="0A014DF9">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ascii="Calibri" w:hAnsi="Calibri" w:eastAsia="宋体" w:cs="Times New Roman"/>
          <w:kern w:val="2"/>
          <w:sz w:val="21"/>
          <w:szCs w:val="21"/>
          <w:highlight w:val="none"/>
          <w:lang w:val="en-US" w:eastAsia="zh-CN" w:bidi="ar-SA"/>
        </w:rPr>
        <w:t>验收标准：</w:t>
      </w:r>
    </w:p>
    <w:p w14:paraId="6E01B85E">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20D19854">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甲方采购</w:t>
      </w:r>
      <w:r>
        <w:rPr>
          <w:rFonts w:hint="default"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hint="default" w:ascii="Times New Roman" w:hAnsi="Times New Roman" w:eastAsia="宋体" w:cs="Times New Roman"/>
          <w:kern w:val="2"/>
          <w:sz w:val="21"/>
          <w:szCs w:val="21"/>
          <w:highlight w:val="none"/>
          <w:lang w:val="en-US" w:eastAsia="zh-CN" w:bidi="ar-SA"/>
        </w:rPr>
        <w:t>文件相关响应内容。</w:t>
      </w:r>
    </w:p>
    <w:p w14:paraId="2FCA2643">
      <w:pPr>
        <w:widowControl w:val="0"/>
        <w:numPr>
          <w:ilvl w:val="0"/>
          <w:numId w:val="24"/>
        </w:numPr>
        <w:spacing w:after="0"/>
        <w:ind w:left="454" w:firstLine="0" w:firstLineChars="0"/>
        <w:contextualSpacing/>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产品生产厂家出具的产品说明书、技术白皮书等官方技术资料（如涉及）。</w:t>
      </w:r>
    </w:p>
    <w:p w14:paraId="14CBFCC2">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hint="default"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hint="default"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18AA4BF8">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hint="default"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000E248B">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2"/>
          <w:sz w:val="21"/>
          <w:szCs w:val="21"/>
          <w:highlight w:val="none"/>
          <w:lang w:val="en-US" w:eastAsia="zh-CN" w:bidi="ar-SA"/>
        </w:rPr>
        <w:t>如本项目验收方式为考核验收，则考核结果须为合格。</w:t>
      </w:r>
    </w:p>
    <w:p w14:paraId="3C8D34F4">
      <w:pPr>
        <w:widowControl w:val="0"/>
        <w:numPr>
          <w:ilvl w:val="0"/>
          <w:numId w:val="24"/>
        </w:numPr>
        <w:spacing w:after="0"/>
        <w:ind w:left="454" w:firstLine="0" w:firstLineChars="0"/>
        <w:contextualSpacing/>
        <w:jc w:val="both"/>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3E35C670">
      <w:pPr>
        <w:widowControl w:val="0"/>
        <w:numPr>
          <w:ilvl w:val="0"/>
          <w:numId w:val="23"/>
        </w:numPr>
        <w:ind w:left="0" w:firstLine="0" w:firstLineChars="0"/>
        <w:contextualSpacing/>
        <w:jc w:val="both"/>
        <w:rPr>
          <w:rFonts w:ascii="Calibri" w:hAnsi="Calibri" w:eastAsia="宋体" w:cs="Times New Roman"/>
          <w:kern w:val="2"/>
          <w:sz w:val="21"/>
          <w:szCs w:val="21"/>
          <w:highlight w:val="none"/>
          <w:lang w:val="en-US" w:eastAsia="zh-CN" w:bidi="ar-SA"/>
        </w:rPr>
      </w:pPr>
      <w:r>
        <w:rPr>
          <w:rFonts w:ascii="Calibri" w:hAnsi="Calibri" w:eastAsia="宋体" w:cs="Times New Roman"/>
          <w:kern w:val="2"/>
          <w:sz w:val="21"/>
          <w:szCs w:val="21"/>
          <w:highlight w:val="none"/>
          <w:lang w:val="en-US" w:eastAsia="zh-CN" w:bidi="ar-SA"/>
        </w:rPr>
        <w:t>其它验收要求：</w:t>
      </w:r>
      <w:r>
        <w:rPr>
          <w:rFonts w:ascii="Calibri" w:hAnsi="Calibri" w:eastAsia="宋体" w:cs="Times New Roman"/>
          <w:color w:val="000000"/>
          <w:kern w:val="0"/>
          <w:sz w:val="21"/>
          <w:szCs w:val="21"/>
          <w:highlight w:val="none"/>
          <w:u w:val="single"/>
          <w:lang w:val="en-US" w:eastAsia="zh-CN" w:bidi="ar-SA"/>
        </w:rPr>
        <w:t>无</w:t>
      </w:r>
      <w:r>
        <w:rPr>
          <w:rFonts w:ascii="Calibri" w:hAnsi="Calibri" w:eastAsia="宋体" w:cs="Times New Roman"/>
          <w:i/>
          <w:iCs/>
          <w:color w:val="000000"/>
          <w:kern w:val="0"/>
          <w:sz w:val="21"/>
          <w:szCs w:val="21"/>
          <w:highlight w:val="none"/>
          <w:lang w:val="en-US" w:eastAsia="zh-CN" w:bidi="ar-SA"/>
        </w:rPr>
        <w:t>&lt;如有请填写&gt;</w:t>
      </w:r>
    </w:p>
    <w:p w14:paraId="3B311C27">
      <w:pPr>
        <w:widowControl w:val="0"/>
        <w:numPr>
          <w:ilvl w:val="0"/>
          <w:numId w:val="22"/>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乙方按照本合同向甲方交付的软件：</w:t>
      </w:r>
      <w:bookmarkStart w:id="38" w:name="OLE_LINK3"/>
      <w:r>
        <w:rPr>
          <w:rFonts w:hint="eastAsia" w:ascii="Times New Roman" w:hAnsi="Times New Roman" w:eastAsia="宋体" w:cs="Times New Roman"/>
          <w:i/>
          <w:iCs/>
          <w:color w:val="000000"/>
          <w:kern w:val="2"/>
          <w:sz w:val="21"/>
          <w:szCs w:val="21"/>
          <w:highlight w:val="none"/>
          <w:lang w:val="en-US" w:eastAsia="zh-CN" w:bidi="ar-SA"/>
        </w:rPr>
        <w:t>&lt;根据项目实际情况选择</w:t>
      </w:r>
      <w:bookmarkEnd w:id="38"/>
      <w:r>
        <w:rPr>
          <w:rFonts w:hint="eastAsia" w:ascii="Times New Roman" w:hAnsi="Times New Roman" w:eastAsia="宋体" w:cs="Times New Roman"/>
          <w:i/>
          <w:iCs/>
          <w:color w:val="000000"/>
          <w:kern w:val="2"/>
          <w:sz w:val="21"/>
          <w:szCs w:val="21"/>
          <w:highlight w:val="none"/>
          <w:lang w:val="en-US" w:eastAsia="zh-CN" w:bidi="ar-SA"/>
        </w:rPr>
        <w:t>&gt;</w:t>
      </w:r>
    </w:p>
    <w:p w14:paraId="3B5DC861">
      <w:pPr>
        <w:widowControl w:val="0"/>
        <w:ind w:left="315" w:leftChars="150" w:firstLine="0" w:firstLineChars="0"/>
        <w:jc w:val="both"/>
        <w:rPr>
          <w:rFonts w:ascii="Times New Roman" w:hAnsi="Times New Roman" w:eastAsia="宋体" w:cs="Times New Roman"/>
          <w:kern w:val="2"/>
          <w:sz w:val="21"/>
          <w:szCs w:val="21"/>
          <w:highlight w:val="none"/>
          <w:u w:val="singl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A3"/>
      </w:r>
      <w:r>
        <w:rPr>
          <w:rFonts w:hint="eastAsia" w:ascii="Times New Roman" w:hAnsi="Times New Roman" w:eastAsia="宋体" w:cs="Times New Roman"/>
          <w:kern w:val="2"/>
          <w:sz w:val="21"/>
          <w:szCs w:val="21"/>
          <w:highlight w:val="none"/>
          <w:u w:val="single"/>
          <w:lang w:val="en-US" w:eastAsia="zh-CN" w:bidi="ar-SA"/>
        </w:rPr>
        <w:t>有试运行期</w:t>
      </w:r>
      <w:r>
        <w:rPr>
          <w:rFonts w:hint="eastAsia" w:ascii="Times New Roman" w:hAnsi="Times New Roman" w:eastAsia="宋体" w:cs="Times New Roman"/>
          <w:kern w:val="2"/>
          <w:sz w:val="21"/>
          <w:szCs w:val="21"/>
          <w:highlight w:val="none"/>
          <w:lang w:val="en-US" w:eastAsia="zh-CN" w:bidi="ar-SA"/>
        </w:rPr>
        <w:t>，试运行期为*</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试运行期间，如发现软件有缺陷，或性能和质量不</w:t>
      </w:r>
      <w:r>
        <w:rPr>
          <w:rFonts w:hint="eastAsia" w:ascii="Times New Roman" w:hAnsi="Times New Roman" w:eastAsia="宋体" w:cs="Times New Roman"/>
          <w:kern w:val="2"/>
          <w:sz w:val="21"/>
          <w:szCs w:val="21"/>
          <w:highlight w:val="none"/>
          <w:lang w:val="en-US" w:eastAsia="zh-CN" w:bidi="ar-SA"/>
        </w:rPr>
        <w:t>符合本项目</w:t>
      </w:r>
      <w:r>
        <w:rPr>
          <w:rFonts w:ascii="Times New Roman" w:hAnsi="Times New Roman" w:eastAsia="宋体" w:cs="Times New Roman"/>
          <w:kern w:val="2"/>
          <w:sz w:val="21"/>
          <w:szCs w:val="21"/>
          <w:highlight w:val="none"/>
          <w:lang w:val="en-US" w:eastAsia="zh-CN" w:bidi="ar-SA"/>
        </w:rPr>
        <w:t>要求</w:t>
      </w:r>
      <w:r>
        <w:rPr>
          <w:rFonts w:hint="eastAsia" w:ascii="Times New Roman" w:hAnsi="Times New Roman" w:eastAsia="宋体" w:cs="Times New Roman"/>
          <w:kern w:val="2"/>
          <w:sz w:val="21"/>
          <w:szCs w:val="21"/>
          <w:highlight w:val="none"/>
          <w:lang w:val="en-US" w:eastAsia="zh-CN" w:bidi="ar-SA"/>
        </w:rPr>
        <w:t>时</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乙方须对相关问题进行修改和更正，同时试运行期时限按照上述修改、更正期进行相应顺延。</w:t>
      </w:r>
    </w:p>
    <w:p w14:paraId="5FFBA42B">
      <w:pPr>
        <w:widowControl w:val="0"/>
        <w:ind w:left="315" w:leftChars="15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sym w:font="Wingdings 2" w:char="0052"/>
      </w:r>
      <w:r>
        <w:rPr>
          <w:rFonts w:hint="eastAsia" w:ascii="Times New Roman" w:hAnsi="Times New Roman" w:eastAsia="宋体" w:cs="Times New Roman"/>
          <w:kern w:val="2"/>
          <w:sz w:val="21"/>
          <w:szCs w:val="21"/>
          <w:highlight w:val="none"/>
          <w:u w:val="single"/>
          <w:lang w:val="en-US" w:eastAsia="zh-CN" w:bidi="ar-SA"/>
        </w:rPr>
        <w:t>无试运行期</w:t>
      </w:r>
    </w:p>
    <w:p w14:paraId="1294A3FE">
      <w:pPr>
        <w:widowControl w:val="0"/>
        <w:numPr>
          <w:ilvl w:val="0"/>
          <w:numId w:val="22"/>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若验收交付内容涉及试运行的，经试运行达到设计使用要求、技术质量标准并经甲方认可后视为验收通过。</w:t>
      </w:r>
    </w:p>
    <w:p w14:paraId="53E2385D">
      <w:pPr>
        <w:widowControl w:val="0"/>
        <w:numPr>
          <w:ilvl w:val="0"/>
          <w:numId w:val="22"/>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w:t>
      </w:r>
      <w:r>
        <w:rPr>
          <w:rFonts w:hint="eastAsia" w:ascii="Times New Roman" w:hAnsi="Times New Roman" w:eastAsia="宋体" w:cs="Times New Roman"/>
          <w:kern w:val="2"/>
          <w:sz w:val="21"/>
          <w:szCs w:val="21"/>
          <w:highlight w:val="none"/>
          <w:lang w:val="en-US" w:eastAsia="zh-CN" w:bidi="ar-SA"/>
        </w:rPr>
        <w:t>验收不合格</w:t>
      </w:r>
      <w:r>
        <w:rPr>
          <w:rFonts w:ascii="Times New Roman" w:hAnsi="Times New Roman" w:eastAsia="宋体" w:cs="Times New Roman"/>
          <w:kern w:val="2"/>
          <w:sz w:val="21"/>
          <w:szCs w:val="21"/>
          <w:highlight w:val="none"/>
          <w:lang w:val="en-US" w:eastAsia="zh-CN" w:bidi="ar-SA"/>
        </w:rPr>
        <w:t>，甲方应</w:t>
      </w:r>
      <w:r>
        <w:rPr>
          <w:rFonts w:hint="eastAsia" w:ascii="Times New Roman" w:hAnsi="Times New Roman" w:eastAsia="宋体" w:cs="Times New Roman"/>
          <w:kern w:val="2"/>
          <w:sz w:val="21"/>
          <w:szCs w:val="21"/>
          <w:highlight w:val="none"/>
          <w:lang w:val="en-US" w:eastAsia="zh-CN" w:bidi="ar-SA"/>
        </w:rPr>
        <w:t>进行</w:t>
      </w:r>
      <w:r>
        <w:rPr>
          <w:rFonts w:ascii="Times New Roman" w:hAnsi="Times New Roman" w:eastAsia="宋体" w:cs="Times New Roman"/>
          <w:kern w:val="2"/>
          <w:sz w:val="21"/>
          <w:szCs w:val="21"/>
          <w:highlight w:val="none"/>
          <w:lang w:val="en-US" w:eastAsia="zh-CN" w:bidi="ar-SA"/>
        </w:rPr>
        <w:t>详尽的</w:t>
      </w:r>
      <w:r>
        <w:rPr>
          <w:rFonts w:hint="eastAsia" w:ascii="Times New Roman" w:hAnsi="Times New Roman" w:eastAsia="宋体" w:cs="Times New Roman"/>
          <w:kern w:val="2"/>
          <w:sz w:val="21"/>
          <w:szCs w:val="21"/>
          <w:highlight w:val="none"/>
          <w:lang w:val="en-US" w:eastAsia="zh-CN" w:bidi="ar-SA"/>
        </w:rPr>
        <w:t>现场</w:t>
      </w:r>
      <w:r>
        <w:rPr>
          <w:rFonts w:ascii="Times New Roman" w:hAnsi="Times New Roman" w:eastAsia="宋体" w:cs="Times New Roman"/>
          <w:kern w:val="2"/>
          <w:sz w:val="21"/>
          <w:szCs w:val="21"/>
          <w:highlight w:val="none"/>
          <w:lang w:val="en-US" w:eastAsia="zh-CN" w:bidi="ar-SA"/>
        </w:rPr>
        <w:t>记录，或由甲乙双方签署备忘录，此现场记录或备忘录可用作</w:t>
      </w:r>
      <w:r>
        <w:rPr>
          <w:rFonts w:hint="eastAsia" w:ascii="Times New Roman" w:hAnsi="Times New Roman" w:eastAsia="宋体" w:cs="Times New Roman"/>
          <w:kern w:val="2"/>
          <w:sz w:val="21"/>
          <w:szCs w:val="21"/>
          <w:highlight w:val="none"/>
          <w:lang w:val="en-US" w:eastAsia="zh-CN" w:bidi="ar-SA"/>
        </w:rPr>
        <w:t>修改和更正相关问题</w:t>
      </w:r>
      <w:r>
        <w:rPr>
          <w:rFonts w:ascii="Times New Roman" w:hAnsi="Times New Roman" w:eastAsia="宋体" w:cs="Times New Roman"/>
          <w:kern w:val="2"/>
          <w:sz w:val="21"/>
          <w:szCs w:val="21"/>
          <w:highlight w:val="none"/>
          <w:lang w:val="en-US" w:eastAsia="zh-CN" w:bidi="ar-SA"/>
        </w:rPr>
        <w:t>的有效证据，由此产生的时间延误与</w:t>
      </w:r>
      <w:r>
        <w:rPr>
          <w:rFonts w:hint="eastAsia" w:ascii="Times New Roman" w:hAnsi="Times New Roman" w:eastAsia="宋体" w:cs="Times New Roman"/>
          <w:kern w:val="2"/>
          <w:sz w:val="21"/>
          <w:szCs w:val="21"/>
          <w:highlight w:val="none"/>
          <w:lang w:val="en-US" w:eastAsia="zh-CN" w:bidi="ar-SA"/>
        </w:rPr>
        <w:t>经济损失</w:t>
      </w:r>
      <w:r>
        <w:rPr>
          <w:rFonts w:ascii="Times New Roman" w:hAnsi="Times New Roman" w:eastAsia="宋体" w:cs="Times New Roman"/>
          <w:kern w:val="2"/>
          <w:sz w:val="21"/>
          <w:szCs w:val="21"/>
          <w:highlight w:val="none"/>
          <w:lang w:val="en-US" w:eastAsia="zh-CN" w:bidi="ar-SA"/>
        </w:rPr>
        <w:t>由乙方承担，验收期限相应顺延</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甲方有权拒绝签署验收报告，</w:t>
      </w:r>
      <w:r>
        <w:rPr>
          <w:rFonts w:hint="eastAsia" w:ascii="Times New Roman" w:hAnsi="Times New Roman" w:eastAsia="宋体" w:cs="Times New Roman"/>
          <w:kern w:val="2"/>
          <w:sz w:val="21"/>
          <w:szCs w:val="21"/>
          <w:highlight w:val="none"/>
          <w:lang w:val="en-US" w:eastAsia="zh-CN" w:bidi="ar-SA"/>
        </w:rPr>
        <w:t>并</w:t>
      </w:r>
      <w:r>
        <w:rPr>
          <w:rFonts w:ascii="Times New Roman" w:hAnsi="Times New Roman" w:eastAsia="宋体" w:cs="Times New Roman"/>
          <w:kern w:val="2"/>
          <w:sz w:val="21"/>
          <w:szCs w:val="21"/>
          <w:highlight w:val="none"/>
          <w:lang w:val="en-US" w:eastAsia="zh-CN" w:bidi="ar-SA"/>
        </w:rPr>
        <w:t>要求乙方无条件</w:t>
      </w:r>
      <w:r>
        <w:rPr>
          <w:rFonts w:hint="eastAsia" w:ascii="Times New Roman" w:hAnsi="Times New Roman" w:eastAsia="宋体" w:cs="Times New Roman"/>
          <w:kern w:val="2"/>
          <w:sz w:val="21"/>
          <w:szCs w:val="21"/>
          <w:highlight w:val="none"/>
          <w:lang w:val="en-US" w:eastAsia="zh-CN" w:bidi="ar-SA"/>
        </w:rPr>
        <w:t>修改和更正</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而后进行再次验收，乙方应承担因此额外产生的全部费用。如果仍不合格，甲方有权终止本合同并视作乙方不能交付而须支付合同总价10</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lang w:val="en-US" w:eastAsia="zh-CN" w:bidi="ar-SA"/>
        </w:rPr>
        <w:t>违约金给甲方，违约金不能弥补甲方损失的，乙方应全额赔偿。</w:t>
      </w:r>
    </w:p>
    <w:p w14:paraId="0C01431B">
      <w:pPr>
        <w:widowControl w:val="0"/>
        <w:numPr>
          <w:ilvl w:val="0"/>
          <w:numId w:val="17"/>
        </w:numPr>
        <w:snapToGrid w:val="0"/>
        <w:ind w:left="420" w:hanging="420" w:firstLineChars="0"/>
        <w:jc w:val="both"/>
        <w:rPr>
          <w:rFonts w:hint="eastAsia"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知识产权</w:t>
      </w:r>
      <w:r>
        <w:rPr>
          <w:rFonts w:hint="eastAsia" w:ascii="Times New Roman" w:hAnsi="Times New Roman" w:eastAsia="宋体" w:cs="Times New Roman"/>
          <w:b/>
          <w:bCs/>
          <w:kern w:val="2"/>
          <w:sz w:val="21"/>
          <w:szCs w:val="21"/>
          <w:highlight w:val="none"/>
          <w:lang w:val="en-US" w:eastAsia="zh-CN" w:bidi="ar-SA"/>
        </w:rPr>
        <w:t>及保密</w:t>
      </w:r>
    </w:p>
    <w:p w14:paraId="7FF3BB9E">
      <w:pPr>
        <w:widowControl w:val="0"/>
        <w:numPr>
          <w:ilvl w:val="0"/>
          <w:numId w:val="25"/>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甲、乙双方确定，因履行本合同所产生的开发成果及其相关知识产权归属</w:t>
      </w:r>
      <w:r>
        <w:rPr>
          <w:rFonts w:hint="eastAsia" w:ascii="Times New Roman" w:hAnsi="Times New Roman" w:eastAsia="宋体" w:cs="Times New Roman"/>
          <w:kern w:val="2"/>
          <w:sz w:val="21"/>
          <w:szCs w:val="21"/>
          <w:highlight w:val="none"/>
          <w:u w:val="single"/>
          <w:lang w:val="en-US" w:eastAsia="zh-CN" w:bidi="ar-SA"/>
        </w:rPr>
        <w:t>甲方所有</w:t>
      </w:r>
      <w:r>
        <w:rPr>
          <w:rFonts w:hint="eastAsia" w:ascii="Times New Roman" w:hAnsi="Times New Roman" w:eastAsia="宋体" w:cs="Times New Roman"/>
          <w:kern w:val="2"/>
          <w:sz w:val="21"/>
          <w:szCs w:val="21"/>
          <w:highlight w:val="none"/>
          <w:lang w:val="en-US" w:eastAsia="zh-CN" w:bidi="ar-SA"/>
        </w:rPr>
        <w:t>。</w:t>
      </w:r>
    </w:p>
    <w:p w14:paraId="51F81C83">
      <w:pPr>
        <w:widowControl w:val="0"/>
        <w:numPr>
          <w:ilvl w:val="0"/>
          <w:numId w:val="25"/>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乙方不得在向甲方交付开发成果之前，自行将开发成果转让给第三方。</w:t>
      </w:r>
    </w:p>
    <w:p w14:paraId="5DE07FDB">
      <w:pPr>
        <w:widowControl w:val="0"/>
        <w:numPr>
          <w:ilvl w:val="0"/>
          <w:numId w:val="25"/>
        </w:numPr>
        <w:ind w:left="420" w:hanging="42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5B84AB39">
      <w:pPr>
        <w:widowControl w:val="0"/>
        <w:numPr>
          <w:ilvl w:val="0"/>
          <w:numId w:val="25"/>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甲、乙双方确定，甲方有权利用乙方按照本合同约定提供的产品，进行后续改进，由此产生的具有实质性或创造性技术进步特征的新的技术成果及其权利归属，由甲方享有。</w:t>
      </w:r>
    </w:p>
    <w:p w14:paraId="197E5D20">
      <w:pPr>
        <w:widowControl w:val="0"/>
        <w:numPr>
          <w:ilvl w:val="0"/>
          <w:numId w:val="25"/>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甲、乙双方确定，本合同价格已</w:t>
      </w:r>
      <w:r>
        <w:rPr>
          <w:rFonts w:ascii="Times New Roman" w:hAnsi="Times New Roman" w:eastAsia="宋体" w:cs="Times New Roman"/>
          <w:kern w:val="2"/>
          <w:sz w:val="21"/>
          <w:szCs w:val="21"/>
          <w:highlight w:val="none"/>
          <w:lang w:val="en-US" w:eastAsia="zh-CN" w:bidi="ar-SA"/>
        </w:rPr>
        <w:t>包含向</w:t>
      </w:r>
      <w:r>
        <w:rPr>
          <w:rFonts w:hint="eastAsia" w:ascii="Times New Roman" w:hAnsi="Times New Roman" w:eastAsia="宋体" w:cs="Times New Roman"/>
          <w:kern w:val="2"/>
          <w:sz w:val="21"/>
          <w:szCs w:val="21"/>
          <w:highlight w:val="none"/>
          <w:lang w:val="en-US" w:eastAsia="zh-CN" w:bidi="ar-SA"/>
        </w:rPr>
        <w:t>本合同涉及的相关</w:t>
      </w:r>
      <w:r>
        <w:rPr>
          <w:rFonts w:ascii="Times New Roman" w:hAnsi="Times New Roman" w:eastAsia="宋体" w:cs="Times New Roman"/>
          <w:kern w:val="2"/>
          <w:sz w:val="21"/>
          <w:szCs w:val="21"/>
          <w:highlight w:val="none"/>
          <w:lang w:val="en-US" w:eastAsia="zh-CN" w:bidi="ar-SA"/>
        </w:rPr>
        <w:t>所有权人支付的专利权、商标权或其他知识产权的有关费用及税费。</w:t>
      </w:r>
    </w:p>
    <w:p w14:paraId="1C4FDCD1">
      <w:pPr>
        <w:widowControl w:val="0"/>
        <w:numPr>
          <w:ilvl w:val="0"/>
          <w:numId w:val="25"/>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甲乙双方均应对本合同内容，包括但不限于项目关键技术、实施方案等予以保密，非经双方一致同意，任何一方不得将协议内容泄露、提供给第三方或用作其他不正当用途。</w:t>
      </w:r>
    </w:p>
    <w:p w14:paraId="40EA1642">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付款方式</w:t>
      </w:r>
    </w:p>
    <w:p w14:paraId="30687727">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履约保证金：</w:t>
      </w:r>
    </w:p>
    <w:p w14:paraId="1D1C6AA9">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2" w:char="F052"/>
      </w:r>
      <w:r>
        <w:rPr>
          <w:rFonts w:hint="default" w:ascii="Times New Roman" w:hAnsi="Times New Roman" w:eastAsia="宋体" w:cs="Times New Roman"/>
          <w:color w:val="000000"/>
          <w:kern w:val="2"/>
          <w:sz w:val="21"/>
          <w:szCs w:val="21"/>
          <w:highlight w:val="none"/>
          <w:lang w:val="en-US" w:eastAsia="zh-CN" w:bidi="ar-SA"/>
        </w:rPr>
        <w:t>乙方在合同签订生效之日起的***个工作日内，按合同总价***%支付履约保证金</w:t>
      </w:r>
      <w:r>
        <w:rPr>
          <w:rFonts w:hint="eastAsia" w:ascii="Times New Roman" w:hAnsi="Times New Roman" w:eastAsia="宋体" w:cs="Times New Roman"/>
          <w:color w:val="000000"/>
          <w:kern w:val="2"/>
          <w:sz w:val="21"/>
          <w:szCs w:val="21"/>
          <w:highlight w:val="none"/>
          <w:lang w:val="en-US" w:eastAsia="zh-CN" w:bidi="ar-SA"/>
        </w:rPr>
        <w:t>；项目</w:t>
      </w:r>
      <w:r>
        <w:rPr>
          <w:rFonts w:hint="default" w:ascii="Times New Roman" w:hAnsi="Times New Roman" w:eastAsia="宋体" w:cs="Times New Roman"/>
          <w:color w:val="000000"/>
          <w:kern w:val="2"/>
          <w:sz w:val="21"/>
          <w:szCs w:val="21"/>
          <w:highlight w:val="none"/>
          <w:lang w:val="en-US" w:eastAsia="zh-CN" w:bidi="ar-SA"/>
        </w:rPr>
        <w:t>验收合格</w:t>
      </w:r>
      <w:r>
        <w:rPr>
          <w:rFonts w:hint="eastAsia" w:ascii="Times New Roman" w:hAnsi="Times New Roman" w:eastAsia="宋体" w:cs="Times New Roman"/>
          <w:color w:val="000000"/>
          <w:kern w:val="2"/>
          <w:sz w:val="21"/>
          <w:szCs w:val="21"/>
          <w:highlight w:val="none"/>
          <w:lang w:val="en-US" w:eastAsia="zh-CN" w:bidi="ar-SA"/>
        </w:rPr>
        <w:t>且服务期结束</w:t>
      </w:r>
      <w:r>
        <w:rPr>
          <w:rFonts w:hint="default" w:ascii="Times New Roman" w:hAnsi="Times New Roman" w:eastAsia="宋体" w:cs="Times New Roman"/>
          <w:color w:val="000000"/>
          <w:kern w:val="2"/>
          <w:sz w:val="21"/>
          <w:szCs w:val="21"/>
          <w:highlight w:val="none"/>
          <w:lang w:val="en-US" w:eastAsia="zh-CN" w:bidi="ar-SA"/>
        </w:rPr>
        <w:t>之</w:t>
      </w:r>
      <w:r>
        <w:rPr>
          <w:rFonts w:hint="eastAsia" w:ascii="Times New Roman" w:hAnsi="Times New Roman" w:eastAsia="宋体" w:cs="Times New Roman"/>
          <w:color w:val="000000"/>
          <w:kern w:val="2"/>
          <w:sz w:val="21"/>
          <w:szCs w:val="21"/>
          <w:highlight w:val="none"/>
          <w:lang w:val="en-US" w:eastAsia="zh-CN" w:bidi="ar-SA"/>
        </w:rPr>
        <w:t>后</w:t>
      </w:r>
      <w:r>
        <w:rPr>
          <w:rFonts w:hint="default" w:ascii="Times New Roman" w:hAnsi="Times New Roman" w:eastAsia="宋体" w:cs="Times New Roman"/>
          <w:color w:val="00000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乙方向甲方提供合法有效票据及其他相关请款资料，甲方在</w:t>
      </w:r>
      <w:r>
        <w:rPr>
          <w:rFonts w:hint="eastAsia" w:ascii="宋体" w:hAnsi="宋体" w:eastAsia="宋体" w:cs="宋体"/>
          <w:kern w:val="2"/>
          <w:sz w:val="21"/>
          <w:szCs w:val="21"/>
          <w:highlight w:val="none"/>
          <w:u w:val="single"/>
          <w:lang w:val="en-US" w:eastAsia="zh-CN" w:bidi="ar-SA"/>
        </w:rPr>
        <w:t xml:space="preserve"> 50 </w:t>
      </w:r>
      <w:r>
        <w:rPr>
          <w:rFonts w:hint="eastAsia" w:ascii="宋体" w:hAnsi="宋体" w:eastAsia="宋体" w:cs="宋体"/>
          <w:kern w:val="2"/>
          <w:sz w:val="21"/>
          <w:szCs w:val="21"/>
          <w:highlight w:val="none"/>
          <w:lang w:val="en-US" w:eastAsia="zh-CN" w:bidi="ar-SA"/>
        </w:rPr>
        <w:t>工作日内将履约保证金扣减考核金额（如涉及考核）后一次性无息退还</w:t>
      </w:r>
      <w:r>
        <w:rPr>
          <w:rFonts w:hint="eastAsia" w:ascii="Times New Roman" w:hAnsi="Times New Roman" w:eastAsia="宋体" w:cs="Times New Roman"/>
          <w:color w:val="000000"/>
          <w:kern w:val="2"/>
          <w:sz w:val="21"/>
          <w:szCs w:val="21"/>
          <w:highlight w:val="none"/>
          <w:lang w:val="en-US" w:eastAsia="zh-CN" w:bidi="ar-SA"/>
        </w:rPr>
        <w:t>；</w:t>
      </w:r>
      <w:r>
        <w:rPr>
          <w:rFonts w:hint="default" w:ascii="Times New Roman" w:hAnsi="Times New Roman" w:eastAsia="宋体" w:cs="Times New Roman"/>
          <w:color w:val="000000"/>
          <w:kern w:val="2"/>
          <w:sz w:val="21"/>
          <w:szCs w:val="21"/>
          <w:highlight w:val="none"/>
          <w:lang w:val="en-US" w:eastAsia="zh-CN" w:bidi="ar-SA"/>
        </w:rPr>
        <w:t>经验收</w:t>
      </w:r>
      <w:r>
        <w:rPr>
          <w:rFonts w:hint="eastAsia" w:ascii="Times New Roman" w:hAnsi="Times New Roman" w:eastAsia="宋体" w:cs="Times New Roman"/>
          <w:color w:val="000000"/>
          <w:kern w:val="2"/>
          <w:sz w:val="21"/>
          <w:szCs w:val="21"/>
          <w:highlight w:val="none"/>
          <w:lang w:val="en-US" w:eastAsia="zh-CN" w:bidi="ar-SA"/>
        </w:rPr>
        <w:t>后</w:t>
      </w:r>
      <w:r>
        <w:rPr>
          <w:rFonts w:hint="default" w:ascii="Times New Roman" w:hAnsi="Times New Roman" w:eastAsia="宋体" w:cs="Times New Roman"/>
          <w:color w:val="000000"/>
          <w:kern w:val="2"/>
          <w:sz w:val="21"/>
          <w:szCs w:val="21"/>
          <w:highlight w:val="none"/>
          <w:lang w:val="en-US" w:eastAsia="zh-CN" w:bidi="ar-SA"/>
        </w:rPr>
        <w:t>乙方履约不合格的，履约保证金不予退还。</w:t>
      </w:r>
    </w:p>
    <w:p w14:paraId="21014AB0">
      <w:pPr>
        <w:widowControl w:val="0"/>
        <w:spacing w:after="0"/>
        <w:ind w:left="420" w:leftChars="200" w:firstLine="0" w:firstLineChars="0"/>
        <w:contextualSpacing/>
        <w:jc w:val="both"/>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本合同不涉及履约保证金。</w:t>
      </w:r>
    </w:p>
    <w:p w14:paraId="798EA496">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本项目价款采用以下方式支付，以人民币结算：</w:t>
      </w:r>
    </w:p>
    <w:p w14:paraId="3C8C5146">
      <w:pPr>
        <w:widowControl w:val="0"/>
        <w:spacing w:after="0"/>
        <w:ind w:firstLine="0" w:firstLineChars="0"/>
        <w:contextualSpacing/>
        <w:jc w:val="both"/>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一次性支付：甲方</w:t>
      </w:r>
      <w:r>
        <w:rPr>
          <w:rFonts w:hint="eastAsia" w:ascii="宋体" w:hAnsi="宋体" w:eastAsia="宋体" w:cs="宋体"/>
          <w:kern w:val="2"/>
          <w:sz w:val="21"/>
          <w:szCs w:val="21"/>
          <w:highlight w:val="none"/>
          <w:lang w:val="en-US" w:eastAsia="zh-CN" w:bidi="ar-SA"/>
        </w:rPr>
        <w:t>甲方提供合法有效票据及其他相关请款资料</w:t>
      </w:r>
      <w:r>
        <w:rPr>
          <w:rFonts w:hint="default"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甲方</w:t>
      </w:r>
      <w:r>
        <w:rPr>
          <w:rFonts w:hint="default" w:ascii="宋体" w:hAnsi="宋体" w:eastAsia="宋体" w:cs="宋体"/>
          <w:kern w:val="2"/>
          <w:sz w:val="21"/>
          <w:szCs w:val="21"/>
          <w:highlight w:val="none"/>
          <w:lang w:val="en-US" w:eastAsia="zh-CN" w:bidi="ar-SA"/>
        </w:rPr>
        <w:t>接到</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请款资料以后的</w:t>
      </w:r>
      <w:r>
        <w:rPr>
          <w:rFonts w:hint="eastAsia" w:ascii="宋体" w:hAnsi="宋体" w:eastAsia="宋体" w:cs="宋体"/>
          <w:kern w:val="2"/>
          <w:sz w:val="21"/>
          <w:szCs w:val="21"/>
          <w:highlight w:val="none"/>
          <w:lang w:val="en-US" w:eastAsia="zh-CN" w:bidi="ar-SA"/>
        </w:rPr>
        <w:t>55</w:t>
      </w:r>
      <w:r>
        <w:rPr>
          <w:rFonts w:hint="default" w:ascii="宋体" w:hAnsi="宋体" w:eastAsia="宋体" w:cs="宋体"/>
          <w:kern w:val="2"/>
          <w:sz w:val="21"/>
          <w:szCs w:val="21"/>
          <w:highlight w:val="none"/>
          <w:lang w:val="en-US" w:eastAsia="zh-CN" w:bidi="ar-SA"/>
        </w:rPr>
        <w:t>日内，</w:t>
      </w:r>
      <w:r>
        <w:rPr>
          <w:rFonts w:hint="eastAsia" w:ascii="宋体" w:hAnsi="宋体" w:eastAsia="宋体" w:cs="宋体"/>
          <w:kern w:val="2"/>
          <w:sz w:val="21"/>
          <w:szCs w:val="21"/>
          <w:highlight w:val="none"/>
          <w:lang w:val="en-US" w:eastAsia="zh-CN" w:bidi="ar-SA"/>
        </w:rPr>
        <w:t>向乙方支付合同总价100%的金额</w:t>
      </w:r>
      <w:r>
        <w:rPr>
          <w:rFonts w:hint="eastAsia" w:ascii="Times New Roman" w:hAnsi="Times New Roman" w:eastAsia="宋体" w:cs="Times New Roman"/>
          <w:color w:val="000000"/>
          <w:kern w:val="2"/>
          <w:sz w:val="21"/>
          <w:szCs w:val="21"/>
          <w:highlight w:val="none"/>
          <w:lang w:val="en-US" w:eastAsia="zh-CN" w:bidi="ar-SA"/>
        </w:rPr>
        <w:t>。</w:t>
      </w:r>
    </w:p>
    <w:p w14:paraId="38BBBBE0">
      <w:pPr>
        <w:widowControl w:val="0"/>
        <w:spacing w:after="0"/>
        <w:ind w:firstLine="0" w:firstLineChars="0"/>
        <w:contextualSpacing/>
        <w:jc w:val="both"/>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分阶段支付：</w:t>
      </w:r>
    </w:p>
    <w:p w14:paraId="0327F8DA">
      <w:pPr>
        <w:widowControl w:val="0"/>
        <w:spacing w:after="0"/>
        <w:ind w:left="840" w:leftChars="400" w:firstLine="0" w:firstLineChars="0"/>
        <w:contextualSpacing/>
        <w:jc w:val="left"/>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r>
        <w:rPr>
          <w:rFonts w:hint="eastAsia" w:ascii="宋体" w:hAnsi="宋体" w:eastAsia="宋体" w:cs="宋体"/>
          <w:kern w:val="2"/>
          <w:sz w:val="21"/>
          <w:szCs w:val="21"/>
          <w:highlight w:val="none"/>
          <w:lang w:val="en-US" w:eastAsia="zh-CN" w:bidi="ar-SA"/>
        </w:rPr>
        <w:t>第一次付款：合同签订生效且</w:t>
      </w:r>
      <w:r>
        <w:rPr>
          <w:rFonts w:hint="default" w:ascii="宋体" w:hAnsi="宋体" w:eastAsia="宋体" w:cs="宋体"/>
          <w:kern w:val="2"/>
          <w:sz w:val="21"/>
          <w:szCs w:val="21"/>
          <w:highlight w:val="none"/>
          <w:lang w:val="en-US" w:eastAsia="zh-CN" w:bidi="ar-SA"/>
        </w:rPr>
        <w:t>项目验收通过后，</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 xml:space="preserve"> 5 日内向</w:t>
      </w:r>
      <w:r>
        <w:rPr>
          <w:rFonts w:hint="eastAsia" w:ascii="宋体" w:hAnsi="宋体" w:eastAsia="宋体" w:cs="宋体"/>
          <w:kern w:val="2"/>
          <w:sz w:val="21"/>
          <w:szCs w:val="21"/>
          <w:highlight w:val="none"/>
          <w:lang w:val="en-US" w:eastAsia="zh-CN" w:bidi="ar-SA"/>
        </w:rPr>
        <w:t>甲方提供合法有效票据及其他相关请款资料</w:t>
      </w:r>
      <w:r>
        <w:rPr>
          <w:rFonts w:hint="default"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甲方</w:t>
      </w:r>
      <w:r>
        <w:rPr>
          <w:rFonts w:hint="default" w:ascii="宋体" w:hAnsi="宋体" w:eastAsia="宋体" w:cs="宋体"/>
          <w:kern w:val="2"/>
          <w:sz w:val="21"/>
          <w:szCs w:val="21"/>
          <w:highlight w:val="none"/>
          <w:lang w:val="en-US" w:eastAsia="zh-CN" w:bidi="ar-SA"/>
        </w:rPr>
        <w:t>接到</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请款资料以后的</w:t>
      </w:r>
      <w:r>
        <w:rPr>
          <w:rFonts w:hint="eastAsia" w:ascii="宋体" w:hAnsi="宋体" w:eastAsia="宋体" w:cs="宋体"/>
          <w:kern w:val="2"/>
          <w:sz w:val="21"/>
          <w:szCs w:val="21"/>
          <w:highlight w:val="none"/>
          <w:lang w:val="en-US" w:eastAsia="zh-CN" w:bidi="ar-SA"/>
        </w:rPr>
        <w:t>55</w:t>
      </w:r>
      <w:r>
        <w:rPr>
          <w:rFonts w:hint="default" w:ascii="宋体" w:hAnsi="宋体" w:eastAsia="宋体" w:cs="宋体"/>
          <w:kern w:val="2"/>
          <w:sz w:val="21"/>
          <w:szCs w:val="21"/>
          <w:highlight w:val="none"/>
          <w:lang w:val="en-US" w:eastAsia="zh-CN" w:bidi="ar-SA"/>
        </w:rPr>
        <w:t>日内，向</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 xml:space="preserve">支付本次合同金额的 </w:t>
      </w:r>
      <w:r>
        <w:rPr>
          <w:rFonts w:hint="eastAsia" w:ascii="宋体" w:hAnsi="宋体" w:eastAsia="宋体" w:cs="宋体"/>
          <w:kern w:val="2"/>
          <w:sz w:val="21"/>
          <w:szCs w:val="21"/>
          <w:highlight w:val="none"/>
          <w:lang w:val="en-US" w:eastAsia="zh-CN" w:bidi="ar-SA"/>
        </w:rPr>
        <w:t>80</w:t>
      </w:r>
      <w:r>
        <w:rPr>
          <w:rFonts w:hint="default" w:ascii="宋体" w:hAnsi="宋体" w:eastAsia="宋体" w:cs="宋体"/>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w:t>
      </w:r>
    </w:p>
    <w:p w14:paraId="08B222C1">
      <w:pPr>
        <w:widowControl w:val="0"/>
        <w:spacing w:after="0"/>
        <w:ind w:left="840" w:leftChars="400" w:firstLine="0" w:firstLineChars="0"/>
        <w:contextualSpacing/>
        <w:jc w:val="left"/>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第二次付款：服务期满后，乙方 5 日内向甲方提供合法有效票据及其他相关请款资料，甲方接到乙方请款资料以后</w:t>
      </w:r>
      <w:r>
        <w:rPr>
          <w:rFonts w:hint="default" w:ascii="宋体" w:hAnsi="宋体" w:eastAsia="宋体" w:cs="宋体"/>
          <w:kern w:val="2"/>
          <w:sz w:val="21"/>
          <w:szCs w:val="21"/>
          <w:highlight w:val="none"/>
          <w:lang w:val="en-US" w:eastAsia="zh-CN" w:bidi="ar-SA"/>
        </w:rPr>
        <w:t>的</w:t>
      </w:r>
      <w:r>
        <w:rPr>
          <w:rFonts w:hint="eastAsia" w:ascii="宋体" w:hAnsi="宋体" w:eastAsia="宋体" w:cs="宋体"/>
          <w:kern w:val="2"/>
          <w:sz w:val="21"/>
          <w:szCs w:val="21"/>
          <w:highlight w:val="none"/>
          <w:lang w:val="en-US" w:eastAsia="zh-CN" w:bidi="ar-SA"/>
        </w:rPr>
        <w:t>90</w:t>
      </w:r>
      <w:r>
        <w:rPr>
          <w:rFonts w:hint="default" w:ascii="宋体" w:hAnsi="宋体" w:eastAsia="宋体" w:cs="宋体"/>
          <w:kern w:val="2"/>
          <w:sz w:val="21"/>
          <w:szCs w:val="21"/>
          <w:highlight w:val="none"/>
          <w:lang w:val="en-US" w:eastAsia="zh-CN" w:bidi="ar-SA"/>
        </w:rPr>
        <w:t>日内，</w:t>
      </w:r>
      <w:r>
        <w:rPr>
          <w:rFonts w:hint="eastAsia" w:ascii="宋体" w:hAnsi="宋体" w:eastAsia="宋体" w:cs="宋体"/>
          <w:kern w:val="2"/>
          <w:sz w:val="21"/>
          <w:szCs w:val="21"/>
          <w:highlight w:val="none"/>
          <w:lang w:val="en-US" w:eastAsia="zh-CN" w:bidi="ar-SA"/>
        </w:rPr>
        <w:t>向乙方支付合同总价20%减去考核扣除金额（若有考核）</w:t>
      </w:r>
      <w:r>
        <w:rPr>
          <w:rFonts w:hint="eastAsia" w:ascii="Times New Roman" w:hAnsi="Times New Roman" w:eastAsia="宋体" w:cs="Times New Roman"/>
          <w:color w:val="000000"/>
          <w:kern w:val="2"/>
          <w:sz w:val="21"/>
          <w:szCs w:val="21"/>
          <w:highlight w:val="none"/>
          <w:lang w:val="en-US" w:eastAsia="zh-CN" w:bidi="ar-SA"/>
        </w:rPr>
        <w:t>。</w:t>
      </w:r>
    </w:p>
    <w:p w14:paraId="51DE9110">
      <w:pPr>
        <w:widowControl w:val="0"/>
        <w:spacing w:after="0"/>
        <w:ind w:firstLine="0" w:firstLineChars="0"/>
        <w:contextualSpacing/>
        <w:jc w:val="left"/>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kern w:val="2"/>
          <w:sz w:val="21"/>
          <w:szCs w:val="21"/>
          <w:highlight w:val="none"/>
          <w:lang w:val="en-US" w:eastAsia="zh-CN" w:bidi="ar-SA"/>
        </w:rPr>
        <w:sym w:font="Wingdings" w:char="00A8"/>
      </w:r>
      <w:r>
        <w:rPr>
          <w:rFonts w:hint="eastAsia" w:ascii="Times New Roman" w:hAnsi="Times New Roman" w:eastAsia="宋体" w:cs="Times New Roman"/>
          <w:color w:val="000000"/>
          <w:kern w:val="2"/>
          <w:sz w:val="21"/>
          <w:szCs w:val="21"/>
          <w:highlight w:val="none"/>
          <w:lang w:val="en-US" w:eastAsia="zh-CN" w:bidi="ar-SA"/>
        </w:rPr>
        <w:t>实结算方式：</w:t>
      </w:r>
      <w:r>
        <w:rPr>
          <w:rFonts w:hint="default" w:ascii="宋体" w:hAnsi="宋体" w:eastAsia="宋体" w:cs="宋体"/>
          <w:kern w:val="2"/>
          <w:sz w:val="21"/>
          <w:szCs w:val="21"/>
          <w:highlight w:val="none"/>
          <w:lang w:val="en-US" w:eastAsia="zh-CN" w:bidi="ar-SA"/>
        </w:rPr>
        <w:t>本项目</w:t>
      </w:r>
      <w:r>
        <w:rPr>
          <w:rFonts w:hint="default" w:ascii="宋体" w:hAnsi="宋体" w:eastAsia="宋体" w:cs="宋体"/>
          <w:kern w:val="2"/>
          <w:sz w:val="21"/>
          <w:szCs w:val="21"/>
          <w:highlight w:val="none"/>
          <w:u w:val="single"/>
          <w:lang w:val="en-US" w:eastAsia="zh-CN" w:bidi="ar-SA"/>
        </w:rPr>
        <w:t>每月/每季度</w:t>
      </w:r>
      <w:r>
        <w:rPr>
          <w:rFonts w:hint="default" w:ascii="宋体" w:hAnsi="宋体" w:eastAsia="宋体" w:cs="宋体"/>
          <w:kern w:val="2"/>
          <w:sz w:val="21"/>
          <w:szCs w:val="21"/>
          <w:highlight w:val="none"/>
          <w:lang w:val="en-US" w:eastAsia="zh-CN" w:bidi="ar-SA"/>
        </w:rPr>
        <w:t>结算一次 ，</w:t>
      </w:r>
      <w:r>
        <w:rPr>
          <w:rFonts w:hint="eastAsia" w:ascii="Calibri" w:hAnsi="Calibri" w:eastAsia="宋体" w:cs="Times New Roman"/>
          <w:kern w:val="2"/>
          <w:sz w:val="21"/>
          <w:szCs w:val="22"/>
          <w:highlight w:val="none"/>
          <w:lang w:val="en-US" w:eastAsia="zh-CN" w:bidi="ar-SA"/>
        </w:rPr>
        <w:t>根据本项目成交单价及实际验收数量</w:t>
      </w:r>
      <w:r>
        <w:rPr>
          <w:rFonts w:hint="default"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需 5 日内向</w:t>
      </w:r>
      <w:r>
        <w:rPr>
          <w:rFonts w:hint="eastAsia" w:ascii="宋体" w:hAnsi="宋体" w:eastAsia="宋体" w:cs="宋体"/>
          <w:kern w:val="2"/>
          <w:sz w:val="21"/>
          <w:szCs w:val="21"/>
          <w:highlight w:val="none"/>
          <w:lang w:val="en-US" w:eastAsia="zh-CN" w:bidi="ar-SA"/>
        </w:rPr>
        <w:t>甲方提供合法有效票据及其他相关请款资料</w:t>
      </w:r>
      <w:r>
        <w:rPr>
          <w:rFonts w:hint="default"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甲方</w:t>
      </w:r>
      <w:r>
        <w:rPr>
          <w:rFonts w:hint="default" w:ascii="宋体" w:hAnsi="宋体" w:eastAsia="宋体" w:cs="宋体"/>
          <w:kern w:val="2"/>
          <w:sz w:val="21"/>
          <w:szCs w:val="21"/>
          <w:highlight w:val="none"/>
          <w:lang w:val="en-US" w:eastAsia="zh-CN" w:bidi="ar-SA"/>
        </w:rPr>
        <w:t>接到</w:t>
      </w:r>
      <w:r>
        <w:rPr>
          <w:rFonts w:hint="eastAsia" w:ascii="宋体" w:hAnsi="宋体" w:eastAsia="宋体" w:cs="宋体"/>
          <w:kern w:val="2"/>
          <w:sz w:val="21"/>
          <w:szCs w:val="21"/>
          <w:highlight w:val="none"/>
          <w:lang w:val="en-US" w:eastAsia="zh-CN" w:bidi="ar-SA"/>
        </w:rPr>
        <w:t>乙方</w:t>
      </w:r>
      <w:r>
        <w:rPr>
          <w:rFonts w:hint="default" w:ascii="宋体" w:hAnsi="宋体" w:eastAsia="宋体" w:cs="宋体"/>
          <w:kern w:val="2"/>
          <w:sz w:val="21"/>
          <w:szCs w:val="21"/>
          <w:highlight w:val="none"/>
          <w:lang w:val="en-US" w:eastAsia="zh-CN" w:bidi="ar-SA"/>
        </w:rPr>
        <w:t>请款资料以后的</w:t>
      </w:r>
      <w:r>
        <w:rPr>
          <w:rFonts w:hint="eastAsia" w:ascii="宋体" w:hAnsi="宋体" w:eastAsia="宋体" w:cs="宋体"/>
          <w:kern w:val="2"/>
          <w:sz w:val="21"/>
          <w:szCs w:val="21"/>
          <w:highlight w:val="none"/>
          <w:lang w:val="en-US" w:eastAsia="zh-CN" w:bidi="ar-SA"/>
        </w:rPr>
        <w:t>55</w:t>
      </w:r>
      <w:r>
        <w:rPr>
          <w:rFonts w:hint="default" w:ascii="宋体" w:hAnsi="宋体" w:eastAsia="宋体" w:cs="宋体"/>
          <w:kern w:val="2"/>
          <w:sz w:val="21"/>
          <w:szCs w:val="21"/>
          <w:highlight w:val="none"/>
          <w:lang w:val="en-US" w:eastAsia="zh-CN" w:bidi="ar-SA"/>
        </w:rPr>
        <w:t>日内支付相应价款，最终结算总价不得超过</w:t>
      </w:r>
      <w:r>
        <w:rPr>
          <w:rFonts w:hint="eastAsia" w:ascii="宋体" w:hAnsi="宋体" w:eastAsia="宋体" w:cs="宋体"/>
          <w:kern w:val="2"/>
          <w:sz w:val="21"/>
          <w:szCs w:val="21"/>
          <w:highlight w:val="none"/>
          <w:u w:val="single"/>
          <w:lang w:val="en-US" w:eastAsia="zh-CN" w:bidi="ar-SA"/>
        </w:rPr>
        <w:t xml:space="preserve">     </w:t>
      </w:r>
      <w:r>
        <w:rPr>
          <w:rFonts w:hint="default" w:ascii="宋体" w:hAnsi="宋体" w:eastAsia="宋体" w:cs="宋体"/>
          <w:kern w:val="2"/>
          <w:sz w:val="21"/>
          <w:szCs w:val="21"/>
          <w:highlight w:val="none"/>
          <w:lang w:val="en-US" w:eastAsia="zh-CN" w:bidi="ar-SA"/>
        </w:rPr>
        <w:t>元</w:t>
      </w:r>
      <w:r>
        <w:rPr>
          <w:rFonts w:hint="eastAsia" w:ascii="Times New Roman" w:hAnsi="Times New Roman" w:eastAsia="宋体" w:cs="Times New Roman"/>
          <w:color w:val="000000"/>
          <w:kern w:val="2"/>
          <w:sz w:val="21"/>
          <w:szCs w:val="21"/>
          <w:highlight w:val="none"/>
          <w:lang w:val="en-US" w:eastAsia="zh-CN" w:bidi="ar-SA"/>
        </w:rPr>
        <w:t>。</w:t>
      </w:r>
    </w:p>
    <w:p w14:paraId="79BB87D5">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甲方付款前，乙方需</w:t>
      </w:r>
      <w:r>
        <w:rPr>
          <w:rFonts w:hint="eastAsia" w:ascii="宋体" w:hAnsi="宋体" w:eastAsia="宋体" w:cs="宋体"/>
          <w:kern w:val="2"/>
          <w:sz w:val="21"/>
          <w:szCs w:val="21"/>
          <w:highlight w:val="none"/>
          <w:lang w:val="en-US" w:eastAsia="zh-CN" w:bidi="ar-SA"/>
        </w:rPr>
        <w:t>提供合法有效票据及其他相关请款资料</w:t>
      </w:r>
      <w:r>
        <w:rPr>
          <w:rFonts w:hint="eastAsia" w:ascii="Times New Roman" w:hAnsi="Times New Roman" w:eastAsia="宋体" w:cs="Times New Roman"/>
          <w:kern w:val="2"/>
          <w:sz w:val="21"/>
          <w:szCs w:val="21"/>
          <w:highlight w:val="none"/>
          <w:lang w:val="en-US" w:eastAsia="zh-CN" w:bidi="ar-SA"/>
        </w:rPr>
        <w:t>，否则甲方有权拒绝支付且不承担任何违约责任，且乙方不得因此停止工作。</w:t>
      </w:r>
    </w:p>
    <w:p w14:paraId="558C25D5">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w:t>
      </w:r>
      <w:r>
        <w:rPr>
          <w:rFonts w:hint="eastAsia" w:ascii="Times New Roman" w:hAnsi="Times New Roman" w:eastAsia="宋体" w:cs="Times New Roman"/>
          <w:kern w:val="2"/>
          <w:sz w:val="21"/>
          <w:szCs w:val="21"/>
          <w:highlight w:val="none"/>
          <w:lang w:val="en-US" w:eastAsia="zh-CN" w:bidi="ar-SA"/>
        </w:rPr>
        <w:t>中的软件</w:t>
      </w:r>
      <w:r>
        <w:rPr>
          <w:rFonts w:ascii="Times New Roman" w:hAnsi="Times New Roman" w:eastAsia="宋体" w:cs="Times New Roman"/>
          <w:kern w:val="2"/>
          <w:sz w:val="21"/>
          <w:szCs w:val="21"/>
          <w:highlight w:val="none"/>
          <w:lang w:val="en-US" w:eastAsia="zh-CN" w:bidi="ar-SA"/>
        </w:rPr>
        <w:t>名称与</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中</w:t>
      </w:r>
      <w:r>
        <w:rPr>
          <w:rFonts w:hint="eastAsia" w:ascii="Times New Roman" w:hAnsi="Times New Roman" w:eastAsia="宋体" w:cs="Times New Roman"/>
          <w:kern w:val="2"/>
          <w:sz w:val="21"/>
          <w:szCs w:val="21"/>
          <w:highlight w:val="none"/>
          <w:lang w:val="en-US" w:eastAsia="zh-CN" w:bidi="ar-SA"/>
        </w:rPr>
        <w:t>软件</w:t>
      </w:r>
      <w:r>
        <w:rPr>
          <w:rFonts w:ascii="Times New Roman" w:hAnsi="Times New Roman" w:eastAsia="宋体" w:cs="Times New Roman"/>
          <w:kern w:val="2"/>
          <w:sz w:val="21"/>
          <w:szCs w:val="21"/>
          <w:highlight w:val="none"/>
          <w:lang w:val="en-US" w:eastAsia="zh-CN" w:bidi="ar-SA"/>
        </w:rPr>
        <w:t>名称</w:t>
      </w:r>
      <w:r>
        <w:rPr>
          <w:rFonts w:hint="eastAsia" w:ascii="Times New Roman" w:hAnsi="Times New Roman" w:eastAsia="宋体" w:cs="Times New Roman"/>
          <w:kern w:val="2"/>
          <w:sz w:val="21"/>
          <w:szCs w:val="21"/>
          <w:highlight w:val="none"/>
          <w:lang w:val="en-US" w:eastAsia="zh-CN" w:bidi="ar-SA"/>
        </w:rPr>
        <w:t>应</w:t>
      </w:r>
      <w:r>
        <w:rPr>
          <w:rFonts w:ascii="Times New Roman" w:hAnsi="Times New Roman" w:eastAsia="宋体" w:cs="Times New Roman"/>
          <w:kern w:val="2"/>
          <w:sz w:val="21"/>
          <w:szCs w:val="21"/>
          <w:highlight w:val="none"/>
          <w:lang w:val="en-US" w:eastAsia="zh-CN" w:bidi="ar-SA"/>
        </w:rPr>
        <w:t>一致。</w:t>
      </w:r>
    </w:p>
    <w:p w14:paraId="54D81C78">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如有变更，乙方应当在变更后3日内通知甲方</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否则，由此造成的损失由乙方自行承担。</w:t>
      </w:r>
    </w:p>
    <w:p w14:paraId="2DFD49C1">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售后服务</w:t>
      </w:r>
    </w:p>
    <w:p w14:paraId="4C0E6C28">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软件完成安装后，乙</w:t>
      </w:r>
      <w:r>
        <w:rPr>
          <w:rFonts w:ascii="Times New Roman" w:hAnsi="Times New Roman" w:eastAsia="宋体" w:cs="Times New Roman"/>
          <w:kern w:val="2"/>
          <w:sz w:val="21"/>
          <w:szCs w:val="21"/>
          <w:highlight w:val="none"/>
          <w:lang w:val="en-US" w:eastAsia="zh-CN" w:bidi="ar-SA"/>
        </w:rPr>
        <w:t>方应对甲方工作人员进行培训：</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2"/>
          <w:highlight w:val="none"/>
          <w:lang w:val="en-US" w:eastAsia="zh-CN" w:bidi="ar-SA"/>
        </w:rPr>
        <w:t>。</w:t>
      </w:r>
      <w:r>
        <w:rPr>
          <w:rFonts w:hint="eastAsia" w:ascii="Times New Roman" w:hAnsi="Times New Roman" w:eastAsia="宋体" w:cs="Times New Roman"/>
          <w:i/>
          <w:iCs/>
          <w:kern w:val="2"/>
          <w:sz w:val="21"/>
          <w:szCs w:val="21"/>
          <w:highlight w:val="none"/>
          <w:lang w:val="en-US" w:eastAsia="zh-CN" w:bidi="ar-SA"/>
        </w:rPr>
        <w:t>&lt;具体培训内容</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&gt;</w:t>
      </w:r>
      <w:r>
        <w:rPr>
          <w:rFonts w:ascii="Times New Roman" w:hAnsi="Times New Roman" w:eastAsia="宋体" w:cs="Times New Roman"/>
          <w:kern w:val="2"/>
          <w:sz w:val="21"/>
          <w:szCs w:val="21"/>
          <w:highlight w:val="none"/>
          <w:lang w:val="en-US" w:eastAsia="zh-CN" w:bidi="ar-SA"/>
        </w:rPr>
        <w:t>并保证甲方受训技术人员熟练掌握</w:t>
      </w:r>
      <w:r>
        <w:rPr>
          <w:rFonts w:hint="eastAsia" w:ascii="Times New Roman" w:hAnsi="Times New Roman" w:eastAsia="宋体" w:cs="Times New Roman"/>
          <w:kern w:val="2"/>
          <w:sz w:val="21"/>
          <w:szCs w:val="21"/>
          <w:highlight w:val="none"/>
          <w:lang w:val="en-US" w:eastAsia="zh-CN" w:bidi="ar-SA"/>
        </w:rPr>
        <w:t>软件的使用方法</w:t>
      </w:r>
      <w:r>
        <w:rPr>
          <w:rFonts w:ascii="Times New Roman" w:hAnsi="Times New Roman" w:eastAsia="宋体" w:cs="Times New Roman"/>
          <w:kern w:val="2"/>
          <w:sz w:val="21"/>
          <w:szCs w:val="21"/>
          <w:highlight w:val="none"/>
          <w:lang w:val="en-US" w:eastAsia="zh-CN" w:bidi="ar-SA"/>
        </w:rPr>
        <w:t>，直至甲方受训技术人员能保证</w:t>
      </w:r>
      <w:r>
        <w:rPr>
          <w:rFonts w:hint="eastAsia" w:ascii="Times New Roman" w:hAnsi="Times New Roman" w:eastAsia="宋体" w:cs="Times New Roman"/>
          <w:kern w:val="2"/>
          <w:sz w:val="21"/>
          <w:szCs w:val="21"/>
          <w:highlight w:val="none"/>
          <w:lang w:val="en-US" w:eastAsia="zh-CN" w:bidi="ar-SA"/>
        </w:rPr>
        <w:t>软件日常</w:t>
      </w:r>
      <w:r>
        <w:rPr>
          <w:rFonts w:ascii="Times New Roman" w:hAnsi="Times New Roman" w:eastAsia="宋体" w:cs="Times New Roman"/>
          <w:kern w:val="2"/>
          <w:sz w:val="21"/>
          <w:szCs w:val="21"/>
          <w:highlight w:val="none"/>
          <w:lang w:val="en-US" w:eastAsia="zh-CN" w:bidi="ar-SA"/>
        </w:rPr>
        <w:t>运行并能排除一般</w:t>
      </w:r>
      <w:r>
        <w:rPr>
          <w:rFonts w:hint="eastAsia" w:ascii="Times New Roman" w:hAnsi="Times New Roman" w:eastAsia="宋体" w:cs="Times New Roman"/>
          <w:kern w:val="2"/>
          <w:sz w:val="21"/>
          <w:szCs w:val="21"/>
          <w:highlight w:val="none"/>
          <w:lang w:val="en-US" w:eastAsia="zh-CN" w:bidi="ar-SA"/>
        </w:rPr>
        <w:t>性</w:t>
      </w:r>
      <w:r>
        <w:rPr>
          <w:rFonts w:ascii="Times New Roman" w:hAnsi="Times New Roman" w:eastAsia="宋体" w:cs="Times New Roman"/>
          <w:kern w:val="2"/>
          <w:sz w:val="21"/>
          <w:szCs w:val="21"/>
          <w:highlight w:val="none"/>
          <w:lang w:val="en-US" w:eastAsia="zh-CN" w:bidi="ar-SA"/>
        </w:rPr>
        <w:t>故障。</w:t>
      </w:r>
    </w:p>
    <w:p w14:paraId="25327228">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质保期为验收合格后***年（合同签订后甲方验收合格且</w:t>
      </w:r>
      <w:r>
        <w:rPr>
          <w:rFonts w:hint="eastAsia" w:ascii="Times New Roman" w:hAnsi="Times New Roman" w:eastAsia="宋体" w:cs="Times New Roman"/>
          <w:kern w:val="2"/>
          <w:sz w:val="21"/>
          <w:szCs w:val="21"/>
          <w:highlight w:val="none"/>
          <w:lang w:val="en-US" w:eastAsia="zh-CN" w:bidi="ar-SA"/>
        </w:rPr>
        <w:t>甲乙双方签署</w:t>
      </w:r>
      <w:r>
        <w:rPr>
          <w:rFonts w:ascii="Times New Roman" w:hAnsi="Times New Roman" w:eastAsia="宋体" w:cs="Times New Roman"/>
          <w:kern w:val="2"/>
          <w:sz w:val="21"/>
          <w:szCs w:val="21"/>
          <w:highlight w:val="none"/>
          <w:lang w:val="en-US" w:eastAsia="zh-CN" w:bidi="ar-SA"/>
        </w:rPr>
        <w:t>验收报告之日起）</w:t>
      </w:r>
      <w:r>
        <w:rPr>
          <w:rFonts w:hint="eastAsia" w:ascii="Times New Roman" w:hAnsi="Times New Roman" w:eastAsia="宋体" w:cs="Times New Roman"/>
          <w:kern w:val="2"/>
          <w:sz w:val="21"/>
          <w:szCs w:val="21"/>
          <w:highlight w:val="none"/>
          <w:lang w:val="en-US" w:eastAsia="zh-CN" w:bidi="ar-SA"/>
        </w:rPr>
        <w:t>。</w:t>
      </w:r>
    </w:p>
    <w:p w14:paraId="10053354">
      <w:pPr>
        <w:widowControl w:val="0"/>
        <w:numPr>
          <w:ilvl w:val="0"/>
          <w:numId w:val="27"/>
        </w:numPr>
        <w:ind w:left="0" w:firstLine="0" w:firstLineChars="0"/>
        <w:jc w:val="both"/>
        <w:rPr>
          <w:rFonts w:hint="eastAsia" w:ascii="Times New Roman" w:hAnsi="Times New Roman" w:eastAsia="宋体" w:cs="Times New Roman"/>
          <w:kern w:val="2"/>
          <w:sz w:val="21"/>
          <w:szCs w:val="22"/>
          <w:highlight w:val="none"/>
          <w:lang w:val="en-US" w:eastAsia="zh-CN" w:bidi="ar-SA"/>
        </w:rPr>
      </w:pPr>
      <w:r>
        <w:rPr>
          <w:rFonts w:ascii="Times New Roman" w:hAnsi="Times New Roman" w:eastAsia="宋体" w:cs="Times New Roman"/>
          <w:kern w:val="2"/>
          <w:sz w:val="21"/>
          <w:szCs w:val="21"/>
          <w:highlight w:val="none"/>
          <w:lang w:val="en-US" w:eastAsia="zh-CN" w:bidi="ar-SA"/>
        </w:rPr>
        <w:t>质保范围：</w:t>
      </w:r>
      <w:r>
        <w:rPr>
          <w:rFonts w:hint="eastAsia" w:ascii="Times New Roman" w:hAnsi="Times New Roman" w:eastAsia="宋体" w:cs="Times New Roman"/>
          <w:kern w:val="2"/>
          <w:sz w:val="21"/>
          <w:szCs w:val="22"/>
          <w:highlight w:val="none"/>
          <w:lang w:val="en-US" w:eastAsia="zh-CN" w:bidi="ar-SA"/>
        </w:rPr>
        <w:t>质保期内发现软件不符合本合同约定的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w:t>
      </w:r>
      <w:r>
        <w:rPr>
          <w:rFonts w:hint="eastAsia" w:ascii="Times New Roman" w:hAnsi="Times New Roman" w:eastAsia="宋体" w:cs="Times New Roman"/>
          <w:kern w:val="2"/>
          <w:sz w:val="21"/>
          <w:szCs w:val="22"/>
          <w:highlight w:val="none"/>
          <w:lang w:val="en-US" w:eastAsia="zh-CN" w:bidi="ar-SA"/>
        </w:rPr>
        <w:t>，乙方在接到通知后</w:t>
      </w:r>
      <w:r>
        <w:rPr>
          <w:rFonts w:ascii="Times New Roman" w:hAnsi="Times New Roman" w:eastAsia="宋体" w:cs="Times New Roman"/>
          <w:kern w:val="2"/>
          <w:sz w:val="21"/>
          <w:szCs w:val="22"/>
          <w:highlight w:val="none"/>
          <w:lang w:val="en-US" w:eastAsia="zh-CN" w:bidi="ar-SA"/>
        </w:rPr>
        <w:t>***</w:t>
      </w:r>
      <w:r>
        <w:rPr>
          <w:rFonts w:hint="eastAsia" w:ascii="Times New Roman" w:hAnsi="Times New Roman" w:eastAsia="宋体" w:cs="Times New Roman"/>
          <w:kern w:val="2"/>
          <w:sz w:val="21"/>
          <w:szCs w:val="22"/>
          <w:highlight w:val="none"/>
          <w:lang w:val="en-US" w:eastAsia="zh-CN" w:bidi="ar-SA"/>
        </w:rPr>
        <w:t>小时内响应到场，</w:t>
      </w:r>
      <w:r>
        <w:rPr>
          <w:rFonts w:ascii="Times New Roman" w:hAnsi="Times New Roman" w:eastAsia="宋体" w:cs="Times New Roman"/>
          <w:kern w:val="2"/>
          <w:sz w:val="21"/>
          <w:szCs w:val="22"/>
          <w:highlight w:val="none"/>
          <w:lang w:val="en-US" w:eastAsia="zh-CN" w:bidi="ar-SA"/>
        </w:rPr>
        <w:t>***</w:t>
      </w:r>
      <w:r>
        <w:rPr>
          <w:rFonts w:hint="eastAsia" w:ascii="Times New Roman" w:hAnsi="Times New Roman" w:eastAsia="宋体" w:cs="Times New Roman"/>
          <w:kern w:val="2"/>
          <w:sz w:val="21"/>
          <w:szCs w:val="22"/>
          <w:highlight w:val="none"/>
          <w:lang w:val="en-US" w:eastAsia="zh-CN" w:bidi="ar-SA"/>
        </w:rPr>
        <w:t>小时内完成调试或维修，并承担相关费用；如经乙方3次调试或维修仍不能达到本合同约定的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w:t>
      </w:r>
      <w:r>
        <w:rPr>
          <w:rFonts w:hint="eastAsia" w:ascii="Times New Roman" w:hAnsi="Times New Roman" w:eastAsia="宋体" w:cs="Times New Roman"/>
          <w:kern w:val="2"/>
          <w:sz w:val="21"/>
          <w:szCs w:val="22"/>
          <w:highlight w:val="none"/>
          <w:lang w:val="en-US" w:eastAsia="zh-CN" w:bidi="ar-SA"/>
        </w:rPr>
        <w:t>，甲方有权退货并追究乙方的违约责任。</w:t>
      </w:r>
    </w:p>
    <w:p w14:paraId="23768C08">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w:t>
      </w:r>
      <w:r>
        <w:rPr>
          <w:rFonts w:hint="eastAsia" w:ascii="Times New Roman" w:hAnsi="Times New Roman" w:eastAsia="宋体" w:cs="Times New Roman"/>
          <w:kern w:val="2"/>
          <w:sz w:val="21"/>
          <w:szCs w:val="21"/>
          <w:highlight w:val="none"/>
          <w:lang w:val="en-US" w:eastAsia="zh-CN" w:bidi="ar-SA"/>
        </w:rPr>
        <w:t>质保</w:t>
      </w:r>
      <w:r>
        <w:rPr>
          <w:rFonts w:ascii="Times New Roman" w:hAnsi="Times New Roman" w:eastAsia="宋体" w:cs="Times New Roman"/>
          <w:kern w:val="2"/>
          <w:sz w:val="21"/>
          <w:szCs w:val="21"/>
          <w:highlight w:val="none"/>
          <w:lang w:val="en-US" w:eastAsia="zh-CN" w:bidi="ar-SA"/>
        </w:rPr>
        <w:t>期内乙方应保证甲方对</w:t>
      </w:r>
      <w:r>
        <w:rPr>
          <w:rFonts w:hint="eastAsia" w:ascii="Times New Roman" w:hAnsi="Times New Roman" w:eastAsia="宋体" w:cs="Times New Roman"/>
          <w:kern w:val="2"/>
          <w:sz w:val="21"/>
          <w:szCs w:val="21"/>
          <w:highlight w:val="none"/>
          <w:lang w:val="en-US" w:eastAsia="zh-CN" w:bidi="ar-SA"/>
        </w:rPr>
        <w:t>软件</w:t>
      </w:r>
      <w:r>
        <w:rPr>
          <w:rFonts w:ascii="Times New Roman" w:hAnsi="Times New Roman" w:eastAsia="宋体" w:cs="Times New Roman"/>
          <w:kern w:val="2"/>
          <w:sz w:val="21"/>
          <w:szCs w:val="21"/>
          <w:highlight w:val="none"/>
          <w:lang w:val="en-US" w:eastAsia="zh-CN" w:bidi="ar-SA"/>
        </w:rPr>
        <w:t>的使用因故障停用时间小于***个工作日。</w:t>
      </w:r>
    </w:p>
    <w:p w14:paraId="7D71877B">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售后服务涉及费用均</w:t>
      </w:r>
      <w:r>
        <w:rPr>
          <w:rFonts w:hint="eastAsia" w:ascii="Times New Roman" w:hAnsi="Times New Roman" w:eastAsia="宋体" w:cs="Times New Roman"/>
          <w:kern w:val="2"/>
          <w:sz w:val="21"/>
          <w:szCs w:val="21"/>
          <w:highlight w:val="none"/>
          <w:lang w:val="en-US" w:eastAsia="zh-CN" w:bidi="ar-SA"/>
        </w:rPr>
        <w:t>已</w:t>
      </w:r>
      <w:r>
        <w:rPr>
          <w:rFonts w:ascii="Times New Roman" w:hAnsi="Times New Roman" w:eastAsia="宋体" w:cs="Times New Roman"/>
          <w:kern w:val="2"/>
          <w:sz w:val="21"/>
          <w:szCs w:val="21"/>
          <w:highlight w:val="none"/>
          <w:lang w:val="en-US" w:eastAsia="zh-CN" w:bidi="ar-SA"/>
        </w:rPr>
        <w:t>包含在</w:t>
      </w:r>
      <w:r>
        <w:rPr>
          <w:rFonts w:hint="eastAsia" w:ascii="Times New Roman" w:hAnsi="Times New Roman" w:eastAsia="宋体" w:cs="Times New Roman"/>
          <w:kern w:val="2"/>
          <w:sz w:val="21"/>
          <w:szCs w:val="21"/>
          <w:highlight w:val="none"/>
          <w:lang w:val="en-US" w:eastAsia="zh-CN" w:bidi="ar-SA"/>
        </w:rPr>
        <w:t>本</w:t>
      </w:r>
      <w:r>
        <w:rPr>
          <w:rFonts w:ascii="Times New Roman" w:hAnsi="Times New Roman" w:eastAsia="宋体" w:cs="Times New Roman"/>
          <w:kern w:val="2"/>
          <w:sz w:val="21"/>
          <w:szCs w:val="21"/>
          <w:highlight w:val="none"/>
          <w:lang w:val="en-US" w:eastAsia="zh-CN" w:bidi="ar-SA"/>
        </w:rPr>
        <w:t>合同总价中。</w:t>
      </w:r>
    </w:p>
    <w:p w14:paraId="363194EC">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无论是质保期内还是在质保期外，若出现故障，乙方应在***小时内提供技术支持</w:t>
      </w:r>
      <w:r>
        <w:rPr>
          <w:rFonts w:hint="eastAsia" w:ascii="Times New Roman" w:hAnsi="Times New Roman" w:eastAsia="宋体" w:cs="Times New Roman"/>
          <w:kern w:val="2"/>
          <w:sz w:val="21"/>
          <w:szCs w:val="21"/>
          <w:highlight w:val="none"/>
          <w:lang w:val="en-US" w:eastAsia="zh-CN" w:bidi="ar-SA"/>
        </w:rPr>
        <w:t>并</w:t>
      </w:r>
      <w:r>
        <w:rPr>
          <w:rFonts w:ascii="Times New Roman" w:hAnsi="Times New Roman" w:eastAsia="宋体" w:cs="Times New Roman"/>
          <w:kern w:val="2"/>
          <w:sz w:val="21"/>
          <w:szCs w:val="21"/>
          <w:highlight w:val="none"/>
          <w:lang w:val="en-US" w:eastAsia="zh-CN" w:bidi="ar-SA"/>
        </w:rPr>
        <w:t>作出答复</w:t>
      </w:r>
      <w:r>
        <w:rPr>
          <w:rFonts w:hint="eastAsia" w:ascii="Times New Roman" w:hAnsi="Times New Roman" w:eastAsia="宋体" w:cs="Times New Roman"/>
          <w:kern w:val="2"/>
          <w:sz w:val="21"/>
          <w:szCs w:val="21"/>
          <w:highlight w:val="none"/>
          <w:lang w:val="en-US" w:eastAsia="zh-CN" w:bidi="ar-SA"/>
        </w:rPr>
        <w:t>。质保期满后甲方委托乙方继续提供维护服务的，因此产生的维护费用由甲乙双方另行商议，每年费用最高不超过</w:t>
      </w:r>
      <w:r>
        <w:rPr>
          <w:rFonts w:hint="eastAsia" w:ascii="Times New Roman" w:hAnsi="Times New Roman" w:eastAsia="宋体" w:cs="Times New Roman"/>
          <w:kern w:val="2"/>
          <w:sz w:val="21"/>
          <w:szCs w:val="21"/>
          <w:highlight w:val="none"/>
          <w:u w:val="single"/>
          <w:lang w:val="en-US" w:eastAsia="zh-CN" w:bidi="ar-SA"/>
        </w:rPr>
        <w:t>本合同总价</w:t>
      </w:r>
      <w:r>
        <w:rPr>
          <w:rFonts w:hint="eastAsia"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0C263AC4">
      <w:pPr>
        <w:widowControl w:val="0"/>
        <w:numPr>
          <w:ilvl w:val="0"/>
          <w:numId w:val="27"/>
        </w:numPr>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ab/>
      </w:r>
      <w:r>
        <w:rPr>
          <w:rFonts w:ascii="Times New Roman" w:hAnsi="Times New Roman" w:eastAsia="宋体" w:cs="Times New Roman"/>
          <w:kern w:val="2"/>
          <w:sz w:val="21"/>
          <w:szCs w:val="21"/>
          <w:highlight w:val="none"/>
          <w:lang w:val="en-US" w:eastAsia="zh-CN" w:bidi="ar-SA"/>
        </w:rPr>
        <w:t>因乙方原因</w:t>
      </w:r>
      <w:r>
        <w:rPr>
          <w:rFonts w:hint="eastAsia" w:ascii="Times New Roman" w:hAnsi="Times New Roman" w:eastAsia="宋体" w:cs="Times New Roman"/>
          <w:kern w:val="2"/>
          <w:sz w:val="21"/>
          <w:szCs w:val="21"/>
          <w:highlight w:val="none"/>
          <w:lang w:val="en-US" w:eastAsia="zh-CN" w:bidi="ar-SA"/>
        </w:rPr>
        <w:t>致使软件不能达到</w:t>
      </w:r>
      <w:r>
        <w:rPr>
          <w:rFonts w:hint="eastAsia" w:ascii="Times New Roman" w:hAnsi="Times New Roman" w:eastAsia="宋体" w:cs="Times New Roman"/>
          <w:kern w:val="2"/>
          <w:sz w:val="21"/>
          <w:szCs w:val="22"/>
          <w:highlight w:val="none"/>
          <w:lang w:val="en-US" w:eastAsia="zh-CN" w:bidi="ar-SA"/>
        </w:rPr>
        <w:t>本合同约定的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要求和技术指标，按甲方实际</w:t>
      </w:r>
      <w:r>
        <w:rPr>
          <w:rFonts w:hint="eastAsia" w:ascii="Times New Roman" w:hAnsi="Times New Roman" w:eastAsia="宋体" w:cs="Times New Roman"/>
          <w:kern w:val="2"/>
          <w:sz w:val="21"/>
          <w:szCs w:val="21"/>
          <w:highlight w:val="none"/>
          <w:lang w:val="en-US" w:eastAsia="zh-CN" w:bidi="ar-SA"/>
        </w:rPr>
        <w:t>停用</w:t>
      </w:r>
      <w:r>
        <w:rPr>
          <w:rFonts w:ascii="Times New Roman" w:hAnsi="Times New Roman" w:eastAsia="宋体" w:cs="Times New Roman"/>
          <w:kern w:val="2"/>
          <w:sz w:val="21"/>
          <w:szCs w:val="21"/>
          <w:highlight w:val="none"/>
          <w:lang w:val="en-US" w:eastAsia="zh-CN" w:bidi="ar-SA"/>
        </w:rPr>
        <w:t>天数自动延长其质保期,甲方有权延后</w:t>
      </w:r>
      <w:r>
        <w:rPr>
          <w:rFonts w:hint="eastAsia" w:ascii="Times New Roman" w:hAnsi="Times New Roman" w:eastAsia="宋体" w:cs="Times New Roman"/>
          <w:kern w:val="2"/>
          <w:sz w:val="21"/>
          <w:szCs w:val="21"/>
          <w:highlight w:val="none"/>
          <w:lang w:val="en-US" w:eastAsia="zh-CN" w:bidi="ar-SA"/>
        </w:rPr>
        <w:t>履约保证金</w:t>
      </w:r>
      <w:r>
        <w:rPr>
          <w:rFonts w:ascii="Times New Roman" w:hAnsi="Times New Roman" w:eastAsia="宋体" w:cs="Times New Roman"/>
          <w:kern w:val="2"/>
          <w:sz w:val="21"/>
          <w:szCs w:val="21"/>
          <w:highlight w:val="none"/>
          <w:lang w:val="en-US" w:eastAsia="zh-CN" w:bidi="ar-SA"/>
        </w:rPr>
        <w:t>和维保费用的支付时间，并追究因此引发的乙方相应法律责任。</w:t>
      </w:r>
    </w:p>
    <w:p w14:paraId="2A31C75A">
      <w:pPr>
        <w:widowControl w:val="0"/>
        <w:numPr>
          <w:ilvl w:val="0"/>
          <w:numId w:val="27"/>
        </w:numPr>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6FBC13E3">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hint="eastAsia" w:ascii="Times New Roman" w:hAnsi="Times New Roman" w:eastAsia="宋体" w:cs="Times New Roman"/>
          <w:b/>
          <w:bCs/>
          <w:kern w:val="2"/>
          <w:sz w:val="21"/>
          <w:szCs w:val="21"/>
          <w:highlight w:val="none"/>
          <w:lang w:val="en-US" w:eastAsia="zh-CN" w:bidi="ar-SA"/>
        </w:rPr>
        <w:t>双方的权利和义务</w:t>
      </w:r>
    </w:p>
    <w:p w14:paraId="0E1017F6">
      <w:pPr>
        <w:widowControl w:val="0"/>
        <w:numPr>
          <w:ilvl w:val="0"/>
          <w:numId w:val="28"/>
        </w:numPr>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甲方的权利和义务：</w:t>
      </w:r>
    </w:p>
    <w:p w14:paraId="26B7E11D">
      <w:pPr>
        <w:widowControl w:val="0"/>
        <w:numPr>
          <w:ilvl w:val="0"/>
          <w:numId w:val="29"/>
        </w:numPr>
        <w:snapToGrid w:val="0"/>
        <w:ind w:left="440" w:hanging="44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甲方有权获得乙方所提交的软件交付成果及相关服务。</w:t>
      </w:r>
    </w:p>
    <w:p w14:paraId="4CBA6B70">
      <w:pPr>
        <w:widowControl w:val="0"/>
        <w:numPr>
          <w:ilvl w:val="0"/>
          <w:numId w:val="29"/>
        </w:numPr>
        <w:snapToGrid w:val="0"/>
        <w:ind w:left="440" w:hanging="44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甲方有权及时了解和监督软件开发的进展情况。</w:t>
      </w:r>
    </w:p>
    <w:p w14:paraId="089A46E5">
      <w:pPr>
        <w:widowControl w:val="0"/>
        <w:numPr>
          <w:ilvl w:val="0"/>
          <w:numId w:val="29"/>
        </w:numPr>
        <w:snapToGrid w:val="0"/>
        <w:ind w:left="440" w:hanging="44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甲方应向乙方提供完成软件开发所必需的资料和工作条件。</w:t>
      </w:r>
    </w:p>
    <w:p w14:paraId="0F2FAD02">
      <w:pPr>
        <w:widowControl w:val="0"/>
        <w:numPr>
          <w:ilvl w:val="0"/>
          <w:numId w:val="29"/>
        </w:numPr>
        <w:snapToGrid w:val="0"/>
        <w:ind w:left="440" w:hanging="44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甲方应按照合同约定向乙方支付合同价款。</w:t>
      </w:r>
    </w:p>
    <w:p w14:paraId="1FAF1629">
      <w:pPr>
        <w:widowControl w:val="0"/>
        <w:numPr>
          <w:ilvl w:val="0"/>
          <w:numId w:val="28"/>
        </w:numPr>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乙方的权利和义务：</w:t>
      </w:r>
    </w:p>
    <w:p w14:paraId="0FC06936">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乙方有权按照本合同约定收取合同价款。</w:t>
      </w:r>
    </w:p>
    <w:p w14:paraId="3FBEC68D">
      <w:pPr>
        <w:widowControl w:val="0"/>
        <w:numPr>
          <w:ilvl w:val="0"/>
          <w:numId w:val="3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乙方有权要求甲方提供软件开发所必需的资料和支持。</w:t>
      </w:r>
    </w:p>
    <w:p w14:paraId="1AC3ADF1">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1102BB56">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乙方应派遣身体健康、有相关工作经验和相应技能的技术人员到甲方现场并提供开发、安装、调试、测试、试运行、维护及培训等技术服务，该技术服务费用包括在本合同总价内。</w:t>
      </w:r>
    </w:p>
    <w:p w14:paraId="3171E70F">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284EF92A">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400457C7">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76762556">
      <w:pPr>
        <w:widowControl w:val="0"/>
        <w:numPr>
          <w:ilvl w:val="0"/>
          <w:numId w:val="3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06A860F3">
      <w:pPr>
        <w:widowControl w:val="0"/>
        <w:numPr>
          <w:ilvl w:val="0"/>
          <w:numId w:val="30"/>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乙方对本合同软件的开发及在开发过程中所获得的所有数据负有保密的义务，本合同履行过程中乙方获知的甲方商业秘密或其它技术及经营信息均负有保密义务，不得向任何第三方透露或泄露。</w:t>
      </w:r>
    </w:p>
    <w:p w14:paraId="6A23DE2F">
      <w:pPr>
        <w:widowControl w:val="0"/>
        <w:numPr>
          <w:ilvl w:val="0"/>
          <w:numId w:val="30"/>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4070F09D">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违约责任</w:t>
      </w:r>
      <w:r>
        <w:rPr>
          <w:rFonts w:hint="eastAsia" w:ascii="Times New Roman" w:hAnsi="Times New Roman" w:eastAsia="宋体" w:cs="Times New Roman"/>
          <w:i/>
          <w:iCs/>
          <w:kern w:val="2"/>
          <w:sz w:val="21"/>
          <w:szCs w:val="21"/>
          <w:highlight w:val="none"/>
          <w:lang w:val="en-US" w:eastAsia="zh-CN" w:bidi="ar-SA"/>
        </w:rPr>
        <w:t>&lt;本条款中违约金比例可根据项目实际情况确定&gt;</w:t>
      </w:r>
    </w:p>
    <w:p w14:paraId="64049954">
      <w:pPr>
        <w:widowControl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1.甲方违约责任：甲方无正当理由</w:t>
      </w:r>
      <w:r>
        <w:rPr>
          <w:rFonts w:hint="eastAsia" w:ascii="Times New Roman" w:hAnsi="Times New Roman" w:eastAsia="宋体" w:cs="Times New Roman"/>
          <w:kern w:val="2"/>
          <w:sz w:val="21"/>
          <w:szCs w:val="21"/>
          <w:highlight w:val="none"/>
          <w:lang w:val="en-US" w:eastAsia="zh-CN" w:bidi="ar-SA"/>
        </w:rPr>
        <w:t>拒绝交付及验收的</w:t>
      </w:r>
      <w:r>
        <w:rPr>
          <w:rFonts w:ascii="Times New Roman" w:hAnsi="Times New Roman" w:eastAsia="宋体" w:cs="Times New Roman"/>
          <w:kern w:val="2"/>
          <w:sz w:val="21"/>
          <w:szCs w:val="21"/>
          <w:highlight w:val="none"/>
          <w:lang w:val="en-US" w:eastAsia="zh-CN" w:bidi="ar-SA"/>
        </w:rPr>
        <w:t>，甲方应偿付合同总</w:t>
      </w:r>
      <w:r>
        <w:rPr>
          <w:rFonts w:hint="eastAsia" w:ascii="Times New Roman" w:hAnsi="Times New Roman" w:eastAsia="宋体" w:cs="Times New Roman"/>
          <w:kern w:val="2"/>
          <w:sz w:val="21"/>
          <w:szCs w:val="21"/>
          <w:highlight w:val="none"/>
          <w:lang w:val="en-US" w:eastAsia="zh-CN" w:bidi="ar-SA"/>
        </w:rPr>
        <w:t>金额的</w:t>
      </w:r>
      <w:r>
        <w:rPr>
          <w:rFonts w:hint="eastAsia" w:ascii="Times New Roman" w:hAnsi="Times New Roman" w:eastAsia="宋体" w:cs="Times New Roman"/>
          <w:kern w:val="2"/>
          <w:sz w:val="21"/>
          <w:szCs w:val="21"/>
          <w:highlight w:val="none"/>
          <w:u w:val="single"/>
          <w:lang w:val="en-US" w:eastAsia="zh-CN" w:bidi="ar-SA"/>
        </w:rPr>
        <w:t>1</w:t>
      </w:r>
      <w:r>
        <w:rPr>
          <w:rFonts w:ascii="Times New Roman" w:hAnsi="Times New Roman" w:eastAsia="宋体" w:cs="Times New Roman"/>
          <w:kern w:val="2"/>
          <w:sz w:val="21"/>
          <w:szCs w:val="21"/>
          <w:highlight w:val="none"/>
          <w:u w:val="single"/>
          <w:lang w:val="en-US" w:eastAsia="zh-CN" w:bidi="ar-SA"/>
        </w:rPr>
        <w:t>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502FEDC2">
      <w:pPr>
        <w:widowControl w:val="0"/>
        <w:ind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2.乙方违约责任：</w:t>
      </w:r>
    </w:p>
    <w:p w14:paraId="03DED9B3">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乙方拒绝交付软件，或交付的软件经两次验收仍不符合本合同约定的验收标准，甲方有权解除合同，乙方须向甲方支付合同总金额的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%作为违约金，并承担其它相应的经济损失。</w:t>
      </w:r>
    </w:p>
    <w:p w14:paraId="1AB0E99C">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质保期内出现质量问题，</w:t>
      </w:r>
      <w:r>
        <w:rPr>
          <w:rFonts w:ascii="Times New Roman" w:hAnsi="Times New Roman" w:eastAsia="宋体" w:cs="Times New Roman"/>
          <w:kern w:val="2"/>
          <w:sz w:val="21"/>
          <w:szCs w:val="22"/>
          <w:highlight w:val="none"/>
          <w:lang w:val="en-US" w:eastAsia="zh-CN" w:bidi="ar-SA"/>
        </w:rPr>
        <w:t>因同一故障经乙方</w:t>
      </w:r>
      <w:r>
        <w:rPr>
          <w:rFonts w:ascii="Times New Roman" w:hAnsi="Times New Roman" w:eastAsia="宋体" w:cs="Times New Roman"/>
          <w:kern w:val="2"/>
          <w:sz w:val="21"/>
          <w:szCs w:val="21"/>
          <w:highlight w:val="none"/>
          <w:lang w:val="en-US" w:eastAsia="zh-CN" w:bidi="ar-SA"/>
        </w:rPr>
        <w:t>经</w:t>
      </w:r>
      <w:r>
        <w:rPr>
          <w:rFonts w:hint="eastAsia" w:ascii="Times New Roman" w:hAnsi="Times New Roman" w:eastAsia="宋体" w:cs="Times New Roman"/>
          <w:kern w:val="2"/>
          <w:sz w:val="21"/>
          <w:szCs w:val="21"/>
          <w:highlight w:val="none"/>
          <w:u w:val="single"/>
          <w:lang w:val="en-US" w:eastAsia="zh-CN" w:bidi="ar-SA"/>
        </w:rPr>
        <w:t>2</w:t>
      </w:r>
      <w:r>
        <w:rPr>
          <w:rFonts w:hint="eastAsia" w:ascii="Times New Roman" w:hAnsi="Times New Roman" w:eastAsia="宋体" w:cs="Times New Roman"/>
          <w:kern w:val="2"/>
          <w:sz w:val="21"/>
          <w:szCs w:val="21"/>
          <w:highlight w:val="none"/>
          <w:lang w:val="en-US" w:eastAsia="zh-CN" w:bidi="ar-SA"/>
        </w:rPr>
        <w:t>次</w:t>
      </w:r>
      <w:r>
        <w:rPr>
          <w:rFonts w:hint="eastAsia" w:ascii="Times New Roman" w:hAnsi="Times New Roman" w:eastAsia="宋体" w:cs="Times New Roman"/>
          <w:kern w:val="2"/>
          <w:sz w:val="21"/>
          <w:szCs w:val="22"/>
          <w:highlight w:val="none"/>
          <w:lang w:val="en-US" w:eastAsia="zh-CN" w:bidi="ar-SA"/>
        </w:rPr>
        <w:t>调试或维修</w:t>
      </w:r>
      <w:r>
        <w:rPr>
          <w:rFonts w:ascii="Times New Roman" w:hAnsi="Times New Roman" w:eastAsia="宋体" w:cs="Times New Roman"/>
          <w:kern w:val="2"/>
          <w:sz w:val="21"/>
          <w:szCs w:val="21"/>
          <w:highlight w:val="none"/>
          <w:lang w:val="en-US" w:eastAsia="zh-CN" w:bidi="ar-SA"/>
        </w:rPr>
        <w:t>仍不能达到合同约定的</w:t>
      </w:r>
      <w:r>
        <w:rPr>
          <w:rFonts w:hint="eastAsia" w:ascii="Times New Roman" w:hAnsi="Times New Roman" w:eastAsia="宋体" w:cs="Times New Roman"/>
          <w:kern w:val="2"/>
          <w:sz w:val="21"/>
          <w:szCs w:val="21"/>
          <w:highlight w:val="none"/>
          <w:lang w:val="en-US" w:eastAsia="zh-CN" w:bidi="ar-SA"/>
        </w:rPr>
        <w:t>功能</w:t>
      </w:r>
      <w:r>
        <w:rPr>
          <w:rFonts w:ascii="Times New Roman" w:hAnsi="Times New Roman" w:eastAsia="宋体" w:cs="Times New Roman"/>
          <w:kern w:val="2"/>
          <w:sz w:val="21"/>
          <w:szCs w:val="21"/>
          <w:highlight w:val="none"/>
          <w:lang w:val="en-US" w:eastAsia="zh-CN" w:bidi="ar-SA"/>
        </w:rPr>
        <w:t>要求和技术指标，甲方有权解除合同并要求退货，乙方按照合同总额的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%向甲方支付违约金</w:t>
      </w:r>
      <w:r>
        <w:rPr>
          <w:rFonts w:hint="eastAsia" w:ascii="Times New Roman" w:hAnsi="Times New Roman" w:eastAsia="宋体" w:cs="Times New Roman"/>
          <w:kern w:val="2"/>
          <w:sz w:val="21"/>
          <w:szCs w:val="21"/>
          <w:highlight w:val="none"/>
          <w:lang w:val="en-US" w:eastAsia="zh-CN" w:bidi="ar-SA"/>
        </w:rPr>
        <w:t>。</w:t>
      </w:r>
    </w:p>
    <w:p w14:paraId="4D5707D1">
      <w:pPr>
        <w:widowControl w:val="0"/>
        <w:numPr>
          <w:ilvl w:val="0"/>
          <w:numId w:val="31"/>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因乙方原因逾期</w:t>
      </w:r>
      <w:r>
        <w:rPr>
          <w:rFonts w:hint="eastAsia" w:ascii="Times New Roman" w:hAnsi="Times New Roman" w:eastAsia="宋体" w:cs="Times New Roman"/>
          <w:kern w:val="2"/>
          <w:sz w:val="21"/>
          <w:szCs w:val="21"/>
          <w:highlight w:val="none"/>
          <w:lang w:val="en-US" w:eastAsia="zh-CN" w:bidi="ar-SA"/>
        </w:rPr>
        <w:t>交付</w:t>
      </w:r>
      <w:r>
        <w:rPr>
          <w:rFonts w:ascii="Times New Roman" w:hAnsi="Times New Roman" w:eastAsia="宋体" w:cs="Times New Roman"/>
          <w:kern w:val="2"/>
          <w:sz w:val="21"/>
          <w:szCs w:val="21"/>
          <w:highlight w:val="none"/>
          <w:lang w:val="en-US" w:eastAsia="zh-CN" w:bidi="ar-SA"/>
        </w:rPr>
        <w:t>，每</w:t>
      </w:r>
      <w:r>
        <w:rPr>
          <w:rFonts w:hint="eastAsia" w:ascii="Times New Roman" w:hAnsi="Times New Roman" w:eastAsia="宋体" w:cs="Times New Roman"/>
          <w:kern w:val="2"/>
          <w:sz w:val="21"/>
          <w:szCs w:val="21"/>
          <w:highlight w:val="none"/>
          <w:lang w:val="en-US" w:eastAsia="zh-CN" w:bidi="ar-SA"/>
        </w:rPr>
        <w:t>逾期</w:t>
      </w:r>
      <w:r>
        <w:rPr>
          <w:rFonts w:ascii="Times New Roman" w:hAnsi="Times New Roman" w:eastAsia="宋体" w:cs="Times New Roman"/>
          <w:kern w:val="2"/>
          <w:sz w:val="21"/>
          <w:szCs w:val="21"/>
          <w:highlight w:val="none"/>
          <w:lang w:val="en-US" w:eastAsia="zh-CN" w:bidi="ar-SA"/>
        </w:rPr>
        <w:t>一天，须向甲方支付合同</w:t>
      </w:r>
      <w:r>
        <w:rPr>
          <w:rFonts w:hint="eastAsia" w:ascii="Times New Roman" w:hAnsi="Times New Roman" w:eastAsia="宋体" w:cs="Times New Roman"/>
          <w:kern w:val="2"/>
          <w:sz w:val="21"/>
          <w:szCs w:val="21"/>
          <w:highlight w:val="none"/>
          <w:lang w:val="en-US" w:eastAsia="zh-CN" w:bidi="ar-SA"/>
        </w:rPr>
        <w:t>总金额的</w:t>
      </w:r>
      <w:r>
        <w:rPr>
          <w:rFonts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违约金。因乙方原因逾期交货超过</w:t>
      </w:r>
      <w:r>
        <w:rPr>
          <w:rFonts w:ascii="Times New Roman" w:hAnsi="Times New Roman" w:eastAsia="宋体" w:cs="Times New Roman"/>
          <w:kern w:val="2"/>
          <w:sz w:val="21"/>
          <w:szCs w:val="21"/>
          <w:highlight w:val="none"/>
          <w:u w:val="single"/>
          <w:lang w:val="en-US" w:eastAsia="zh-CN" w:bidi="ar-SA"/>
        </w:rPr>
        <w:t>***</w:t>
      </w:r>
      <w:r>
        <w:rPr>
          <w:rFonts w:ascii="Times New Roman" w:hAnsi="Times New Roman" w:eastAsia="宋体" w:cs="Times New Roman"/>
          <w:kern w:val="2"/>
          <w:sz w:val="21"/>
          <w:szCs w:val="21"/>
          <w:highlight w:val="none"/>
          <w:lang w:val="en-US" w:eastAsia="zh-CN" w:bidi="ar-SA"/>
        </w:rPr>
        <w:t>天，甲方有权</w:t>
      </w:r>
      <w:r>
        <w:rPr>
          <w:rFonts w:hint="eastAsia" w:ascii="Times New Roman" w:hAnsi="Times New Roman" w:eastAsia="宋体" w:cs="Times New Roman"/>
          <w:kern w:val="2"/>
          <w:sz w:val="21"/>
          <w:szCs w:val="21"/>
          <w:highlight w:val="none"/>
          <w:lang w:val="en-US" w:eastAsia="zh-CN" w:bidi="ar-SA"/>
        </w:rPr>
        <w:t>终止</w:t>
      </w:r>
      <w:r>
        <w:rPr>
          <w:rFonts w:ascii="Times New Roman" w:hAnsi="Times New Roman" w:eastAsia="宋体" w:cs="Times New Roman"/>
          <w:kern w:val="2"/>
          <w:sz w:val="21"/>
          <w:szCs w:val="21"/>
          <w:highlight w:val="none"/>
          <w:lang w:val="en-US" w:eastAsia="zh-CN" w:bidi="ar-SA"/>
        </w:rPr>
        <w:t>合同</w:t>
      </w:r>
      <w:r>
        <w:rPr>
          <w:rFonts w:hint="eastAsia" w:ascii="Times New Roman" w:hAnsi="Times New Roman" w:eastAsia="宋体" w:cs="Times New Roman"/>
          <w:kern w:val="2"/>
          <w:sz w:val="21"/>
          <w:szCs w:val="21"/>
          <w:highlight w:val="none"/>
          <w:lang w:val="en-US" w:eastAsia="zh-CN" w:bidi="ar-SA"/>
        </w:rPr>
        <w:t>，乙方须按合同总金额的</w:t>
      </w:r>
      <w:r>
        <w:rPr>
          <w:rFonts w:hint="eastAsia"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35496E72">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乙方未按合同约定及时履行培训及维护义务时，每发生一次，乙方应按合同总金额的</w:t>
      </w:r>
      <w:r>
        <w:rPr>
          <w:rFonts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‰向甲方支付违约金，乙方支付违约金的同时，仍有义务对甲方进行培训及对软件维护。</w:t>
      </w:r>
    </w:p>
    <w:p w14:paraId="4E683157">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乙方在开发软件过程侵犯他人知识产权，甲方有权单方解除合同，并要求乙方赔偿所造成的损失，同时甲方有权要求对方按照合同总金额的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支付违约金。</w:t>
      </w:r>
    </w:p>
    <w:p w14:paraId="56C7BD84">
      <w:pPr>
        <w:widowControl w:val="0"/>
        <w:numPr>
          <w:ilvl w:val="0"/>
          <w:numId w:val="31"/>
        </w:numPr>
        <w:snapToGrid w:val="0"/>
        <w:ind w:left="0" w:firstLine="0" w:firstLineChars="0"/>
        <w:jc w:val="both"/>
        <w:rPr>
          <w:rFonts w:hint="eastAsia"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1F481351">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5A6724A8">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交付软件因</w:t>
      </w:r>
      <w:r>
        <w:rPr>
          <w:rFonts w:ascii="Times New Roman" w:hAnsi="Times New Roman" w:eastAsia="宋体" w:cs="Times New Roman"/>
          <w:kern w:val="2"/>
          <w:sz w:val="21"/>
          <w:szCs w:val="21"/>
          <w:highlight w:val="none"/>
          <w:lang w:val="en-US" w:eastAsia="zh-CN" w:bidi="ar-SA"/>
        </w:rPr>
        <w:t>质量问题导致甲方及第三方人身、财产损失的，乙方承担由此造成的全部法律责任。</w:t>
      </w:r>
    </w:p>
    <w:p w14:paraId="426D74C3">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49AA3133">
      <w:pPr>
        <w:widowControl w:val="0"/>
        <w:numPr>
          <w:ilvl w:val="0"/>
          <w:numId w:val="31"/>
        </w:numPr>
        <w:snapToGrid w:val="0"/>
        <w:ind w:left="0" w:firstLine="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安装、</w:t>
      </w:r>
      <w:r>
        <w:rPr>
          <w:rFonts w:ascii="Times New Roman" w:hAnsi="Times New Roman" w:eastAsia="宋体" w:cs="Times New Roman"/>
          <w:kern w:val="2"/>
          <w:sz w:val="21"/>
          <w:szCs w:val="21"/>
          <w:highlight w:val="none"/>
          <w:lang w:val="en-US" w:eastAsia="zh-CN" w:bidi="ar-SA"/>
        </w:rPr>
        <w:t>调试及售后服务过程中，因未按规程</w:t>
      </w:r>
      <w:r>
        <w:rPr>
          <w:rFonts w:hint="eastAsia" w:ascii="Times New Roman" w:hAnsi="Times New Roman" w:eastAsia="宋体" w:cs="Times New Roman"/>
          <w:kern w:val="2"/>
          <w:sz w:val="21"/>
          <w:szCs w:val="21"/>
          <w:highlight w:val="none"/>
          <w:lang w:val="en-US" w:eastAsia="zh-CN" w:bidi="ar-SA"/>
        </w:rPr>
        <w:t>操作、</w:t>
      </w:r>
      <w:r>
        <w:rPr>
          <w:rFonts w:ascii="Times New Roman" w:hAnsi="Times New Roman" w:eastAsia="宋体" w:cs="Times New Roman"/>
          <w:kern w:val="2"/>
          <w:sz w:val="21"/>
          <w:szCs w:val="21"/>
          <w:highlight w:val="none"/>
          <w:lang w:val="en-US" w:eastAsia="zh-CN" w:bidi="ar-SA"/>
        </w:rPr>
        <w:t>未采取必要的安全防范措施等原因直接或间接造成甲方及第三方人身、财产损失的，由乙方承担由此造成的全部法律责任。</w:t>
      </w:r>
    </w:p>
    <w:p w14:paraId="49F5A8A0">
      <w:pPr>
        <w:widowControl w:val="0"/>
        <w:numPr>
          <w:ilvl w:val="0"/>
          <w:numId w:val="31"/>
        </w:numPr>
        <w:snapToGrid w:val="0"/>
        <w:ind w:left="525" w:hanging="525" w:hangingChars="250"/>
        <w:jc w:val="both"/>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C62B389">
      <w:pPr>
        <w:widowControl w:val="0"/>
        <w:snapToGrid w:val="0"/>
        <w:ind w:firstLine="0" w:firstLineChars="0"/>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3</w:t>
      </w:r>
      <w:r>
        <w:rPr>
          <w:rFonts w:ascii="Times New Roman" w:hAnsi="Times New Roman" w:eastAsia="宋体" w:cs="Times New Roman"/>
          <w:kern w:val="2"/>
          <w:sz w:val="21"/>
          <w:szCs w:val="21"/>
          <w:highlight w:val="none"/>
          <w:lang w:val="en-US" w:eastAsia="zh-CN" w:bidi="ar-SA"/>
        </w:rPr>
        <w:t>.本合同履行中如有任何一方违约，那么守约方为保障自己合法权益而产生的律师费、诉讼费、差旅费、公告费等，均由违约方承担。</w:t>
      </w:r>
    </w:p>
    <w:p w14:paraId="44F41F8D">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不可抗力</w:t>
      </w:r>
    </w:p>
    <w:p w14:paraId="6840427E">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ascii="Times New Roman" w:hAnsi="Times New Roman" w:eastAsia="宋体" w:cs="Times New Roman"/>
          <w:bCs/>
          <w:kern w:val="2"/>
          <w:sz w:val="21"/>
          <w:szCs w:val="21"/>
          <w:highlight w:val="none"/>
          <w:u w:val="single"/>
          <w:lang w:val="en-US" w:eastAsia="zh-CN" w:bidi="ar-SA"/>
        </w:rPr>
        <w:t>***</w:t>
      </w:r>
      <w:r>
        <w:rPr>
          <w:rFonts w:hint="eastAsia" w:ascii="Times New Roman" w:hAnsi="Times New Roman" w:eastAsia="宋体" w:cs="Times New Roman"/>
          <w:bCs/>
          <w:kern w:val="2"/>
          <w:sz w:val="21"/>
          <w:szCs w:val="21"/>
          <w:highlight w:val="none"/>
          <w:u w:val="singl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968CF7F">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争议解决办法</w:t>
      </w:r>
    </w:p>
    <w:p w14:paraId="2336F0EF">
      <w:pPr>
        <w:widowControl w:val="0"/>
        <w:numPr>
          <w:ilvl w:val="0"/>
          <w:numId w:val="32"/>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w:t>
      </w:r>
      <w:r>
        <w:rPr>
          <w:rFonts w:hint="eastAsia" w:ascii="Times New Roman" w:hAnsi="Times New Roman" w:eastAsia="宋体" w:cs="Times New Roman"/>
          <w:kern w:val="2"/>
          <w:sz w:val="21"/>
          <w:szCs w:val="21"/>
          <w:highlight w:val="none"/>
          <w:lang w:val="en-US" w:eastAsia="zh-CN" w:bidi="ar-SA"/>
        </w:rPr>
        <w:t>软件</w:t>
      </w:r>
      <w:r>
        <w:rPr>
          <w:rFonts w:ascii="Times New Roman" w:hAnsi="Times New Roman" w:eastAsia="宋体" w:cs="Times New Roman"/>
          <w:kern w:val="2"/>
          <w:sz w:val="21"/>
          <w:szCs w:val="21"/>
          <w:highlight w:val="none"/>
          <w:lang w:val="en-US" w:eastAsia="zh-CN" w:bidi="ar-SA"/>
        </w:rPr>
        <w:t>的质量问题发生争议，由质量技术监督部门或其指定的质量鉴定机构进行质量鉴定。货物符合标准的，鉴定费由甲方承担；货物不符合质量标准的，鉴定费由乙方承担。</w:t>
      </w:r>
    </w:p>
    <w:p w14:paraId="29D6FAE3">
      <w:pPr>
        <w:widowControl w:val="0"/>
        <w:numPr>
          <w:ilvl w:val="0"/>
          <w:numId w:val="32"/>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w:t>
      </w:r>
      <w:r>
        <w:rPr>
          <w:rFonts w:hint="eastAsia" w:ascii="Times New Roman" w:hAnsi="Times New Roman" w:eastAsia="宋体" w:cs="Times New Roman"/>
          <w:kern w:val="2"/>
          <w:sz w:val="21"/>
          <w:szCs w:val="21"/>
          <w:highlight w:val="none"/>
          <w:lang w:val="en-US" w:eastAsia="zh-CN" w:bidi="ar-SA"/>
        </w:rPr>
        <w:t>所在地</w:t>
      </w:r>
      <w:r>
        <w:rPr>
          <w:rFonts w:ascii="Times New Roman" w:hAnsi="Times New Roman" w:eastAsia="宋体" w:cs="Times New Roman"/>
          <w:kern w:val="2"/>
          <w:sz w:val="21"/>
          <w:szCs w:val="21"/>
          <w:highlight w:val="none"/>
          <w:lang w:val="en-US" w:eastAsia="zh-CN" w:bidi="ar-SA"/>
        </w:rPr>
        <w:t>具有管辖权的人民法院起诉。</w:t>
      </w:r>
    </w:p>
    <w:p w14:paraId="0B085BAC">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送达</w:t>
      </w:r>
      <w:r>
        <w:rPr>
          <w:rFonts w:hint="eastAsia" w:ascii="Times New Roman" w:hAnsi="Times New Roman" w:eastAsia="宋体" w:cs="Times New Roman"/>
          <w:b/>
          <w:bCs/>
          <w:kern w:val="2"/>
          <w:sz w:val="21"/>
          <w:szCs w:val="21"/>
          <w:highlight w:val="none"/>
          <w:lang w:val="en-US" w:eastAsia="zh-CN" w:bidi="ar-SA"/>
        </w:rPr>
        <w:t>（送达地址是司法机关、执法机关和仲裁机关将法律文书送达给当事人的收件地址）</w:t>
      </w:r>
    </w:p>
    <w:p w14:paraId="6D4C1841">
      <w:pPr>
        <w:widowControl w:val="0"/>
        <w:numPr>
          <w:ilvl w:val="0"/>
          <w:numId w:val="33"/>
        </w:numPr>
        <w:ind w:left="420" w:hanging="42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6085E19C">
      <w:pPr>
        <w:widowControl w:val="0"/>
        <w:numPr>
          <w:ilvl w:val="0"/>
          <w:numId w:val="33"/>
        </w:numPr>
        <w:ind w:left="420" w:hanging="42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乙方送达地址：</w:t>
      </w:r>
      <w:r>
        <w:rPr>
          <w:rFonts w:hint="eastAsia"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t>**</w:t>
      </w:r>
    </w:p>
    <w:p w14:paraId="749F996F">
      <w:pPr>
        <w:widowControl w:val="0"/>
        <w:numPr>
          <w:ilvl w:val="0"/>
          <w:numId w:val="33"/>
        </w:numPr>
        <w:ind w:left="420" w:hanging="42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3ADB7482">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其他</w:t>
      </w:r>
    </w:p>
    <w:p w14:paraId="2A626A12">
      <w:pPr>
        <w:widowControl w:val="0"/>
        <w:numPr>
          <w:ilvl w:val="0"/>
          <w:numId w:val="3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w:t>
      </w:r>
      <w:r>
        <w:rPr>
          <w:rFonts w:hint="eastAsia" w:ascii="Times New Roman" w:hAnsi="Times New Roman" w:eastAsia="宋体" w:cs="Times New Roman"/>
          <w:kern w:val="2"/>
          <w:sz w:val="21"/>
          <w:szCs w:val="21"/>
          <w:highlight w:val="none"/>
          <w:lang w:val="en-US" w:eastAsia="zh-CN" w:bidi="ar-SA"/>
        </w:rPr>
        <w:t>及本合同</w:t>
      </w:r>
      <w:r>
        <w:rPr>
          <w:rFonts w:ascii="Times New Roman" w:hAnsi="Times New Roman" w:eastAsia="宋体" w:cs="Times New Roman"/>
          <w:kern w:val="2"/>
          <w:sz w:val="21"/>
          <w:szCs w:val="21"/>
          <w:highlight w:val="none"/>
          <w:lang w:val="en-US" w:eastAsia="zh-CN" w:bidi="ar-SA"/>
        </w:rPr>
        <w:t>附件</w:t>
      </w:r>
      <w:r>
        <w:rPr>
          <w:rFonts w:hint="eastAsia" w:ascii="Times New Roman" w:hAnsi="Times New Roman" w:eastAsia="宋体" w:cs="Times New Roman"/>
          <w:kern w:val="2"/>
          <w:sz w:val="21"/>
          <w:szCs w:val="21"/>
          <w:highlight w:val="none"/>
          <w:lang w:val="en-US" w:eastAsia="zh-CN" w:bidi="ar-SA"/>
        </w:rPr>
        <w:t>均</w:t>
      </w:r>
      <w:r>
        <w:rPr>
          <w:rFonts w:ascii="Times New Roman" w:hAnsi="Times New Roman" w:eastAsia="宋体" w:cs="Times New Roman"/>
          <w:kern w:val="2"/>
          <w:sz w:val="21"/>
          <w:szCs w:val="21"/>
          <w:highlight w:val="none"/>
          <w:lang w:val="en-US" w:eastAsia="zh-CN" w:bidi="ar-SA"/>
        </w:rPr>
        <w:t>为本合同的组成部分，与本合同具有同等法律效力。</w:t>
      </w:r>
    </w:p>
    <w:p w14:paraId="482C87C2">
      <w:pPr>
        <w:widowControl w:val="0"/>
        <w:numPr>
          <w:ilvl w:val="0"/>
          <w:numId w:val="3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061C137B">
      <w:pPr>
        <w:widowControl w:val="0"/>
        <w:numPr>
          <w:ilvl w:val="0"/>
          <w:numId w:val="17"/>
        </w:numPr>
        <w:snapToGrid w:val="0"/>
        <w:ind w:left="420" w:hanging="420" w:firstLineChars="0"/>
        <w:jc w:val="both"/>
        <w:rPr>
          <w:rFonts w:ascii="Times New Roman" w:hAnsi="Times New Roman" w:eastAsia="宋体" w:cs="Times New Roman"/>
          <w:b/>
          <w:bCs/>
          <w:kern w:val="2"/>
          <w:sz w:val="21"/>
          <w:szCs w:val="21"/>
          <w:highlight w:val="none"/>
          <w:lang w:val="en-US" w:eastAsia="zh-CN" w:bidi="ar-SA"/>
        </w:rPr>
      </w:pPr>
      <w:r>
        <w:rPr>
          <w:rFonts w:ascii="Times New Roman" w:hAnsi="Times New Roman" w:eastAsia="宋体" w:cs="Times New Roman"/>
          <w:b/>
          <w:bCs/>
          <w:kern w:val="2"/>
          <w:sz w:val="21"/>
          <w:szCs w:val="21"/>
          <w:highlight w:val="none"/>
          <w:lang w:val="en-US" w:eastAsia="zh-CN" w:bidi="ar-SA"/>
        </w:rPr>
        <w:t>合同附件</w:t>
      </w:r>
    </w:p>
    <w:p w14:paraId="0C58C84F">
      <w:pPr>
        <w:rPr>
          <w:rFonts w:hint="default" w:ascii="Times New Roman" w:hAnsi="Times New Roman" w:eastAsia="宋体" w:cs="Times New Roman"/>
          <w:i/>
          <w:iCs/>
          <w:szCs w:val="21"/>
          <w:highlight w:val="none"/>
        </w:rPr>
      </w:pPr>
      <w:r>
        <w:rPr>
          <w:rFonts w:hint="eastAsia"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hint="eastAsia" w:ascii="Times New Roman" w:hAnsi="Times New Roman" w:eastAsia="宋体" w:cs="Times New Roman"/>
          <w:szCs w:val="21"/>
          <w:highlight w:val="none"/>
        </w:rPr>
        <w:t>附件合同。</w:t>
      </w:r>
      <w:r>
        <w:rPr>
          <w:rFonts w:hint="eastAsia" w:ascii="Times New Roman" w:hAnsi="Times New Roman" w:eastAsia="宋体" w:cs="Times New Roman"/>
          <w:i/>
          <w:iCs/>
          <w:szCs w:val="21"/>
          <w:highlight w:val="none"/>
        </w:rPr>
        <w:t>&lt;根据项目实际情况编制&gt;</w:t>
      </w:r>
    </w:p>
    <w:p w14:paraId="1767833C">
      <w:pPr>
        <w:widowControl w:val="0"/>
        <w:spacing w:after="120"/>
        <w:jc w:val="both"/>
        <w:rPr>
          <w:rFonts w:hint="eastAsia" w:ascii="Calibri" w:hAnsi="Calibri" w:eastAsia="宋体" w:cs="Times New Roman"/>
          <w:kern w:val="2"/>
          <w:sz w:val="21"/>
          <w:szCs w:val="22"/>
          <w:highlight w:val="none"/>
          <w:lang w:val="en-US" w:eastAsia="zh-CN" w:bidi="ar-SA"/>
        </w:rPr>
      </w:pPr>
      <w:r>
        <w:rPr>
          <w:rFonts w:hint="eastAsia" w:ascii="Times New Roman" w:hAnsi="Times New Roman" w:eastAsia="宋体" w:cs="Times New Roman"/>
          <w:kern w:val="2"/>
          <w:sz w:val="21"/>
          <w:szCs w:val="21"/>
          <w:highlight w:val="none"/>
          <w:u w:val="single"/>
          <w:lang w:val="en-US" w:eastAsia="zh-CN" w:bidi="ar-SA"/>
        </w:rPr>
        <w:t>附件：《开发进度表》</w:t>
      </w:r>
    </w:p>
    <w:p w14:paraId="4BF0B80E">
      <w:pPr>
        <w:jc w:val="center"/>
        <w:rPr>
          <w:rFonts w:hint="eastAsia" w:ascii="Calibri" w:hAnsi="Calibri" w:eastAsia="宋体" w:cs="Times New Roman"/>
          <w:szCs w:val="22"/>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sz w:val="18"/>
          <w:szCs w:val="18"/>
          <w:highlight w:val="none"/>
        </w:rPr>
        <w:t>以下无正文</w:t>
      </w:r>
      <w:r>
        <w:rPr>
          <w:rFonts w:hint="default" w:ascii="Times New Roman" w:hAnsi="Times New Roman" w:eastAsia="宋体" w:cs="Times New Roman"/>
          <w:szCs w:val="21"/>
          <w:highlight w:val="none"/>
        </w:rPr>
        <w:t>——</w:t>
      </w:r>
    </w:p>
    <w:tbl>
      <w:tblPr>
        <w:tblStyle w:val="14"/>
        <w:tblW w:w="5000" w:type="pct"/>
        <w:jc w:val="center"/>
        <w:tblLayout w:type="autofit"/>
        <w:tblCellMar>
          <w:top w:w="0" w:type="dxa"/>
          <w:left w:w="0" w:type="dxa"/>
          <w:bottom w:w="0" w:type="dxa"/>
          <w:right w:w="0" w:type="dxa"/>
        </w:tblCellMar>
      </w:tblPr>
      <w:tblGrid>
        <w:gridCol w:w="4040"/>
        <w:gridCol w:w="4260"/>
      </w:tblGrid>
      <w:tr w14:paraId="2588485A">
        <w:tblPrEx>
          <w:tblCellMar>
            <w:top w:w="0" w:type="dxa"/>
            <w:left w:w="0" w:type="dxa"/>
            <w:bottom w:w="0" w:type="dxa"/>
            <w:right w:w="0" w:type="dxa"/>
          </w:tblCellMar>
        </w:tblPrEx>
        <w:trPr>
          <w:trHeight w:val="519" w:hRule="atLeast"/>
          <w:jc w:val="center"/>
        </w:trPr>
        <w:tc>
          <w:tcPr>
            <w:tcW w:w="10214" w:type="dxa"/>
            <w:gridSpan w:val="2"/>
            <w:noWrap w:val="0"/>
            <w:vAlign w:val="top"/>
          </w:tcPr>
          <w:p w14:paraId="3DDBD059">
            <w:pPr>
              <w:rPr>
                <w:rFonts w:hint="eastAsia" w:ascii="Calibri" w:hAnsi="Calibri" w:eastAsia="宋体" w:cs="Times New Roman"/>
                <w:szCs w:val="22"/>
                <w:highlight w:val="none"/>
              </w:rPr>
            </w:pPr>
            <w:r>
              <w:rPr>
                <w:rFonts w:hint="eastAsia" w:ascii="Calibri" w:hAnsi="Calibri" w:eastAsia="宋体" w:cs="Times New Roman"/>
                <w:szCs w:val="22"/>
                <w:highlight w:val="none"/>
              </w:rPr>
              <w:t>签订时间：</w:t>
            </w:r>
            <w:r>
              <w:rPr>
                <w:rFonts w:hint="default" w:ascii="Calibri" w:hAnsi="Calibri" w:eastAsia="宋体" w:cs="Times New Roman"/>
                <w:szCs w:val="22"/>
                <w:highlight w:val="none"/>
              </w:rPr>
              <w:t>202</w:t>
            </w:r>
            <w:r>
              <w:rPr>
                <w:rFonts w:hint="eastAsia" w:ascii="Calibri" w:hAnsi="Calibri" w:eastAsia="宋体" w:cs="Times New Roman"/>
                <w:szCs w:val="22"/>
                <w:highlight w:val="none"/>
              </w:rPr>
              <w:t>*</w:t>
            </w:r>
            <w:r>
              <w:rPr>
                <w:rFonts w:hint="default" w:ascii="Calibri" w:hAnsi="Calibri" w:eastAsia="宋体" w:cs="Times New Roman"/>
                <w:szCs w:val="22"/>
                <w:highlight w:val="none"/>
              </w:rPr>
              <w:t>年</w:t>
            </w:r>
            <w:r>
              <w:rPr>
                <w:rFonts w:hint="eastAsia" w:ascii="Calibri" w:hAnsi="Calibri" w:eastAsia="宋体" w:cs="Times New Roman"/>
                <w:szCs w:val="22"/>
                <w:highlight w:val="none"/>
              </w:rPr>
              <w:t>*</w:t>
            </w:r>
            <w:r>
              <w:rPr>
                <w:rFonts w:hint="default" w:ascii="Calibri" w:hAnsi="Calibri" w:eastAsia="宋体" w:cs="Times New Roman"/>
                <w:szCs w:val="22"/>
                <w:highlight w:val="none"/>
              </w:rPr>
              <w:t>**月</w:t>
            </w:r>
            <w:r>
              <w:rPr>
                <w:rFonts w:hint="eastAsia" w:ascii="Calibri" w:hAnsi="Calibri" w:eastAsia="宋体" w:cs="Times New Roman"/>
                <w:szCs w:val="22"/>
                <w:highlight w:val="none"/>
              </w:rPr>
              <w:t>*</w:t>
            </w:r>
            <w:r>
              <w:rPr>
                <w:rFonts w:hint="default" w:ascii="Calibri" w:hAnsi="Calibri" w:eastAsia="宋体" w:cs="Times New Roman"/>
                <w:szCs w:val="22"/>
                <w:highlight w:val="none"/>
              </w:rPr>
              <w:t>**</w:t>
            </w:r>
            <w:r>
              <w:rPr>
                <w:rFonts w:hint="eastAsia" w:ascii="Calibri" w:hAnsi="Calibri" w:eastAsia="宋体" w:cs="Times New Roman"/>
                <w:szCs w:val="22"/>
                <w:highlight w:val="none"/>
              </w:rPr>
              <w:t>日</w:t>
            </w:r>
          </w:p>
        </w:tc>
      </w:tr>
      <w:tr w14:paraId="11739AC4">
        <w:tblPrEx>
          <w:tblCellMar>
            <w:top w:w="0" w:type="dxa"/>
            <w:left w:w="0" w:type="dxa"/>
            <w:bottom w:w="0" w:type="dxa"/>
            <w:right w:w="0" w:type="dxa"/>
          </w:tblCellMar>
        </w:tblPrEx>
        <w:trPr>
          <w:jc w:val="center"/>
        </w:trPr>
        <w:tc>
          <w:tcPr>
            <w:tcW w:w="4967" w:type="dxa"/>
            <w:noWrap w:val="0"/>
            <w:vAlign w:val="top"/>
          </w:tcPr>
          <w:p w14:paraId="7326A85A">
            <w:pPr>
              <w:rPr>
                <w:rFonts w:hint="default" w:ascii="Calibri" w:hAnsi="Calibri" w:eastAsia="宋体" w:cs="Times New Roman"/>
                <w:szCs w:val="22"/>
                <w:highlight w:val="none"/>
              </w:rPr>
            </w:pPr>
            <w:r>
              <w:rPr>
                <w:rFonts w:hint="default" w:ascii="Calibri" w:hAnsi="Calibri" w:eastAsia="宋体" w:cs="Times New Roman"/>
                <w:szCs w:val="22"/>
                <w:highlight w:val="none"/>
              </w:rPr>
              <w:t>甲方：四川省人民医院（盖章）</w:t>
            </w:r>
          </w:p>
          <w:p w14:paraId="269AC034">
            <w:pPr>
              <w:rPr>
                <w:rFonts w:hint="default" w:ascii="Calibri" w:hAnsi="Calibri" w:eastAsia="宋体" w:cs="Times New Roman"/>
                <w:szCs w:val="22"/>
                <w:highlight w:val="none"/>
              </w:rPr>
            </w:pPr>
            <w:r>
              <w:rPr>
                <w:rFonts w:hint="default" w:ascii="Calibri" w:hAnsi="Calibri" w:eastAsia="宋体" w:cs="Times New Roman"/>
                <w:szCs w:val="22"/>
                <w:highlight w:val="none"/>
              </w:rPr>
              <w:t>法定代表人（授权代表签字）：</w:t>
            </w:r>
          </w:p>
          <w:p w14:paraId="2F2B8E59">
            <w:pPr>
              <w:rPr>
                <w:rFonts w:hint="default" w:ascii="Calibri" w:hAnsi="Calibri" w:eastAsia="宋体" w:cs="Times New Roman"/>
                <w:szCs w:val="22"/>
                <w:highlight w:val="none"/>
              </w:rPr>
            </w:pPr>
            <w:r>
              <w:rPr>
                <w:rFonts w:hint="default" w:ascii="Calibri" w:hAnsi="Calibri" w:eastAsia="宋体" w:cs="Times New Roman"/>
                <w:szCs w:val="22"/>
                <w:highlight w:val="none"/>
              </w:rPr>
              <w:t>地    址：四川省成都市一环路西二段32号</w:t>
            </w:r>
          </w:p>
          <w:p w14:paraId="0C9F6A0E">
            <w:pPr>
              <w:rPr>
                <w:rFonts w:hint="default" w:ascii="Calibri" w:hAnsi="Calibri" w:eastAsia="宋体" w:cs="Times New Roman"/>
                <w:szCs w:val="22"/>
                <w:highlight w:val="none"/>
              </w:rPr>
            </w:pPr>
            <w:r>
              <w:rPr>
                <w:rFonts w:hint="default" w:ascii="Calibri" w:hAnsi="Calibri" w:eastAsia="宋体" w:cs="Times New Roman"/>
                <w:szCs w:val="22"/>
                <w:highlight w:val="none"/>
              </w:rPr>
              <w:t>开户银行：建设银行成都青羊支行</w:t>
            </w:r>
          </w:p>
          <w:p w14:paraId="58A3E9FE">
            <w:pPr>
              <w:rPr>
                <w:rFonts w:hint="eastAsia" w:ascii="Calibri" w:hAnsi="Calibri" w:eastAsia="宋体" w:cs="Times New Roman"/>
                <w:szCs w:val="22"/>
                <w:highlight w:val="none"/>
              </w:rPr>
            </w:pPr>
            <w:r>
              <w:rPr>
                <w:rFonts w:hint="default" w:ascii="Calibri" w:hAnsi="Calibri" w:eastAsia="宋体" w:cs="Times New Roman"/>
                <w:szCs w:val="22"/>
                <w:highlight w:val="none"/>
              </w:rPr>
              <w:t>账号：5100 1446 4360 5037 4282</w:t>
            </w:r>
          </w:p>
        </w:tc>
        <w:tc>
          <w:tcPr>
            <w:tcW w:w="5247" w:type="dxa"/>
            <w:noWrap w:val="0"/>
            <w:vAlign w:val="top"/>
          </w:tcPr>
          <w:p w14:paraId="65070545">
            <w:pPr>
              <w:rPr>
                <w:rFonts w:hint="default" w:ascii="Calibri" w:hAnsi="Calibri" w:eastAsia="宋体" w:cs="Times New Roman"/>
                <w:szCs w:val="22"/>
                <w:highlight w:val="none"/>
              </w:rPr>
            </w:pPr>
            <w:r>
              <w:rPr>
                <w:rFonts w:hint="default" w:ascii="Calibri" w:hAnsi="Calibri" w:eastAsia="宋体" w:cs="Times New Roman"/>
                <w:szCs w:val="22"/>
                <w:highlight w:val="none"/>
              </w:rPr>
              <w:t>乙方：***（盖章）</w:t>
            </w:r>
          </w:p>
          <w:p w14:paraId="2A471399">
            <w:pPr>
              <w:rPr>
                <w:rFonts w:hint="default" w:ascii="Calibri" w:hAnsi="Calibri" w:eastAsia="宋体" w:cs="Times New Roman"/>
                <w:szCs w:val="22"/>
                <w:highlight w:val="none"/>
              </w:rPr>
            </w:pPr>
            <w:r>
              <w:rPr>
                <w:rFonts w:hint="default" w:ascii="Calibri" w:hAnsi="Calibri" w:eastAsia="宋体" w:cs="Times New Roman"/>
                <w:szCs w:val="22"/>
                <w:highlight w:val="none"/>
              </w:rPr>
              <w:t>法定代表人（授权代表签字）：</w:t>
            </w:r>
          </w:p>
          <w:p w14:paraId="14AA4CAC">
            <w:pPr>
              <w:rPr>
                <w:rFonts w:hint="default" w:ascii="Calibri" w:hAnsi="Calibri" w:eastAsia="宋体" w:cs="Times New Roman"/>
                <w:szCs w:val="22"/>
                <w:highlight w:val="none"/>
              </w:rPr>
            </w:pPr>
            <w:r>
              <w:rPr>
                <w:rFonts w:hint="default" w:ascii="Calibri" w:hAnsi="Calibri" w:eastAsia="宋体" w:cs="Times New Roman"/>
                <w:szCs w:val="22"/>
                <w:highlight w:val="none"/>
              </w:rPr>
              <w:t>地址：***</w:t>
            </w:r>
          </w:p>
          <w:p w14:paraId="07FFFCB5">
            <w:pPr>
              <w:rPr>
                <w:rFonts w:hint="default" w:ascii="Calibri" w:hAnsi="Calibri" w:eastAsia="宋体" w:cs="Times New Roman"/>
                <w:szCs w:val="22"/>
                <w:highlight w:val="none"/>
              </w:rPr>
            </w:pPr>
            <w:r>
              <w:rPr>
                <w:rFonts w:hint="default" w:ascii="Calibri" w:hAnsi="Calibri" w:eastAsia="宋体" w:cs="Times New Roman"/>
                <w:szCs w:val="22"/>
                <w:highlight w:val="none"/>
              </w:rPr>
              <w:t>开户银行：***</w:t>
            </w:r>
          </w:p>
          <w:p w14:paraId="7C759478">
            <w:pPr>
              <w:rPr>
                <w:rFonts w:hint="eastAsia" w:ascii="Calibri" w:hAnsi="Calibri" w:eastAsia="宋体" w:cs="Times New Roman"/>
                <w:szCs w:val="22"/>
                <w:highlight w:val="none"/>
              </w:rPr>
            </w:pPr>
            <w:r>
              <w:rPr>
                <w:rFonts w:hint="default" w:ascii="Calibri" w:hAnsi="Calibri" w:eastAsia="宋体" w:cs="Times New Roman"/>
                <w:szCs w:val="22"/>
                <w:highlight w:val="none"/>
              </w:rPr>
              <w:t>账号：***</w:t>
            </w:r>
          </w:p>
        </w:tc>
      </w:tr>
    </w:tbl>
    <w:p w14:paraId="087CA8A3">
      <w:pPr>
        <w:rPr>
          <w:highlight w:val="none"/>
        </w:rPr>
        <w:sectPr>
          <w:footerReference r:id="rId7" w:type="default"/>
          <w:pgSz w:w="11906" w:h="16838"/>
          <w:pgMar w:top="1440" w:right="1803" w:bottom="1440" w:left="1803" w:header="851" w:footer="567" w:gutter="0"/>
          <w:pgNumType w:fmt="decimal" w:start="1"/>
          <w:cols w:space="720" w:num="1"/>
          <w:docGrid w:type="lines" w:linePitch="312" w:charSpace="0"/>
        </w:sectPr>
      </w:pPr>
    </w:p>
    <w:p w14:paraId="72FF12DC">
      <w:pPr>
        <w:rPr>
          <w:rFonts w:hint="default" w:ascii="Times New Roman" w:hAnsi="Times New Roman" w:eastAsia="宋体" w:cs="Times New Roman"/>
          <w:b/>
          <w:bCs/>
          <w:szCs w:val="21"/>
        </w:rPr>
      </w:pPr>
      <w:r>
        <w:rPr>
          <w:rFonts w:hint="eastAsia" w:ascii="Times New Roman" w:hAnsi="Times New Roman" w:eastAsia="宋体" w:cs="Times New Roman"/>
          <w:b/>
          <w:bCs/>
          <w:szCs w:val="21"/>
        </w:rPr>
        <w:t>附件：开发进度表</w:t>
      </w:r>
    </w:p>
    <w:p w14:paraId="528018E9">
      <w:pPr>
        <w:widowControl w:val="0"/>
        <w:spacing w:after="120"/>
        <w:ind w:firstLine="0" w:firstLineChars="0"/>
        <w:contextualSpacing/>
        <w:jc w:val="both"/>
        <w:rPr>
          <w:rFonts w:hint="default" w:ascii="Times New Roman" w:hAnsi="Times New Roman" w:eastAsia="宋体" w:cs="Times New Roman"/>
          <w:kern w:val="2"/>
          <w:sz w:val="21"/>
          <w:szCs w:val="22"/>
          <w:lang w:val="en-US" w:eastAsia="zh-CN" w:bidi="ar-SA"/>
        </w:rPr>
      </w:pPr>
    </w:p>
    <w:p w14:paraId="400CA4C2">
      <w:pPr>
        <w:widowControl w:val="0"/>
        <w:spacing w:after="120"/>
        <w:ind w:firstLine="0" w:firstLineChars="0"/>
        <w:jc w:val="both"/>
        <w:rPr>
          <w:rFonts w:hint="eastAsia" w:ascii="Calibri" w:hAnsi="Calibri" w:eastAsia="宋体" w:cs="Times New Roman"/>
          <w:kern w:val="2"/>
          <w:sz w:val="21"/>
          <w:szCs w:val="22"/>
          <w:lang w:val="en-US" w:eastAsia="zh-CN" w:bidi="ar-SA"/>
        </w:rPr>
      </w:pPr>
      <w:r>
        <w:rPr>
          <w:rFonts w:hint="eastAsia" w:ascii="Calibri" w:hAnsi="Calibri" w:eastAsia="宋体" w:cs="Times New Roman"/>
          <w:kern w:val="2"/>
          <w:sz w:val="21"/>
          <w:szCs w:val="22"/>
          <w:lang w:val="en-US" w:eastAsia="zh-CN" w:bidi="ar-SA"/>
        </w:rPr>
        <w:t>*</w:t>
      </w:r>
      <w:r>
        <w:rPr>
          <w:rFonts w:hint="default" w:ascii="Calibri" w:hAnsi="Calibri" w:eastAsia="宋体" w:cs="Times New Roman"/>
          <w:kern w:val="2"/>
          <w:sz w:val="21"/>
          <w:szCs w:val="22"/>
          <w:lang w:val="en-US" w:eastAsia="zh-CN" w:bidi="ar-SA"/>
        </w:rPr>
        <w:t>**</w:t>
      </w:r>
    </w:p>
    <w:p w14:paraId="4F0F983D">
      <w:pPr>
        <w:rPr>
          <w:rFonts w:hint="default" w:ascii="Calibri" w:hAnsi="Calibri" w:eastAsia="宋体" w:cs="Times New Roman"/>
          <w:szCs w:val="2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2"/>
        <w:spacing w:line="276" w:lineRule="auto"/>
        <w:ind w:firstLine="420" w:firstLineChars="200"/>
        <w:jc w:val="left"/>
        <w:rPr>
          <w:rFonts w:hint="default" w:ascii="Times New Roman" w:hAnsi="Times New Roman" w:eastAsia="宋体" w:cs="Times New Roman"/>
          <w:color w:val="auto"/>
          <w:highlight w:val="none"/>
        </w:rPr>
      </w:pPr>
    </w:p>
    <w:sectPr>
      <w:footerReference r:id="rId9" w:type="first"/>
      <w:footerReference r:id="rId8"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9"/>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58512">
    <w:pPr>
      <w:pStyle w:val="9"/>
      <w:rPr>
        <w:rFonts w:hint="default"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CC4CAD2">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CC4CAD2">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9"/>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14E66F9">
                          <w:pPr>
                            <w:pStyle w:val="9"/>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14E66F9">
                    <w:pPr>
                      <w:pStyle w:val="9"/>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32</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96D7A94">
                          <w:pPr>
                            <w:pStyle w:val="9"/>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eastAsia="宋体"/>
                              <w:lang w:val="en-US" w:eastAsia="zh-CN"/>
                            </w:rPr>
                            <w:t>32</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96D7A94">
                    <w:pPr>
                      <w:pStyle w:val="9"/>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eastAsia="宋体"/>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10"/>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10"/>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E5CA4B2"/>
    <w:multiLevelType w:val="singleLevel"/>
    <w:tmpl w:val="0E5CA4B2"/>
    <w:lvl w:ilvl="0" w:tentative="0">
      <w:start w:val="1"/>
      <w:numFmt w:val="chineseCounting"/>
      <w:pStyle w:val="5"/>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20" w:hanging="425"/>
      </w:pPr>
      <w:rPr>
        <w:rFonts w:hint="default"/>
      </w:rPr>
    </w:lvl>
  </w:abstractNum>
  <w:abstractNum w:abstractNumId="14">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49EF94E"/>
    <w:multiLevelType w:val="multilevel"/>
    <w:tmpl w:val="549EF94E"/>
    <w:lvl w:ilvl="0" w:tentative="0">
      <w:start w:val="1"/>
      <w:numFmt w:val="chineseCounting"/>
      <w:pStyle w:val="4"/>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4">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3"/>
  </w:num>
  <w:num w:numId="2">
    <w:abstractNumId w:val="9"/>
  </w:num>
  <w:num w:numId="3">
    <w:abstractNumId w:val="3"/>
  </w:num>
  <w:num w:numId="4">
    <w:abstractNumId w:val="33"/>
  </w:num>
  <w:num w:numId="5">
    <w:abstractNumId w:val="13"/>
  </w:num>
  <w:num w:numId="6">
    <w:abstractNumId w:val="27"/>
  </w:num>
  <w:num w:numId="7">
    <w:abstractNumId w:val="20"/>
  </w:num>
  <w:num w:numId="8">
    <w:abstractNumId w:val="2"/>
  </w:num>
  <w:num w:numId="9">
    <w:abstractNumId w:val="0"/>
  </w:num>
  <w:num w:numId="10">
    <w:abstractNumId w:val="14"/>
  </w:num>
  <w:num w:numId="11">
    <w:abstractNumId w:val="1"/>
  </w:num>
  <w:num w:numId="12">
    <w:abstractNumId w:val="31"/>
  </w:num>
  <w:num w:numId="13">
    <w:abstractNumId w:val="12"/>
  </w:num>
  <w:num w:numId="14">
    <w:abstractNumId w:val="11"/>
  </w:num>
  <w:num w:numId="15">
    <w:abstractNumId w:val="5"/>
  </w:num>
  <w:num w:numId="16">
    <w:abstractNumId w:val="24"/>
  </w:num>
  <w:num w:numId="17">
    <w:abstractNumId w:val="6"/>
  </w:num>
  <w:num w:numId="18">
    <w:abstractNumId w:val="29"/>
  </w:num>
  <w:num w:numId="19">
    <w:abstractNumId w:val="4"/>
  </w:num>
  <w:num w:numId="20">
    <w:abstractNumId w:val="19"/>
  </w:num>
  <w:num w:numId="21">
    <w:abstractNumId w:val="18"/>
  </w:num>
  <w:num w:numId="22">
    <w:abstractNumId w:val="32"/>
  </w:num>
  <w:num w:numId="23">
    <w:abstractNumId w:val="25"/>
  </w:num>
  <w:num w:numId="24">
    <w:abstractNumId w:val="7"/>
  </w:num>
  <w:num w:numId="25">
    <w:abstractNumId w:val="15"/>
  </w:num>
  <w:num w:numId="26">
    <w:abstractNumId w:val="17"/>
  </w:num>
  <w:num w:numId="27">
    <w:abstractNumId w:val="30"/>
  </w:num>
  <w:num w:numId="28">
    <w:abstractNumId w:val="28"/>
  </w:num>
  <w:num w:numId="29">
    <w:abstractNumId w:val="21"/>
  </w:num>
  <w:num w:numId="30">
    <w:abstractNumId w:val="16"/>
  </w:num>
  <w:num w:numId="31">
    <w:abstractNumId w:val="8"/>
  </w:num>
  <w:num w:numId="32">
    <w:abstractNumId w:val="22"/>
  </w:num>
  <w:num w:numId="33">
    <w:abstractNumId w:val="1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0F7B7E"/>
    <w:rsid w:val="025C1016"/>
    <w:rsid w:val="029A38EC"/>
    <w:rsid w:val="02C848FD"/>
    <w:rsid w:val="02CD3CC1"/>
    <w:rsid w:val="032842F9"/>
    <w:rsid w:val="03763AA5"/>
    <w:rsid w:val="03F90AE6"/>
    <w:rsid w:val="048D65BC"/>
    <w:rsid w:val="04B97749"/>
    <w:rsid w:val="04E1148C"/>
    <w:rsid w:val="051931EE"/>
    <w:rsid w:val="051C2CDE"/>
    <w:rsid w:val="051E25B2"/>
    <w:rsid w:val="053578FC"/>
    <w:rsid w:val="05AB5E10"/>
    <w:rsid w:val="065663FB"/>
    <w:rsid w:val="065F7326"/>
    <w:rsid w:val="067508F8"/>
    <w:rsid w:val="06826B71"/>
    <w:rsid w:val="06976AC0"/>
    <w:rsid w:val="069C40D7"/>
    <w:rsid w:val="06DE46EF"/>
    <w:rsid w:val="074B78AB"/>
    <w:rsid w:val="074D53D1"/>
    <w:rsid w:val="08CB3FC4"/>
    <w:rsid w:val="092150D0"/>
    <w:rsid w:val="094620D8"/>
    <w:rsid w:val="0A486323"/>
    <w:rsid w:val="0A6F565E"/>
    <w:rsid w:val="0AD656DD"/>
    <w:rsid w:val="0AF90E34"/>
    <w:rsid w:val="0B204BAA"/>
    <w:rsid w:val="0B4A02F0"/>
    <w:rsid w:val="0B4E34C6"/>
    <w:rsid w:val="0B552AA6"/>
    <w:rsid w:val="0B9C39D7"/>
    <w:rsid w:val="0B9F6417"/>
    <w:rsid w:val="0BC1013B"/>
    <w:rsid w:val="0BD25EA5"/>
    <w:rsid w:val="0BED0D1B"/>
    <w:rsid w:val="0C2D757F"/>
    <w:rsid w:val="0C3E763F"/>
    <w:rsid w:val="0C4C20FB"/>
    <w:rsid w:val="0C915D60"/>
    <w:rsid w:val="0CC7352F"/>
    <w:rsid w:val="0D3D7C96"/>
    <w:rsid w:val="0D5F7C0C"/>
    <w:rsid w:val="0D833B11"/>
    <w:rsid w:val="0DD622EF"/>
    <w:rsid w:val="0DF90060"/>
    <w:rsid w:val="0DFF5E39"/>
    <w:rsid w:val="0E341099"/>
    <w:rsid w:val="0E5434E9"/>
    <w:rsid w:val="0E7019A5"/>
    <w:rsid w:val="0EC87A33"/>
    <w:rsid w:val="0F046CBD"/>
    <w:rsid w:val="0F525F00"/>
    <w:rsid w:val="0F697FB8"/>
    <w:rsid w:val="0F756B2C"/>
    <w:rsid w:val="0F781459"/>
    <w:rsid w:val="0F9D0940"/>
    <w:rsid w:val="0FB75ADD"/>
    <w:rsid w:val="10376C1E"/>
    <w:rsid w:val="10563548"/>
    <w:rsid w:val="105F7F23"/>
    <w:rsid w:val="108F6A5A"/>
    <w:rsid w:val="10AD5132"/>
    <w:rsid w:val="113A274F"/>
    <w:rsid w:val="11494E5B"/>
    <w:rsid w:val="11851C0B"/>
    <w:rsid w:val="11A1591C"/>
    <w:rsid w:val="120F276F"/>
    <w:rsid w:val="124C7D2B"/>
    <w:rsid w:val="126D4B79"/>
    <w:rsid w:val="12C1461A"/>
    <w:rsid w:val="13081A3E"/>
    <w:rsid w:val="1340403C"/>
    <w:rsid w:val="136E5EEF"/>
    <w:rsid w:val="1396715A"/>
    <w:rsid w:val="13B011C1"/>
    <w:rsid w:val="14045069"/>
    <w:rsid w:val="1457788F"/>
    <w:rsid w:val="14787805"/>
    <w:rsid w:val="147C10A3"/>
    <w:rsid w:val="147C72F5"/>
    <w:rsid w:val="14972381"/>
    <w:rsid w:val="15957368"/>
    <w:rsid w:val="15B42ABF"/>
    <w:rsid w:val="15B60FD5"/>
    <w:rsid w:val="162C0264"/>
    <w:rsid w:val="163C6D3C"/>
    <w:rsid w:val="16930926"/>
    <w:rsid w:val="17620A24"/>
    <w:rsid w:val="17A0154D"/>
    <w:rsid w:val="18075128"/>
    <w:rsid w:val="180B10BC"/>
    <w:rsid w:val="188350F6"/>
    <w:rsid w:val="189F1804"/>
    <w:rsid w:val="18BB296F"/>
    <w:rsid w:val="18D05E62"/>
    <w:rsid w:val="18D771F0"/>
    <w:rsid w:val="19397563"/>
    <w:rsid w:val="193E101D"/>
    <w:rsid w:val="19B25567"/>
    <w:rsid w:val="19DD2D01"/>
    <w:rsid w:val="1A3650F2"/>
    <w:rsid w:val="1A9A2283"/>
    <w:rsid w:val="1B261D69"/>
    <w:rsid w:val="1B5763C6"/>
    <w:rsid w:val="1B925650"/>
    <w:rsid w:val="1BDE10A2"/>
    <w:rsid w:val="1BF14125"/>
    <w:rsid w:val="1C275D99"/>
    <w:rsid w:val="1C4F709D"/>
    <w:rsid w:val="1C676ADD"/>
    <w:rsid w:val="1C7865F4"/>
    <w:rsid w:val="1C790AFD"/>
    <w:rsid w:val="1C9F6277"/>
    <w:rsid w:val="1D145501"/>
    <w:rsid w:val="1D322C47"/>
    <w:rsid w:val="1D4E37F9"/>
    <w:rsid w:val="1D8A4831"/>
    <w:rsid w:val="1D9B2F98"/>
    <w:rsid w:val="1DA84CB7"/>
    <w:rsid w:val="1DBA49EB"/>
    <w:rsid w:val="1E024BEA"/>
    <w:rsid w:val="1E2A7DC2"/>
    <w:rsid w:val="1E6004DA"/>
    <w:rsid w:val="1E840723"/>
    <w:rsid w:val="1E894AE9"/>
    <w:rsid w:val="20087C8F"/>
    <w:rsid w:val="200C3C23"/>
    <w:rsid w:val="201C373B"/>
    <w:rsid w:val="20607ACB"/>
    <w:rsid w:val="20992FDD"/>
    <w:rsid w:val="2100305C"/>
    <w:rsid w:val="210C1A01"/>
    <w:rsid w:val="2116462E"/>
    <w:rsid w:val="2130749E"/>
    <w:rsid w:val="214D44F3"/>
    <w:rsid w:val="22042CE5"/>
    <w:rsid w:val="223B434C"/>
    <w:rsid w:val="228850B7"/>
    <w:rsid w:val="229D5007"/>
    <w:rsid w:val="23533917"/>
    <w:rsid w:val="235A6A54"/>
    <w:rsid w:val="2389558B"/>
    <w:rsid w:val="23971A56"/>
    <w:rsid w:val="23B51EDC"/>
    <w:rsid w:val="23C30A9D"/>
    <w:rsid w:val="23FE1AD5"/>
    <w:rsid w:val="24156E1F"/>
    <w:rsid w:val="24CE2760"/>
    <w:rsid w:val="2503311B"/>
    <w:rsid w:val="2536704D"/>
    <w:rsid w:val="260A783C"/>
    <w:rsid w:val="2677791D"/>
    <w:rsid w:val="268D7140"/>
    <w:rsid w:val="26CD33AF"/>
    <w:rsid w:val="26D44D6F"/>
    <w:rsid w:val="27BA5D13"/>
    <w:rsid w:val="27D03788"/>
    <w:rsid w:val="27ED433A"/>
    <w:rsid w:val="27F37477"/>
    <w:rsid w:val="27F46F98"/>
    <w:rsid w:val="280B656E"/>
    <w:rsid w:val="281D62A2"/>
    <w:rsid w:val="28DB23E5"/>
    <w:rsid w:val="297B3BC8"/>
    <w:rsid w:val="297C274F"/>
    <w:rsid w:val="297E0FC2"/>
    <w:rsid w:val="298C3AA9"/>
    <w:rsid w:val="29A7676B"/>
    <w:rsid w:val="2A1F4553"/>
    <w:rsid w:val="2B0F45C8"/>
    <w:rsid w:val="2B45448D"/>
    <w:rsid w:val="2B5B15BB"/>
    <w:rsid w:val="2B830B12"/>
    <w:rsid w:val="2C2B3683"/>
    <w:rsid w:val="2C994A91"/>
    <w:rsid w:val="2CA945A8"/>
    <w:rsid w:val="2CED0939"/>
    <w:rsid w:val="2CFE2B46"/>
    <w:rsid w:val="2D0D2D89"/>
    <w:rsid w:val="2D7B7CF2"/>
    <w:rsid w:val="2DBF0527"/>
    <w:rsid w:val="2DC4138A"/>
    <w:rsid w:val="2DCC49F2"/>
    <w:rsid w:val="2DF33D2D"/>
    <w:rsid w:val="2E19750B"/>
    <w:rsid w:val="2E2E1209"/>
    <w:rsid w:val="2E513149"/>
    <w:rsid w:val="2E5C5D76"/>
    <w:rsid w:val="2E67296D"/>
    <w:rsid w:val="2E7806D6"/>
    <w:rsid w:val="2E953036"/>
    <w:rsid w:val="2E954282"/>
    <w:rsid w:val="2EFE507F"/>
    <w:rsid w:val="2F1C5505"/>
    <w:rsid w:val="2F1F1070"/>
    <w:rsid w:val="2F335C20"/>
    <w:rsid w:val="2F3A3BDD"/>
    <w:rsid w:val="2F3E6F9F"/>
    <w:rsid w:val="2F762E67"/>
    <w:rsid w:val="2F974B8C"/>
    <w:rsid w:val="2FC736C3"/>
    <w:rsid w:val="2FE204FD"/>
    <w:rsid w:val="30CB71E3"/>
    <w:rsid w:val="310F3573"/>
    <w:rsid w:val="314B0324"/>
    <w:rsid w:val="3192385D"/>
    <w:rsid w:val="31A31F0E"/>
    <w:rsid w:val="31B5579D"/>
    <w:rsid w:val="32000BDF"/>
    <w:rsid w:val="327411B4"/>
    <w:rsid w:val="3287538B"/>
    <w:rsid w:val="32981347"/>
    <w:rsid w:val="32CB34CA"/>
    <w:rsid w:val="33030EB6"/>
    <w:rsid w:val="33497B0A"/>
    <w:rsid w:val="33A87367"/>
    <w:rsid w:val="33B57CD6"/>
    <w:rsid w:val="34180991"/>
    <w:rsid w:val="34190265"/>
    <w:rsid w:val="345179FF"/>
    <w:rsid w:val="346040E6"/>
    <w:rsid w:val="346E0E53"/>
    <w:rsid w:val="34902286"/>
    <w:rsid w:val="34E24AFB"/>
    <w:rsid w:val="34F07218"/>
    <w:rsid w:val="350E3B42"/>
    <w:rsid w:val="35264A4C"/>
    <w:rsid w:val="3532368F"/>
    <w:rsid w:val="353F2D47"/>
    <w:rsid w:val="3579545F"/>
    <w:rsid w:val="35F20D1A"/>
    <w:rsid w:val="36343134"/>
    <w:rsid w:val="363B44C3"/>
    <w:rsid w:val="36BE6EA2"/>
    <w:rsid w:val="36D93CDC"/>
    <w:rsid w:val="371B42F4"/>
    <w:rsid w:val="3763616F"/>
    <w:rsid w:val="37B95FE7"/>
    <w:rsid w:val="37C96C92"/>
    <w:rsid w:val="37E40B8A"/>
    <w:rsid w:val="38514471"/>
    <w:rsid w:val="385775AE"/>
    <w:rsid w:val="386C12AB"/>
    <w:rsid w:val="38A1734A"/>
    <w:rsid w:val="38A81C3F"/>
    <w:rsid w:val="38F81DDC"/>
    <w:rsid w:val="39627FB8"/>
    <w:rsid w:val="397A0ADB"/>
    <w:rsid w:val="399565E0"/>
    <w:rsid w:val="39BC591B"/>
    <w:rsid w:val="39D07618"/>
    <w:rsid w:val="39FC21BB"/>
    <w:rsid w:val="3A1C285D"/>
    <w:rsid w:val="3A1F234D"/>
    <w:rsid w:val="3A2801BE"/>
    <w:rsid w:val="3A6D3892"/>
    <w:rsid w:val="3A7E7074"/>
    <w:rsid w:val="3B311935"/>
    <w:rsid w:val="3B4C7172"/>
    <w:rsid w:val="3B714E2B"/>
    <w:rsid w:val="3B822B94"/>
    <w:rsid w:val="3B9C1EA7"/>
    <w:rsid w:val="3BBF5B96"/>
    <w:rsid w:val="3C0D6901"/>
    <w:rsid w:val="3C0E61D6"/>
    <w:rsid w:val="3C236125"/>
    <w:rsid w:val="3C3A63A3"/>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3FF51498"/>
    <w:rsid w:val="402266F3"/>
    <w:rsid w:val="40662A84"/>
    <w:rsid w:val="40B51316"/>
    <w:rsid w:val="41390199"/>
    <w:rsid w:val="41434B73"/>
    <w:rsid w:val="41474664"/>
    <w:rsid w:val="414C2F42"/>
    <w:rsid w:val="418238EE"/>
    <w:rsid w:val="41D57EC1"/>
    <w:rsid w:val="42073DF3"/>
    <w:rsid w:val="42D02437"/>
    <w:rsid w:val="430640AA"/>
    <w:rsid w:val="43BB6C43"/>
    <w:rsid w:val="43C04259"/>
    <w:rsid w:val="43C05B54"/>
    <w:rsid w:val="43D146B8"/>
    <w:rsid w:val="43DD4E0B"/>
    <w:rsid w:val="43E837B0"/>
    <w:rsid w:val="43FE4D82"/>
    <w:rsid w:val="441177D6"/>
    <w:rsid w:val="441A7E0D"/>
    <w:rsid w:val="44FF311D"/>
    <w:rsid w:val="45592BB7"/>
    <w:rsid w:val="4568104C"/>
    <w:rsid w:val="46054AED"/>
    <w:rsid w:val="46146ADE"/>
    <w:rsid w:val="461D5993"/>
    <w:rsid w:val="46377A12"/>
    <w:rsid w:val="46677DCD"/>
    <w:rsid w:val="468C6D22"/>
    <w:rsid w:val="46B362F7"/>
    <w:rsid w:val="474156B1"/>
    <w:rsid w:val="47441126"/>
    <w:rsid w:val="47491CA4"/>
    <w:rsid w:val="474B4782"/>
    <w:rsid w:val="476D64A6"/>
    <w:rsid w:val="47A0687C"/>
    <w:rsid w:val="47C00CCC"/>
    <w:rsid w:val="48376AB4"/>
    <w:rsid w:val="485B27A2"/>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B095FC3"/>
    <w:rsid w:val="4B0C247A"/>
    <w:rsid w:val="4B517E8D"/>
    <w:rsid w:val="4B663938"/>
    <w:rsid w:val="4C431ECB"/>
    <w:rsid w:val="4C51283A"/>
    <w:rsid w:val="4C756154"/>
    <w:rsid w:val="4C9269AF"/>
    <w:rsid w:val="4CA0731E"/>
    <w:rsid w:val="4CD00B02"/>
    <w:rsid w:val="4CEC2563"/>
    <w:rsid w:val="4CF51D9E"/>
    <w:rsid w:val="4CF82CB6"/>
    <w:rsid w:val="4D0E072B"/>
    <w:rsid w:val="4D1D44CA"/>
    <w:rsid w:val="4D4F4C44"/>
    <w:rsid w:val="4DA16EA9"/>
    <w:rsid w:val="4DBC7557"/>
    <w:rsid w:val="4DEC79E7"/>
    <w:rsid w:val="4E473EF5"/>
    <w:rsid w:val="4E870795"/>
    <w:rsid w:val="4EBF6B30"/>
    <w:rsid w:val="4EC73630"/>
    <w:rsid w:val="4EE03A01"/>
    <w:rsid w:val="4F091DE1"/>
    <w:rsid w:val="4F132029"/>
    <w:rsid w:val="4F29184C"/>
    <w:rsid w:val="4F391364"/>
    <w:rsid w:val="4F443F90"/>
    <w:rsid w:val="4F5F701C"/>
    <w:rsid w:val="4F6B58A1"/>
    <w:rsid w:val="4FCE7CFE"/>
    <w:rsid w:val="4FD36D7D"/>
    <w:rsid w:val="4FDC68BF"/>
    <w:rsid w:val="4FE439C5"/>
    <w:rsid w:val="500E7836"/>
    <w:rsid w:val="503404A9"/>
    <w:rsid w:val="5067585C"/>
    <w:rsid w:val="506A211C"/>
    <w:rsid w:val="507B60D8"/>
    <w:rsid w:val="50A8054F"/>
    <w:rsid w:val="50D92DFE"/>
    <w:rsid w:val="50E27F05"/>
    <w:rsid w:val="5100482F"/>
    <w:rsid w:val="5116195C"/>
    <w:rsid w:val="5144296E"/>
    <w:rsid w:val="51EE28D9"/>
    <w:rsid w:val="51FE0D6E"/>
    <w:rsid w:val="52391DA6"/>
    <w:rsid w:val="528D20F2"/>
    <w:rsid w:val="52972F71"/>
    <w:rsid w:val="529E1C09"/>
    <w:rsid w:val="52D7511B"/>
    <w:rsid w:val="5314011E"/>
    <w:rsid w:val="534E1882"/>
    <w:rsid w:val="53520B81"/>
    <w:rsid w:val="53A019B1"/>
    <w:rsid w:val="545A4256"/>
    <w:rsid w:val="54817A35"/>
    <w:rsid w:val="54B020C8"/>
    <w:rsid w:val="54D20290"/>
    <w:rsid w:val="54F65018"/>
    <w:rsid w:val="55006BAB"/>
    <w:rsid w:val="556C5FEF"/>
    <w:rsid w:val="559374CC"/>
    <w:rsid w:val="56066443"/>
    <w:rsid w:val="56495EF2"/>
    <w:rsid w:val="56666EE2"/>
    <w:rsid w:val="56682C5A"/>
    <w:rsid w:val="568A2F61"/>
    <w:rsid w:val="56D71B8E"/>
    <w:rsid w:val="56E61DD1"/>
    <w:rsid w:val="57624FD6"/>
    <w:rsid w:val="57F347A6"/>
    <w:rsid w:val="58164938"/>
    <w:rsid w:val="58DC7930"/>
    <w:rsid w:val="59BD4057"/>
    <w:rsid w:val="59C75EEA"/>
    <w:rsid w:val="5A007FC9"/>
    <w:rsid w:val="5A0E6D1C"/>
    <w:rsid w:val="5A1B2D58"/>
    <w:rsid w:val="5A494B51"/>
    <w:rsid w:val="5A9D4E9D"/>
    <w:rsid w:val="5ABA77FD"/>
    <w:rsid w:val="5AC32B55"/>
    <w:rsid w:val="5B3A1682"/>
    <w:rsid w:val="5B780C22"/>
    <w:rsid w:val="5B7B3430"/>
    <w:rsid w:val="5B7F45A2"/>
    <w:rsid w:val="5BFD3497"/>
    <w:rsid w:val="5C003935"/>
    <w:rsid w:val="5C043425"/>
    <w:rsid w:val="5C2E163D"/>
    <w:rsid w:val="5C337866"/>
    <w:rsid w:val="5C553C81"/>
    <w:rsid w:val="5C89392A"/>
    <w:rsid w:val="5CE31F05"/>
    <w:rsid w:val="5CFA0384"/>
    <w:rsid w:val="5CFD7E74"/>
    <w:rsid w:val="5D5F6439"/>
    <w:rsid w:val="5DA12EF6"/>
    <w:rsid w:val="5DB6074F"/>
    <w:rsid w:val="5E1216FE"/>
    <w:rsid w:val="5E4E4E2C"/>
    <w:rsid w:val="5E8F0FA0"/>
    <w:rsid w:val="5ED41285"/>
    <w:rsid w:val="5F0947DD"/>
    <w:rsid w:val="5F5D4BFA"/>
    <w:rsid w:val="5FAB005C"/>
    <w:rsid w:val="5FAB3BB8"/>
    <w:rsid w:val="60822D96"/>
    <w:rsid w:val="60882223"/>
    <w:rsid w:val="60BE084B"/>
    <w:rsid w:val="60F11A9E"/>
    <w:rsid w:val="61131A15"/>
    <w:rsid w:val="61FF01EB"/>
    <w:rsid w:val="620829BD"/>
    <w:rsid w:val="6283706E"/>
    <w:rsid w:val="62976675"/>
    <w:rsid w:val="6299419B"/>
    <w:rsid w:val="62D16373"/>
    <w:rsid w:val="62D82F16"/>
    <w:rsid w:val="62F42106"/>
    <w:rsid w:val="635B58F5"/>
    <w:rsid w:val="63DD3E3D"/>
    <w:rsid w:val="63DE27AE"/>
    <w:rsid w:val="63ED1601"/>
    <w:rsid w:val="640B10C9"/>
    <w:rsid w:val="64346872"/>
    <w:rsid w:val="64AA6B34"/>
    <w:rsid w:val="65211E78"/>
    <w:rsid w:val="65424FBE"/>
    <w:rsid w:val="65716164"/>
    <w:rsid w:val="65E258D7"/>
    <w:rsid w:val="660D1128"/>
    <w:rsid w:val="66236B9E"/>
    <w:rsid w:val="66334C73"/>
    <w:rsid w:val="66970432"/>
    <w:rsid w:val="66C20165"/>
    <w:rsid w:val="66E16B34"/>
    <w:rsid w:val="66E53E53"/>
    <w:rsid w:val="6727621A"/>
    <w:rsid w:val="67892A30"/>
    <w:rsid w:val="67902011"/>
    <w:rsid w:val="67C1666E"/>
    <w:rsid w:val="67E73BFB"/>
    <w:rsid w:val="683C5CF5"/>
    <w:rsid w:val="68462BCD"/>
    <w:rsid w:val="684844AC"/>
    <w:rsid w:val="684921C0"/>
    <w:rsid w:val="68701E42"/>
    <w:rsid w:val="688768E9"/>
    <w:rsid w:val="693E784B"/>
    <w:rsid w:val="69416EAD"/>
    <w:rsid w:val="694F7E51"/>
    <w:rsid w:val="69961435"/>
    <w:rsid w:val="69B53FB1"/>
    <w:rsid w:val="6A2151A2"/>
    <w:rsid w:val="6A225B71"/>
    <w:rsid w:val="6A617C95"/>
    <w:rsid w:val="6A890F99"/>
    <w:rsid w:val="6AA81420"/>
    <w:rsid w:val="6AC63F9C"/>
    <w:rsid w:val="6AFB1E97"/>
    <w:rsid w:val="6B00125C"/>
    <w:rsid w:val="6B63497D"/>
    <w:rsid w:val="6B993E13"/>
    <w:rsid w:val="6BD821D8"/>
    <w:rsid w:val="6C040682"/>
    <w:rsid w:val="6C1825D5"/>
    <w:rsid w:val="6CF070AE"/>
    <w:rsid w:val="6D564496"/>
    <w:rsid w:val="6DC36570"/>
    <w:rsid w:val="6DC76061"/>
    <w:rsid w:val="6E470F4F"/>
    <w:rsid w:val="6E7A1325"/>
    <w:rsid w:val="6EC425A0"/>
    <w:rsid w:val="6ECB7DD2"/>
    <w:rsid w:val="6EDC3D8E"/>
    <w:rsid w:val="6F6A75EB"/>
    <w:rsid w:val="702B1DB3"/>
    <w:rsid w:val="70311EB7"/>
    <w:rsid w:val="70DE203F"/>
    <w:rsid w:val="711315BD"/>
    <w:rsid w:val="714037D3"/>
    <w:rsid w:val="71573B9F"/>
    <w:rsid w:val="71940C37"/>
    <w:rsid w:val="719721EE"/>
    <w:rsid w:val="72227D09"/>
    <w:rsid w:val="722A3062"/>
    <w:rsid w:val="7260609B"/>
    <w:rsid w:val="72C55A38"/>
    <w:rsid w:val="7327134F"/>
    <w:rsid w:val="732A5565"/>
    <w:rsid w:val="73301B5E"/>
    <w:rsid w:val="736C7698"/>
    <w:rsid w:val="737E1108"/>
    <w:rsid w:val="73A3131E"/>
    <w:rsid w:val="73BA4A84"/>
    <w:rsid w:val="73E739C6"/>
    <w:rsid w:val="747477EB"/>
    <w:rsid w:val="74820F33"/>
    <w:rsid w:val="74BF5CE3"/>
    <w:rsid w:val="74CA3328"/>
    <w:rsid w:val="74D3178F"/>
    <w:rsid w:val="75501031"/>
    <w:rsid w:val="755E374E"/>
    <w:rsid w:val="759B487F"/>
    <w:rsid w:val="75A506B2"/>
    <w:rsid w:val="75BA6BBF"/>
    <w:rsid w:val="75C31803"/>
    <w:rsid w:val="75DA1174"/>
    <w:rsid w:val="75F25C45"/>
    <w:rsid w:val="76085468"/>
    <w:rsid w:val="762A7AD4"/>
    <w:rsid w:val="76761669"/>
    <w:rsid w:val="768F26FA"/>
    <w:rsid w:val="769D1B10"/>
    <w:rsid w:val="76CA0970"/>
    <w:rsid w:val="76CA6BC2"/>
    <w:rsid w:val="774C5829"/>
    <w:rsid w:val="77F008AA"/>
    <w:rsid w:val="78281DF2"/>
    <w:rsid w:val="78362761"/>
    <w:rsid w:val="783764D9"/>
    <w:rsid w:val="78931961"/>
    <w:rsid w:val="78986F77"/>
    <w:rsid w:val="79181E66"/>
    <w:rsid w:val="795D5A80"/>
    <w:rsid w:val="79764A39"/>
    <w:rsid w:val="7A0348C4"/>
    <w:rsid w:val="7A2D7B93"/>
    <w:rsid w:val="7AB43E11"/>
    <w:rsid w:val="7AB83901"/>
    <w:rsid w:val="7BB87930"/>
    <w:rsid w:val="7BF96512"/>
    <w:rsid w:val="7C792C1C"/>
    <w:rsid w:val="7CE65DD7"/>
    <w:rsid w:val="7D2A03BA"/>
    <w:rsid w:val="7D6C09D3"/>
    <w:rsid w:val="7DB163E5"/>
    <w:rsid w:val="7DC223A1"/>
    <w:rsid w:val="7DC425BD"/>
    <w:rsid w:val="7E8359F7"/>
    <w:rsid w:val="7E88183C"/>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4">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5">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4"/>
    <w:qFormat/>
    <w:uiPriority w:val="0"/>
    <w:rPr>
      <w:rFonts w:eastAsia="Times New Roman"/>
    </w:rPr>
  </w:style>
  <w:style w:type="paragraph" w:styleId="3">
    <w:name w:val="Body Text First Indent"/>
    <w:basedOn w:val="2"/>
    <w:link w:val="50"/>
    <w:semiHidden/>
    <w:unhideWhenUsed/>
    <w:qFormat/>
    <w:uiPriority w:val="99"/>
    <w:pPr>
      <w:spacing w:line="440" w:lineRule="exact"/>
      <w:ind w:firstLine="420" w:firstLineChars="200"/>
    </w:pPr>
    <w:rPr>
      <w:szCs w:val="20"/>
    </w:rPr>
  </w:style>
  <w:style w:type="paragraph" w:styleId="6">
    <w:name w:val="annotation text"/>
    <w:basedOn w:val="1"/>
    <w:link w:val="32"/>
    <w:qFormat/>
    <w:uiPriority w:val="99"/>
  </w:style>
  <w:style w:type="paragraph" w:styleId="7">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38"/>
    <w:semiHidden/>
    <w:unhideWhenUsed/>
    <w:qFormat/>
    <w:uiPriority w:val="99"/>
    <w:pPr>
      <w:spacing w:after="120" w:line="480" w:lineRule="auto"/>
      <w:ind w:left="420" w:leftChars="200"/>
    </w:pPr>
  </w:style>
  <w:style w:type="paragraph" w:styleId="9">
    <w:name w:val="footer"/>
    <w:basedOn w:val="1"/>
    <w:qFormat/>
    <w:uiPriority w:val="0"/>
    <w:pPr>
      <w:tabs>
        <w:tab w:val="center" w:pos="4153"/>
        <w:tab w:val="right" w:pos="8306"/>
      </w:tabs>
    </w:pPr>
    <w:rPr>
      <w:rFonts w:ascii="Calibri" w:hAnsi="Calibri" w:eastAsia="Arial Unicode MS"/>
      <w:sz w:val="18"/>
      <w:szCs w:val="18"/>
    </w:rPr>
  </w:style>
  <w:style w:type="paragraph" w:styleId="10">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1">
    <w:name w:val="toc 1"/>
    <w:basedOn w:val="1"/>
    <w:next w:val="1"/>
    <w:qFormat/>
    <w:uiPriority w:val="0"/>
    <w:rPr>
      <w:rFonts w:hint="default" w:asciiTheme="minorHAnsi" w:hAnsiTheme="minorHAnsi" w:eastAsiaTheme="minorEastAsia" w:cstheme="minorBidi"/>
      <w:color w:val="auto"/>
      <w:szCs w:val="22"/>
    </w:rPr>
  </w:style>
  <w:style w:type="paragraph" w:styleId="12">
    <w:name w:val="toc 2"/>
    <w:basedOn w:val="1"/>
    <w:next w:val="1"/>
    <w:semiHidden/>
    <w:unhideWhenUsed/>
    <w:qFormat/>
    <w:uiPriority w:val="39"/>
    <w:pPr>
      <w:ind w:left="420" w:leftChars="200"/>
    </w:p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6"/>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2"/>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8"/>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4"/>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4"/>
    <w:qFormat/>
    <w:uiPriority w:val="0"/>
    <w:rPr>
      <w:rFonts w:ascii="Arial" w:hAnsi="Arial" w:eastAsia="黑体" w:cs="Arial"/>
      <w:b/>
      <w:bCs/>
      <w:sz w:val="36"/>
      <w:szCs w:val="24"/>
    </w:rPr>
  </w:style>
  <w:style w:type="character" w:customStyle="1" w:styleId="43">
    <w:name w:val="Heading 2 Char"/>
    <w:link w:val="5"/>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1097</Words>
  <Characters>1176</Characters>
  <Lines>59</Lines>
  <Paragraphs>16</Paragraphs>
  <TotalTime>15</TotalTime>
  <ScaleCrop>false</ScaleCrop>
  <LinksUpToDate>false</LinksUpToDate>
  <CharactersWithSpaces>1264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2026-10-21T03:10:14Z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