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电外科手术切凝器</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62832406"/>
      <w:bookmarkStart w:id="1" w:name="_Toc3240"/>
      <w:bookmarkStart w:id="2" w:name="_Toc20358"/>
      <w:bookmarkStart w:id="3" w:name="_Toc471310326"/>
      <w:bookmarkStart w:id="4" w:name="_Toc1907"/>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电外科手术切凝器</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CGZX-YXZ20261552</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480000.00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r>
              <w:rPr>
                <w:rFonts w:hint="eastAsia" w:ascii="Times New Roman" w:hAnsi="Times New Roman" w:eastAsia="仿宋" w:cs="Times New Roman"/>
                <w:sz w:val="22"/>
                <w:szCs w:val="22"/>
                <w:lang w:val="en-US" w:eastAsia="zh-CN"/>
              </w:rPr>
              <w:t xml:space="preserve">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自设备验收合格之日起满1年，采购人接到供应商退还申请后30个工作日内，一次性无息退还全部履约保证金。</w:t>
            </w:r>
            <w:r>
              <w:rPr>
                <w:rFonts w:hint="eastAsia" w:ascii="Times New Roman" w:hAnsi="Times New Roman" w:eastAsia="仿宋" w:cs="Times New Roman"/>
                <w:sz w:val="22"/>
                <w:szCs w:val="22"/>
                <w:lang w:val="zh-CN"/>
              </w:rPr>
              <w:t>。</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en-US" w:eastAsia="zh-CN"/>
              </w:rPr>
              <w:t>供应商拒绝履行与采购人订立的合同</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en-US" w:eastAsia="zh-CN"/>
              </w:rPr>
              <w:t>因供应商严重违约或其它违法违规行为等情形，导致双方无法继续履约</w:t>
            </w:r>
            <w:r>
              <w:rPr>
                <w:rFonts w:ascii="Times New Roman" w:hAnsi="Times New Roman" w:eastAsia="仿宋" w:cs="Times New Roman"/>
                <w:sz w:val="22"/>
                <w:szCs w:val="22"/>
                <w:lang w:val="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本项目拟采用谈判采购的方式采购电外科手术切凝器</w:t>
      </w:r>
      <w:r>
        <w:rPr>
          <w:rFonts w:hint="eastAsia" w:ascii="Times New Roman" w:hAnsi="Times New Roman" w:eastAsia="仿宋" w:cs="Times New Roman"/>
          <w:sz w:val="24"/>
          <w:szCs w:val="24"/>
          <w:lang w:eastAsia="zh-CN"/>
        </w:rPr>
        <w:t>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vertAlign w:val="baseline"/>
                <w:lang w:val="en-US" w:eastAsia="zh-CN"/>
              </w:rPr>
              <w:t xml:space="preserve">电外科手术切凝器 </w:t>
            </w:r>
          </w:p>
        </w:tc>
        <w:tc>
          <w:tcPr>
            <w:tcW w:w="528"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sz w:val="24"/>
                <w:szCs w:val="24"/>
                <w:vertAlign w:val="baseline"/>
                <w:lang w:val="en-US" w:eastAsia="zh-CN"/>
              </w:rPr>
              <w:t>8.00</w:t>
            </w:r>
          </w:p>
        </w:tc>
        <w:tc>
          <w:tcPr>
            <w:tcW w:w="69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48.00</w:t>
            </w:r>
          </w:p>
        </w:tc>
        <w:tc>
          <w:tcPr>
            <w:tcW w:w="516"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c>
          <w:tcPr>
            <w:tcW w:w="893"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0"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1.适用组织切割和凝血，支持单极附件和双极附件配合使用。</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2.支持同时连接≥3个附件使用，具备附件自动识别功能，附件故障时可自动报警。</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▲3.输出功率满足1—300W可调，输出频率≥430KHz。（提供产品说明书证明）</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▲4.具备≥6英寸液晶触控显示屏，具备连接附件分区显示功能，可同时显示≥3个附件连接状态，可同屏调节≥3个附件的功率和模式（无需切换界面）。（提供产品说明书和该功能界面图片证明）</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5.具备中文操作界面，具备使用参数预设值功能。</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6.具备运行信息和运行错误记录功能。</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▲7.具备病人回路实时接触电阻监测功能，监测范围：满足5—135Ω，报警范围：最小值5Ω±10%，最大值135Ω±10%；病人回路接触电阻超限时，可自动停止电刀输出并提供声光报警。</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lang w:val="en-US" w:eastAsia="zh-CN"/>
        </w:rPr>
        <w:t>8.</w:t>
      </w:r>
      <w:r>
        <w:rPr>
          <w:rFonts w:hint="eastAsia" w:ascii="宋体" w:hAnsi="宋体" w:eastAsia="宋体" w:cs="宋体"/>
          <w:kern w:val="2"/>
        </w:rPr>
        <w:t>具备患者回路接触电阻增幅监测功能，当病人回路实时接触电阻与初始接触电阻对比增幅≥40%时，可自动停止电刀输出并提供声光报警。（提供产品说明书证明）</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lang w:val="en-US" w:eastAsia="zh-CN"/>
        </w:rPr>
        <w:t>9</w:t>
      </w:r>
      <w:r>
        <w:rPr>
          <w:rFonts w:hint="eastAsia" w:ascii="宋体" w:hAnsi="宋体" w:eastAsia="宋体" w:cs="宋体"/>
          <w:kern w:val="2"/>
        </w:rPr>
        <w:t>.具备≥3种单极切割模式。</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lang w:val="en-US" w:eastAsia="zh-CN"/>
        </w:rPr>
        <w:t>10</w:t>
      </w:r>
      <w:r>
        <w:rPr>
          <w:rFonts w:hint="eastAsia" w:ascii="宋体" w:hAnsi="宋体" w:eastAsia="宋体" w:cs="宋体"/>
          <w:kern w:val="2"/>
        </w:rPr>
        <w:t>.具备≥5种单极凝血模式，电凝功率满足1—120W可调。</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1</w:t>
      </w:r>
      <w:r>
        <w:rPr>
          <w:rFonts w:hint="eastAsia" w:ascii="宋体" w:hAnsi="宋体" w:eastAsia="宋体" w:cs="宋体"/>
          <w:kern w:val="2"/>
        </w:rPr>
        <w:t>.具备≥6种双极模式，双极模式功率满足1—95W可调。（提供产品说明书和该功能界面图片证明）</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2</w:t>
      </w:r>
      <w:r>
        <w:rPr>
          <w:rFonts w:hint="eastAsia" w:ascii="宋体" w:hAnsi="宋体" w:eastAsia="宋体" w:cs="宋体"/>
          <w:kern w:val="2"/>
        </w:rPr>
        <w:t>.所有模式下，均可根据组织电阻自动调节输出功率和输出能量。</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3</w:t>
      </w:r>
      <w:r>
        <w:rPr>
          <w:rFonts w:hint="eastAsia" w:ascii="宋体" w:hAnsi="宋体" w:eastAsia="宋体" w:cs="宋体"/>
          <w:kern w:val="2"/>
        </w:rPr>
        <w:t>.具备使用教学和维修演示模式。</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4</w:t>
      </w:r>
      <w:r>
        <w:rPr>
          <w:rFonts w:hint="eastAsia" w:ascii="宋体" w:hAnsi="宋体" w:eastAsia="宋体" w:cs="宋体"/>
          <w:kern w:val="2"/>
        </w:rPr>
        <w:t>.具备排烟连接功能。</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5.</w:t>
      </w:r>
      <w:r>
        <w:rPr>
          <w:rFonts w:hint="eastAsia" w:ascii="宋体" w:hAnsi="宋体" w:eastAsia="宋体" w:cs="宋体"/>
          <w:kern w:val="2"/>
        </w:rPr>
        <w:t>具备氩气刀扩展功能。</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6</w:t>
      </w:r>
      <w:r>
        <w:rPr>
          <w:rFonts w:hint="eastAsia" w:ascii="宋体" w:hAnsi="宋体" w:eastAsia="宋体" w:cs="宋体"/>
          <w:kern w:val="2"/>
        </w:rPr>
        <w:t>.具备网络接口和USB接口。</w:t>
      </w:r>
    </w:p>
    <w:p>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right="0"/>
      </w:pPr>
      <w:r>
        <w:rPr>
          <w:rFonts w:hint="eastAsia" w:ascii="宋体" w:hAnsi="宋体" w:eastAsia="宋体" w:cs="宋体"/>
          <w:kern w:val="2"/>
        </w:rPr>
        <w:t>▲1</w:t>
      </w:r>
      <w:r>
        <w:rPr>
          <w:rFonts w:hint="eastAsia" w:ascii="宋体" w:hAnsi="宋体" w:eastAsia="宋体" w:cs="宋体"/>
          <w:kern w:val="2"/>
          <w:lang w:val="en-US" w:eastAsia="zh-CN"/>
        </w:rPr>
        <w:t>7</w:t>
      </w:r>
      <w:r>
        <w:rPr>
          <w:rFonts w:hint="eastAsia" w:ascii="宋体" w:hAnsi="宋体" w:eastAsia="宋体" w:cs="宋体"/>
          <w:kern w:val="2"/>
        </w:rPr>
        <w:t>.具备≥3个脚踏开关连接口，支持独立脚踏控制对应分区的功能及操作。（提供产品说明书证明）</w:t>
      </w:r>
    </w:p>
    <w:p>
      <w:pPr>
        <w:pStyle w:val="14"/>
        <w:widowControl/>
        <w:numPr>
          <w:ilvl w:val="0"/>
          <w:numId w:val="0"/>
        </w:numPr>
        <w:spacing w:before="0" w:beforeAutospacing="0" w:after="0" w:afterAutospacing="0"/>
        <w:ind w:firstLine="480" w:firstLineChars="20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w:t>
      </w:r>
      <w:r>
        <w:rPr>
          <w:rFonts w:hint="eastAsia" w:ascii="仿宋" w:hAnsi="仿宋" w:eastAsia="仿宋" w:cs="仿宋"/>
          <w:color w:val="000000" w:themeColor="text1"/>
          <w:sz w:val="24"/>
          <w:szCs w:val="24"/>
          <w:lang w:val="en-US" w:eastAsia="zh-CN"/>
          <w14:textFill>
            <w14:solidFill>
              <w14:schemeClr w14:val="tx1"/>
            </w14:solidFill>
          </w14:textFill>
        </w:rPr>
        <w:t>合同签订后60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w:t>
      </w:r>
      <w:r>
        <w:rPr>
          <w:rFonts w:hint="eastAsia" w:ascii="仿宋" w:hAnsi="仿宋" w:eastAsia="仿宋" w:cs="仿宋"/>
          <w:color w:val="000000" w:themeColor="text1"/>
          <w:sz w:val="24"/>
          <w:szCs w:val="24"/>
          <w:lang w:val="en-US" w:eastAsia="zh-CN"/>
          <w14:textFill>
            <w14:solidFill>
              <w14:schemeClr w14:val="tx1"/>
            </w14:solidFill>
          </w14:textFill>
        </w:rPr>
        <w:t>四川省人民医院（院本部）</w:t>
      </w:r>
      <w:r>
        <w:rPr>
          <w:rFonts w:hint="eastAsia" w:ascii="仿宋" w:hAnsi="仿宋" w:eastAsia="仿宋" w:cs="仿宋"/>
          <w:color w:val="000000" w:themeColor="text1"/>
          <w:sz w:val="24"/>
          <w:szCs w:val="24"/>
          <w14:textFill>
            <w14:solidFill>
              <w14:schemeClr w14:val="tx1"/>
            </w14:solidFill>
          </w14:textFill>
        </w:rPr>
        <w:t>。</w:t>
      </w:r>
    </w:p>
    <w:p>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（2）如在质保期内出现质量问题，供应商须在接到通知后2小时内响应，24小时内到场维修，并承担相关费用。</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（3）如设备在质保期内因同一故障经供应商两次维修仍不能达到合同约定的技术要求及国家法律法规规定的质量标准，采购人有权要求供应商更换全新设备或退货，并追究供应商违约责任。</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（4）质保期内，设备因自身故障导致的停机率不应超过5%（一年按365天计算），否则供应商应就超出部分（供应商已提供备用机并保障采购人正常使用的时间，不计算为停机时间）按天数向采购人赔偿经济损失。</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（5）质保期内，如设备因维修无法使用，供应商应根据采购人需要向采购人提供备用设备。</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r>
        <w:rPr>
          <w:rFonts w:hint="eastAsia" w:ascii="仿宋" w:hAnsi="仿宋" w:eastAsia="仿宋" w:cs="仿宋"/>
          <w:color w:val="000000" w:themeColor="text1"/>
          <w:sz w:val="24"/>
          <w:szCs w:val="24"/>
          <w:lang w:val="en-US" w:eastAsia="zh-CN"/>
          <w14:textFill>
            <w14:solidFill>
              <w14:schemeClr w14:val="tx1"/>
            </w14:solidFill>
          </w14:textFill>
        </w:rPr>
        <w:t>供应商须在投标文件中单独提供配置清单（不同产品分别提供，格式详见投标文件格式），采购人将以此为依据进行验收。 该包技术参数中无实质性配置要求，若涉及设备正常运行所需的其他配置内容，投标人在配置清单中列明涉及的产品名称、型号（若有）、数量即可，供应商可根据投标产品实际情况确定是否单独报价。</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6.供应商提供的产品的生产日期与到货日期时间间隔不超过6个月，供应商提供承诺函，格式自拟。</w:t>
      </w:r>
    </w:p>
    <w:p>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（5）履约验收内容：按照基于本项目采购需求编制的采购文件要求及供应商响应文件情况，由供应商向采购人交付的全部内容。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（6）履约验收时间：供应商完成本项目涉及的所有设备的安装、调试并具备验收条件后，于5日内通知采购人验收，采购人接供应商通知后10日内组织验收。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6）其它标准：无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（12）履约验收其它事项：无</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Times New Roman" w:hAnsi="Times New Roman" w:eastAsia="仿宋" w:cs="Times New Roman"/>
          <w:sz w:val="24"/>
          <w:szCs w:val="24"/>
          <w:lang w:val="en-US" w:eastAsia="zh-CN"/>
        </w:rPr>
        <w:t>9.</w:t>
      </w:r>
      <w:r>
        <w:rPr>
          <w:rFonts w:hint="eastAsia" w:ascii="仿宋" w:hAnsi="仿宋" w:eastAsia="仿宋" w:cs="仿宋"/>
          <w:b w:val="0"/>
          <w:kern w:val="2"/>
          <w:sz w:val="24"/>
          <w:szCs w:val="24"/>
          <w:vertAlign w:val="baseline"/>
          <w:lang w:val="en-US" w:eastAsia="zh-CN"/>
        </w:rPr>
        <w:t>质保期：验收合格后不低于5年。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default" w:ascii="Times New Roman" w:hAnsi="Times New Roman" w:eastAsia="仿宋" w:cs="Times New Roman"/>
          <w:sz w:val="24"/>
          <w:szCs w:val="24"/>
          <w:lang w:val="en-US" w:eastAsia="zh-CN"/>
        </w:rPr>
      </w:pPr>
      <w:r>
        <w:rPr>
          <w:rFonts w:hint="eastAsia" w:ascii="仿宋" w:hAnsi="仿宋" w:eastAsia="仿宋" w:cs="仿宋"/>
          <w:b w:val="0"/>
          <w:kern w:val="2"/>
          <w:sz w:val="24"/>
          <w:szCs w:val="24"/>
          <w:vertAlign w:val="baseline"/>
          <w:lang w:val="en-US" w:eastAsia="zh-CN"/>
        </w:rPr>
        <w:t>10质保范围：含整机所有部件（质保期内涉及维修、产品更换、人工费用等一切费用包含在本项目报价中）。</w:t>
      </w:r>
    </w:p>
    <w:p>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仿宋" w:hAnsi="仿宋" w:eastAsia="仿宋" w:cs="仿宋"/>
          <w:sz w:val="24"/>
          <w:szCs w:val="24"/>
        </w:rPr>
        <w:t>。</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kern w:val="2"/>
          <w:sz w:val="24"/>
          <w:szCs w:val="24"/>
          <w:lang w:val="en-US" w:eastAsia="zh-CN"/>
        </w:rPr>
        <w:t>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r>
        <w:rPr>
          <w:rFonts w:hint="eastAsia" w:ascii="仿宋" w:hAnsi="仿宋" w:eastAsia="仿宋" w:cs="仿宋"/>
          <w:sz w:val="24"/>
          <w:szCs w:val="24"/>
        </w:rPr>
        <w:t>。</w:t>
      </w: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br w:type="page"/>
      </w:r>
    </w:p>
    <w:p>
      <w:pPr>
        <w:pStyle w:val="2"/>
        <w:rPr>
          <w:rFonts w:ascii="Times New Roman" w:hAnsi="Times New Roman" w:cs="Times New Roman"/>
        </w:rPr>
      </w:pPr>
      <w:r>
        <w:rPr>
          <w:rFonts w:ascii="Times New Roman" w:hAnsi="Times New Roman" w:cs="Times New Roman"/>
        </w:rPr>
        <w:t>评分标准</w:t>
      </w:r>
      <w:bookmarkEnd w:id="15"/>
      <w:bookmarkEnd w:id="16"/>
      <w:bookmarkEnd w:id="17"/>
    </w:p>
    <w:p>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w:t>
            </w:r>
            <w:bookmarkStart w:id="117" w:name="_GoBack"/>
            <w:bookmarkEnd w:id="117"/>
            <w:r>
              <w:rPr>
                <w:rFonts w:hint="eastAsia" w:ascii="仿宋" w:hAnsi="仿宋" w:eastAsia="仿宋" w:cs="仿宋"/>
                <w:bCs/>
                <w:sz w:val="24"/>
                <w:szCs w:val="24"/>
              </w:rPr>
              <w:t>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2827"/>
      <w:bookmarkStart w:id="20" w:name="_Toc28171"/>
      <w:bookmarkStart w:id="21" w:name="_Toc3094"/>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29819"/>
      <w:bookmarkStart w:id="23" w:name="_Toc5913"/>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9428"/>
      <w:bookmarkStart w:id="26" w:name="_Toc19851"/>
      <w:bookmarkStart w:id="27" w:name="_Toc30609"/>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9041"/>
      <w:bookmarkStart w:id="29" w:name="_Toc1544"/>
      <w:bookmarkStart w:id="30" w:name="_Toc32352"/>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4097"/>
      <w:bookmarkStart w:id="32" w:name="_Toc21472"/>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24859"/>
      <w:bookmarkStart w:id="34" w:name="_Toc17163"/>
      <w:bookmarkStart w:id="35" w:name="_Toc32749"/>
      <w:bookmarkStart w:id="36" w:name="_Toc1690"/>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24123"/>
      <w:bookmarkStart w:id="38" w:name="_Toc6803"/>
      <w:bookmarkStart w:id="39" w:name="_Toc3558"/>
      <w:bookmarkStart w:id="40" w:name="_Toc17905"/>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5996"/>
      <w:bookmarkStart w:id="42" w:name="_Toc27526"/>
      <w:bookmarkStart w:id="43" w:name="_Toc27135"/>
      <w:bookmarkStart w:id="44" w:name="_Toc2989"/>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2031"/>
      <w:bookmarkStart w:id="46" w:name="_Toc7233"/>
      <w:bookmarkStart w:id="47" w:name="_Toc5056"/>
      <w:bookmarkStart w:id="48" w:name="_Toc19987"/>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14829"/>
      <w:bookmarkStart w:id="50" w:name="_Toc16029"/>
      <w:bookmarkStart w:id="51" w:name="_Toc3023"/>
      <w:bookmarkStart w:id="52" w:name="_Toc11352"/>
      <w:bookmarkStart w:id="53" w:name="_Toc6482"/>
      <w:bookmarkStart w:id="54" w:name="_Toc2151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4305"/>
      <w:bookmarkStart w:id="56" w:name="_Toc31838"/>
      <w:bookmarkStart w:id="57" w:name="_Toc17857"/>
      <w:bookmarkStart w:id="58" w:name="_Toc22676"/>
      <w:bookmarkStart w:id="59" w:name="_Toc30971"/>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904"/>
      <w:bookmarkStart w:id="64" w:name="_Toc25357"/>
      <w:bookmarkStart w:id="65" w:name="_Toc13706"/>
    </w:p>
    <w:p>
      <w:pPr>
        <w:pStyle w:val="3"/>
        <w:ind w:firstLine="0"/>
        <w:rPr>
          <w:szCs w:val="32"/>
        </w:rPr>
      </w:pPr>
      <w:bookmarkStart w:id="66" w:name="_Toc15508"/>
      <w:bookmarkStart w:id="67" w:name="_Toc23146"/>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12015"/>
      <w:bookmarkStart w:id="69" w:name="_Toc15526"/>
      <w:bookmarkStart w:id="70" w:name="_Toc11351"/>
      <w:bookmarkStart w:id="71" w:name="_Toc20589"/>
      <w:bookmarkStart w:id="72" w:name="_Toc25638"/>
      <w:bookmarkStart w:id="73" w:name="_Toc27661"/>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041"/>
      <w:bookmarkStart w:id="75" w:name="_Toc1074"/>
      <w:bookmarkStart w:id="76" w:name="_Toc12967"/>
      <w:bookmarkStart w:id="77" w:name="_Toc23967"/>
      <w:bookmarkStart w:id="78" w:name="_Toc16435"/>
      <w:bookmarkStart w:id="79" w:name="_Toc26969"/>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21082"/>
      <w:bookmarkStart w:id="81" w:name="_Toc28634"/>
      <w:bookmarkStart w:id="82" w:name="_Toc24806"/>
      <w:bookmarkStart w:id="83" w:name="_Toc31686"/>
      <w:bookmarkStart w:id="84" w:name="_Toc26839"/>
      <w:bookmarkStart w:id="85" w:name="_Toc1369"/>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24494"/>
      <w:bookmarkStart w:id="87" w:name="_Toc32605"/>
      <w:bookmarkStart w:id="88" w:name="_Toc3871"/>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2"/>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3"/>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109" w:name="_Toc30002"/>
      <w:bookmarkStart w:id="110" w:name="_Toc14685"/>
      <w:bookmarkStart w:id="111" w:name="_Toc2903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4"/>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109"/>
      <w:bookmarkEnd w:id="110"/>
      <w:bookmarkEnd w:id="11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5447"/>
      <w:bookmarkStart w:id="11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bookmarkStart w:id="115" w:name="OLE_LINK17"/>
      <w:bookmarkStart w:id="116"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9934A09-E5B9-43A8-BA9C-AFBADAED403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638C45C-DBE3-4C9F-9084-F01503FA94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8F69A71-3F2C-4BC0-AF8E-1889D4343C7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6970B3E-B766-4EDA-8047-77E1BEA45B07}"/>
  </w:font>
  <w:font w:name="Segoe UI Symbol">
    <w:panose1 w:val="020B0502040204020203"/>
    <w:charset w:val="00"/>
    <w:family w:val="swiss"/>
    <w:pitch w:val="default"/>
    <w:sig w:usb0="800001E3" w:usb1="1200FFEF" w:usb2="00040000" w:usb3="04000000" w:csb0="00000001" w:csb1="40000000"/>
    <w:embedRegular r:id="rId5" w:fontKey="{0D4C4925-65E6-4C7A-BCCE-D67BB20C912B}"/>
  </w:font>
  <w:font w:name="Wingdings 2">
    <w:altName w:val="Wingdings"/>
    <w:panose1 w:val="05020102010507070707"/>
    <w:charset w:val="4D"/>
    <w:family w:val="decorative"/>
    <w:pitch w:val="default"/>
    <w:sig w:usb0="00000000" w:usb1="00000000" w:usb2="00000000" w:usb3="00000000" w:csb0="80000000" w:csb1="00000000"/>
    <w:embedRegular r:id="rId6" w:fontKey="{E9A50471-8DEC-4D4E-AB41-5E5A4F941144}"/>
  </w:font>
  <w:font w:name="Songti SC">
    <w:altName w:val="宋体"/>
    <w:panose1 w:val="02010600040101010101"/>
    <w:charset w:val="86"/>
    <w:family w:val="auto"/>
    <w:pitch w:val="default"/>
    <w:sig w:usb0="00000000" w:usb1="00000000" w:usb2="00000010" w:usb3="00000000" w:csb0="0004009F" w:csb1="00000000"/>
    <w:embedRegular r:id="rId7" w:fontKey="{299F655E-2DD0-4CDB-95EF-217576312FD8}"/>
  </w:font>
  <w:font w:name="微软雅黑">
    <w:panose1 w:val="020B0503020204020204"/>
    <w:charset w:val="86"/>
    <w:family w:val="auto"/>
    <w:pitch w:val="default"/>
    <w:sig w:usb0="80000287" w:usb1="2ACF3C50" w:usb2="00000016" w:usb3="00000000" w:csb0="0004001F" w:csb1="00000000"/>
    <w:embedRegular r:id="rId8" w:fontKey="{C9521A84-41DB-4293-BFB1-E29CAB37221A}"/>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5207F64"/>
    <w:multiLevelType w:val="singleLevel"/>
    <w:tmpl w:val="25207F64"/>
    <w:lvl w:ilvl="0" w:tentative="0">
      <w:start w:val="3"/>
      <w:numFmt w:val="decimal"/>
      <w:lvlText w:val="%1."/>
      <w:lvlJc w:val="left"/>
      <w:pPr>
        <w:tabs>
          <w:tab w:val="left" w:pos="312"/>
        </w:tabs>
      </w:pPr>
    </w:lvl>
  </w:abstractNum>
  <w:abstractNum w:abstractNumId="15">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5">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7">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2">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4"/>
  </w:num>
  <w:num w:numId="3">
    <w:abstractNumId w:val="21"/>
  </w:num>
  <w:num w:numId="4">
    <w:abstractNumId w:val="31"/>
  </w:num>
  <w:num w:numId="5">
    <w:abstractNumId w:val="13"/>
  </w:num>
  <w:num w:numId="6">
    <w:abstractNumId w:val="26"/>
  </w:num>
  <w:num w:numId="7">
    <w:abstractNumId w:val="20"/>
  </w:num>
  <w:num w:numId="8">
    <w:abstractNumId w:val="3"/>
  </w:num>
  <w:num w:numId="9">
    <w:abstractNumId w:val="2"/>
  </w:num>
  <w:num w:numId="10">
    <w:abstractNumId w:val="0"/>
  </w:num>
  <w:num w:numId="11">
    <w:abstractNumId w:val="5"/>
  </w:num>
  <w:num w:numId="12">
    <w:abstractNumId w:val="1"/>
  </w:num>
  <w:num w:numId="13">
    <w:abstractNumId w:val="14"/>
  </w:num>
  <w:num w:numId="14">
    <w:abstractNumId w:val="11"/>
  </w:num>
  <w:num w:numId="15">
    <w:abstractNumId w:val="18"/>
  </w:num>
  <w:num w:numId="16">
    <w:abstractNumId w:val="7"/>
  </w:num>
  <w:num w:numId="17">
    <w:abstractNumId w:val="32"/>
  </w:num>
  <w:num w:numId="18">
    <w:abstractNumId w:val="30"/>
  </w:num>
  <w:num w:numId="19">
    <w:abstractNumId w:val="24"/>
  </w:num>
  <w:num w:numId="20">
    <w:abstractNumId w:val="9"/>
  </w:num>
  <w:num w:numId="21">
    <w:abstractNumId w:val="15"/>
  </w:num>
  <w:num w:numId="22">
    <w:abstractNumId w:val="8"/>
  </w:num>
  <w:num w:numId="23">
    <w:abstractNumId w:val="16"/>
  </w:num>
  <w:num w:numId="24">
    <w:abstractNumId w:val="28"/>
  </w:num>
  <w:num w:numId="25">
    <w:abstractNumId w:val="27"/>
  </w:num>
  <w:num w:numId="26">
    <w:abstractNumId w:val="22"/>
  </w:num>
  <w:num w:numId="27">
    <w:abstractNumId w:val="19"/>
  </w:num>
  <w:num w:numId="28">
    <w:abstractNumId w:val="10"/>
  </w:num>
  <w:num w:numId="29">
    <w:abstractNumId w:val="6"/>
  </w:num>
  <w:num w:numId="30">
    <w:abstractNumId w:val="12"/>
  </w:num>
  <w:num w:numId="31">
    <w:abstractNumId w:val="25"/>
  </w:num>
  <w:num w:numId="32">
    <w:abstractNumId w:val="29"/>
  </w:num>
  <w:num w:numId="33">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25207F"/>
    <w:rsid w:val="0F904004"/>
    <w:rsid w:val="117A5014"/>
    <w:rsid w:val="127F05A0"/>
    <w:rsid w:val="136D78F8"/>
    <w:rsid w:val="15CC4977"/>
    <w:rsid w:val="162A4F7D"/>
    <w:rsid w:val="16A82A66"/>
    <w:rsid w:val="1994787E"/>
    <w:rsid w:val="1ADC0421"/>
    <w:rsid w:val="1BCC54CD"/>
    <w:rsid w:val="1DD000AF"/>
    <w:rsid w:val="1E09745A"/>
    <w:rsid w:val="1E176351"/>
    <w:rsid w:val="22935D1D"/>
    <w:rsid w:val="23D4489F"/>
    <w:rsid w:val="262001B9"/>
    <w:rsid w:val="27B87AF9"/>
    <w:rsid w:val="27E80EA9"/>
    <w:rsid w:val="280414A1"/>
    <w:rsid w:val="28570368"/>
    <w:rsid w:val="29C5318E"/>
    <w:rsid w:val="2B502F98"/>
    <w:rsid w:val="2C9A0A9E"/>
    <w:rsid w:val="2DA70D65"/>
    <w:rsid w:val="3242043E"/>
    <w:rsid w:val="3427766B"/>
    <w:rsid w:val="343706EB"/>
    <w:rsid w:val="351A08D0"/>
    <w:rsid w:val="35CC78FE"/>
    <w:rsid w:val="36334CE5"/>
    <w:rsid w:val="3A551407"/>
    <w:rsid w:val="3B033C36"/>
    <w:rsid w:val="3E5D4E8E"/>
    <w:rsid w:val="3FE25336"/>
    <w:rsid w:val="41076015"/>
    <w:rsid w:val="42075FF8"/>
    <w:rsid w:val="42842020"/>
    <w:rsid w:val="44310366"/>
    <w:rsid w:val="4614058A"/>
    <w:rsid w:val="468567BB"/>
    <w:rsid w:val="4782487D"/>
    <w:rsid w:val="4B31068E"/>
    <w:rsid w:val="4BA55220"/>
    <w:rsid w:val="4BAD0151"/>
    <w:rsid w:val="4C184E09"/>
    <w:rsid w:val="4C8F75A2"/>
    <w:rsid w:val="4DAD4403"/>
    <w:rsid w:val="4E0B0B8B"/>
    <w:rsid w:val="4E8C008E"/>
    <w:rsid w:val="4FEF758C"/>
    <w:rsid w:val="50771A9C"/>
    <w:rsid w:val="51C47F6D"/>
    <w:rsid w:val="520879A0"/>
    <w:rsid w:val="5455382C"/>
    <w:rsid w:val="5BFC59EE"/>
    <w:rsid w:val="5D0A3490"/>
    <w:rsid w:val="5D7E0D39"/>
    <w:rsid w:val="5E9D3F29"/>
    <w:rsid w:val="60384CD1"/>
    <w:rsid w:val="60655808"/>
    <w:rsid w:val="60F86CEE"/>
    <w:rsid w:val="63A9427A"/>
    <w:rsid w:val="63D462B1"/>
    <w:rsid w:val="641A3596"/>
    <w:rsid w:val="64D96647"/>
    <w:rsid w:val="655B51E5"/>
    <w:rsid w:val="65E40ADA"/>
    <w:rsid w:val="66330B86"/>
    <w:rsid w:val="66E22203"/>
    <w:rsid w:val="68AA6162"/>
    <w:rsid w:val="68B812C9"/>
    <w:rsid w:val="69D50CF4"/>
    <w:rsid w:val="6C487AFD"/>
    <w:rsid w:val="6CB24363"/>
    <w:rsid w:val="6EA93466"/>
    <w:rsid w:val="6FCF0795"/>
    <w:rsid w:val="71381023"/>
    <w:rsid w:val="71696852"/>
    <w:rsid w:val="73714961"/>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1230</Words>
  <Characters>1300</Characters>
  <Lines>72</Lines>
  <Paragraphs>20</Paragraphs>
  <TotalTime>6</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2026-11-02T03:19:23Z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0984F58F3F5C4BA4A42F286A120F4AC2_13</vt:lpwstr>
  </property>
  <property fmtid="{D5CDD505-2E9C-101B-9397-08002B2CF9AE}" pid="4" name="KSOTemplateDocerSaveRecord">
    <vt:lpwstr>eyJoZGlkIjoiZTE3YzY5ZGRmMGZjYjE3ZTA2OTZlNGYxY2RlMGIzMDkiLCJ1c2VySWQiOiI3MDMxOTM4MzkifQ==</vt:lpwstr>
  </property>
</Properties>
</file>