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综合科研大楼16楼干细胞临床研究机构装修设计服务</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bookmarkStart w:id="113" w:name="_GoBack"/>
      <w:bookmarkEnd w:id="113"/>
      <w:r>
        <w:rPr>
          <w:rFonts w:hint="eastAsia" w:ascii="Times New Roman" w:hAnsi="Times New Roman" w:eastAsia="黑体" w:cs="Times New Roman"/>
          <w:b/>
          <w:spacing w:val="24"/>
          <w:sz w:val="56"/>
          <w:szCs w:val="56"/>
          <w:lang w:eastAsia="zh-CN"/>
        </w:rPr>
        <w:t>）</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62832406"/>
      <w:bookmarkStart w:id="1" w:name="_Toc1907"/>
      <w:bookmarkStart w:id="2" w:name="_Toc471310326"/>
      <w:bookmarkStart w:id="3" w:name="_Toc21919"/>
      <w:bookmarkStart w:id="4" w:name="_Toc3240"/>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7"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7"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7" w:type="dxa"/>
            <w:tcBorders>
              <w:bottom w:val="single" w:color="auto" w:sz="4" w:space="0"/>
            </w:tcBorders>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综合科研大楼16楼干细胞临床研究机构装修设计服务</w:t>
            </w:r>
            <w:r>
              <w:rPr>
                <w:rFonts w:hint="eastAsia" w:ascii="Times New Roman" w:hAnsi="Times New Roman" w:eastAsia="仿宋" w:cs="Times New Roman"/>
                <w:sz w:val="22"/>
              </w:rPr>
              <w:t>采购</w:t>
            </w:r>
            <w:r>
              <w:rPr>
                <w:rFonts w:ascii="Times New Roman" w:hAnsi="Times New Roman" w:eastAsia="仿宋" w:cs="Times New Roman"/>
                <w:sz w:val="22"/>
              </w:rPr>
              <w:t>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JJG20261239</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120000.00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7"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7"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7"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7"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7"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u w:color="000000"/>
              </w:rPr>
              <w:t>踏勘签到</w:t>
            </w:r>
            <w:r>
              <w:rPr>
                <w:rFonts w:ascii="Times New Roman" w:hAnsi="Times New Roman" w:eastAsia="仿宋" w:cs="Times New Roman"/>
                <w:sz w:val="22"/>
                <w:highlight w:val="none"/>
                <w:u w:color="000000"/>
              </w:rPr>
              <w:t>时间：</w:t>
            </w:r>
            <w:r>
              <w:rPr>
                <w:rFonts w:hint="eastAsia" w:ascii="Times New Roman" w:hAnsi="Times New Roman" w:eastAsia="仿宋" w:cs="Times New Roman"/>
                <w:i/>
                <w:iCs/>
                <w:sz w:val="22"/>
                <w:highlight w:val="none"/>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7"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7" w:type="dxa"/>
            <w:tcBorders>
              <w:bottom w:val="single" w:color="auto" w:sz="4" w:space="0"/>
            </w:tcBorders>
            <w:vAlign w:val="center"/>
          </w:tcPr>
          <w:p>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7"/>
              <w:spacing w:line="360" w:lineRule="auto"/>
              <w:jc w:val="center"/>
              <w:rPr>
                <w:rFonts w:ascii="Times New Roman" w:hAnsi="Times New Roman" w:eastAsia="仿宋" w:cs="Times New Roman"/>
                <w:sz w:val="22"/>
                <w:szCs w:val="22"/>
              </w:rPr>
            </w:pPr>
          </w:p>
        </w:tc>
        <w:tc>
          <w:tcPr>
            <w:tcW w:w="7237" w:type="dxa"/>
            <w:tcBorders>
              <w:top w:val="single" w:color="auto" w:sz="4" w:space="0"/>
            </w:tcBorders>
            <w:vAlign w:val="center"/>
          </w:tcPr>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u w:val="single"/>
                <w:lang w:val="zh-CN"/>
              </w:rPr>
              <w:t>XXX</w:t>
            </w:r>
            <w:r>
              <w:rPr>
                <w:rFonts w:ascii="Times New Roman" w:hAnsi="Times New Roman" w:eastAsia="仿宋" w:cs="Times New Roman"/>
                <w:sz w:val="22"/>
                <w:szCs w:val="22"/>
                <w:u w:val="single"/>
                <w:lang w:val="zh-CN"/>
              </w:rPr>
              <w:t>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w:t>
            </w:r>
            <w:r>
              <w:rPr>
                <w:rFonts w:hint="eastAsia" w:ascii="Times New Roman" w:hAnsi="Times New Roman" w:eastAsia="仿宋" w:cs="Times New Roman"/>
                <w:sz w:val="22"/>
                <w:highlight w:val="none"/>
              </w:rPr>
              <w:t>相同则</w:t>
            </w:r>
            <w:r>
              <w:rPr>
                <w:rFonts w:hint="eastAsia" w:ascii="Times New Roman" w:hAnsi="Times New Roman" w:eastAsia="仿宋" w:cs="Times New Roman"/>
                <w:i/>
                <w:iCs/>
                <w:sz w:val="22"/>
                <w:highlight w:val="none"/>
              </w:rPr>
              <w:t>报价&lt;最低&gt;</w:t>
            </w:r>
            <w:r>
              <w:rPr>
                <w:rFonts w:hint="eastAsia" w:ascii="Times New Roman" w:hAnsi="Times New Roman" w:eastAsia="仿宋" w:cs="Times New Roman"/>
                <w:sz w:val="22"/>
                <w:highlight w:val="none"/>
              </w:rPr>
              <w:t>的为成交供应商。若得分相同且</w:t>
            </w:r>
            <w:r>
              <w:rPr>
                <w:rFonts w:hint="eastAsia" w:ascii="Times New Roman" w:hAnsi="Times New Roman" w:eastAsia="仿宋" w:cs="Times New Roman"/>
                <w:sz w:val="22"/>
              </w:rPr>
              <w:t>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7" w:type="dxa"/>
            <w:vAlign w:val="center"/>
          </w:tcPr>
          <w:p>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bookmarkStart w:id="12" w:name="OLE_LINK9"/>
            <w:r>
              <w:rPr>
                <w:rFonts w:ascii="Times New Roman" w:hAnsi="Times New Roman" w:eastAsia="仿宋" w:cs="Times New Roman"/>
                <w:b/>
                <w:sz w:val="22"/>
              </w:rPr>
              <w:t>具有良好的商业信誉</w:t>
            </w:r>
            <w:bookmarkEnd w:id="12"/>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bookmarkStart w:id="13" w:name="OLE_LINK10"/>
            <w:r>
              <w:rPr>
                <w:rFonts w:ascii="Times New Roman" w:hAnsi="Times New Roman" w:eastAsia="仿宋" w:cs="Times New Roman"/>
                <w:b/>
                <w:sz w:val="22"/>
              </w:rPr>
              <w:t>参加本次采购活动前三年内，在经营活动中没有重大违法记录</w:t>
            </w:r>
            <w:bookmarkEnd w:id="13"/>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bookmarkStart w:id="14" w:name="OLE_LINK11" w:colFirst="1" w:colLast="1"/>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bookmarkEnd w:id="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left"/>
              <w:rPr>
                <w:rFonts w:ascii="Times New Roman" w:hAnsi="Times New Roman" w:eastAsia="仿宋" w:cs="Times New Roman"/>
                <w:b/>
                <w:bCs/>
                <w:sz w:val="22"/>
              </w:rPr>
            </w:pPr>
            <w:bookmarkStart w:id="15" w:name="OLE_LINK8"/>
            <w:r>
              <w:rPr>
                <w:rFonts w:ascii="Times New Roman" w:hAnsi="Times New Roman" w:eastAsia="仿宋" w:cs="Times New Roman"/>
                <w:b/>
                <w:bCs/>
                <w:sz w:val="22"/>
              </w:rPr>
              <w:t>本项目其他资格条件：</w:t>
            </w:r>
            <w:bookmarkEnd w:id="15"/>
            <w:r>
              <w:rPr>
                <w:rFonts w:hint="eastAsia" w:ascii="Times New Roman" w:hAnsi="Times New Roman" w:eastAsia="仿宋" w:cs="Times New Roman"/>
                <w:b/>
                <w:bCs/>
                <w:sz w:val="22"/>
              </w:rPr>
              <w:t>工程设计建筑行业乙级及以上</w:t>
            </w:r>
          </w:p>
        </w:tc>
        <w:tc>
          <w:tcPr>
            <w:tcW w:w="2846" w:type="pct"/>
            <w:vAlign w:val="center"/>
          </w:tcPr>
          <w:p>
            <w:pPr>
              <w:rPr>
                <w:rFonts w:ascii="Times New Roman" w:hAnsi="Times New Roman" w:eastAsia="仿宋" w:cs="Times New Roman"/>
                <w:sz w:val="22"/>
                <w:u w:val="single"/>
              </w:rPr>
            </w:pPr>
            <w:r>
              <w:rPr>
                <w:rFonts w:ascii="Times New Roman" w:hAnsi="Times New Roman" w:eastAsia="仿宋" w:cs="Times New Roman"/>
                <w:sz w:val="22"/>
              </w:rPr>
              <w:t>提供</w:t>
            </w:r>
            <w:r>
              <w:rPr>
                <w:rFonts w:hint="eastAsia" w:ascii="Times New Roman" w:hAnsi="Times New Roman" w:eastAsia="仿宋" w:cs="Times New Roman"/>
                <w:b/>
                <w:bCs/>
                <w:sz w:val="22"/>
                <w:u w:val="single"/>
              </w:rPr>
              <w:t>有效的证明材料并加盖供应商公章</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6" w:name="_Toc12668"/>
      <w:bookmarkStart w:id="17" w:name="_Toc16403"/>
      <w:bookmarkStart w:id="18" w:name="_Toc3988"/>
      <w:r>
        <w:rPr>
          <w:rFonts w:ascii="Times New Roman" w:hAnsi="Times New Roman" w:cs="Times New Roman"/>
        </w:rPr>
        <w:t>采购需求</w:t>
      </w:r>
      <w:bookmarkEnd w:id="16"/>
      <w:bookmarkEnd w:id="17"/>
      <w:bookmarkEnd w:id="18"/>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b/>
          <w:bCs/>
          <w:kern w:val="2"/>
          <w:sz w:val="24"/>
          <w:szCs w:val="24"/>
          <w:lang w:val="en-US" w:eastAsia="zh-CN" w:bidi="ar-SA"/>
        </w:rPr>
        <w:t>一、</w:t>
      </w:r>
      <w:r>
        <w:rPr>
          <w:rFonts w:ascii="Times New Roman" w:hAnsi="Times New Roman" w:eastAsia="仿宋" w:cs="Times New Roman"/>
          <w:b/>
          <w:bCs/>
          <w:sz w:val="24"/>
          <w:szCs w:val="24"/>
        </w:rPr>
        <w:t>项目简介</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拟确定一名供应商提供科研大楼16楼干细胞临床研究机构装修设计服务，面积为2000平方米。</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jc w:val="left"/>
        <w:textAlignment w:val="auto"/>
        <w:rPr>
          <w:rFonts w:hint="eastAsia" w:ascii="Times New Roman" w:hAnsi="Times New Roman" w:eastAsia="仿宋" w:cs="Times New Roman"/>
          <w:b/>
          <w:bCs/>
          <w:sz w:val="24"/>
          <w:szCs w:val="24"/>
          <w:lang w:val="en-US" w:eastAsia="zh-CN"/>
        </w:rPr>
      </w:pPr>
      <w:r>
        <w:rPr>
          <w:rFonts w:ascii="Segoe UI Symbol" w:hAnsi="Segoe UI Symbol" w:eastAsia="仿宋" w:cs="Segoe UI Symbol"/>
          <w:b/>
          <w:bCs/>
          <w:sz w:val="24"/>
          <w:szCs w:val="22"/>
        </w:rPr>
        <w:t>★</w:t>
      </w:r>
      <w:r>
        <w:rPr>
          <w:rFonts w:ascii="Times New Roman" w:hAnsi="Times New Roman" w:eastAsia="仿宋" w:cs="Times New Roman"/>
          <w:b/>
          <w:bCs/>
          <w:sz w:val="24"/>
          <w:szCs w:val="24"/>
        </w:rPr>
        <w:t>二、</w:t>
      </w:r>
      <w:r>
        <w:rPr>
          <w:rFonts w:hint="eastAsia" w:ascii="Times New Roman" w:hAnsi="Times New Roman" w:eastAsia="仿宋" w:cs="Times New Roman"/>
          <w:b/>
          <w:bCs/>
          <w:sz w:val="24"/>
          <w:szCs w:val="24"/>
          <w:lang w:val="en-US" w:eastAsia="zh-CN"/>
        </w:rPr>
        <w:t>设计范围</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1.</w:t>
      </w:r>
      <w:r>
        <w:rPr>
          <w:rFonts w:hint="eastAsia" w:ascii="仿宋" w:hAnsi="仿宋" w:eastAsia="仿宋" w:cs="仿宋"/>
          <w:sz w:val="24"/>
          <w:szCs w:val="24"/>
          <w:lang w:val="en-US" w:eastAsia="zh-CN"/>
        </w:rPr>
        <w:t>层流病房：细胞/基因治疗中心需要设立8个床位，双人间，每个病房放置分体式空气层流净化器，面积9-12m²，治疗仓配病床，病床床头配置设备带（包含氧气、负压吸引、压缩空气、电源与呼叫系统）配套抢救室、医护缓冲间、受试者缓冲间、更衣间、医护探视走廊、家属探视走廊，以及其他辅助用房，包括：护士站、治疗准备室。病房走廊也采用分体式层流设备，方便后期维护成本控制和根据使用频率控制设备运行时间。</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w:t>
      </w:r>
      <w:r>
        <w:rPr>
          <w:rFonts w:hint="eastAsia" w:ascii="仿宋" w:hAnsi="仿宋" w:eastAsia="仿宋" w:cs="仿宋"/>
          <w:sz w:val="24"/>
          <w:szCs w:val="24"/>
          <w:lang w:val="en-US" w:eastAsia="zh-CN"/>
        </w:rPr>
        <w:t>宣传/接待大厅、家属等候区。</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zh-CN" w:eastAsia="zh-CN"/>
        </w:rPr>
      </w:pPr>
      <w:r>
        <w:rPr>
          <w:rFonts w:hint="default" w:ascii="仿宋" w:hAnsi="仿宋" w:eastAsia="仿宋" w:cs="仿宋"/>
          <w:sz w:val="24"/>
          <w:szCs w:val="24"/>
          <w:lang w:val="zh-CN" w:eastAsia="zh-CN"/>
        </w:rPr>
        <w:t>3.</w:t>
      </w:r>
      <w:r>
        <w:rPr>
          <w:rFonts w:hint="eastAsia" w:ascii="仿宋" w:hAnsi="仿宋" w:eastAsia="仿宋" w:cs="仿宋"/>
          <w:sz w:val="24"/>
          <w:szCs w:val="24"/>
          <w:lang w:val="zh-CN" w:eastAsia="zh-CN"/>
        </w:rPr>
        <w:t>办公区</w:t>
      </w:r>
      <w:r>
        <w:rPr>
          <w:rFonts w:hint="eastAsia" w:ascii="仿宋" w:hAnsi="仿宋" w:eastAsia="仿宋" w:cs="仿宋"/>
          <w:sz w:val="24"/>
          <w:szCs w:val="24"/>
          <w:lang w:val="en-US" w:eastAsia="zh-CN"/>
        </w:rPr>
        <w:t>：需设立</w:t>
      </w:r>
      <w:r>
        <w:rPr>
          <w:rFonts w:hint="default" w:ascii="仿宋" w:hAnsi="仿宋" w:eastAsia="仿宋" w:cs="仿宋"/>
          <w:sz w:val="24"/>
          <w:szCs w:val="24"/>
          <w:lang w:val="en-US" w:eastAsia="zh-CN"/>
        </w:rPr>
        <w:t>资料室</w:t>
      </w:r>
      <w:r>
        <w:rPr>
          <w:rFonts w:hint="eastAsia" w:ascii="仿宋" w:hAnsi="仿宋" w:eastAsia="仿宋" w:cs="仿宋"/>
          <w:sz w:val="24"/>
          <w:szCs w:val="24"/>
          <w:lang w:val="en-US" w:eastAsia="zh-CN"/>
        </w:rPr>
        <w:t>（记录和原始材料自临床研究结束以后保存30年，防火防虫防潮）、</w:t>
      </w:r>
      <w:r>
        <w:rPr>
          <w:rFonts w:hint="default" w:ascii="仿宋" w:hAnsi="仿宋" w:eastAsia="仿宋" w:cs="仿宋"/>
          <w:sz w:val="24"/>
          <w:szCs w:val="24"/>
          <w:lang w:val="en-US" w:eastAsia="zh-CN"/>
        </w:rPr>
        <w:t>机构办公室</w:t>
      </w:r>
      <w:r>
        <w:rPr>
          <w:rFonts w:hint="eastAsia" w:ascii="仿宋" w:hAnsi="仿宋" w:eastAsia="仿宋" w:cs="仿宋"/>
          <w:sz w:val="24"/>
          <w:szCs w:val="24"/>
          <w:lang w:val="en-US" w:eastAsia="zh-CN"/>
        </w:rPr>
        <w:t>、</w:t>
      </w:r>
      <w:r>
        <w:rPr>
          <w:rFonts w:hint="default" w:ascii="仿宋" w:hAnsi="仿宋" w:eastAsia="仿宋" w:cs="仿宋"/>
          <w:sz w:val="24"/>
          <w:szCs w:val="24"/>
          <w:lang w:val="en-US" w:eastAsia="zh-CN"/>
        </w:rPr>
        <w:t>伦理办公室</w:t>
      </w:r>
      <w:r>
        <w:rPr>
          <w:rFonts w:hint="eastAsia" w:ascii="仿宋" w:hAnsi="仿宋" w:eastAsia="仿宋" w:cs="仿宋"/>
          <w:sz w:val="24"/>
          <w:szCs w:val="24"/>
          <w:lang w:val="en-US" w:eastAsia="zh-CN"/>
        </w:rPr>
        <w:t>、</w:t>
      </w:r>
      <w:r>
        <w:rPr>
          <w:rFonts w:hint="default" w:ascii="仿宋" w:hAnsi="仿宋" w:eastAsia="仿宋" w:cs="仿宋"/>
          <w:sz w:val="24"/>
          <w:szCs w:val="24"/>
          <w:lang w:val="en-US" w:eastAsia="zh-CN"/>
        </w:rPr>
        <w:t>学术办公室</w:t>
      </w:r>
      <w:r>
        <w:rPr>
          <w:rFonts w:hint="eastAsia" w:ascii="仿宋" w:hAnsi="仿宋" w:eastAsia="仿宋" w:cs="仿宋"/>
          <w:sz w:val="24"/>
          <w:szCs w:val="24"/>
          <w:lang w:val="en-US" w:eastAsia="zh-CN"/>
        </w:rPr>
        <w:t>、和</w:t>
      </w:r>
      <w:r>
        <w:rPr>
          <w:rFonts w:hint="default" w:ascii="仿宋" w:hAnsi="仿宋" w:eastAsia="仿宋" w:cs="仿宋"/>
          <w:sz w:val="24"/>
          <w:szCs w:val="24"/>
          <w:lang w:val="en-US" w:eastAsia="zh-CN"/>
        </w:rPr>
        <w:t>机构主任办公室</w:t>
      </w:r>
      <w:r>
        <w:rPr>
          <w:rFonts w:hint="eastAsia" w:ascii="仿宋" w:hAnsi="仿宋" w:eastAsia="仿宋" w:cs="仿宋"/>
          <w:sz w:val="24"/>
          <w:szCs w:val="24"/>
          <w:lang w:val="en-US" w:eastAsia="zh-CN"/>
        </w:rPr>
        <w:t>，以及可以容纳30人的</w:t>
      </w:r>
      <w:r>
        <w:rPr>
          <w:rFonts w:hint="default" w:ascii="仿宋" w:hAnsi="仿宋" w:eastAsia="仿宋" w:cs="仿宋"/>
          <w:sz w:val="24"/>
          <w:szCs w:val="24"/>
          <w:lang w:val="en-US" w:eastAsia="zh-CN"/>
        </w:rPr>
        <w:t>会议室</w:t>
      </w:r>
      <w:r>
        <w:rPr>
          <w:rFonts w:hint="eastAsia" w:ascii="仿宋" w:hAnsi="仿宋" w:eastAsia="仿宋" w:cs="仿宋"/>
          <w:sz w:val="24"/>
          <w:szCs w:val="24"/>
          <w:lang w:val="en-US" w:eastAsia="zh-CN"/>
        </w:rPr>
        <w:t>。</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质检区：需要设立独立质检室4间，用于细胞计数、细胞活性测试、内毒素检测、支原体检测、无菌培养等。质检室需要独立空调和新风，空间消毒设备，以防对细胞产品产生污染；同时需要设立洗手池、4度冰箱、-20度冰箱位置。</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5.层流室：生物制剂制备需要层流室，要求符合药监局GMP标准。分设为干细胞制备区域、体细胞制备区域、基因治疗制备区域三个独立的GMP区域。干细胞制备区域和体细胞制备区域各配套B级层流间</w:t>
      </w:r>
      <w:r>
        <w:rPr>
          <w:rFonts w:hint="default" w:ascii="仿宋" w:hAnsi="仿宋" w:eastAsia="仿宋" w:cs="仿宋"/>
          <w:sz w:val="24"/>
          <w:szCs w:val="24"/>
          <w:lang w:val="en-US" w:eastAsia="zh-CN"/>
        </w:rPr>
        <w:t>(9-1</w:t>
      </w:r>
      <w:r>
        <w:rPr>
          <w:rFonts w:hint="eastAsia" w:ascii="仿宋" w:hAnsi="仿宋" w:eastAsia="仿宋" w:cs="仿宋"/>
          <w:sz w:val="24"/>
          <w:szCs w:val="24"/>
          <w:lang w:val="en-US" w:eastAsia="zh-CN"/>
        </w:rPr>
        <w:t>5</w:t>
      </w:r>
      <w:r>
        <w:rPr>
          <w:rFonts w:hint="default" w:ascii="仿宋" w:hAnsi="仿宋" w:eastAsia="仿宋" w:cs="仿宋"/>
          <w:sz w:val="24"/>
          <w:szCs w:val="24"/>
          <w:lang w:val="en-US" w:eastAsia="zh-CN"/>
        </w:rPr>
        <w:t>m</w:t>
      </w:r>
      <w:r>
        <w:rPr>
          <w:rFonts w:hint="eastAsia" w:ascii="仿宋" w:hAnsi="仿宋" w:eastAsia="仿宋" w:cs="仿宋"/>
          <w:sz w:val="24"/>
          <w:szCs w:val="24"/>
          <w:lang w:val="en-US" w:eastAsia="zh-CN"/>
        </w:rPr>
        <w:t>²</w:t>
      </w:r>
      <w:r>
        <w:rPr>
          <w:rFonts w:hint="default" w:ascii="仿宋" w:hAnsi="仿宋" w:eastAsia="仿宋" w:cs="仿宋"/>
          <w:sz w:val="24"/>
          <w:szCs w:val="24"/>
          <w:lang w:val="en-US" w:eastAsia="zh-CN"/>
        </w:rPr>
        <w:t>/</w:t>
      </w:r>
      <w:r>
        <w:rPr>
          <w:rFonts w:hint="eastAsia" w:ascii="仿宋" w:hAnsi="仿宋" w:eastAsia="仿宋" w:cs="仿宋"/>
          <w:sz w:val="24"/>
          <w:szCs w:val="24"/>
          <w:lang w:val="en-US" w:eastAsia="zh-CN"/>
        </w:rPr>
        <w:t>间,</w:t>
      </w:r>
      <w:r>
        <w:rPr>
          <w:rFonts w:hint="default" w:ascii="仿宋" w:hAnsi="仿宋" w:eastAsia="仿宋" w:cs="仿宋"/>
          <w:sz w:val="24"/>
          <w:szCs w:val="24"/>
          <w:lang w:val="en-US" w:eastAsia="zh-CN"/>
        </w:rPr>
        <w:t>1-2</w:t>
      </w:r>
      <w:r>
        <w:rPr>
          <w:rFonts w:hint="eastAsia" w:ascii="仿宋" w:hAnsi="仿宋" w:eastAsia="仿宋" w:cs="仿宋"/>
          <w:sz w:val="24"/>
          <w:szCs w:val="24"/>
          <w:lang w:val="en-US" w:eastAsia="zh-CN"/>
        </w:rPr>
        <w:t>间/区</w:t>
      </w:r>
      <w:r>
        <w:rPr>
          <w:rFonts w:hint="default" w:ascii="仿宋" w:hAnsi="仿宋" w:eastAsia="仿宋" w:cs="仿宋"/>
          <w:sz w:val="24"/>
          <w:szCs w:val="24"/>
          <w:lang w:val="en-US" w:eastAsia="zh-CN"/>
        </w:rPr>
        <w:t>)</w:t>
      </w:r>
      <w:r>
        <w:rPr>
          <w:rFonts w:hint="eastAsia" w:ascii="仿宋" w:hAnsi="仿宋" w:eastAsia="仿宋" w:cs="仿宋"/>
          <w:sz w:val="24"/>
          <w:szCs w:val="24"/>
          <w:lang w:val="en-US" w:eastAsia="zh-CN"/>
        </w:rPr>
        <w:t>、C级2间（每间20-30平方米左右，用于细胞隔离器、配套培养系统，作为生物制剂/受试物的标准化生产车间）、细胞培养间、缓冲间、物料间、无菌库房、样本处理间、传递窗和一更二更衣室，同时，需要配备纯水、紫外线消毒、浮游菌、尘埃粒子和环境监控、联网以及UPS等。基因治疗制备区域作C级层流室配置</w:t>
      </w:r>
      <w:r>
        <w:rPr>
          <w:rFonts w:hint="default" w:ascii="仿宋" w:hAnsi="仿宋" w:eastAsia="仿宋" w:cs="仿宋"/>
          <w:sz w:val="24"/>
          <w:szCs w:val="24"/>
          <w:lang w:val="en-US" w:eastAsia="zh-CN"/>
        </w:rPr>
        <w:t>2</w:t>
      </w:r>
      <w:r>
        <w:rPr>
          <w:rFonts w:hint="eastAsia" w:ascii="仿宋" w:hAnsi="仿宋" w:eastAsia="仿宋" w:cs="仿宋"/>
          <w:sz w:val="24"/>
          <w:szCs w:val="24"/>
          <w:lang w:val="en-US" w:eastAsia="zh-CN"/>
        </w:rPr>
        <w:t>间。</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6.细胞库系统：主要用于储存生物制剂/受试物制品，放置大型液氮罐（6-7个）。</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7.低温生物样本间：用于生物制剂/受试物样本的储存、生物标本的储存，包括超低温样本间（-80度超低温冰箱）和低温4度生物样本储藏间。</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8.细胞治疗临床前实验室：用于人体相关细胞、组织的临床前实验、生物制剂/受试物研发或其他相关的科学研究。</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9.消防通道：用于受试者/供者参观、二氧化碳气体存放等。尽可能有效利用消防空间，避免空间浪费。</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Times New Roman" w:hAnsi="Times New Roman" w:eastAsia="仿宋" w:cs="Times New Roman"/>
          <w:b/>
          <w:bCs/>
          <w:sz w:val="24"/>
          <w:szCs w:val="24"/>
          <w:lang w:eastAsia="zh-CN"/>
        </w:rPr>
      </w:pPr>
      <w:r>
        <w:rPr>
          <w:rFonts w:hint="eastAsia" w:ascii="仿宋" w:hAnsi="仿宋" w:eastAsia="仿宋" w:cs="仿宋"/>
          <w:sz w:val="24"/>
          <w:szCs w:val="24"/>
          <w:lang w:val="en-US" w:eastAsia="zh-CN"/>
        </w:rPr>
        <w:t>注：16-17楼现状平面图详见附件</w:t>
      </w:r>
      <w:r>
        <w:rPr>
          <w:rFonts w:hint="eastAsia" w:ascii="仿宋" w:hAnsi="仿宋" w:eastAsia="仿宋" w:cs="仿宋"/>
          <w:sz w:val="24"/>
          <w:szCs w:val="24"/>
          <w:lang w:val="en-US" w:eastAsia="zh-CN"/>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设计成果包括：纸质蓝图5套，CAD及PDF电子版图纸1套，效果图（若采购人需要则提供，效果图范围至少包括病房、干体细胞实验室、楼层大厅等，尺寸不低于A4）2套；图纸除满足国家建筑相关设计规范外，还应满足GMP条件。</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供应商自行收集相关资料,收集资料费用由供应商负责,测量、统计、汇总的工作由供应商负责。在实施过程中，及时向采购人通报进展情况。</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3、根据审查意见，对编制文件中出现的遗漏或错误负责修改或补充并承担审查和中间咨询的相关费用。供应商人员因本工程赴现场、参加相关会议等产出的出差费、交通费、住宿餐饮费、会务费、劳务费等包合在项目申请报告编制费中，采购人不再另外支付</w:t>
      </w:r>
      <w:r>
        <w:rPr>
          <w:rFonts w:hint="eastAsia" w:ascii="仿宋" w:hAnsi="仿宋" w:eastAsia="仿宋" w:cs="仿宋"/>
          <w:sz w:val="24"/>
          <w:szCs w:val="24"/>
          <w:lang w:val="en-US" w:eastAsia="zh-CN"/>
        </w:rPr>
        <w:t>。</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4、在项目</w:t>
      </w:r>
      <w:r>
        <w:rPr>
          <w:rFonts w:hint="eastAsia" w:ascii="仿宋" w:hAnsi="仿宋" w:eastAsia="仿宋" w:cs="仿宋"/>
          <w:sz w:val="24"/>
          <w:szCs w:val="24"/>
          <w:lang w:val="en-US" w:eastAsia="zh-CN"/>
        </w:rPr>
        <w:t>设计</w:t>
      </w:r>
      <w:r>
        <w:rPr>
          <w:rFonts w:hint="default" w:ascii="仿宋" w:hAnsi="仿宋" w:eastAsia="仿宋" w:cs="仿宋"/>
          <w:sz w:val="24"/>
          <w:szCs w:val="24"/>
          <w:lang w:val="en-US" w:eastAsia="zh-CN"/>
        </w:rPr>
        <w:t>过程中，做好安全防护工作，确保无安全事故发生，如果发生安全责任事故，由供应商自行承担责任。</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5、供应商应遵循采购文件的要求，依法完成本项目项目</w:t>
      </w:r>
      <w:r>
        <w:rPr>
          <w:rFonts w:hint="eastAsia" w:ascii="仿宋" w:hAnsi="仿宋" w:eastAsia="仿宋" w:cs="仿宋"/>
          <w:sz w:val="24"/>
          <w:szCs w:val="24"/>
          <w:lang w:val="en-US" w:eastAsia="zh-CN"/>
        </w:rPr>
        <w:t>设计</w:t>
      </w:r>
      <w:r>
        <w:rPr>
          <w:rFonts w:hint="default" w:ascii="仿宋" w:hAnsi="仿宋" w:eastAsia="仿宋" w:cs="仿宋"/>
          <w:sz w:val="24"/>
          <w:szCs w:val="24"/>
          <w:lang w:val="en-US" w:eastAsia="zh-CN"/>
        </w:rPr>
        <w:t>工作，并对</w:t>
      </w:r>
      <w:r>
        <w:rPr>
          <w:rFonts w:hint="eastAsia" w:ascii="仿宋" w:hAnsi="仿宋" w:eastAsia="仿宋" w:cs="仿宋"/>
          <w:sz w:val="24"/>
          <w:szCs w:val="24"/>
          <w:lang w:val="en-US" w:eastAsia="zh-CN"/>
        </w:rPr>
        <w:t>设计成</w:t>
      </w:r>
      <w:r>
        <w:rPr>
          <w:rFonts w:hint="default" w:ascii="仿宋" w:hAnsi="仿宋" w:eastAsia="仿宋" w:cs="仿宋"/>
          <w:sz w:val="24"/>
          <w:szCs w:val="24"/>
          <w:lang w:val="en-US" w:eastAsia="zh-CN"/>
        </w:rPr>
        <w:t>果及相关信息保密负责。</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6、供应商做好向上级有关部门审查的技术汇报工作。</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7、拟派项目人员不能更换，若需更换须经采购人同意。</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8、如遇国家新政策规定或最新编制依据调整，则按照新政策规定执行。</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ascii="Times New Roman" w:hAnsi="Times New Roman" w:eastAsia="仿宋" w:cs="Times New Roman"/>
          <w:b/>
          <w:bCs/>
          <w:sz w:val="24"/>
          <w:szCs w:val="24"/>
        </w:rPr>
      </w:pPr>
      <w:r>
        <w:rPr>
          <w:rFonts w:hint="eastAsia" w:ascii="仿宋" w:hAnsi="仿宋" w:eastAsia="仿宋" w:cs="仿宋"/>
          <w:sz w:val="24"/>
          <w:szCs w:val="24"/>
          <w:lang w:val="en-US" w:eastAsia="zh-CN"/>
        </w:rPr>
        <w:t>9.服务类型：</w:t>
      </w:r>
      <w:r>
        <w:rPr>
          <w:rFonts w:hint="eastAsia" w:ascii="仿宋" w:hAnsi="仿宋" w:eastAsia="仿宋" w:cs="仿宋"/>
          <w:b w:val="0"/>
          <w:sz w:val="24"/>
          <w:szCs w:val="24"/>
          <w:vertAlign w:val="baseline"/>
          <w:lang w:val="en-US" w:eastAsia="zh-CN"/>
        </w:rPr>
        <w:t>配合采购人完成申报临床研究机构备案的相应工作（若采购人需要）</w:t>
      </w:r>
      <w:r>
        <w:rPr>
          <w:rFonts w:hint="eastAsia" w:ascii="仿宋" w:hAnsi="仿宋" w:eastAsia="仿宋" w:cs="仿宋"/>
          <w:sz w:val="24"/>
          <w:szCs w:val="24"/>
          <w:lang w:val="en-US" w:eastAsia="zh-CN"/>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四、商务要求：</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1.服务期：</w:t>
      </w:r>
      <w:r>
        <w:rPr>
          <w:rFonts w:hint="eastAsia" w:ascii="仿宋" w:hAnsi="仿宋" w:eastAsia="仿宋" w:cs="仿宋"/>
          <w:b w:val="0"/>
          <w:sz w:val="24"/>
          <w:szCs w:val="24"/>
          <w:vertAlign w:val="baseline"/>
          <w:lang w:val="en-US" w:eastAsia="zh-CN"/>
        </w:rPr>
        <w:t>自合同签订日起25日内</w:t>
      </w:r>
      <w:r>
        <w:rPr>
          <w:rFonts w:hint="eastAsia" w:ascii="仿宋" w:hAnsi="仿宋" w:eastAsia="仿宋" w:cs="仿宋"/>
          <w:sz w:val="24"/>
          <w:szCs w:val="24"/>
          <w:lang w:val="en-US" w:eastAsia="zh-CN"/>
        </w:rPr>
        <w:t>。</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2.服务地点：</w:t>
      </w:r>
      <w:r>
        <w:rPr>
          <w:rFonts w:hint="eastAsia" w:ascii="仿宋" w:hAnsi="仿宋" w:eastAsia="仿宋" w:cs="仿宋"/>
          <w:b w:val="0"/>
          <w:sz w:val="24"/>
          <w:szCs w:val="24"/>
          <w:vertAlign w:val="baseline"/>
          <w:lang w:val="en-US" w:eastAsia="zh-CN"/>
        </w:rPr>
        <w:t>四川省人民医院院本部综合科研大楼16楼</w:t>
      </w:r>
      <w:r>
        <w:rPr>
          <w:rFonts w:hint="eastAsia" w:ascii="仿宋" w:hAnsi="仿宋" w:eastAsia="仿宋" w:cs="仿宋"/>
          <w:sz w:val="24"/>
          <w:szCs w:val="24"/>
          <w:lang w:val="en-US" w:eastAsia="zh-CN"/>
        </w:rPr>
        <w:t>。</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b w:val="0"/>
          <w:bCs w:val="0"/>
          <w:i w:val="0"/>
          <w:iCs w:val="0"/>
          <w:color w:val="000000"/>
          <w:sz w:val="24"/>
          <w:szCs w:val="24"/>
        </w:rPr>
      </w:pPr>
      <w:r>
        <w:rPr>
          <w:rFonts w:hint="eastAsia" w:ascii="仿宋" w:hAnsi="仿宋" w:eastAsia="仿宋" w:cs="仿宋"/>
          <w:sz w:val="24"/>
          <w:szCs w:val="24"/>
          <w:lang w:val="en-US" w:eastAsia="zh-CN"/>
        </w:rPr>
        <w:t>3.付款条件：（1）</w:t>
      </w:r>
      <w:r>
        <w:rPr>
          <w:rFonts w:hint="eastAsia" w:ascii="仿宋" w:hAnsi="仿宋" w:eastAsia="仿宋" w:cs="仿宋"/>
          <w:b w:val="0"/>
          <w:bCs w:val="0"/>
          <w:i w:val="0"/>
          <w:iCs w:val="0"/>
          <w:color w:val="000000"/>
          <w:kern w:val="2"/>
          <w:sz w:val="24"/>
          <w:szCs w:val="24"/>
        </w:rPr>
        <w:t>提供完整设计成果后5日内，供应商须向采购人提供合法有效票据及其他相关请款资料，采购人自收到上述票据及资料后55日内支付至合同总金额的50%</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color w:val="000000"/>
          <w:kern w:val="2"/>
          <w:sz w:val="24"/>
          <w:szCs w:val="24"/>
          <w:lang w:eastAsia="zh-CN"/>
        </w:rPr>
        <w:t>（</w:t>
      </w:r>
      <w:r>
        <w:rPr>
          <w:rFonts w:hint="eastAsia" w:ascii="仿宋" w:hAnsi="仿宋" w:eastAsia="仿宋" w:cs="仿宋"/>
          <w:color w:val="000000"/>
          <w:kern w:val="2"/>
          <w:sz w:val="24"/>
          <w:szCs w:val="24"/>
          <w:lang w:val="en-US" w:eastAsia="zh-CN"/>
        </w:rPr>
        <w:t>2</w:t>
      </w:r>
      <w:r>
        <w:rPr>
          <w:rFonts w:hint="eastAsia" w:ascii="仿宋" w:hAnsi="仿宋" w:eastAsia="仿宋" w:cs="仿宋"/>
          <w:color w:val="000000"/>
          <w:kern w:val="2"/>
          <w:sz w:val="24"/>
          <w:szCs w:val="24"/>
          <w:lang w:eastAsia="zh-CN"/>
        </w:rPr>
        <w:t>）</w:t>
      </w:r>
      <w:r>
        <w:rPr>
          <w:rFonts w:hint="eastAsia" w:ascii="仿宋" w:hAnsi="仿宋" w:eastAsia="仿宋" w:cs="仿宋"/>
          <w:color w:val="000000"/>
          <w:kern w:val="2"/>
          <w:sz w:val="24"/>
          <w:szCs w:val="24"/>
        </w:rPr>
        <w:t>项目施工竣工验收合格后5日内，供应商须向采购人提供合法有效票据及其他相关请款资料，采购人自收到上述票据及资料后55日内支付至合同总金额的100%</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验收主体：采购人。</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验收程序：一次性验收。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履约验收内容：按照基于本项目采购需求编制的采购文件要求及供应商投标文件响应情况，由供应商向采购人提供的全部设计服务履约情况。</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w:t>
      </w:r>
      <w:r>
        <w:rPr>
          <w:rFonts w:hint="eastAsia" w:ascii="仿宋" w:hAnsi="仿宋" w:eastAsia="仿宋" w:cs="仿宋"/>
          <w:b w:val="0"/>
          <w:sz w:val="24"/>
          <w:szCs w:val="24"/>
          <w:vertAlign w:val="baseline"/>
          <w:lang w:val="en-US" w:eastAsia="zh-CN"/>
        </w:rPr>
        <w:t>供应商完成全部交付工作后15日内通知采购人验收，采购人接供应商通知后7日内组织验收</w:t>
      </w:r>
      <w:r>
        <w:rPr>
          <w:rFonts w:hint="eastAsia" w:ascii="仿宋" w:hAnsi="仿宋" w:eastAsia="仿宋" w:cs="仿宋"/>
          <w:sz w:val="24"/>
          <w:szCs w:val="24"/>
          <w:highlight w:val="none"/>
          <w:lang w:val="en-US" w:eastAsia="zh-CN"/>
        </w:rPr>
        <w:t>。</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(12)履约验收其它事项：无。</w:t>
      </w:r>
    </w:p>
    <w:p>
      <w:pPr>
        <w:pStyle w:val="16"/>
        <w:keepNext w:val="0"/>
        <w:keepLines w:val="0"/>
        <w:pageBreakBefore w:val="0"/>
        <w:numPr>
          <w:ilvl w:val="0"/>
          <w:numId w:val="0"/>
        </w:numPr>
        <w:kinsoku/>
        <w:wordWrap/>
        <w:overflowPunct/>
        <w:topLinePunct w:val="0"/>
        <w:autoSpaceDE/>
        <w:autoSpaceDN/>
        <w:bidi w:val="0"/>
        <w:adjustRightInd/>
        <w:spacing w:before="0"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其他</w:t>
      </w:r>
      <w:r>
        <w:rPr>
          <w:rFonts w:hint="eastAsia" w:ascii="仿宋" w:hAnsi="仿宋" w:eastAsia="仿宋" w:cs="仿宋"/>
          <w:b/>
          <w:bCs/>
          <w:sz w:val="24"/>
          <w:szCs w:val="24"/>
        </w:rPr>
        <w:t>要求：</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1.供应商提供自2023年1月1日（含）至响应截止时间的类似项目承揽业绩，类似项目指干体细胞实验室相关设计项目；提供完整的设计合同复印件，业绩时间以合同为准。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项目负责人要求：具有二级注册建筑师及以上，同时具有建筑师中级及以上职称；作为项目负责人提供自2023年1月1日（含）至响应截止时间的类似项目承揽业绩，类似项目指干体细胞实验室相关设计项目；提供完整的设计合同复印件，业绩时间以合同为准。（可与公司业绩相同）注：①须提供相关证书扫描件并加盖供应商公章。②项目负责人须为供应商本单位人员，提供人员在供应商本单位的在职证明材料并加盖供应商公章</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3、提供项目部署方案，具体包括：①设计人员组成架构及分工；②设计重难点分析；③施工过程中的配合安排；</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4、供应商应提供项目服务方案，包括但不限于项目管理及实施方案、质量保障措施、售后服务方案等。</w:t>
      </w: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bookmarkStart w:id="19" w:name="OLE_LINK3"/>
      <w:r>
        <w:rPr>
          <w:rFonts w:ascii="Segoe UI Symbol" w:hAnsi="Segoe UI Symbol" w:eastAsia="仿宋" w:cs="Segoe UI Symbol"/>
          <w:b/>
          <w:bCs/>
          <w:sz w:val="24"/>
          <w:szCs w:val="22"/>
        </w:rPr>
        <w:t>★</w:t>
      </w:r>
      <w:bookmarkEnd w:id="19"/>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20" w:name="_Toc13768"/>
      <w:bookmarkStart w:id="21" w:name="_Toc22588"/>
      <w:bookmarkStart w:id="22" w:name="_Toc28789"/>
      <w:r>
        <w:rPr>
          <w:rFonts w:ascii="Times New Roman" w:hAnsi="Times New Roman" w:cs="Times New Roman"/>
        </w:rPr>
        <w:t>评分标准</w:t>
      </w:r>
      <w:bookmarkEnd w:id="20"/>
      <w:bookmarkEnd w:id="21"/>
      <w:bookmarkEnd w:id="22"/>
    </w:p>
    <w:p>
      <w:pPr>
        <w:rPr>
          <w:lang w:val="zh-CN"/>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8"/>
        <w:gridCol w:w="864"/>
        <w:gridCol w:w="637"/>
        <w:gridCol w:w="7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left"/>
              <w:rPr>
                <w:rFonts w:hint="eastAsia" w:ascii="仿宋" w:hAnsi="仿宋" w:eastAsia="仿宋" w:cs="仿宋"/>
                <w:color w:val="auto"/>
                <w:sz w:val="24"/>
                <w:szCs w:val="24"/>
                <w:highlight w:val="none"/>
                <w:vertAlign w:val="baseline"/>
                <w:lang w:val="en-US" w:eastAsia="zh-CN"/>
              </w:rPr>
            </w:pPr>
            <w:r>
              <w:rPr>
                <w:rFonts w:ascii="Times New Roman" w:hAnsi="Times New Roman" w:cs="Times New Roman"/>
              </w:rPr>
              <w:br w:type="page"/>
            </w:r>
            <w:r>
              <w:rPr>
                <w:rFonts w:hint="eastAsia" w:ascii="仿宋" w:hAnsi="仿宋" w:eastAsia="仿宋" w:cs="仿宋"/>
                <w:color w:val="auto"/>
                <w:sz w:val="24"/>
                <w:szCs w:val="24"/>
                <w:highlight w:val="none"/>
                <w:vertAlign w:val="baseline"/>
                <w:lang w:val="en-US" w:eastAsia="zh-CN"/>
              </w:rPr>
              <w:t>序号</w:t>
            </w:r>
          </w:p>
        </w:tc>
        <w:tc>
          <w:tcPr>
            <w:tcW w:w="438" w:type="pct"/>
            <w:noWrap w:val="0"/>
            <w:vAlign w:val="center"/>
          </w:tcPr>
          <w:p>
            <w:pPr>
              <w:wordWrap w:val="0"/>
              <w:ind w:firstLine="28" w:firstLineChars="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评分因素</w:t>
            </w:r>
          </w:p>
        </w:tc>
        <w:tc>
          <w:tcPr>
            <w:tcW w:w="323" w:type="pct"/>
            <w:noWrap w:val="0"/>
            <w:vAlign w:val="center"/>
          </w:tcPr>
          <w:p>
            <w:pPr>
              <w:wordWrap w:val="0"/>
              <w:ind w:firstLine="28" w:firstLineChars="0"/>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lang w:val="en-US" w:eastAsia="zh-CN"/>
              </w:rPr>
              <w:t>分值</w:t>
            </w:r>
          </w:p>
        </w:tc>
        <w:tc>
          <w:tcPr>
            <w:tcW w:w="3974" w:type="pct"/>
            <w:noWrap w:val="0"/>
            <w:vAlign w:val="center"/>
          </w:tcPr>
          <w:p>
            <w:pPr>
              <w:jc w:val="center"/>
              <w:rPr>
                <w:rFonts w:hint="eastAsia" w:ascii="仿宋" w:hAnsi="仿宋" w:eastAsia="仿宋" w:cs="仿宋"/>
                <w:color w:val="auto"/>
                <w:sz w:val="24"/>
                <w:szCs w:val="24"/>
                <w:highlight w:val="none"/>
                <w:vertAlign w:val="baseline"/>
              </w:rPr>
            </w:pPr>
            <w:r>
              <w:rPr>
                <w:rFonts w:hint="eastAsia" w:ascii="仿宋" w:hAnsi="仿宋" w:eastAsia="仿宋" w:cs="仿宋"/>
                <w:i w:val="0"/>
                <w:iCs w:val="0"/>
                <w:caps w:val="0"/>
                <w:spacing w:val="0"/>
                <w:sz w:val="24"/>
                <w:szCs w:val="24"/>
                <w:shd w:val="clear" w:color="auto" w:fill="FFFFFF"/>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color w:val="auto"/>
                <w:sz w:val="24"/>
                <w:szCs w:val="24"/>
                <w:highlight w:val="none"/>
                <w:lang w:val="en-US" w:eastAsia="zh-CN"/>
              </w:rPr>
              <w:t>报价</w:t>
            </w:r>
          </w:p>
        </w:tc>
        <w:tc>
          <w:tcPr>
            <w:tcW w:w="323"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lang w:val="en-US"/>
              </w:rPr>
            </w:pPr>
            <w:r>
              <w:rPr>
                <w:rFonts w:hint="eastAsia" w:ascii="仿宋" w:hAnsi="仿宋" w:eastAsia="仿宋" w:cs="仿宋"/>
                <w:color w:val="auto"/>
                <w:sz w:val="24"/>
                <w:szCs w:val="24"/>
                <w:highlight w:val="none"/>
                <w:lang w:val="en-US" w:eastAsia="zh-CN"/>
              </w:rPr>
              <w:t>10分</w:t>
            </w:r>
          </w:p>
        </w:tc>
        <w:tc>
          <w:tcPr>
            <w:tcW w:w="3974" w:type="pct"/>
            <w:noWrap w:val="0"/>
            <w:vAlign w:val="center"/>
          </w:tcPr>
          <w:p>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满足谈判文件要求且响应价格最低的响应报价为评审基准价，其价格分为满分，响应报价得分=(评审基准价／响应报价)×10。</w:t>
            </w:r>
          </w:p>
          <w:p>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b w:val="0"/>
                <w:bCs/>
                <w:sz w:val="24"/>
                <w:szCs w:val="24"/>
                <w:highlight w:val="none"/>
                <w:lang w:val="en-US" w:eastAsia="zh-CN"/>
              </w:rPr>
              <w:t>注：得分保留小数点后两位小数，四舍五入。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3" w:name="OLE_LINK12"/>
            <w:r>
              <w:rPr>
                <w:rFonts w:hint="eastAsia" w:ascii="仿宋" w:hAnsi="仿宋" w:eastAsia="仿宋" w:cs="仿宋"/>
                <w:b w:val="0"/>
                <w:bCs/>
                <w:sz w:val="24"/>
                <w:szCs w:val="24"/>
              </w:rPr>
              <w:t>人员配备</w:t>
            </w:r>
            <w:bookmarkEnd w:id="23"/>
          </w:p>
        </w:tc>
        <w:tc>
          <w:tcPr>
            <w:tcW w:w="323" w:type="pct"/>
            <w:shd w:val="clear" w:color="auto" w:fill="auto"/>
            <w:noWrap w:val="0"/>
            <w:vAlign w:val="center"/>
          </w:tcPr>
          <w:p>
            <w:pPr>
              <w:pStyle w:val="14"/>
              <w:widowControl/>
              <w:spacing w:line="360" w:lineRule="auto"/>
              <w:ind w:firstLine="0" w:firstLineChars="0"/>
              <w:jc w:val="both"/>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lang w:val="en-US" w:eastAsia="zh-CN"/>
              </w:rPr>
              <w:t>20</w:t>
            </w:r>
            <w:r>
              <w:rPr>
                <w:rFonts w:hint="eastAsia" w:ascii="仿宋" w:hAnsi="仿宋" w:eastAsia="仿宋" w:cs="仿宋"/>
                <w:b w:val="0"/>
                <w:bCs/>
                <w:sz w:val="24"/>
                <w:szCs w:val="24"/>
              </w:rPr>
              <w:t>分</w:t>
            </w:r>
          </w:p>
        </w:tc>
        <w:tc>
          <w:tcPr>
            <w:tcW w:w="3974" w:type="pct"/>
            <w:shd w:val="clear" w:color="auto" w:fill="auto"/>
            <w:noWrap w:val="0"/>
            <w:vAlign w:val="center"/>
          </w:tcPr>
          <w:p>
            <w:pPr>
              <w:widowControl/>
              <w:jc w:val="left"/>
              <w:outlineLvl w:val="1"/>
              <w:rPr>
                <w:rFonts w:hint="default" w:ascii="仿宋" w:hAnsi="仿宋" w:eastAsia="仿宋" w:cs="仿宋"/>
                <w:b w:val="0"/>
                <w:bCs/>
                <w:sz w:val="24"/>
                <w:szCs w:val="24"/>
                <w:highlight w:val="none"/>
                <w:lang w:val="en-US"/>
              </w:rPr>
            </w:pPr>
            <w:r>
              <w:rPr>
                <w:rFonts w:hint="eastAsia" w:ascii="仿宋" w:hAnsi="仿宋" w:eastAsia="仿宋" w:cs="仿宋"/>
                <w:sz w:val="24"/>
                <w:szCs w:val="24"/>
                <w:highlight w:val="none"/>
                <w:lang w:val="en-US" w:eastAsia="zh-CN"/>
              </w:rPr>
              <w:t>项目负责人具有二级注册建筑师得5分，具有一级注册建筑师得10分；具有建筑师中级职称得5分，具有高级及以上职称得10分。本项最多得20分。</w:t>
            </w:r>
          </w:p>
          <w:p>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highlight w:val="none"/>
                <w:lang w:val="zh-CN"/>
              </w:rPr>
              <w:t>注：①须提供相关证书扫描件并加盖供应商公章。②项目负责人须为供应商本单位人员，提供人员在供应商本单位的在职证明材料并加盖供应商公章。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4" w:name="OLE_LINK5"/>
            <w:r>
              <w:rPr>
                <w:rFonts w:hint="eastAsia" w:ascii="仿宋" w:hAnsi="仿宋" w:eastAsia="仿宋" w:cs="仿宋"/>
                <w:b w:val="0"/>
                <w:bCs/>
                <w:sz w:val="24"/>
                <w:szCs w:val="24"/>
                <w:lang w:val="en-US" w:eastAsia="zh-CN"/>
              </w:rPr>
              <w:t>类似</w:t>
            </w:r>
            <w:r>
              <w:rPr>
                <w:rFonts w:hint="eastAsia" w:ascii="仿宋" w:hAnsi="仿宋" w:eastAsia="仿宋" w:cs="仿宋"/>
                <w:b w:val="0"/>
                <w:bCs/>
                <w:sz w:val="24"/>
                <w:szCs w:val="24"/>
                <w:lang w:val="zh-CN"/>
              </w:rPr>
              <w:t>业绩</w:t>
            </w:r>
            <w:r>
              <w:rPr>
                <w:rFonts w:hint="eastAsia" w:ascii="仿宋" w:hAnsi="仿宋" w:eastAsia="仿宋" w:cs="仿宋"/>
                <w:b w:val="0"/>
                <w:bCs/>
                <w:sz w:val="24"/>
                <w:szCs w:val="24"/>
                <w:lang w:val="en-US" w:eastAsia="zh-CN"/>
              </w:rPr>
              <w:t>情况</w:t>
            </w:r>
            <w:bookmarkEnd w:id="24"/>
          </w:p>
        </w:tc>
        <w:tc>
          <w:tcPr>
            <w:tcW w:w="323" w:type="pct"/>
            <w:shd w:val="clear" w:color="auto" w:fill="auto"/>
            <w:noWrap w:val="0"/>
            <w:vAlign w:val="center"/>
          </w:tcPr>
          <w:p>
            <w:pPr>
              <w:pStyle w:val="14"/>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58</w:t>
            </w:r>
            <w:r>
              <w:rPr>
                <w:rFonts w:hint="eastAsia" w:ascii="仿宋" w:hAnsi="仿宋" w:eastAsia="仿宋" w:cs="仿宋"/>
                <w:b w:val="0"/>
                <w:bCs/>
                <w:sz w:val="24"/>
                <w:szCs w:val="24"/>
                <w:highlight w:val="none"/>
                <w:lang w:val="zh-CN"/>
              </w:rPr>
              <w:t>分</w:t>
            </w:r>
          </w:p>
        </w:tc>
        <w:tc>
          <w:tcPr>
            <w:tcW w:w="3974" w:type="pct"/>
            <w:shd w:val="clear" w:color="auto" w:fill="auto"/>
            <w:noWrap w:val="0"/>
            <w:vAlign w:val="center"/>
          </w:tcPr>
          <w:p>
            <w:pPr>
              <w:widowControl/>
              <w:numPr>
                <w:ilvl w:val="0"/>
                <w:numId w:val="12"/>
              </w:numPr>
              <w:jc w:val="left"/>
              <w:outlineLvl w:val="1"/>
              <w:rPr>
                <w:rFonts w:hint="eastAsia" w:ascii="仿宋" w:hAnsi="仿宋" w:eastAsia="仿宋" w:cs="仿宋"/>
                <w:b w:val="0"/>
                <w:bCs/>
                <w:sz w:val="24"/>
                <w:szCs w:val="24"/>
                <w:lang w:val="zh-CN" w:eastAsia="zh-CN"/>
              </w:rPr>
            </w:pPr>
            <w:r>
              <w:rPr>
                <w:rFonts w:hint="eastAsia" w:ascii="仿宋" w:hAnsi="仿宋" w:eastAsia="仿宋" w:cs="仿宋"/>
                <w:b w:val="0"/>
                <w:bCs/>
                <w:sz w:val="24"/>
                <w:szCs w:val="24"/>
                <w:lang w:val="en-US" w:eastAsia="zh-CN"/>
              </w:rPr>
              <w:t>企业业绩：供应商每提供一个自</w:t>
            </w:r>
            <w:r>
              <w:rPr>
                <w:rFonts w:hint="eastAsia" w:ascii="仿宋" w:hAnsi="仿宋" w:eastAsia="仿宋" w:cs="仿宋"/>
                <w:b w:val="0"/>
                <w:bCs/>
                <w:sz w:val="24"/>
                <w:szCs w:val="24"/>
                <w:lang w:val="zh-CN" w:eastAsia="zh-CN"/>
              </w:rPr>
              <w:t>202</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val="zh-CN" w:eastAsia="zh-CN"/>
              </w:rPr>
              <w:t>年1月1日至</w:t>
            </w:r>
            <w:r>
              <w:rPr>
                <w:rFonts w:hint="eastAsia" w:ascii="仿宋" w:hAnsi="仿宋" w:eastAsia="仿宋" w:cs="仿宋"/>
                <w:b w:val="0"/>
                <w:bCs/>
                <w:sz w:val="24"/>
                <w:szCs w:val="24"/>
                <w:lang w:val="en-US" w:eastAsia="zh-CN"/>
              </w:rPr>
              <w:t>响应</w:t>
            </w:r>
            <w:r>
              <w:rPr>
                <w:rFonts w:hint="eastAsia" w:ascii="仿宋" w:hAnsi="仿宋" w:eastAsia="仿宋" w:cs="仿宋"/>
                <w:b w:val="0"/>
                <w:bCs/>
                <w:sz w:val="24"/>
                <w:szCs w:val="24"/>
                <w:lang w:val="zh-CN" w:eastAsia="zh-CN"/>
              </w:rPr>
              <w:t>截止时间已完成</w:t>
            </w:r>
            <w:r>
              <w:rPr>
                <w:rFonts w:hint="eastAsia" w:ascii="仿宋" w:hAnsi="仿宋" w:eastAsia="仿宋" w:cs="仿宋"/>
                <w:b w:val="0"/>
                <w:bCs/>
                <w:sz w:val="24"/>
                <w:szCs w:val="24"/>
                <w:lang w:val="en-US" w:eastAsia="zh-CN"/>
              </w:rPr>
              <w:t>的</w:t>
            </w:r>
            <w:r>
              <w:rPr>
                <w:rFonts w:hint="eastAsia" w:ascii="仿宋" w:hAnsi="仿宋" w:eastAsia="仿宋" w:cs="仿宋"/>
                <w:b w:val="0"/>
                <w:bCs/>
                <w:sz w:val="24"/>
                <w:szCs w:val="24"/>
                <w:lang w:val="zh-CN" w:eastAsia="zh-CN"/>
              </w:rPr>
              <w:t>类似项目</w:t>
            </w:r>
            <w:r>
              <w:rPr>
                <w:rFonts w:hint="eastAsia" w:ascii="仿宋" w:hAnsi="仿宋" w:eastAsia="仿宋" w:cs="仿宋"/>
                <w:b w:val="0"/>
                <w:bCs/>
                <w:sz w:val="24"/>
                <w:szCs w:val="24"/>
                <w:lang w:val="en-US" w:eastAsia="zh-CN"/>
              </w:rPr>
              <w:t>业绩得6分，</w:t>
            </w:r>
            <w:r>
              <w:rPr>
                <w:rFonts w:hint="eastAsia" w:ascii="仿宋" w:hAnsi="仿宋" w:eastAsia="仿宋" w:cs="仿宋"/>
                <w:b w:val="0"/>
                <w:bCs/>
                <w:sz w:val="24"/>
                <w:szCs w:val="24"/>
                <w:lang w:val="zh-CN" w:eastAsia="zh-CN"/>
              </w:rPr>
              <w:t>本项最多得</w:t>
            </w:r>
            <w:r>
              <w:rPr>
                <w:rFonts w:hint="eastAsia" w:ascii="仿宋" w:hAnsi="仿宋" w:eastAsia="仿宋" w:cs="仿宋"/>
                <w:b w:val="0"/>
                <w:bCs/>
                <w:sz w:val="24"/>
                <w:szCs w:val="24"/>
                <w:lang w:val="en-US" w:eastAsia="zh-CN"/>
              </w:rPr>
              <w:t>42</w:t>
            </w:r>
            <w:r>
              <w:rPr>
                <w:rFonts w:hint="eastAsia" w:ascii="仿宋" w:hAnsi="仿宋" w:eastAsia="仿宋" w:cs="仿宋"/>
                <w:b w:val="0"/>
                <w:bCs/>
                <w:sz w:val="24"/>
                <w:szCs w:val="24"/>
                <w:lang w:val="zh-CN" w:eastAsia="zh-CN"/>
              </w:rPr>
              <w:t>分。类似项目指干体细胞实验室相关设计项目。</w:t>
            </w:r>
          </w:p>
          <w:p>
            <w:pPr>
              <w:widowControl/>
              <w:numPr>
                <w:ilvl w:val="0"/>
                <w:numId w:val="12"/>
              </w:numPr>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项目负责人业绩：每提供一个自2023年1月1日至响应</w:t>
            </w:r>
            <w:r>
              <w:rPr>
                <w:rFonts w:hint="eastAsia" w:ascii="仿宋" w:hAnsi="仿宋" w:eastAsia="仿宋" w:cs="仿宋"/>
                <w:b w:val="0"/>
                <w:bCs/>
                <w:sz w:val="24"/>
                <w:szCs w:val="24"/>
                <w:lang w:val="zh-CN" w:eastAsia="zh-CN"/>
              </w:rPr>
              <w:t>截止时间已完成</w:t>
            </w:r>
            <w:r>
              <w:rPr>
                <w:rFonts w:hint="eastAsia" w:ascii="仿宋" w:hAnsi="仿宋" w:eastAsia="仿宋" w:cs="仿宋"/>
                <w:b w:val="0"/>
                <w:bCs/>
                <w:sz w:val="24"/>
                <w:szCs w:val="24"/>
                <w:lang w:val="en-US" w:eastAsia="zh-CN"/>
              </w:rPr>
              <w:t>的</w:t>
            </w:r>
            <w:r>
              <w:rPr>
                <w:rFonts w:hint="eastAsia" w:ascii="仿宋" w:hAnsi="仿宋" w:eastAsia="仿宋" w:cs="仿宋"/>
                <w:b w:val="0"/>
                <w:bCs/>
                <w:sz w:val="24"/>
                <w:szCs w:val="24"/>
                <w:lang w:val="zh-CN" w:eastAsia="zh-CN"/>
              </w:rPr>
              <w:t>类似项目</w:t>
            </w:r>
            <w:r>
              <w:rPr>
                <w:rFonts w:hint="eastAsia" w:ascii="仿宋" w:hAnsi="仿宋" w:eastAsia="仿宋" w:cs="仿宋"/>
                <w:b w:val="0"/>
                <w:bCs/>
                <w:sz w:val="24"/>
                <w:szCs w:val="24"/>
                <w:lang w:val="en-US" w:eastAsia="zh-CN"/>
              </w:rPr>
              <w:t>业绩得4分，本项最多得16分，</w:t>
            </w:r>
            <w:r>
              <w:rPr>
                <w:rFonts w:hint="eastAsia" w:ascii="仿宋" w:hAnsi="仿宋" w:eastAsia="仿宋" w:cs="仿宋"/>
                <w:b w:val="0"/>
                <w:bCs/>
                <w:sz w:val="24"/>
                <w:szCs w:val="24"/>
                <w:lang w:val="zh-CN" w:eastAsia="zh-CN"/>
              </w:rPr>
              <w:t>类似项目指干体细胞实验室相关设计项目。</w:t>
            </w:r>
          </w:p>
          <w:p>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注：需提供完整的合同盖章复印件并加盖公章，项目负责人业绩可与公司业绩相同。合同能够反映为类似项目业绩情况</w:t>
            </w:r>
            <w:r>
              <w:rPr>
                <w:rFonts w:hint="eastAsia" w:ascii="仿宋" w:hAnsi="仿宋" w:eastAsia="仿宋" w:cs="仿宋"/>
                <w:b w:val="0"/>
                <w:bCs/>
                <w:sz w:val="24"/>
                <w:szCs w:val="24"/>
                <w:lang w:val="zh-CN" w:eastAsia="zh-CN"/>
              </w:rPr>
              <w:t>，不提供或提供不完整不得分</w:t>
            </w:r>
            <w:r>
              <w:rPr>
                <w:rFonts w:hint="eastAsia" w:ascii="仿宋" w:hAnsi="仿宋" w:eastAsia="仿宋" w:cs="仿宋"/>
                <w:b w:val="0"/>
                <w:bCs/>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5" w:name="OLE_LINK6"/>
            <w:r>
              <w:rPr>
                <w:rFonts w:hint="eastAsia" w:ascii="仿宋" w:hAnsi="仿宋" w:eastAsia="仿宋" w:cs="仿宋"/>
                <w:b w:val="0"/>
                <w:bCs/>
                <w:sz w:val="24"/>
                <w:szCs w:val="24"/>
                <w:lang w:val="en-US" w:eastAsia="zh-CN"/>
              </w:rPr>
              <w:t>服务方案</w:t>
            </w:r>
            <w:bookmarkEnd w:id="25"/>
          </w:p>
        </w:tc>
        <w:tc>
          <w:tcPr>
            <w:tcW w:w="323" w:type="pct"/>
            <w:shd w:val="clear" w:color="auto" w:fill="auto"/>
            <w:noWrap w:val="0"/>
            <w:vAlign w:val="center"/>
          </w:tcPr>
          <w:p>
            <w:pPr>
              <w:pStyle w:val="14"/>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6</w:t>
            </w:r>
            <w:r>
              <w:rPr>
                <w:rFonts w:hint="eastAsia" w:ascii="仿宋" w:hAnsi="仿宋" w:eastAsia="仿宋" w:cs="仿宋"/>
                <w:b w:val="0"/>
                <w:bCs/>
                <w:sz w:val="24"/>
                <w:szCs w:val="24"/>
                <w:highlight w:val="none"/>
                <w:lang w:val="zh-CN"/>
              </w:rPr>
              <w:t>分</w:t>
            </w:r>
          </w:p>
        </w:tc>
        <w:tc>
          <w:tcPr>
            <w:tcW w:w="3974" w:type="pct"/>
            <w:shd w:val="clear" w:color="auto" w:fill="auto"/>
            <w:noWrap w:val="0"/>
            <w:vAlign w:val="center"/>
          </w:tcPr>
          <w:p>
            <w:pPr>
              <w:widowControl/>
              <w:jc w:val="left"/>
              <w:outlineLvl w:val="1"/>
              <w:rPr>
                <w:rFonts w:hint="eastAsia" w:ascii="仿宋" w:hAnsi="仿宋" w:eastAsia="仿宋" w:cs="仿宋"/>
                <w:b w:val="0"/>
                <w:bCs/>
                <w:sz w:val="24"/>
                <w:szCs w:val="24"/>
              </w:rPr>
            </w:pPr>
            <w:r>
              <w:rPr>
                <w:rFonts w:hint="eastAsia" w:ascii="仿宋" w:hAnsi="仿宋" w:eastAsia="仿宋" w:cs="仿宋"/>
                <w:sz w:val="24"/>
                <w:szCs w:val="24"/>
                <w:lang w:val="en-US" w:eastAsia="zh-CN"/>
              </w:rPr>
              <w:t>供应商需针对本项目提供部署方案，包含但不限于①设计人员组成架构及分工；②设计重难点分析；③施工过程中的配合安排。</w:t>
            </w:r>
            <w:r>
              <w:rPr>
                <w:rFonts w:hint="eastAsia" w:ascii="仿宋" w:hAnsi="仿宋" w:eastAsia="仿宋" w:cs="仿宋"/>
                <w:sz w:val="24"/>
                <w:szCs w:val="24"/>
              </w:rPr>
              <w:t>以上</w:t>
            </w:r>
            <w:r>
              <w:rPr>
                <w:rFonts w:hint="eastAsia" w:ascii="仿宋" w:hAnsi="仿宋" w:eastAsia="仿宋" w:cs="仿宋"/>
                <w:sz w:val="24"/>
                <w:szCs w:val="24"/>
                <w:lang w:val="en-US" w:eastAsia="zh-CN"/>
              </w:rPr>
              <w:t>3</w:t>
            </w:r>
            <w:r>
              <w:rPr>
                <w:rFonts w:hint="eastAsia" w:ascii="仿宋" w:hAnsi="仿宋" w:eastAsia="仿宋" w:cs="仿宋"/>
                <w:sz w:val="24"/>
                <w:szCs w:val="24"/>
              </w:rPr>
              <w:t>项</w:t>
            </w:r>
            <w:r>
              <w:rPr>
                <w:rFonts w:hint="eastAsia" w:ascii="仿宋" w:hAnsi="仿宋" w:eastAsia="仿宋" w:cs="仿宋"/>
                <w:sz w:val="24"/>
                <w:szCs w:val="24"/>
                <w:lang w:val="en-US" w:eastAsia="zh-CN"/>
              </w:rPr>
              <w:t>完全满足</w:t>
            </w:r>
            <w:r>
              <w:rPr>
                <w:rFonts w:hint="eastAsia" w:ascii="仿宋" w:hAnsi="仿宋" w:eastAsia="仿宋" w:cs="仿宋"/>
                <w:sz w:val="24"/>
                <w:szCs w:val="24"/>
              </w:rPr>
              <w:t>得</w:t>
            </w:r>
            <w:r>
              <w:rPr>
                <w:rFonts w:hint="eastAsia" w:ascii="仿宋" w:hAnsi="仿宋" w:eastAsia="仿宋" w:cs="仿宋"/>
                <w:sz w:val="24"/>
                <w:szCs w:val="24"/>
                <w:lang w:val="en-US" w:eastAsia="zh-CN"/>
              </w:rPr>
              <w:t>6</w:t>
            </w:r>
            <w:r>
              <w:rPr>
                <w:rFonts w:hint="eastAsia" w:ascii="仿宋" w:hAnsi="仿宋" w:eastAsia="仿宋" w:cs="仿宋"/>
                <w:sz w:val="24"/>
                <w:szCs w:val="24"/>
              </w:rPr>
              <w:t>分。每缺失一项扣</w:t>
            </w:r>
            <w:r>
              <w:rPr>
                <w:rFonts w:hint="eastAsia" w:ascii="仿宋" w:hAnsi="仿宋" w:eastAsia="仿宋" w:cs="仿宋"/>
                <w:sz w:val="24"/>
                <w:szCs w:val="24"/>
                <w:lang w:val="en-US" w:eastAsia="zh-CN"/>
              </w:rPr>
              <w:t>2</w:t>
            </w:r>
            <w:r>
              <w:rPr>
                <w:rFonts w:hint="eastAsia" w:ascii="仿宋" w:hAnsi="仿宋" w:eastAsia="仿宋" w:cs="仿宋"/>
                <w:sz w:val="24"/>
                <w:szCs w:val="24"/>
              </w:rPr>
              <w:t>分，每项中每有一处缺陷的</w:t>
            </w:r>
            <w:r>
              <w:rPr>
                <w:rFonts w:hint="eastAsia" w:ascii="仿宋" w:hAnsi="仿宋" w:eastAsia="仿宋" w:cs="仿宋"/>
                <w:b w:val="0"/>
                <w:bCs/>
                <w:sz w:val="24"/>
                <w:szCs w:val="24"/>
              </w:rPr>
              <w:t>扣</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rPr>
              <w:t>分，扣完为止。</w:t>
            </w:r>
          </w:p>
          <w:p>
            <w:pPr>
              <w:widowControl/>
              <w:jc w:val="left"/>
              <w:outlineLvl w:val="1"/>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6" w:name="OLE_LINK7"/>
            <w:r>
              <w:rPr>
                <w:rFonts w:hint="eastAsia" w:ascii="仿宋" w:hAnsi="仿宋" w:eastAsia="仿宋" w:cs="仿宋"/>
                <w:b w:val="0"/>
                <w:bCs/>
                <w:sz w:val="24"/>
                <w:szCs w:val="24"/>
                <w:vertAlign w:val="baseline"/>
                <w:lang w:val="en-US" w:eastAsia="zh-CN"/>
              </w:rPr>
              <w:t>质量保证措施</w:t>
            </w:r>
            <w:bookmarkEnd w:id="26"/>
          </w:p>
        </w:tc>
        <w:tc>
          <w:tcPr>
            <w:tcW w:w="323" w:type="pct"/>
            <w:shd w:val="clear" w:color="auto" w:fill="auto"/>
            <w:noWrap w:val="0"/>
            <w:vAlign w:val="center"/>
          </w:tcPr>
          <w:p>
            <w:pPr>
              <w:pStyle w:val="14"/>
              <w:widowControl/>
              <w:spacing w:line="240" w:lineRule="auto"/>
              <w:ind w:left="0" w:leftChars="0" w:right="0" w:rightChars="0" w:firstLine="0" w:firstLineChars="0"/>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lang w:val="en-US" w:eastAsia="zh-CN"/>
              </w:rPr>
              <w:t>6分</w:t>
            </w:r>
          </w:p>
        </w:tc>
        <w:tc>
          <w:tcPr>
            <w:tcW w:w="3974" w:type="pct"/>
            <w:shd w:val="clear" w:color="auto" w:fill="auto"/>
            <w:noWrap w:val="0"/>
            <w:vAlign w:val="center"/>
          </w:tcPr>
          <w:p>
            <w:pPr>
              <w:widowControl/>
              <w:jc w:val="left"/>
              <w:outlineLvl w:val="1"/>
              <w:rPr>
                <w:rFonts w:hint="eastAsia" w:ascii="仿宋" w:hAnsi="仿宋" w:eastAsia="仿宋" w:cs="仿宋"/>
                <w:sz w:val="24"/>
                <w:szCs w:val="24"/>
                <w:lang w:val="en-US" w:eastAsia="zh-CN"/>
              </w:rPr>
            </w:pPr>
            <w:r>
              <w:rPr>
                <w:rFonts w:hint="eastAsia" w:ascii="仿宋" w:hAnsi="仿宋" w:eastAsia="仿宋" w:cs="仿宋"/>
                <w:b w:val="0"/>
                <w:bCs/>
                <w:sz w:val="24"/>
                <w:szCs w:val="24"/>
                <w:lang w:val="zh-CN" w:eastAsia="zh-CN"/>
              </w:rPr>
              <w:t>供</w:t>
            </w:r>
            <w:r>
              <w:rPr>
                <w:rFonts w:hint="eastAsia" w:ascii="仿宋" w:hAnsi="仿宋" w:eastAsia="仿宋" w:cs="仿宋"/>
                <w:sz w:val="24"/>
                <w:szCs w:val="24"/>
                <w:lang w:val="zh-CN" w:eastAsia="zh-CN"/>
              </w:rPr>
              <w:t>应商需针对本项目提供</w:t>
            </w:r>
            <w:r>
              <w:rPr>
                <w:rFonts w:hint="eastAsia" w:ascii="仿宋" w:hAnsi="仿宋" w:eastAsia="仿宋" w:cs="仿宋"/>
                <w:sz w:val="24"/>
                <w:szCs w:val="24"/>
                <w:lang w:val="en-US" w:eastAsia="zh-CN"/>
              </w:rPr>
              <w:t>服务方案</w:t>
            </w:r>
            <w:r>
              <w:rPr>
                <w:rFonts w:hint="eastAsia" w:ascii="仿宋" w:hAnsi="仿宋" w:eastAsia="仿宋" w:cs="仿宋"/>
                <w:sz w:val="24"/>
                <w:szCs w:val="24"/>
                <w:lang w:val="zh-CN" w:eastAsia="zh-CN"/>
              </w:rPr>
              <w:t>，包括但不限于</w:t>
            </w:r>
            <w:r>
              <w:rPr>
                <w:rFonts w:hint="eastAsia" w:ascii="仿宋" w:hAnsi="仿宋" w:eastAsia="仿宋" w:cs="仿宋"/>
                <w:sz w:val="24"/>
                <w:szCs w:val="24"/>
                <w:lang w:val="en-US" w:eastAsia="zh-CN"/>
              </w:rPr>
              <w:t>①项目管理及实施方案、②质量保障措施、③售后服务方案</w:t>
            </w:r>
            <w:r>
              <w:rPr>
                <w:rFonts w:hint="eastAsia" w:ascii="仿宋" w:hAnsi="仿宋" w:eastAsia="仿宋" w:cs="仿宋"/>
                <w:sz w:val="24"/>
                <w:szCs w:val="24"/>
                <w:lang w:val="zh-CN" w:eastAsia="zh-CN"/>
              </w:rPr>
              <w:t>。</w:t>
            </w:r>
            <w:r>
              <w:rPr>
                <w:rFonts w:hint="eastAsia" w:ascii="仿宋" w:hAnsi="仿宋" w:eastAsia="仿宋" w:cs="仿宋"/>
                <w:sz w:val="24"/>
                <w:szCs w:val="24"/>
                <w:lang w:val="en-US" w:eastAsia="zh-CN"/>
              </w:rPr>
              <w:t>以上3项完全满足得6分。每有一项缺项的扣2分，每项中每有一处缺陷的扣1分,扣完为止。</w:t>
            </w:r>
          </w:p>
          <w:p>
            <w:pPr>
              <w:widowControl/>
              <w:jc w:val="left"/>
              <w:outlineLvl w:val="1"/>
              <w:rPr>
                <w:rFonts w:hint="eastAsia"/>
                <w:lang w:val="en-US" w:eastAsia="zh-CN"/>
              </w:rPr>
            </w:pPr>
            <w:r>
              <w:rPr>
                <w:rFonts w:hint="eastAsia" w:ascii="仿宋" w:hAnsi="仿宋" w:eastAsia="仿宋" w:cs="仿宋"/>
                <w:sz w:val="24"/>
                <w:szCs w:val="24"/>
                <w:lang w:val="en-US" w:eastAsia="zh-CN"/>
              </w:rPr>
              <w:t>(注:内容存在缺陷是指：①存在不适用项目实际</w:t>
            </w:r>
            <w:r>
              <w:rPr>
                <w:rFonts w:hint="eastAsia" w:ascii="仿宋" w:hAnsi="仿宋" w:eastAsia="仿宋" w:cs="仿宋"/>
                <w:sz w:val="24"/>
                <w:szCs w:val="24"/>
              </w:rPr>
              <w:t>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27" w:name="_Toc28171"/>
      <w:bookmarkStart w:id="28" w:name="_Toc22827"/>
      <w:bookmarkStart w:id="29" w:name="_Toc3094"/>
      <w:r>
        <w:rPr>
          <w:rFonts w:ascii="Times New Roman" w:hAnsi="Times New Roman" w:cs="Times New Roman"/>
        </w:rPr>
        <w:t>响应文件格式</w:t>
      </w:r>
      <w:bookmarkEnd w:id="27"/>
      <w:bookmarkEnd w:id="28"/>
      <w:bookmarkEnd w:id="29"/>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30" w:name="_Toc5913"/>
      <w:bookmarkStart w:id="31" w:name="_Toc4960"/>
      <w:bookmarkStart w:id="32" w:name="_Toc29819"/>
      <w:r>
        <w:rPr>
          <w:rFonts w:ascii="Times New Roman" w:hAnsi="Times New Roman" w:eastAsia="仿宋" w:cs="Times New Roman"/>
          <w:sz w:val="28"/>
          <w:szCs w:val="24"/>
        </w:rPr>
        <w:t>（响应文件封面）</w:t>
      </w:r>
      <w:bookmarkEnd w:id="30"/>
      <w:bookmarkEnd w:id="31"/>
      <w:bookmarkEnd w:id="32"/>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33" w:name="_Toc30609"/>
      <w:bookmarkStart w:id="34" w:name="_Toc9428"/>
      <w:bookmarkStart w:id="35" w:name="_Toc19851"/>
      <w:r>
        <w:rPr>
          <w:rFonts w:ascii="Times New Roman" w:hAnsi="Times New Roman" w:eastAsia="仿宋" w:cs="Times New Roman"/>
          <w:sz w:val="24"/>
          <w:szCs w:val="24"/>
        </w:rPr>
        <w:t>项目名称：</w:t>
      </w:r>
      <w:bookmarkEnd w:id="33"/>
      <w:bookmarkEnd w:id="34"/>
      <w:bookmarkEnd w:id="35"/>
    </w:p>
    <w:p>
      <w:pPr>
        <w:jc w:val="left"/>
        <w:rPr>
          <w:rFonts w:ascii="Times New Roman" w:hAnsi="Times New Roman" w:eastAsia="仿宋" w:cs="Times New Roman"/>
          <w:sz w:val="24"/>
          <w:szCs w:val="24"/>
        </w:rPr>
      </w:pPr>
      <w:bookmarkStart w:id="36" w:name="_Toc1544"/>
      <w:bookmarkStart w:id="37" w:name="_Toc32352"/>
      <w:bookmarkStart w:id="38" w:name="_Toc9041"/>
      <w:r>
        <w:rPr>
          <w:rFonts w:ascii="Times New Roman" w:hAnsi="Times New Roman" w:eastAsia="仿宋" w:cs="Times New Roman"/>
          <w:sz w:val="24"/>
          <w:szCs w:val="24"/>
        </w:rPr>
        <w:t>项目编号：</w:t>
      </w:r>
      <w:bookmarkEnd w:id="36"/>
      <w:bookmarkEnd w:id="37"/>
      <w:bookmarkEnd w:id="38"/>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9" w:name="_Toc24097"/>
      <w:bookmarkStart w:id="40" w:name="_Toc21472"/>
    </w:p>
    <w:bookmarkEnd w:id="39"/>
    <w:bookmarkEnd w:id="40"/>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41" w:name="_Toc17163"/>
      <w:bookmarkStart w:id="42" w:name="_Toc1690"/>
      <w:bookmarkStart w:id="43" w:name="_Toc24859"/>
      <w:bookmarkStart w:id="44" w:name="_Toc32749"/>
      <w:r>
        <w:rPr>
          <w:rFonts w:ascii="Times New Roman" w:hAnsi="Times New Roman" w:eastAsia="仿宋" w:cs="Times New Roman"/>
          <w:sz w:val="28"/>
          <w:szCs w:val="24"/>
        </w:rPr>
        <w:t>供应商名称（公章）：</w:t>
      </w:r>
      <w:bookmarkEnd w:id="41"/>
      <w:bookmarkEnd w:id="42"/>
      <w:bookmarkEnd w:id="43"/>
      <w:bookmarkEnd w:id="44"/>
    </w:p>
    <w:p>
      <w:pPr>
        <w:jc w:val="left"/>
        <w:rPr>
          <w:rFonts w:ascii="Times New Roman" w:hAnsi="Times New Roman" w:eastAsia="仿宋" w:cs="Times New Roman"/>
          <w:sz w:val="28"/>
          <w:szCs w:val="24"/>
        </w:rPr>
      </w:pPr>
      <w:bookmarkStart w:id="45" w:name="_Toc6803"/>
      <w:bookmarkStart w:id="46" w:name="_Toc24123"/>
      <w:bookmarkStart w:id="47" w:name="_Toc3558"/>
      <w:bookmarkStart w:id="48" w:name="_Toc17905"/>
      <w:r>
        <w:rPr>
          <w:rFonts w:ascii="Times New Roman" w:hAnsi="Times New Roman" w:eastAsia="仿宋" w:cs="Times New Roman"/>
          <w:sz w:val="28"/>
          <w:szCs w:val="24"/>
        </w:rPr>
        <w:t>法定代表人或授权代理人（签字）：</w:t>
      </w:r>
      <w:bookmarkEnd w:id="45"/>
      <w:bookmarkEnd w:id="46"/>
      <w:bookmarkEnd w:id="47"/>
      <w:bookmarkEnd w:id="48"/>
    </w:p>
    <w:p>
      <w:pPr>
        <w:jc w:val="left"/>
        <w:rPr>
          <w:rFonts w:ascii="Times New Roman" w:hAnsi="Times New Roman" w:eastAsia="仿宋" w:cs="Times New Roman"/>
          <w:sz w:val="28"/>
          <w:szCs w:val="24"/>
        </w:rPr>
      </w:pPr>
      <w:bookmarkStart w:id="49" w:name="_Toc27135"/>
      <w:bookmarkStart w:id="50" w:name="_Toc2989"/>
      <w:bookmarkStart w:id="51" w:name="_Toc5996"/>
      <w:bookmarkStart w:id="52" w:name="_Toc27526"/>
      <w:r>
        <w:rPr>
          <w:rFonts w:ascii="Times New Roman" w:hAnsi="Times New Roman" w:eastAsia="仿宋" w:cs="Times New Roman"/>
          <w:sz w:val="28"/>
          <w:szCs w:val="24"/>
        </w:rPr>
        <w:t>联系方式（移动电话）：</w:t>
      </w:r>
      <w:bookmarkEnd w:id="49"/>
      <w:bookmarkEnd w:id="50"/>
      <w:bookmarkEnd w:id="51"/>
      <w:bookmarkEnd w:id="52"/>
    </w:p>
    <w:p>
      <w:pPr>
        <w:jc w:val="left"/>
        <w:rPr>
          <w:rFonts w:ascii="Times New Roman" w:hAnsi="Times New Roman" w:eastAsia="仿宋" w:cs="Times New Roman"/>
          <w:sz w:val="28"/>
          <w:szCs w:val="24"/>
        </w:rPr>
      </w:pPr>
      <w:bookmarkStart w:id="53" w:name="_Toc7233"/>
      <w:bookmarkStart w:id="54" w:name="_Toc2031"/>
      <w:bookmarkStart w:id="55" w:name="_Toc5056"/>
      <w:bookmarkStart w:id="56" w:name="_Toc19987"/>
      <w:r>
        <w:rPr>
          <w:rFonts w:ascii="Times New Roman" w:hAnsi="Times New Roman" w:eastAsia="仿宋" w:cs="Times New Roman"/>
          <w:sz w:val="28"/>
          <w:szCs w:val="24"/>
        </w:rPr>
        <w:t>日期：     年    月     日</w:t>
      </w:r>
      <w:bookmarkEnd w:id="53"/>
      <w:bookmarkEnd w:id="54"/>
      <w:bookmarkEnd w:id="55"/>
      <w:bookmarkEnd w:id="56"/>
    </w:p>
    <w:p>
      <w:pPr>
        <w:jc w:val="center"/>
        <w:rPr>
          <w:rFonts w:ascii="Times New Roman" w:hAnsi="Times New Roman" w:eastAsia="仿宋" w:cs="Times New Roman"/>
          <w:sz w:val="32"/>
          <w:szCs w:val="40"/>
        </w:rPr>
      </w:pPr>
      <w:bookmarkStart w:id="57" w:name="_Toc11352"/>
      <w:bookmarkStart w:id="58" w:name="_Toc16029"/>
      <w:bookmarkStart w:id="59" w:name="_Toc21519"/>
      <w:bookmarkStart w:id="60" w:name="_Toc14829"/>
      <w:bookmarkStart w:id="61" w:name="_Toc3023"/>
      <w:bookmarkStart w:id="62" w:name="_Toc6482"/>
    </w:p>
    <w:p>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pPr>
        <w:pStyle w:val="3"/>
        <w:ind w:firstLine="0"/>
      </w:pPr>
      <w:r>
        <w:t>承诺函</w:t>
      </w:r>
      <w:bookmarkEnd w:id="57"/>
      <w:bookmarkEnd w:id="58"/>
      <w:bookmarkEnd w:id="59"/>
      <w:bookmarkEnd w:id="60"/>
      <w:bookmarkEnd w:id="61"/>
      <w:bookmarkEnd w:id="62"/>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63" w:name="_Toc30971"/>
      <w:bookmarkStart w:id="64" w:name="_Toc22676"/>
      <w:bookmarkStart w:id="65" w:name="_Toc31838"/>
      <w:bookmarkStart w:id="66" w:name="_Toc4305"/>
      <w:bookmarkStart w:id="67" w:name="_Toc17857"/>
      <w:r>
        <w:rPr>
          <w:rFonts w:ascii="Times New Roman" w:hAnsi="Times New Roman" w:cs="Times New Roman"/>
        </w:rPr>
        <w:br w:type="page"/>
      </w:r>
    </w:p>
    <w:p>
      <w:pPr>
        <w:pStyle w:val="3"/>
        <w:ind w:firstLine="0"/>
      </w:pPr>
      <w:r>
        <w:t>具有独立承担民事责任的能力</w:t>
      </w:r>
      <w:bookmarkEnd w:id="63"/>
      <w:bookmarkEnd w:id="64"/>
      <w:bookmarkEnd w:id="65"/>
      <w:bookmarkEnd w:id="66"/>
      <w:bookmarkEnd w:id="67"/>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1"/>
          <w:szCs w:val="28"/>
        </w:rPr>
      </w:pPr>
      <w:r>
        <w:rPr>
          <w:bCs/>
        </w:rPr>
        <w:br w:type="page"/>
      </w:r>
      <w:bookmarkStart w:id="68" w:name="_Toc15613"/>
      <w:bookmarkStart w:id="69" w:name="_Toc27186"/>
      <w:bookmarkStart w:id="70"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8"/>
      <w:bookmarkEnd w:id="69"/>
      <w:bookmarkStart w:id="71" w:name="_Toc13904"/>
      <w:bookmarkStart w:id="72" w:name="_Toc13706"/>
      <w:bookmarkStart w:id="73" w:name="_Toc25357"/>
    </w:p>
    <w:p>
      <w:pPr>
        <w:pStyle w:val="3"/>
        <w:ind w:firstLine="0"/>
        <w:rPr>
          <w:szCs w:val="32"/>
        </w:rPr>
      </w:pPr>
      <w:bookmarkStart w:id="74" w:name="_Toc15508"/>
      <w:bookmarkStart w:id="75" w:name="_Toc23146"/>
      <w:r>
        <w:t>本项目其他资格条件提供的证明材料</w:t>
      </w:r>
      <w:bookmarkEnd w:id="70"/>
      <w:bookmarkEnd w:id="71"/>
      <w:bookmarkEnd w:id="72"/>
      <w:bookmarkEnd w:id="73"/>
      <w:bookmarkEnd w:id="74"/>
      <w:bookmarkEnd w:id="75"/>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0"/>
        <w:ind w:left="420" w:leftChars="200"/>
        <w:jc w:val="both"/>
        <w:rPr>
          <w:rFonts w:ascii="Times New Roman" w:hAnsi="Times New Roman" w:eastAsia="仿宋" w:cs="Times New Roman"/>
          <w:color w:val="auto"/>
        </w:rPr>
      </w:pPr>
    </w:p>
    <w:p>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76" w:name="_Toc11351"/>
      <w:bookmarkStart w:id="77" w:name="_Toc12015"/>
      <w:bookmarkStart w:id="78" w:name="_Toc27661"/>
      <w:bookmarkStart w:id="79" w:name="_Toc15526"/>
      <w:bookmarkStart w:id="80" w:name="_Toc20589"/>
      <w:bookmarkStart w:id="81" w:name="_Toc25638"/>
      <w:r>
        <w:rPr>
          <w:rStyle w:val="39"/>
          <w:b/>
        </w:rPr>
        <w:t>法定代表人身份证明书</w:t>
      </w:r>
      <w:bookmarkEnd w:id="76"/>
      <w:bookmarkEnd w:id="77"/>
      <w:bookmarkEnd w:id="78"/>
      <w:bookmarkEnd w:id="79"/>
      <w:bookmarkEnd w:id="80"/>
      <w:bookmarkEnd w:id="81"/>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color w:val="auto"/>
        </w:rPr>
      </w:pPr>
    </w:p>
    <w:p>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pPr>
        <w:pStyle w:val="30"/>
        <w:jc w:val="both"/>
        <w:rPr>
          <w:rFonts w:ascii="Times New Roman" w:hAnsi="Times New Roman" w:eastAsia="仿宋" w:cs="Times New Roman"/>
          <w:color w:val="auto"/>
        </w:rPr>
      </w:pPr>
    </w:p>
    <w:p>
      <w:pPr>
        <w:pStyle w:val="30"/>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color w:val="auto"/>
        </w:rPr>
      </w:pPr>
    </w:p>
    <w:p>
      <w:pPr>
        <w:pStyle w:val="30"/>
        <w:rPr>
          <w:rFonts w:ascii="Times New Roman" w:hAnsi="Times New Roman" w:eastAsia="仿宋" w:cs="Times New Roman"/>
          <w:color w:val="auto"/>
        </w:rPr>
      </w:pPr>
      <w:r>
        <w:rPr>
          <w:rFonts w:ascii="Times New Roman" w:hAnsi="Times New Roman" w:eastAsia="仿宋" w:cs="Times New Roman"/>
          <w:color w:val="auto"/>
        </w:rPr>
        <w:t>注：</w:t>
      </w:r>
    </w:p>
    <w:p>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0"/>
        <w:jc w:val="both"/>
        <w:rPr>
          <w:rFonts w:ascii="Times New Roman" w:hAnsi="Times New Roman" w:eastAsia="仿宋" w:cs="Times New Roman"/>
          <w:color w:val="auto"/>
          <w:sz w:val="32"/>
          <w:szCs w:val="32"/>
        </w:rPr>
      </w:pPr>
    </w:p>
    <w:p>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pPr>
        <w:pStyle w:val="30"/>
        <w:jc w:val="center"/>
        <w:rPr>
          <w:rFonts w:ascii="Times New Roman" w:hAnsi="Times New Roman" w:eastAsia="仿宋" w:cs="Times New Roman"/>
          <w:b/>
          <w:bCs/>
          <w:color w:val="auto"/>
        </w:rPr>
      </w:pPr>
    </w:p>
    <w:p>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0"/>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82" w:name="_Toc16435"/>
      <w:bookmarkStart w:id="83" w:name="_Toc12967"/>
      <w:bookmarkStart w:id="84" w:name="_Toc2041"/>
      <w:bookmarkStart w:id="85" w:name="_Toc23967"/>
      <w:bookmarkStart w:id="86" w:name="_Toc1074"/>
      <w:bookmarkStart w:id="87" w:name="_Toc26969"/>
      <w:r>
        <w:rPr>
          <w:rStyle w:val="39"/>
          <w:b/>
        </w:rPr>
        <w:t>采购需求偏离表</w:t>
      </w:r>
      <w:bookmarkEnd w:id="82"/>
      <w:bookmarkEnd w:id="83"/>
      <w:bookmarkEnd w:id="84"/>
      <w:bookmarkEnd w:id="85"/>
      <w:bookmarkEnd w:id="86"/>
      <w:bookmarkEnd w:id="87"/>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0"/>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8" w:name="_Toc1369"/>
      <w:bookmarkStart w:id="89" w:name="_Toc24806"/>
      <w:bookmarkStart w:id="90" w:name="_Toc21082"/>
      <w:bookmarkStart w:id="91" w:name="_Toc26839"/>
      <w:bookmarkStart w:id="92" w:name="_Toc28634"/>
      <w:bookmarkStart w:id="93" w:name="_Toc31686"/>
      <w:r>
        <w:rPr>
          <w:rStyle w:val="39"/>
          <w:b/>
        </w:rPr>
        <w:t>评分需要提供的证明材料</w:t>
      </w:r>
      <w:bookmarkEnd w:id="88"/>
      <w:bookmarkEnd w:id="89"/>
      <w:bookmarkEnd w:id="90"/>
      <w:bookmarkEnd w:id="91"/>
      <w:bookmarkEnd w:id="92"/>
      <w:bookmarkEnd w:id="93"/>
    </w:p>
    <w:p>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0"/>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94" w:name="_Toc3871"/>
      <w:bookmarkStart w:id="95" w:name="_Toc32605"/>
      <w:bookmarkStart w:id="96" w:name="_Toc24494"/>
    </w:p>
    <w:p>
      <w:pPr>
        <w:pStyle w:val="3"/>
        <w:ind w:firstLine="0"/>
      </w:pPr>
      <w:bookmarkStart w:id="97" w:name="_Toc15065"/>
      <w:r>
        <w:t>报价单</w:t>
      </w:r>
      <w:bookmarkEnd w:id="97"/>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5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4"/>
        <w:gridCol w:w="2968"/>
        <w:gridCol w:w="2549"/>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kern w:val="0"/>
                <w:sz w:val="24"/>
                <w:szCs w:val="24"/>
                <w:lang w:val="zh-TW" w:eastAsia="zh-TW"/>
              </w:rPr>
              <w:t>序号</w:t>
            </w:r>
          </w:p>
        </w:tc>
        <w:tc>
          <w:tcPr>
            <w:tcW w:w="1663"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采购标的名称</w:t>
            </w:r>
          </w:p>
        </w:tc>
        <w:tc>
          <w:tcPr>
            <w:tcW w:w="1428"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报价（元）</w:t>
            </w:r>
          </w:p>
        </w:tc>
        <w:tc>
          <w:tcPr>
            <w:tcW w:w="1232"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63"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Times New Roman" w:hAnsi="Times New Roman" w:eastAsia="仿宋" w:cs="Times New Roman"/>
                <w:sz w:val="22"/>
                <w:lang w:val="en-US" w:eastAsia="zh-CN"/>
              </w:rPr>
              <w:t>科研大楼16楼干细胞临床研究机构装修设计服务</w:t>
            </w:r>
          </w:p>
        </w:tc>
        <w:tc>
          <w:tcPr>
            <w:tcW w:w="1428"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232"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4324" w:type="pct"/>
            <w:gridSpan w:val="3"/>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p>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p>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小写：</w:t>
            </w: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8" w:name="_Toc29032"/>
      <w:bookmarkStart w:id="99" w:name="_Toc14685"/>
      <w:bookmarkStart w:id="100" w:name="_Toc30002"/>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t>供应商认为需要提供的其他材料</w:t>
      </w:r>
      <w:bookmarkEnd w:id="94"/>
      <w:bookmarkEnd w:id="95"/>
      <w:bookmarkEnd w:id="96"/>
      <w:bookmarkEnd w:id="98"/>
      <w:bookmarkEnd w:id="99"/>
      <w:bookmarkEnd w:id="100"/>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01" w:name="_Toc20691"/>
      <w:bookmarkStart w:id="102" w:name="_Toc5447"/>
      <w:r>
        <w:rPr>
          <w:rFonts w:ascii="Times New Roman" w:hAnsi="Times New Roman" w:eastAsia="黑体" w:cs="Times New Roman"/>
          <w:b/>
          <w:sz w:val="36"/>
          <w:szCs w:val="32"/>
        </w:rPr>
        <w:br w:type="page"/>
      </w:r>
    </w:p>
    <w:p>
      <w:pPr>
        <w:pStyle w:val="2"/>
        <w:rPr>
          <w:rFonts w:ascii="Times New Roman" w:hAnsi="Times New Roman" w:cs="Times New Roman"/>
        </w:rPr>
      </w:pPr>
      <w:bookmarkStart w:id="103" w:name="_Toc10625"/>
      <w:r>
        <w:rPr>
          <w:rFonts w:ascii="Times New Roman" w:hAnsi="Times New Roman" w:cs="Times New Roman"/>
        </w:rPr>
        <w:t>合同条款（仅成交后使用）</w:t>
      </w:r>
      <w:bookmarkEnd w:id="101"/>
      <w:bookmarkEnd w:id="102"/>
      <w:bookmarkEnd w:id="103"/>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0"/>
        <w:rPr>
          <w:sz w:val="48"/>
          <w:szCs w:val="48"/>
        </w:rPr>
      </w:pPr>
      <w:r>
        <w:rPr>
          <w:rFonts w:hint="eastAsia"/>
          <w:sz w:val="48"/>
          <w:szCs w:val="48"/>
        </w:rPr>
        <w:t>*</w:t>
      </w:r>
      <w:r>
        <w:rPr>
          <w:sz w:val="48"/>
          <w:szCs w:val="48"/>
        </w:rPr>
        <w:t>**</w:t>
      </w:r>
      <w:r>
        <w:rPr>
          <w:rFonts w:hint="eastAsia"/>
          <w:sz w:val="48"/>
          <w:szCs w:val="48"/>
        </w:rPr>
        <w:t>服务项目</w:t>
      </w:r>
    </w:p>
    <w:p>
      <w:pPr>
        <w:pStyle w:val="40"/>
        <w:rPr>
          <w:sz w:val="48"/>
          <w:szCs w:val="48"/>
        </w:rPr>
      </w:pPr>
      <w:r>
        <w:rPr>
          <w:rFonts w:hint="eastAsia"/>
          <w:sz w:val="48"/>
          <w:szCs w:val="48"/>
        </w:rPr>
        <w:t>采购</w:t>
      </w:r>
      <w:r>
        <w:rPr>
          <w:sz w:val="48"/>
          <w:szCs w:val="48"/>
        </w:rPr>
        <w:t>合同</w:t>
      </w:r>
    </w:p>
    <w:p>
      <w:pPr>
        <w:rPr>
          <w:sz w:val="24"/>
        </w:rPr>
        <w:sectPr>
          <w:headerReference r:id="rId6" w:type="default"/>
          <w:footerReference r:id="rId7" w:type="default"/>
          <w:footerReference r:id="rId8" w:type="even"/>
          <w:pgSz w:w="11906" w:h="16838"/>
          <w:pgMar w:top="1134" w:right="1134" w:bottom="1134" w:left="1134" w:header="850" w:footer="567" w:gutter="0"/>
          <w:pgNumType w:fmt="decimal"/>
          <w:cols w:space="425" w:num="1"/>
          <w:docGrid w:linePitch="312" w:charSpace="0"/>
        </w:sectPr>
      </w:pPr>
    </w:p>
    <w:p>
      <w:pPr>
        <w:adjustRightInd w:val="0"/>
        <w:ind w:firstLine="420" w:firstLineChars="200"/>
        <w:contextualSpacing/>
        <w:jc w:val="left"/>
        <w:rPr>
          <w:color w:val="000000"/>
          <w:szCs w:val="21"/>
        </w:rPr>
      </w:pPr>
    </w:p>
    <w:p>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color w:val="000000"/>
                <w:szCs w:val="21"/>
              </w:rPr>
            </w:pPr>
            <w:r>
              <w:rPr>
                <w:b/>
                <w:bCs/>
                <w:color w:val="000000"/>
                <w:szCs w:val="21"/>
              </w:rPr>
              <w:t>合同编号</w:t>
            </w:r>
            <w:r>
              <w:rPr>
                <w:color w:val="000000"/>
                <w:szCs w:val="21"/>
              </w:rPr>
              <w:t>：CGZX-***</w:t>
            </w:r>
          </w:p>
          <w:p>
            <w:pPr>
              <w:contextualSpacing/>
              <w:rPr>
                <w:color w:val="000000"/>
                <w:szCs w:val="21"/>
              </w:rPr>
            </w:pPr>
            <w:r>
              <w:rPr>
                <w:b/>
                <w:bCs/>
                <w:color w:val="000000"/>
                <w:szCs w:val="21"/>
              </w:rPr>
              <w:t>签订地点</w:t>
            </w:r>
            <w:r>
              <w:rPr>
                <w:color w:val="000000"/>
                <w:szCs w:val="21"/>
              </w:rPr>
              <w:t>：四川省人民医院</w:t>
            </w:r>
          </w:p>
        </w:tc>
      </w:tr>
      <w:tr>
        <w:tblPrEx>
          <w:tblCellMar>
            <w:top w:w="0" w:type="dxa"/>
            <w:left w:w="0" w:type="dxa"/>
            <w:bottom w:w="0" w:type="dxa"/>
            <w:right w:w="0" w:type="dxa"/>
          </w:tblCellMar>
        </w:tblPrEx>
        <w:trPr>
          <w:jc w:val="center"/>
        </w:trPr>
        <w:tc>
          <w:tcPr>
            <w:tcW w:w="4962" w:type="dxa"/>
          </w:tcPr>
          <w:p>
            <w:pPr>
              <w:rPr>
                <w:szCs w:val="21"/>
              </w:rPr>
            </w:pPr>
            <w:r>
              <w:rPr>
                <w:b/>
                <w:bCs/>
                <w:szCs w:val="21"/>
              </w:rPr>
              <w:t>采购人（以下简称甲方）</w:t>
            </w:r>
            <w:r>
              <w:rPr>
                <w:szCs w:val="21"/>
              </w:rPr>
              <w:t>：四川省人民医院</w:t>
            </w:r>
          </w:p>
          <w:p>
            <w:pPr>
              <w:rPr>
                <w:szCs w:val="21"/>
              </w:rPr>
            </w:pPr>
            <w:r>
              <w:rPr>
                <w:b/>
                <w:bCs/>
                <w:szCs w:val="21"/>
              </w:rPr>
              <w:t>地址</w:t>
            </w:r>
            <w:r>
              <w:rPr>
                <w:szCs w:val="21"/>
              </w:rPr>
              <w:t>：四川省成都市一环路西二段32号</w:t>
            </w:r>
          </w:p>
          <w:p>
            <w:pPr>
              <w:rPr>
                <w:szCs w:val="21"/>
              </w:rPr>
            </w:pPr>
            <w:r>
              <w:rPr>
                <w:b/>
                <w:bCs/>
                <w:szCs w:val="21"/>
              </w:rPr>
              <w:t>项目联系人</w:t>
            </w:r>
            <w:r>
              <w:rPr>
                <w:szCs w:val="21"/>
              </w:rPr>
              <w:t xml:space="preserve">：*** </w:t>
            </w:r>
            <w:r>
              <w:rPr>
                <w:b/>
                <w:bCs/>
                <w:szCs w:val="21"/>
              </w:rPr>
              <w:t>电话</w:t>
            </w:r>
            <w:r>
              <w:rPr>
                <w:szCs w:val="21"/>
              </w:rPr>
              <w:t>：***</w:t>
            </w:r>
          </w:p>
          <w:p>
            <w:r>
              <w:rPr>
                <w:rFonts w:hint="eastAsia"/>
                <w:b/>
                <w:bCs/>
                <w:szCs w:val="21"/>
              </w:rPr>
              <w:t>电子邮件：</w:t>
            </w:r>
            <w:r>
              <w:rPr>
                <w:rFonts w:hint="eastAsia"/>
                <w:szCs w:val="21"/>
              </w:rPr>
              <w:t>*</w:t>
            </w:r>
            <w:r>
              <w:rPr>
                <w:szCs w:val="21"/>
              </w:rPr>
              <w:t>**</w:t>
            </w:r>
          </w:p>
        </w:tc>
        <w:tc>
          <w:tcPr>
            <w:tcW w:w="5242" w:type="dxa"/>
          </w:tcPr>
          <w:p>
            <w:pPr>
              <w:rPr>
                <w:b/>
                <w:bCs/>
                <w:szCs w:val="21"/>
              </w:rPr>
            </w:pPr>
            <w:r>
              <w:rPr>
                <w:b/>
                <w:bCs/>
                <w:szCs w:val="21"/>
              </w:rPr>
              <w:t>供应商（以下简称乙方）：***</w:t>
            </w:r>
          </w:p>
          <w:p>
            <w:pPr>
              <w:rPr>
                <w:b/>
                <w:bCs/>
                <w:szCs w:val="21"/>
              </w:rPr>
            </w:pPr>
            <w:r>
              <w:rPr>
                <w:b/>
                <w:bCs/>
                <w:szCs w:val="21"/>
              </w:rPr>
              <w:t>地址：***</w:t>
            </w:r>
          </w:p>
          <w:p>
            <w:pPr>
              <w:rPr>
                <w:b/>
                <w:bCs/>
                <w:szCs w:val="21"/>
              </w:rPr>
            </w:pPr>
            <w:r>
              <w:rPr>
                <w:b/>
                <w:bCs/>
                <w:szCs w:val="21"/>
              </w:rPr>
              <w:t>移动电话：***</w:t>
            </w:r>
          </w:p>
          <w:p>
            <w:pPr>
              <w:contextualSpacing/>
              <w:rPr>
                <w:b/>
                <w:bCs/>
                <w:szCs w:val="21"/>
              </w:rPr>
            </w:pPr>
            <w:r>
              <w:rPr>
                <w:b/>
                <w:bCs/>
                <w:szCs w:val="21"/>
              </w:rPr>
              <w:t>联系人：***</w:t>
            </w:r>
          </w:p>
          <w:p>
            <w:pPr>
              <w:rPr>
                <w:bCs/>
                <w:szCs w:val="21"/>
              </w:rPr>
            </w:pPr>
            <w:r>
              <w:rPr>
                <w:rFonts w:hint="eastAsia"/>
                <w:b/>
                <w:bCs/>
                <w:szCs w:val="21"/>
              </w:rPr>
              <w:t>电子邮件：</w:t>
            </w:r>
            <w:r>
              <w:rPr>
                <w:rFonts w:hint="eastAsia"/>
                <w:szCs w:val="21"/>
              </w:rPr>
              <w:t>*</w:t>
            </w:r>
            <w:r>
              <w:rPr>
                <w:szCs w:val="21"/>
              </w:rPr>
              <w:t>**</w:t>
            </w:r>
          </w:p>
        </w:tc>
      </w:tr>
    </w:tbl>
    <w:p>
      <w:pPr>
        <w:ind w:firstLine="420" w:firstLineChars="200"/>
        <w:contextualSpacing/>
        <w:jc w:val="left"/>
        <w:rPr>
          <w:color w:val="000000"/>
          <w:szCs w:val="21"/>
        </w:rPr>
      </w:pPr>
    </w:p>
    <w:p>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pPr>
        <w:contextualSpacing/>
        <w:jc w:val="left"/>
        <w:rPr>
          <w:b/>
          <w:szCs w:val="21"/>
        </w:rPr>
      </w:pPr>
    </w:p>
    <w:p>
      <w:pPr>
        <w:pStyle w:val="28"/>
        <w:numPr>
          <w:ilvl w:val="0"/>
          <w:numId w:val="13"/>
        </w:numPr>
        <w:ind w:left="0" w:firstLine="0" w:firstLineChars="0"/>
        <w:contextualSpacing/>
        <w:jc w:val="left"/>
        <w:rPr>
          <w:b/>
          <w:szCs w:val="21"/>
        </w:rPr>
      </w:pPr>
      <w:r>
        <w:rPr>
          <w:b/>
          <w:szCs w:val="21"/>
        </w:rPr>
        <w:t>合同标的</w:t>
      </w:r>
    </w:p>
    <w:p>
      <w:pPr>
        <w:pStyle w:val="9"/>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color w:val="000000"/>
                <w:szCs w:val="21"/>
              </w:rPr>
              <w:t>序号</w:t>
            </w:r>
          </w:p>
        </w:tc>
        <w:tc>
          <w:tcPr>
            <w:tcW w:w="2977" w:type="dxa"/>
            <w:vAlign w:val="center"/>
          </w:tcPr>
          <w:p>
            <w:pPr>
              <w:pStyle w:val="28"/>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pPr>
              <w:pStyle w:val="28"/>
              <w:ind w:firstLine="0" w:firstLineChars="0"/>
              <w:jc w:val="center"/>
              <w:rPr>
                <w:color w:val="000000"/>
                <w:szCs w:val="21"/>
              </w:rPr>
            </w:pPr>
            <w:r>
              <w:rPr>
                <w:color w:val="000000"/>
                <w:szCs w:val="21"/>
              </w:rPr>
              <w:t>具体内容</w:t>
            </w:r>
          </w:p>
        </w:tc>
        <w:tc>
          <w:tcPr>
            <w:tcW w:w="963" w:type="dxa"/>
            <w:vAlign w:val="center"/>
          </w:tcPr>
          <w:p>
            <w:pPr>
              <w:pStyle w:val="28"/>
              <w:ind w:firstLine="0" w:firstLineChars="0"/>
              <w:jc w:val="center"/>
              <w:rPr>
                <w:color w:val="000000"/>
                <w:szCs w:val="21"/>
              </w:rPr>
            </w:pPr>
            <w:r>
              <w:rPr>
                <w:color w:val="000000"/>
                <w:szCs w:val="21"/>
              </w:rPr>
              <w:t>分项价格（万元）</w:t>
            </w:r>
          </w:p>
        </w:tc>
        <w:tc>
          <w:tcPr>
            <w:tcW w:w="2016" w:type="dxa"/>
          </w:tcPr>
          <w:p>
            <w:pPr>
              <w:pStyle w:val="28"/>
              <w:ind w:firstLine="0" w:firstLineChars="0"/>
              <w:jc w:val="center"/>
              <w:rPr>
                <w:color w:val="000000"/>
                <w:szCs w:val="21"/>
              </w:rPr>
            </w:pPr>
            <w:r>
              <w:rPr>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rFonts w:hint="eastAsia"/>
                <w:color w:val="000000"/>
                <w:szCs w:val="21"/>
              </w:rPr>
              <w:t>1</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rFonts w:hint="eastAsia"/>
                <w:color w:val="000000"/>
                <w:szCs w:val="21"/>
              </w:rPr>
              <w:t>2</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rFonts w:hint="eastAsia"/>
                <w:color w:val="000000"/>
                <w:szCs w:val="21"/>
              </w:rPr>
              <w:t>3</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color w:val="000000"/>
                <w:szCs w:val="21"/>
              </w:rPr>
              <w:t>…</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bl>
    <w:p>
      <w:pPr>
        <w:pStyle w:val="28"/>
        <w:numPr>
          <w:ilvl w:val="0"/>
          <w:numId w:val="13"/>
        </w:numPr>
        <w:ind w:firstLineChars="0"/>
        <w:jc w:val="left"/>
        <w:rPr>
          <w:b/>
          <w:szCs w:val="21"/>
        </w:rPr>
      </w:pPr>
      <w:r>
        <w:rPr>
          <w:b/>
          <w:szCs w:val="21"/>
        </w:rPr>
        <w:t>合同</w:t>
      </w:r>
      <w:r>
        <w:rPr>
          <w:rFonts w:hint="eastAsia"/>
          <w:b/>
          <w:szCs w:val="21"/>
        </w:rPr>
        <w:t>价款</w:t>
      </w:r>
    </w:p>
    <w:p>
      <w:pPr>
        <w:ind w:firstLine="480"/>
        <w:contextualSpacing/>
        <w:jc w:val="left"/>
        <w:rPr>
          <w:szCs w:val="21"/>
        </w:rPr>
      </w:pPr>
      <w:bookmarkStart w:id="104" w:name="OLE_LINK2"/>
      <w:bookmarkStart w:id="105" w:name="OLE_LINK1"/>
      <w:r>
        <w:rPr>
          <w:color w:val="000000"/>
          <w:szCs w:val="21"/>
        </w:rPr>
        <w:sym w:font="Wingdings 2" w:char="F052"/>
      </w:r>
      <w:r>
        <w:rPr>
          <w:rFonts w:hint="eastAsia"/>
          <w:szCs w:val="21"/>
        </w:rPr>
        <w:t>全包服务</w:t>
      </w:r>
    </w:p>
    <w:p>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pPr>
        <w:ind w:firstLine="480"/>
        <w:contextualSpacing/>
        <w:jc w:val="left"/>
      </w:pPr>
      <w:r>
        <w:rPr>
          <w:color w:val="000000"/>
          <w:szCs w:val="21"/>
          <w:shd w:val="clear" w:color="auto" w:fill="FFFFFF"/>
        </w:rPr>
        <w:sym w:font="Wingdings" w:char="F0A8"/>
      </w:r>
      <w:r>
        <w:rPr>
          <w:rFonts w:hint="eastAsia"/>
        </w:rPr>
        <w:t>半包服务</w:t>
      </w:r>
    </w:p>
    <w:p>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106" w:name="OLE_LINK28"/>
      <w:r>
        <w:rPr>
          <w:szCs w:val="21"/>
        </w:rPr>
        <w:t>人民币大写：*** 圆整，即RMB *** 元</w:t>
      </w:r>
      <w:bookmarkEnd w:id="106"/>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pPr>
        <w:ind w:firstLine="480"/>
        <w:contextualSpacing/>
        <w:jc w:val="left"/>
      </w:pPr>
      <w:r>
        <w:rPr>
          <w:color w:val="000000"/>
          <w:szCs w:val="21"/>
          <w:shd w:val="clear" w:color="auto" w:fill="FFFFFF"/>
        </w:rPr>
        <w:sym w:font="Wingdings" w:char="F0A8"/>
      </w:r>
      <w:r>
        <w:rPr>
          <w:rFonts w:hint="eastAsia"/>
        </w:rPr>
        <w:t>按实结算</w:t>
      </w:r>
    </w:p>
    <w:p>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104"/>
    <w:bookmarkEnd w:id="105"/>
    <w:p>
      <w:pPr>
        <w:pStyle w:val="28"/>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pPr>
        <w:pStyle w:val="28"/>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pPr>
        <w:pStyle w:val="28"/>
        <w:jc w:val="left"/>
        <w:rPr>
          <w:bCs/>
          <w:szCs w:val="21"/>
        </w:rPr>
      </w:pPr>
    </w:p>
    <w:p>
      <w:pPr>
        <w:pStyle w:val="28"/>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pPr>
        <w:pStyle w:val="28"/>
        <w:jc w:val="left"/>
        <w:rPr>
          <w:bCs/>
          <w:szCs w:val="21"/>
        </w:rPr>
      </w:pPr>
    </w:p>
    <w:p>
      <w:pPr>
        <w:pStyle w:val="28"/>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107" w:name="OLE_LINK29"/>
      <w:r>
        <w:rPr>
          <w:rFonts w:hint="eastAsia"/>
          <w:bCs/>
          <w:szCs w:val="21"/>
        </w:rPr>
        <w:t>，考核标准详见附件</w:t>
      </w:r>
      <w:r>
        <w:rPr>
          <w:rFonts w:hint="eastAsia"/>
          <w:bCs/>
          <w:szCs w:val="21"/>
          <w:u w:val="single"/>
        </w:rPr>
        <w:t>2</w:t>
      </w:r>
      <w:r>
        <w:rPr>
          <w:rFonts w:hint="eastAsia"/>
          <w:bCs/>
          <w:szCs w:val="21"/>
        </w:rPr>
        <w:t>《考核标准》</w:t>
      </w:r>
      <w:bookmarkEnd w:id="107"/>
      <w:r>
        <w:rPr>
          <w:bCs/>
          <w:szCs w:val="21"/>
        </w:rPr>
        <w:t>。</w:t>
      </w:r>
    </w:p>
    <w:p>
      <w:pPr>
        <w:pStyle w:val="28"/>
        <w:numPr>
          <w:ilvl w:val="0"/>
          <w:numId w:val="13"/>
        </w:numPr>
        <w:ind w:left="0" w:firstLine="0" w:firstLineChars="0"/>
        <w:contextualSpacing/>
        <w:jc w:val="left"/>
        <w:rPr>
          <w:b/>
          <w:szCs w:val="21"/>
        </w:rPr>
      </w:pPr>
      <w:r>
        <w:rPr>
          <w:b/>
          <w:szCs w:val="21"/>
        </w:rPr>
        <w:t>服务</w:t>
      </w:r>
      <w:r>
        <w:rPr>
          <w:rFonts w:hint="eastAsia"/>
          <w:b/>
          <w:szCs w:val="21"/>
        </w:rPr>
        <w:t>方案</w:t>
      </w:r>
    </w:p>
    <w:p>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pPr>
        <w:pStyle w:val="28"/>
        <w:numPr>
          <w:ilvl w:val="0"/>
          <w:numId w:val="13"/>
        </w:numPr>
        <w:ind w:left="0" w:firstLine="0" w:firstLineChars="0"/>
        <w:contextualSpacing/>
        <w:jc w:val="left"/>
        <w:rPr>
          <w:b/>
          <w:szCs w:val="21"/>
        </w:rPr>
      </w:pPr>
      <w:r>
        <w:rPr>
          <w:b/>
          <w:szCs w:val="21"/>
        </w:rPr>
        <w:t>验收</w:t>
      </w:r>
    </w:p>
    <w:p>
      <w:pPr>
        <w:pStyle w:val="28"/>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pPr>
        <w:pStyle w:val="28"/>
        <w:numPr>
          <w:ilvl w:val="0"/>
          <w:numId w:val="15"/>
        </w:numPr>
        <w:ind w:left="0" w:firstLine="0" w:firstLineChars="0"/>
        <w:contextualSpacing/>
        <w:rPr>
          <w:szCs w:val="21"/>
        </w:rPr>
      </w:pPr>
      <w:r>
        <w:rPr>
          <w:szCs w:val="21"/>
        </w:rPr>
        <w:t>验收方案：</w:t>
      </w:r>
    </w:p>
    <w:p>
      <w:pPr>
        <w:pStyle w:val="28"/>
        <w:numPr>
          <w:ilvl w:val="0"/>
          <w:numId w:val="16"/>
        </w:numPr>
        <w:ind w:firstLineChars="0"/>
        <w:contextualSpacing/>
        <w:rPr>
          <w:color w:val="000000"/>
          <w:szCs w:val="21"/>
        </w:rPr>
      </w:pPr>
      <w:r>
        <w:rPr>
          <w:rFonts w:hint="eastAsia"/>
          <w:color w:val="000000"/>
          <w:szCs w:val="21"/>
        </w:rPr>
        <w:t>验收主体：甲方</w:t>
      </w:r>
    </w:p>
    <w:p>
      <w:pPr>
        <w:pStyle w:val="28"/>
        <w:numPr>
          <w:ilvl w:val="0"/>
          <w:numId w:val="16"/>
        </w:numPr>
        <w:ind w:firstLineChars="0"/>
        <w:contextualSpacing/>
        <w:rPr>
          <w:color w:val="000000"/>
          <w:szCs w:val="21"/>
        </w:rPr>
      </w:pPr>
      <w:r>
        <w:rPr>
          <w:rFonts w:hint="eastAsia"/>
          <w:color w:val="000000"/>
          <w:szCs w:val="21"/>
        </w:rPr>
        <w:t>验收组织方式：自行验收</w:t>
      </w:r>
    </w:p>
    <w:p>
      <w:pPr>
        <w:pStyle w:val="28"/>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pPr>
        <w:pStyle w:val="28"/>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pPr>
        <w:pStyle w:val="28"/>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pPr>
        <w:pStyle w:val="28"/>
        <w:numPr>
          <w:ilvl w:val="0"/>
          <w:numId w:val="16"/>
        </w:numPr>
        <w:ind w:firstLineChars="0"/>
        <w:contextualSpacing/>
        <w:rPr>
          <w:color w:val="000000"/>
          <w:szCs w:val="21"/>
        </w:rPr>
      </w:pPr>
      <w:r>
        <w:rPr>
          <w:rFonts w:hint="eastAsia"/>
          <w:color w:val="000000"/>
          <w:szCs w:val="21"/>
        </w:rPr>
        <w:t>履约</w:t>
      </w:r>
      <w:r>
        <w:rPr>
          <w:color w:val="000000"/>
          <w:szCs w:val="21"/>
        </w:rPr>
        <w:t>验收时间：</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pPr>
        <w:pStyle w:val="28"/>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6"/>
        </w:numPr>
        <w:ind w:firstLineChars="0"/>
        <w:contextualSpacing/>
        <w:rPr>
          <w:szCs w:val="21"/>
        </w:rPr>
      </w:pPr>
      <w:r>
        <w:rPr>
          <w:szCs w:val="21"/>
        </w:rPr>
        <w:t>验收标准：</w:t>
      </w:r>
    </w:p>
    <w:p>
      <w:pPr>
        <w:pStyle w:val="16"/>
        <w:numPr>
          <w:ilvl w:val="0"/>
          <w:numId w:val="17"/>
        </w:numPr>
        <w:spacing w:after="0"/>
        <w:ind w:firstLineChars="0"/>
        <w:contextualSpacing/>
        <w:rPr>
          <w:rFonts w:ascii="Times New Roman" w:hAnsi="Times New Roman"/>
          <w:szCs w:val="21"/>
        </w:rPr>
      </w:pPr>
      <w:bookmarkStart w:id="108" w:name="OLE_LINK4"/>
      <w:r>
        <w:rPr>
          <w:rFonts w:ascii="Times New Roman" w:hAnsi="Times New Roman"/>
          <w:szCs w:val="21"/>
          <w:shd w:val="clear" w:color="auto" w:fill="FFFFFF"/>
        </w:rPr>
        <w:t>国家相关法律法规、行业标准、技术规范。</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108"/>
    <w:p>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pPr>
        <w:pStyle w:val="28"/>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pPr>
        <w:pStyle w:val="28"/>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pPr>
        <w:pStyle w:val="28"/>
        <w:numPr>
          <w:ilvl w:val="0"/>
          <w:numId w:val="13"/>
        </w:numPr>
        <w:ind w:left="0" w:firstLine="0" w:firstLineChars="0"/>
        <w:contextualSpacing/>
        <w:jc w:val="left"/>
        <w:rPr>
          <w:b/>
          <w:szCs w:val="21"/>
        </w:rPr>
      </w:pPr>
      <w:r>
        <w:rPr>
          <w:b/>
          <w:szCs w:val="21"/>
        </w:rPr>
        <w:t>付款方式</w:t>
      </w:r>
    </w:p>
    <w:p>
      <w:pPr>
        <w:pStyle w:val="9"/>
        <w:numPr>
          <w:ilvl w:val="0"/>
          <w:numId w:val="18"/>
        </w:numPr>
        <w:spacing w:after="0" w:line="240" w:lineRule="auto"/>
        <w:ind w:left="227" w:leftChars="0" w:hanging="227"/>
        <w:contextualSpacing/>
        <w:jc w:val="left"/>
        <w:rPr>
          <w:szCs w:val="21"/>
        </w:rPr>
      </w:pPr>
      <w:r>
        <w:rPr>
          <w:szCs w:val="21"/>
        </w:rPr>
        <w:t>履约保证金：</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pPr>
        <w:pStyle w:val="9"/>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9" w:name="OLE_LINK30"/>
      <w:r>
        <w:rPr>
          <w:rFonts w:hint="eastAsia"/>
          <w:szCs w:val="21"/>
        </w:rPr>
        <w:t>固定部分价款</w:t>
      </w:r>
      <w:bookmarkEnd w:id="109"/>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pPr>
        <w:pStyle w:val="9"/>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pPr>
        <w:pStyle w:val="9"/>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pPr>
        <w:pStyle w:val="28"/>
        <w:numPr>
          <w:ilvl w:val="0"/>
          <w:numId w:val="13"/>
        </w:numPr>
        <w:ind w:left="0" w:firstLine="0" w:firstLineChars="0"/>
        <w:contextualSpacing/>
        <w:jc w:val="left"/>
        <w:rPr>
          <w:b/>
          <w:szCs w:val="21"/>
        </w:rPr>
      </w:pPr>
      <w:r>
        <w:rPr>
          <w:b/>
          <w:szCs w:val="21"/>
        </w:rPr>
        <w:t>双方权利与义务</w:t>
      </w:r>
    </w:p>
    <w:p>
      <w:pPr>
        <w:pStyle w:val="9"/>
        <w:numPr>
          <w:ilvl w:val="0"/>
          <w:numId w:val="19"/>
        </w:numPr>
        <w:spacing w:after="0" w:line="240" w:lineRule="auto"/>
        <w:ind w:left="227" w:leftChars="0" w:hanging="227"/>
        <w:contextualSpacing/>
        <w:jc w:val="left"/>
        <w:rPr>
          <w:szCs w:val="21"/>
        </w:rPr>
      </w:pPr>
      <w:r>
        <w:rPr>
          <w:szCs w:val="21"/>
        </w:rPr>
        <w:t>甲方权利与义务</w:t>
      </w:r>
    </w:p>
    <w:p>
      <w:pPr>
        <w:pStyle w:val="28"/>
        <w:numPr>
          <w:ilvl w:val="0"/>
          <w:numId w:val="20"/>
        </w:numPr>
        <w:adjustRightInd w:val="0"/>
        <w:ind w:left="525" w:hanging="525" w:hangingChars="250"/>
        <w:contextualSpacing/>
        <w:jc w:val="left"/>
        <w:rPr>
          <w:szCs w:val="21"/>
        </w:rPr>
      </w:pPr>
      <w:r>
        <w:rPr>
          <w:szCs w:val="21"/>
        </w:rPr>
        <w:t>按合同约定向乙方支付费用。</w:t>
      </w:r>
    </w:p>
    <w:p>
      <w:pPr>
        <w:pStyle w:val="28"/>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pPr>
        <w:pStyle w:val="28"/>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pPr>
        <w:pStyle w:val="28"/>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pPr>
        <w:pStyle w:val="9"/>
        <w:numPr>
          <w:ilvl w:val="0"/>
          <w:numId w:val="19"/>
        </w:numPr>
        <w:spacing w:after="0" w:line="240" w:lineRule="auto"/>
        <w:ind w:left="227" w:leftChars="0" w:hanging="227"/>
        <w:contextualSpacing/>
        <w:jc w:val="left"/>
        <w:rPr>
          <w:szCs w:val="21"/>
        </w:rPr>
      </w:pPr>
      <w:r>
        <w:rPr>
          <w:szCs w:val="21"/>
        </w:rPr>
        <w:t>乙方权利与义务</w:t>
      </w:r>
    </w:p>
    <w:p>
      <w:pPr>
        <w:pStyle w:val="9"/>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pPr>
        <w:pStyle w:val="9"/>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pPr>
        <w:pStyle w:val="9"/>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pPr>
        <w:pStyle w:val="28"/>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pPr>
        <w:pStyle w:val="9"/>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pPr>
        <w:pStyle w:val="28"/>
        <w:numPr>
          <w:ilvl w:val="0"/>
          <w:numId w:val="22"/>
        </w:numPr>
        <w:ind w:left="0" w:firstLine="0" w:firstLineChars="0"/>
        <w:rPr>
          <w:szCs w:val="21"/>
        </w:rPr>
      </w:pPr>
      <w:r>
        <w:rPr>
          <w:szCs w:val="21"/>
        </w:rPr>
        <w:t>乙方违约责任：</w:t>
      </w:r>
    </w:p>
    <w:p>
      <w:pPr>
        <w:pStyle w:val="9"/>
        <w:numPr>
          <w:ilvl w:val="0"/>
          <w:numId w:val="23"/>
        </w:numPr>
        <w:spacing w:after="0" w:line="240" w:lineRule="auto"/>
        <w:ind w:left="525" w:leftChars="0" w:hanging="525" w:hangingChars="250"/>
        <w:contextualSpacing/>
        <w:jc w:val="left"/>
        <w:rPr>
          <w:szCs w:val="21"/>
        </w:rPr>
      </w:pPr>
      <w:bookmarkStart w:id="110" w:name="OLE_LINK17"/>
      <w:bookmarkStart w:id="111"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pPr>
        <w:pStyle w:val="9"/>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pPr>
        <w:pStyle w:val="9"/>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pPr>
        <w:pStyle w:val="9"/>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pPr>
        <w:pStyle w:val="9"/>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pPr>
        <w:pStyle w:val="9"/>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10"/>
    <w:bookmarkEnd w:id="111"/>
    <w:p>
      <w:pPr>
        <w:pStyle w:val="9"/>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pPr>
        <w:pStyle w:val="9"/>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pPr>
        <w:pStyle w:val="9"/>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pPr>
        <w:pStyle w:val="28"/>
        <w:numPr>
          <w:ilvl w:val="0"/>
          <w:numId w:val="13"/>
        </w:numPr>
        <w:ind w:left="0" w:firstLine="0" w:firstLineChars="0"/>
        <w:contextualSpacing/>
        <w:jc w:val="left"/>
        <w:rPr>
          <w:b/>
          <w:szCs w:val="21"/>
        </w:rPr>
      </w:pPr>
      <w:r>
        <w:rPr>
          <w:b/>
          <w:szCs w:val="21"/>
        </w:rPr>
        <w:t>不可抗力</w:t>
      </w:r>
    </w:p>
    <w:p>
      <w:pPr>
        <w:pStyle w:val="28"/>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pPr>
        <w:pStyle w:val="28"/>
        <w:numPr>
          <w:ilvl w:val="0"/>
          <w:numId w:val="13"/>
        </w:numPr>
        <w:ind w:left="0" w:firstLine="0" w:firstLineChars="0"/>
        <w:contextualSpacing/>
        <w:jc w:val="left"/>
        <w:rPr>
          <w:b/>
          <w:szCs w:val="21"/>
        </w:rPr>
      </w:pPr>
      <w:r>
        <w:rPr>
          <w:b/>
          <w:szCs w:val="21"/>
        </w:rPr>
        <w:t>合同终止及解除</w:t>
      </w:r>
    </w:p>
    <w:p>
      <w:pPr>
        <w:pStyle w:val="28"/>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pPr>
        <w:pStyle w:val="28"/>
        <w:numPr>
          <w:ilvl w:val="0"/>
          <w:numId w:val="24"/>
        </w:numPr>
        <w:ind w:left="0" w:firstLine="0" w:firstLineChars="0"/>
        <w:rPr>
          <w:szCs w:val="21"/>
        </w:rPr>
      </w:pPr>
      <w:r>
        <w:rPr>
          <w:szCs w:val="21"/>
        </w:rPr>
        <w:t>在甲、乙任何一方有严重违约行为时，另一方有权单方解除合同。</w:t>
      </w:r>
    </w:p>
    <w:p>
      <w:pPr>
        <w:pStyle w:val="28"/>
        <w:numPr>
          <w:ilvl w:val="0"/>
          <w:numId w:val="13"/>
        </w:numPr>
        <w:ind w:left="0" w:firstLine="0" w:firstLineChars="0"/>
        <w:contextualSpacing/>
        <w:jc w:val="left"/>
        <w:rPr>
          <w:b/>
          <w:szCs w:val="21"/>
        </w:rPr>
      </w:pPr>
      <w:r>
        <w:rPr>
          <w:b/>
          <w:szCs w:val="21"/>
        </w:rPr>
        <w:t>争议解决办法</w:t>
      </w:r>
    </w:p>
    <w:p>
      <w:pPr>
        <w:pStyle w:val="28"/>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pPr>
        <w:pStyle w:val="28"/>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pPr>
        <w:pStyle w:val="28"/>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pPr>
        <w:pStyle w:val="33"/>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3"/>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pPr>
        <w:pStyle w:val="33"/>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8"/>
        <w:numPr>
          <w:ilvl w:val="0"/>
          <w:numId w:val="13"/>
        </w:numPr>
        <w:ind w:left="0" w:firstLine="0" w:firstLineChars="0"/>
        <w:contextualSpacing/>
        <w:jc w:val="left"/>
        <w:rPr>
          <w:b/>
          <w:szCs w:val="21"/>
        </w:rPr>
      </w:pPr>
      <w:r>
        <w:rPr>
          <w:b/>
          <w:szCs w:val="21"/>
        </w:rPr>
        <w:t>其他</w:t>
      </w:r>
    </w:p>
    <w:p>
      <w:pPr>
        <w:pStyle w:val="28"/>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pPr>
        <w:pStyle w:val="28"/>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pPr>
        <w:pStyle w:val="28"/>
        <w:numPr>
          <w:ilvl w:val="0"/>
          <w:numId w:val="13"/>
        </w:numPr>
        <w:ind w:left="0" w:firstLine="0" w:firstLineChars="0"/>
        <w:contextualSpacing/>
        <w:jc w:val="left"/>
        <w:rPr>
          <w:b/>
          <w:szCs w:val="21"/>
        </w:rPr>
      </w:pPr>
      <w:r>
        <w:rPr>
          <w:b/>
          <w:szCs w:val="21"/>
        </w:rPr>
        <w:t>合同附件</w:t>
      </w:r>
    </w:p>
    <w:p>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pPr>
        <w:jc w:val="left"/>
        <w:outlineLvl w:val="0"/>
        <w:rPr>
          <w:szCs w:val="21"/>
        </w:rPr>
      </w:pPr>
      <w:r>
        <w:rPr>
          <w:rFonts w:hint="eastAsia"/>
          <w:szCs w:val="21"/>
        </w:rPr>
        <w:t>附件1《</w:t>
      </w:r>
      <w:bookmarkStart w:id="112" w:name="OLE_LINK32"/>
      <w:r>
        <w:rPr>
          <w:rFonts w:hint="eastAsia"/>
          <w:szCs w:val="21"/>
        </w:rPr>
        <w:t>结算单价清单</w:t>
      </w:r>
      <w:bookmarkEnd w:id="112"/>
      <w:r>
        <w:rPr>
          <w:rFonts w:hint="eastAsia"/>
          <w:szCs w:val="21"/>
        </w:rPr>
        <w:t>》</w:t>
      </w:r>
    </w:p>
    <w:p>
      <w:pPr>
        <w:jc w:val="left"/>
        <w:outlineLvl w:val="0"/>
        <w:rPr>
          <w:szCs w:val="21"/>
        </w:rPr>
      </w:pPr>
      <w:r>
        <w:rPr>
          <w:rFonts w:hint="eastAsia"/>
          <w:szCs w:val="21"/>
        </w:rPr>
        <w:t>附件2《考核标准》</w:t>
      </w:r>
    </w:p>
    <w:p>
      <w:pPr>
        <w:jc w:val="left"/>
        <w:outlineLvl w:val="0"/>
        <w:rPr>
          <w:szCs w:val="21"/>
        </w:rPr>
      </w:pPr>
      <w:r>
        <w:rPr>
          <w:szCs w:val="21"/>
        </w:rPr>
        <w:t>附件3《服务</w:t>
      </w:r>
      <w:r>
        <w:rPr>
          <w:rFonts w:hint="eastAsia"/>
          <w:szCs w:val="21"/>
        </w:rPr>
        <w:t>方案</w:t>
      </w:r>
      <w:r>
        <w:rPr>
          <w:szCs w:val="21"/>
        </w:rPr>
        <w:t>》</w:t>
      </w:r>
    </w:p>
    <w:p>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trPr>
          <w:trHeight w:val="519" w:hRule="atLeast"/>
          <w:jc w:val="center"/>
        </w:trPr>
        <w:tc>
          <w:tcPr>
            <w:tcW w:w="10214" w:type="dxa"/>
            <w:gridSpan w:val="2"/>
          </w:tcPr>
          <w:p>
            <w:pPr>
              <w:rPr>
                <w:szCs w:val="21"/>
              </w:rPr>
            </w:pPr>
            <w:r>
              <w:rPr>
                <w:szCs w:val="21"/>
              </w:rPr>
              <w:t>签订时间：</w:t>
            </w:r>
            <w:r>
              <w:t>202*</w:t>
            </w:r>
            <w:r>
              <w:rPr>
                <w:szCs w:val="21"/>
              </w:rPr>
              <w:t>年***月***日</w:t>
            </w:r>
          </w:p>
        </w:tc>
      </w:tr>
      <w:tr>
        <w:tblPrEx>
          <w:tblCellMar>
            <w:top w:w="0" w:type="dxa"/>
            <w:left w:w="0" w:type="dxa"/>
            <w:bottom w:w="0" w:type="dxa"/>
            <w:right w:w="0" w:type="dxa"/>
          </w:tblCellMar>
        </w:tblPrEx>
        <w:trPr>
          <w:jc w:val="center"/>
        </w:trPr>
        <w:tc>
          <w:tcPr>
            <w:tcW w:w="4967" w:type="dxa"/>
          </w:tcPr>
          <w:p>
            <w:pPr>
              <w:rPr>
                <w:szCs w:val="21"/>
              </w:rPr>
            </w:pPr>
            <w:r>
              <w:rPr>
                <w:szCs w:val="21"/>
              </w:rPr>
              <w:t>甲方：四川省人民医院（盖章）</w:t>
            </w:r>
          </w:p>
          <w:p>
            <w:pPr>
              <w:rPr>
                <w:szCs w:val="21"/>
              </w:rPr>
            </w:pPr>
            <w:r>
              <w:rPr>
                <w:szCs w:val="21"/>
              </w:rPr>
              <w:t>法定代表人（授权代表签字）：</w:t>
            </w:r>
          </w:p>
          <w:p>
            <w:pPr>
              <w:rPr>
                <w:szCs w:val="21"/>
              </w:rPr>
            </w:pPr>
            <w:r>
              <w:rPr>
                <w:szCs w:val="21"/>
              </w:rPr>
              <w:t>地    址：四川省成都市一环路西二段32号</w:t>
            </w:r>
          </w:p>
          <w:p>
            <w:pPr>
              <w:rPr>
                <w:szCs w:val="21"/>
              </w:rPr>
            </w:pPr>
            <w:r>
              <w:rPr>
                <w:szCs w:val="21"/>
              </w:rPr>
              <w:t>开户银行：建设银行成都青羊支行</w:t>
            </w:r>
          </w:p>
          <w:p>
            <w:pPr>
              <w:rPr>
                <w:szCs w:val="21"/>
              </w:rPr>
            </w:pPr>
            <w:r>
              <w:rPr>
                <w:szCs w:val="21"/>
              </w:rPr>
              <w:t>账号：5100 1446 4360 5037 4282</w:t>
            </w:r>
          </w:p>
        </w:tc>
        <w:tc>
          <w:tcPr>
            <w:tcW w:w="5247" w:type="dxa"/>
          </w:tcPr>
          <w:p>
            <w:pPr>
              <w:rPr>
                <w:szCs w:val="21"/>
              </w:rPr>
            </w:pPr>
            <w:r>
              <w:rPr>
                <w:szCs w:val="21"/>
              </w:rPr>
              <w:t>乙方：</w:t>
            </w:r>
            <w:permStart w:id="2" w:edGrp="everyone"/>
            <w:r>
              <w:rPr>
                <w:szCs w:val="21"/>
              </w:rPr>
              <w:t>***</w:t>
            </w:r>
            <w:permEnd w:id="2"/>
            <w:r>
              <w:rPr>
                <w:szCs w:val="21"/>
              </w:rPr>
              <w:t>（盖章）</w:t>
            </w:r>
          </w:p>
          <w:p>
            <w:pPr>
              <w:rPr>
                <w:szCs w:val="21"/>
              </w:rPr>
            </w:pPr>
            <w:r>
              <w:rPr>
                <w:szCs w:val="21"/>
              </w:rPr>
              <w:t>法定代表人（授权代表签字）：</w:t>
            </w:r>
          </w:p>
          <w:p>
            <w:pPr>
              <w:rPr>
                <w:szCs w:val="21"/>
              </w:rPr>
            </w:pPr>
            <w:r>
              <w:rPr>
                <w:szCs w:val="21"/>
              </w:rPr>
              <w:t>地址：</w:t>
            </w:r>
            <w:permStart w:id="3" w:edGrp="everyone"/>
            <w:r>
              <w:rPr>
                <w:szCs w:val="21"/>
              </w:rPr>
              <w:t>***</w:t>
            </w:r>
            <w:permEnd w:id="3"/>
          </w:p>
          <w:p>
            <w:pPr>
              <w:rPr>
                <w:szCs w:val="21"/>
              </w:rPr>
            </w:pPr>
            <w:r>
              <w:rPr>
                <w:szCs w:val="21"/>
              </w:rPr>
              <w:t>开户银行：</w:t>
            </w:r>
            <w:permStart w:id="4" w:edGrp="everyone"/>
            <w:r>
              <w:rPr>
                <w:szCs w:val="21"/>
              </w:rPr>
              <w:t>***</w:t>
            </w:r>
          </w:p>
          <w:permEnd w:id="4"/>
          <w:p>
            <w:pPr>
              <w:widowControl/>
              <w:jc w:val="left"/>
            </w:pPr>
            <w:r>
              <w:rPr>
                <w:szCs w:val="21"/>
              </w:rPr>
              <w:t>账号：</w:t>
            </w:r>
            <w:permStart w:id="5" w:edGrp="everyone"/>
            <w:r>
              <w:rPr>
                <w:szCs w:val="21"/>
              </w:rPr>
              <w:t>***</w:t>
            </w:r>
            <w:permEnd w:id="5"/>
          </w:p>
        </w:tc>
      </w:tr>
    </w:tbl>
    <w:p>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b/>
                <w:bCs/>
                <w:szCs w:val="21"/>
              </w:rPr>
            </w:pPr>
            <w:r>
              <w:rPr>
                <w:rFonts w:hint="eastAsia"/>
                <w:b/>
                <w:bCs/>
                <w:szCs w:val="21"/>
              </w:rPr>
              <w:t>序号</w:t>
            </w:r>
          </w:p>
        </w:tc>
        <w:tc>
          <w:tcPr>
            <w:tcW w:w="3686" w:type="dxa"/>
            <w:vAlign w:val="center"/>
          </w:tcPr>
          <w:p>
            <w:pPr>
              <w:widowControl/>
              <w:jc w:val="center"/>
              <w:rPr>
                <w:b/>
                <w:bCs/>
                <w:szCs w:val="21"/>
              </w:rPr>
            </w:pPr>
            <w:r>
              <w:rPr>
                <w:rFonts w:hint="eastAsia"/>
                <w:b/>
                <w:bCs/>
                <w:szCs w:val="21"/>
              </w:rPr>
              <w:t>结算项目名称</w:t>
            </w:r>
          </w:p>
        </w:tc>
        <w:tc>
          <w:tcPr>
            <w:tcW w:w="3402" w:type="dxa"/>
            <w:vAlign w:val="center"/>
          </w:tcPr>
          <w:p>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pPr>
              <w:widowControl/>
              <w:jc w:val="center"/>
              <w:rPr>
                <w:b/>
                <w:bCs/>
                <w:szCs w:val="21"/>
              </w:rPr>
            </w:pPr>
            <w:r>
              <w:rPr>
                <w:rFonts w:hint="eastAsia"/>
                <w:b/>
                <w:bCs/>
                <w:szCs w:val="21"/>
              </w:rPr>
              <w:t>结算单价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1</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2</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szCs w:val="21"/>
              </w:rPr>
              <w:t>…</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bl>
    <w:p>
      <w:pPr>
        <w:widowControl/>
        <w:jc w:val="left"/>
        <w:rPr>
          <w:szCs w:val="21"/>
        </w:rPr>
        <w:sectPr>
          <w:footerReference r:id="rId9" w:type="default"/>
          <w:pgSz w:w="11906" w:h="16838"/>
          <w:pgMar w:top="851" w:right="1134" w:bottom="851" w:left="1134" w:header="0" w:footer="567" w:gutter="0"/>
          <w:pgNumType w:fmt="decimal"/>
          <w:cols w:space="425" w:num="1"/>
          <w:docGrid w:linePitch="312" w:charSpace="0"/>
        </w:sectPr>
      </w:pPr>
    </w:p>
    <w:p>
      <w:pPr>
        <w:widowControl/>
        <w:jc w:val="left"/>
        <w:rPr>
          <w:rFonts w:ascii="宋体" w:hAnsi="宋体"/>
          <w:b/>
          <w:bCs/>
          <w:szCs w:val="21"/>
        </w:rPr>
      </w:pPr>
      <w:r>
        <w:rPr>
          <w:rFonts w:hint="eastAsia" w:ascii="宋体" w:hAnsi="宋体"/>
          <w:b/>
          <w:bCs/>
          <w:szCs w:val="21"/>
        </w:rPr>
        <w:t>附件2：考核标准</w:t>
      </w:r>
    </w:p>
    <w:p/>
    <w:p>
      <w:pPr>
        <w:sectPr>
          <w:pgSz w:w="11906" w:h="16838"/>
          <w:pgMar w:top="851" w:right="1134" w:bottom="851" w:left="1134" w:header="0" w:footer="567" w:gutter="0"/>
          <w:pgNumType w:fmt="decimal"/>
          <w:cols w:space="425" w:num="1"/>
          <w:docGrid w:linePitch="312" w:charSpace="0"/>
        </w:sectPr>
      </w:pPr>
      <w:r>
        <w:rPr>
          <w:rFonts w:hint="eastAsia"/>
        </w:rPr>
        <w:t>*</w:t>
      </w:r>
      <w:r>
        <w:t>**</w:t>
      </w:r>
    </w:p>
    <w:p>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p>
      <w:r>
        <w:rPr>
          <w:rFonts w:hint="eastAsia"/>
        </w:rPr>
        <w:t>*</w:t>
      </w:r>
      <w: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2"/>
          <w:rFonts w:ascii="Times New Roman" w:hAnsi="Times New Roman" w:eastAsia="宋体" w:cs="Times New Roman"/>
          <w:b/>
          <w:bCs/>
          <w:sz w:val="32"/>
          <w:szCs w:val="32"/>
        </w:rPr>
      </w:pPr>
      <w:r>
        <w:rPr>
          <w:rFonts w:ascii="Times New Roman" w:hAnsi="Times New Roman" w:cs="Times New Roman"/>
        </w:rPr>
        <w:t>年   月   日</w:t>
      </w:r>
    </w:p>
    <w:p>
      <w:pPr>
        <w:pStyle w:val="25"/>
        <w:rPr>
          <w:rFonts w:ascii="Times New Roman" w:hAnsi="Times New Roman"/>
        </w:rPr>
      </w:pPr>
    </w:p>
    <w:sectPr>
      <w:headerReference r:id="rId10" w:type="default"/>
      <w:footerReference r:id="rId11"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CD8E8CD-A6E5-40D3-B10A-36C3BDDCB22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9E2C984-19DB-4248-B5B4-800B2CF2E70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ACB8F7D-397F-47A1-99CD-15D7224CF14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3B3A8ED-36BD-496D-BA1A-8262B5BD9182}"/>
  </w:font>
  <w:font w:name="Segoe UI Symbol">
    <w:panose1 w:val="020B0502040204020203"/>
    <w:charset w:val="00"/>
    <w:family w:val="swiss"/>
    <w:pitch w:val="default"/>
    <w:sig w:usb0="800001E3" w:usb1="1200FFEF" w:usb2="00040000" w:usb3="04000000" w:csb0="00000001" w:csb1="40000000"/>
    <w:embedRegular r:id="rId5" w:fontKey="{D5606030-7D67-40F0-80F4-ACE9C65B0E05}"/>
  </w:font>
  <w:font w:name="Wingdings 2">
    <w:altName w:val="Wingdings"/>
    <w:panose1 w:val="05020102010507070707"/>
    <w:charset w:val="4D"/>
    <w:family w:val="decorative"/>
    <w:pitch w:val="default"/>
    <w:sig w:usb0="00000000" w:usb1="00000000" w:usb2="00000000" w:usb3="00000000" w:csb0="80000000" w:csb1="00000000"/>
    <w:embedRegular r:id="rId6" w:fontKey="{6515974E-E3D0-4509-BECB-8DA8E881DCDB}"/>
  </w:font>
  <w:font w:name="微软雅黑">
    <w:panose1 w:val="020B0503020204020204"/>
    <w:charset w:val="86"/>
    <w:family w:val="auto"/>
    <w:pitch w:val="default"/>
    <w:sig w:usb0="80000287" w:usb1="2ACF3C50" w:usb2="00000016" w:usb3="00000000" w:csb0="0004001F" w:csb1="00000000"/>
    <w:embedRegular r:id="rId7" w:fontKey="{247044E4-1BB9-4512-ABD2-2D6EBDE4B6AE}"/>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contextualSpacing/>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1</w:t>
    </w:r>
    <w:r>
      <w:rPr>
        <w:rStyle w:val="21"/>
      </w:rPr>
      <w:fldChar w:fldCharType="end"/>
    </w:r>
  </w:p>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B2755C1"/>
    <w:multiLevelType w:val="singleLevel"/>
    <w:tmpl w:val="AB2755C1"/>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7"/>
  </w:num>
  <w:num w:numId="4">
    <w:abstractNumId w:val="26"/>
  </w:num>
  <w:num w:numId="5">
    <w:abstractNumId w:val="13"/>
  </w:num>
  <w:num w:numId="6">
    <w:abstractNumId w:val="21"/>
  </w:num>
  <w:num w:numId="7">
    <w:abstractNumId w:val="16"/>
  </w:num>
  <w:num w:numId="8">
    <w:abstractNumId w:val="3"/>
  </w:num>
  <w:num w:numId="9">
    <w:abstractNumId w:val="1"/>
  </w:num>
  <w:num w:numId="10">
    <w:abstractNumId w:val="0"/>
  </w:num>
  <w:num w:numId="11">
    <w:abstractNumId w:val="5"/>
  </w:num>
  <w:num w:numId="12">
    <w:abstractNumId w:val="2"/>
  </w:num>
  <w:num w:numId="13">
    <w:abstractNumId w:val="12"/>
  </w:num>
  <w:num w:numId="14">
    <w:abstractNumId w:val="22"/>
  </w:num>
  <w:num w:numId="15">
    <w:abstractNumId w:val="25"/>
  </w:num>
  <w:num w:numId="16">
    <w:abstractNumId w:val="19"/>
  </w:num>
  <w:num w:numId="17">
    <w:abstractNumId w:val="9"/>
  </w:num>
  <w:num w:numId="18">
    <w:abstractNumId w:val="7"/>
  </w:num>
  <w:num w:numId="19">
    <w:abstractNumId w:val="23"/>
  </w:num>
  <w:num w:numId="20">
    <w:abstractNumId w:val="18"/>
  </w:num>
  <w:num w:numId="21">
    <w:abstractNumId w:val="8"/>
  </w:num>
  <w:num w:numId="22">
    <w:abstractNumId w:val="11"/>
  </w:num>
  <w:num w:numId="23">
    <w:abstractNumId w:val="24"/>
  </w:num>
  <w:num w:numId="24">
    <w:abstractNumId w:val="6"/>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93A3733"/>
    <w:rsid w:val="0B4508AE"/>
    <w:rsid w:val="0CF161C9"/>
    <w:rsid w:val="0E0B7FF0"/>
    <w:rsid w:val="0F904004"/>
    <w:rsid w:val="0FE444A1"/>
    <w:rsid w:val="11496B7B"/>
    <w:rsid w:val="117A5014"/>
    <w:rsid w:val="127F05A0"/>
    <w:rsid w:val="136D78F8"/>
    <w:rsid w:val="15CC4977"/>
    <w:rsid w:val="162A4F7D"/>
    <w:rsid w:val="16A82A66"/>
    <w:rsid w:val="174043B2"/>
    <w:rsid w:val="1994787E"/>
    <w:rsid w:val="1BCC54CD"/>
    <w:rsid w:val="1DD000AF"/>
    <w:rsid w:val="1E09745A"/>
    <w:rsid w:val="1E176351"/>
    <w:rsid w:val="213D5DCC"/>
    <w:rsid w:val="22935D1D"/>
    <w:rsid w:val="23D4489F"/>
    <w:rsid w:val="24AF67BE"/>
    <w:rsid w:val="262001B9"/>
    <w:rsid w:val="27B87AF9"/>
    <w:rsid w:val="27E80EA9"/>
    <w:rsid w:val="280414A1"/>
    <w:rsid w:val="28570368"/>
    <w:rsid w:val="29C5318E"/>
    <w:rsid w:val="2B502F98"/>
    <w:rsid w:val="2C9A0A9E"/>
    <w:rsid w:val="2DA70D65"/>
    <w:rsid w:val="317E24A7"/>
    <w:rsid w:val="3427766B"/>
    <w:rsid w:val="343706EB"/>
    <w:rsid w:val="351A08D0"/>
    <w:rsid w:val="36334CE5"/>
    <w:rsid w:val="3A551407"/>
    <w:rsid w:val="3B033C36"/>
    <w:rsid w:val="3E5D4E8E"/>
    <w:rsid w:val="3FE25336"/>
    <w:rsid w:val="41076015"/>
    <w:rsid w:val="42075FF8"/>
    <w:rsid w:val="42842020"/>
    <w:rsid w:val="468567BB"/>
    <w:rsid w:val="4782487D"/>
    <w:rsid w:val="496438D9"/>
    <w:rsid w:val="4B31068E"/>
    <w:rsid w:val="4BA55220"/>
    <w:rsid w:val="4BAD0151"/>
    <w:rsid w:val="4C184E09"/>
    <w:rsid w:val="4C8F75A2"/>
    <w:rsid w:val="4CAF6FB6"/>
    <w:rsid w:val="4CF5680D"/>
    <w:rsid w:val="4DAD4403"/>
    <w:rsid w:val="4E8C008E"/>
    <w:rsid w:val="4FEF758C"/>
    <w:rsid w:val="50771A9C"/>
    <w:rsid w:val="51C47F6D"/>
    <w:rsid w:val="5455382C"/>
    <w:rsid w:val="593D0E14"/>
    <w:rsid w:val="5D0A3490"/>
    <w:rsid w:val="5D7E0D39"/>
    <w:rsid w:val="5E9D3F29"/>
    <w:rsid w:val="60384CD1"/>
    <w:rsid w:val="60655808"/>
    <w:rsid w:val="60F86CEE"/>
    <w:rsid w:val="63A9427A"/>
    <w:rsid w:val="63D462B1"/>
    <w:rsid w:val="641A3596"/>
    <w:rsid w:val="64D96647"/>
    <w:rsid w:val="655B51E5"/>
    <w:rsid w:val="65E40ADA"/>
    <w:rsid w:val="66330B86"/>
    <w:rsid w:val="66E22203"/>
    <w:rsid w:val="679666FC"/>
    <w:rsid w:val="68312057"/>
    <w:rsid w:val="68AA6162"/>
    <w:rsid w:val="68B812C9"/>
    <w:rsid w:val="69D50CF4"/>
    <w:rsid w:val="69D51877"/>
    <w:rsid w:val="6C487AFD"/>
    <w:rsid w:val="6CB24363"/>
    <w:rsid w:val="6EA93466"/>
    <w:rsid w:val="6EBA760D"/>
    <w:rsid w:val="6FCF0795"/>
    <w:rsid w:val="71381023"/>
    <w:rsid w:val="71696852"/>
    <w:rsid w:val="73714961"/>
    <w:rsid w:val="754D1D92"/>
    <w:rsid w:val="758350A9"/>
    <w:rsid w:val="76812821"/>
    <w:rsid w:val="79687E1D"/>
    <w:rsid w:val="7AB16E91"/>
    <w:rsid w:val="7B560FD7"/>
    <w:rsid w:val="7B5F74F8"/>
    <w:rsid w:val="7B690630"/>
    <w:rsid w:val="7C5123F4"/>
    <w:rsid w:val="7CCE1D9D"/>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6"/>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1"/>
    <w:autoRedefine/>
    <w:qFormat/>
    <w:uiPriority w:val="0"/>
    <w:pPr>
      <w:spacing w:after="120" w:line="480" w:lineRule="auto"/>
      <w:ind w:left="420" w:leftChars="200"/>
    </w:pPr>
    <w:rPr>
      <w:szCs w:val="20"/>
    </w:rPr>
  </w:style>
  <w:style w:type="paragraph" w:styleId="10">
    <w:name w:val="Balloon Text"/>
    <w:basedOn w:val="1"/>
    <w:link w:val="38"/>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autoRedefine/>
    <w:qFormat/>
    <w:uiPriority w:val="0"/>
    <w:rPr>
      <w:b/>
      <w:bCs/>
    </w:rPr>
  </w:style>
  <w:style w:type="paragraph" w:styleId="16">
    <w:name w:val="Body Text First Indent"/>
    <w:basedOn w:val="7"/>
    <w:link w:val="32"/>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semiHidden/>
    <w:qFormat/>
    <w:uiPriority w:val="0"/>
  </w:style>
  <w:style w:type="character" w:styleId="22">
    <w:name w:val="annotation reference"/>
    <w:basedOn w:val="20"/>
    <w:autoRedefine/>
    <w:qFormat/>
    <w:uiPriority w:val="0"/>
    <w:rPr>
      <w:sz w:val="21"/>
      <w:szCs w:val="21"/>
    </w:rPr>
  </w:style>
  <w:style w:type="paragraph" w:customStyle="1" w:styleId="23">
    <w:name w:val="标题 5（有编号）（绿盟科技）"/>
    <w:basedOn w:val="24"/>
    <w:next w:val="25"/>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autoRedefine/>
    <w:qFormat/>
    <w:uiPriority w:val="0"/>
    <w:pPr>
      <w:spacing w:line="500" w:lineRule="exact"/>
      <w:ind w:firstLine="420" w:firstLineChars="200"/>
    </w:pPr>
    <w:rPr>
      <w:szCs w:val="24"/>
    </w:rPr>
  </w:style>
  <w:style w:type="paragraph" w:customStyle="1" w:styleId="29">
    <w:name w:val="正文首行缩进两字符"/>
    <w:basedOn w:val="1"/>
    <w:autoRedefine/>
    <w:qFormat/>
    <w:uiPriority w:val="0"/>
    <w:pPr>
      <w:spacing w:line="360" w:lineRule="auto"/>
      <w:ind w:firstLine="200" w:firstLineChars="200"/>
    </w:pPr>
  </w:style>
  <w:style w:type="paragraph" w:customStyle="1" w:styleId="3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autoRedefine/>
    <w:qFormat/>
    <w:uiPriority w:val="0"/>
    <w:rPr>
      <w:szCs w:val="20"/>
    </w:rPr>
  </w:style>
  <w:style w:type="character" w:customStyle="1" w:styleId="32">
    <w:name w:val="Body Text First Indent Char"/>
    <w:link w:val="16"/>
    <w:autoRedefine/>
    <w:qFormat/>
    <w:uiPriority w:val="0"/>
    <w:rPr>
      <w:rFonts w:ascii="FangSong_GB2312" w:hAnsi="FangSong_GB2312" w:eastAsia="FangSong_GB2312"/>
      <w:szCs w:val="20"/>
    </w:rPr>
  </w:style>
  <w:style w:type="paragraph" w:customStyle="1" w:styleId="33">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autoRedefine/>
    <w:qFormat/>
    <w:uiPriority w:val="99"/>
    <w:rPr>
      <w:rFonts w:ascii="宋体" w:hAnsi="Times New Roman"/>
      <w:kern w:val="0"/>
      <w:sz w:val="21"/>
      <w:szCs w:val="24"/>
    </w:rPr>
  </w:style>
  <w:style w:type="character" w:customStyle="1" w:styleId="36">
    <w:name w:val="Comment Text Char"/>
    <w:basedOn w:val="20"/>
    <w:link w:val="6"/>
    <w:autoRedefine/>
    <w:qFormat/>
    <w:uiPriority w:val="0"/>
    <w:rPr>
      <w:kern w:val="2"/>
      <w:sz w:val="21"/>
      <w:szCs w:val="22"/>
    </w:rPr>
  </w:style>
  <w:style w:type="character" w:customStyle="1" w:styleId="37">
    <w:name w:val="Comment Subject Char"/>
    <w:basedOn w:val="36"/>
    <w:link w:val="15"/>
    <w:autoRedefine/>
    <w:qFormat/>
    <w:uiPriority w:val="0"/>
    <w:rPr>
      <w:b/>
      <w:bCs/>
      <w:kern w:val="2"/>
      <w:sz w:val="21"/>
      <w:szCs w:val="22"/>
    </w:rPr>
  </w:style>
  <w:style w:type="character" w:customStyle="1" w:styleId="38">
    <w:name w:val="Balloon Text Char"/>
    <w:basedOn w:val="20"/>
    <w:link w:val="10"/>
    <w:autoRedefine/>
    <w:qFormat/>
    <w:uiPriority w:val="0"/>
    <w:rPr>
      <w:kern w:val="2"/>
      <w:sz w:val="18"/>
      <w:szCs w:val="18"/>
    </w:rPr>
  </w:style>
  <w:style w:type="character" w:customStyle="1" w:styleId="39">
    <w:name w:val="Heading 2 Char"/>
    <w:link w:val="3"/>
    <w:autoRedefine/>
    <w:qFormat/>
    <w:uiPriority w:val="0"/>
    <w:rPr>
      <w:rFonts w:ascii="Times New Roman" w:hAnsi="Times New Roman" w:eastAsia="仿宋" w:cs="Times New Roman"/>
      <w:b/>
      <w:sz w:val="32"/>
    </w:rPr>
  </w:style>
  <w:style w:type="paragraph" w:customStyle="1" w:styleId="40">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38</Pages>
  <Words>57</Words>
  <Characters>61</Characters>
  <Lines>72</Lines>
  <Paragraphs>20</Paragraphs>
  <TotalTime>32</TotalTime>
  <ScaleCrop>false</ScaleCrop>
  <LinksUpToDate>false</LinksUpToDate>
  <CharactersWithSpaces>67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2026-09-24T06:47:09Z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92FF5995566842B8A151D21B7973BB04_13</vt:lpwstr>
  </property>
  <property fmtid="{D5CDD505-2E9C-101B-9397-08002B2CF9AE}" pid="4" name="KSOTemplateDocerSaveRecord">
    <vt:lpwstr>eyJoZGlkIjoiNGNkNWE0MzY1ZDc3N2MyZTcxMDkxOGEzNTQ4MzE3MzciLCJ1c2VySWQiOiI2NTY2NzM4NjgifQ==</vt:lpwstr>
  </property>
</Properties>
</file>