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四川省人民医院全院消防灭火器材、救援器材及其配套设施购置采购项目（</w:t>
      </w:r>
      <w:r>
        <w:rPr>
          <w:rFonts w:hint="eastAsia" w:ascii="Times New Roman" w:hAnsi="Times New Roman" w:eastAsia="黑体" w:cs="Times New Roman"/>
          <w:b/>
          <w:spacing w:val="24"/>
          <w:sz w:val="56"/>
          <w:szCs w:val="56"/>
          <w:lang w:val="en-US" w:eastAsia="zh-CN"/>
        </w:rPr>
        <w:t>6）</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3240"/>
      <w:bookmarkStart w:id="2" w:name="_Toc20358"/>
      <w:bookmarkStart w:id="3" w:name="_Toc471310326"/>
      <w:bookmarkStart w:id="4" w:name="_Toc21919"/>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4"/>
        <w:gridCol w:w="1998"/>
        <w:gridCol w:w="7695"/>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rPr>
            </w:pPr>
            <w:r>
              <w:rPr>
                <w:rFonts w:hint="eastAsia" w:ascii="Times New Roman" w:hAnsi="Times New Roman" w:eastAsia="仿宋" w:cs="Times New Roman"/>
                <w:sz w:val="22"/>
                <w:lang w:eastAsia="zh-CN"/>
              </w:rPr>
              <w:t>四川省人民医院全院消防灭火器材、救援器材及其配套设施购置采购项目（</w:t>
            </w:r>
            <w:r>
              <w:rPr>
                <w:rFonts w:hint="eastAsia" w:ascii="Times New Roman" w:hAnsi="Times New Roman" w:eastAsia="仿宋" w:cs="Times New Roman"/>
                <w:sz w:val="22"/>
                <w:lang w:val="en-US" w:eastAsia="zh-CN"/>
              </w:rPr>
              <w:t>6）</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CGZX-BWB20260536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30万</w:t>
            </w:r>
            <w:r>
              <w:rPr>
                <w:rFonts w:ascii="Times New Roman" w:hAnsi="Times New Roman" w:eastAsia="仿宋" w:cs="Times New Roman"/>
                <w:sz w:val="22"/>
              </w:rPr>
              <w:t>元</w:t>
            </w:r>
            <w:r>
              <w:rPr>
                <w:rFonts w:hint="eastAsia" w:ascii="Times New Roman" w:hAnsi="Times New Roman" w:eastAsia="仿宋" w:cs="Times New Roman"/>
                <w:sz w:val="22"/>
                <w:lang w:eastAsia="zh-CN"/>
              </w:rPr>
              <w:t>。本项目报价根据第四章《清单及技术要求》各项</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要求填报下浮率，下浮率为负数或者≥100%的，其响应文件按无效文件处理。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人民币15000元</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供应商应当以支票、汇票、本票或金融机构保函等非现金形式（含网银转账、电汇）</w:t>
            </w:r>
            <w:r>
              <w:rPr>
                <w:rFonts w:hint="eastAsia" w:ascii="Times New Roman" w:hAnsi="Times New Roman" w:eastAsia="仿宋" w:cs="Times New Roman"/>
                <w:sz w:val="22"/>
                <w:szCs w:val="22"/>
                <w:lang w:val="en-US" w:eastAsia="zh-CN"/>
              </w:rPr>
              <w:t>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hint="eastAsia" w:ascii="Times New Roman" w:hAnsi="Times New Roman" w:eastAsia="仿宋" w:cs="Times New Roman"/>
                <w:sz w:val="22"/>
                <w:szCs w:val="22"/>
                <w:lang w:val="en-US" w:eastAsia="zh-CN"/>
              </w:rPr>
              <w:t>10</w:t>
            </w:r>
            <w:r>
              <w:rPr>
                <w:rFonts w:ascii="Times New Roman" w:hAnsi="Times New Roman" w:eastAsia="仿宋" w:cs="Times New Roman"/>
                <w:sz w:val="22"/>
                <w:szCs w:val="22"/>
                <w:lang w:val="zh-CN"/>
              </w:rPr>
              <w:t>个工作日内</w:t>
            </w:r>
            <w:r>
              <w:rPr>
                <w:rFonts w:hint="eastAsia" w:ascii="Times New Roman" w:hAnsi="Times New Roman" w:eastAsia="仿宋" w:cs="Times New Roman"/>
                <w:sz w:val="22"/>
                <w:szCs w:val="22"/>
                <w:lang w:val="zh-CN"/>
              </w:rPr>
              <w:t>，逾期未缴纳的，视为自动放弃中标资格</w:t>
            </w:r>
            <w:r>
              <w:rPr>
                <w:rFonts w:ascii="Times New Roman" w:hAnsi="Times New Roman" w:eastAsia="仿宋" w:cs="Times New Roman"/>
                <w:sz w:val="22"/>
                <w:szCs w:val="22"/>
                <w:lang w:val="zh-CN"/>
              </w:rPr>
              <w:t>；</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服务期满且验收合格，供应商提交完整请款资料后，采购人在55个工作日内一次性无息退还</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375605F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供应商因自身原因逾期交货的，逾期超过10天的，采购人有权单方面解除合同，不予退还履约保证金，并要求供应商支付不低于履约保证金50%的额外违约金，承担采购人全部损失。</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87393665</w:t>
            </w:r>
          </w:p>
          <w:p w14:paraId="2BA80911">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保卫部</w:t>
            </w:r>
          </w:p>
          <w:p w14:paraId="6870918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刘老师 028-87393273</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6407"/>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9"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9"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9"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9" w:type="dxa"/>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9" w:type="dxa"/>
            <w:vAlign w:val="center"/>
          </w:tcPr>
          <w:p w14:paraId="6FB4F345">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17F92DF2">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A815D49">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9" w:type="dxa"/>
            <w:vAlign w:val="center"/>
          </w:tcPr>
          <w:p w14:paraId="719554D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46370F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30E2AD6B">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9" w:type="dxa"/>
            <w:vAlign w:val="center"/>
          </w:tcPr>
          <w:p w14:paraId="3768BD1D">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D0F9434">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4114081">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9" w:type="dxa"/>
            <w:vAlign w:val="center"/>
          </w:tcPr>
          <w:p w14:paraId="7150CAA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EAE5FD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2CAAD4C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9" w:type="dxa"/>
            <w:vAlign w:val="center"/>
          </w:tcPr>
          <w:p w14:paraId="76555182">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5799B5E">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367E115">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6059" w:type="dxa"/>
            <w:vAlign w:val="center"/>
          </w:tcPr>
          <w:p w14:paraId="2F64669A">
            <w:pPr>
              <w:jc w:val="left"/>
              <w:rPr>
                <w:rFonts w:ascii="Times New Roman" w:hAnsi="Times New Roman" w:eastAsia="仿宋" w:cs="Times New Roman"/>
                <w:bCs/>
                <w:kern w:val="0"/>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484"/>
        <w:gridCol w:w="6974"/>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68FC2F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一、项目简介</w:t>
      </w:r>
    </w:p>
    <w:p w14:paraId="6CD5B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满足四川省人民医院本部及龙泉院区、草堂院区、皮研所院区、温江院区、中和科研基地的消防灭火器材、救援器材及配套设施零星增加需求，保障器材质量与供应时效，防范消防安全风险，拟确定一家供应商，承接本项目全部产品的购置、配送、安装及售后服务等事宜。</w:t>
      </w:r>
    </w:p>
    <w:p w14:paraId="030E50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94"/>
        <w:gridCol w:w="6269"/>
        <w:gridCol w:w="1476"/>
        <w:gridCol w:w="1375"/>
      </w:tblGrid>
      <w:tr w14:paraId="6E938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9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43B8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4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B8CE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采购标的</w:t>
            </w:r>
          </w:p>
        </w:tc>
        <w:tc>
          <w:tcPr>
            <w:tcW w:w="10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F55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02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A00E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r>
      <w:tr w14:paraId="54AA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9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EA24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AAF0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消防系统零星设备及其配套设施购置</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972C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w:t>
            </w:r>
          </w:p>
        </w:tc>
        <w:tc>
          <w:tcPr>
            <w:tcW w:w="102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C936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r>
    </w:tbl>
    <w:p w14:paraId="7CF9E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1D0A3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★三、清单及技术要求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75"/>
        <w:gridCol w:w="1128"/>
        <w:gridCol w:w="1934"/>
        <w:gridCol w:w="4893"/>
        <w:gridCol w:w="1308"/>
        <w:gridCol w:w="575"/>
      </w:tblGrid>
      <w:tr w14:paraId="61203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9D6C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06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1DAD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产品名称</w:t>
            </w:r>
          </w:p>
        </w:tc>
        <w:tc>
          <w:tcPr>
            <w:tcW w:w="1829"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F1F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规格型号</w:t>
            </w:r>
          </w:p>
        </w:tc>
        <w:tc>
          <w:tcPr>
            <w:tcW w:w="462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A3B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技术要求</w:t>
            </w:r>
          </w:p>
        </w:tc>
        <w:tc>
          <w:tcPr>
            <w:tcW w:w="123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DEC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限高单价</w:t>
            </w:r>
          </w:p>
          <w:p w14:paraId="6D7E90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（元）</w:t>
            </w:r>
          </w:p>
        </w:tc>
        <w:tc>
          <w:tcPr>
            <w:tcW w:w="544"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F785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r>
      <w:tr w14:paraId="1796E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0149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A746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A22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与DN65mm消防水带连接使用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B359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压铸铝合金，与DN65mm消防水带连接使用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5584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24.15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3FE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79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6BC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6F7B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E0C2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与DN50mm消防水带连接使用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ABE2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压铸铝合金，与DN50mm消防水带连接使用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70A6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CB8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47C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80B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6E2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0BBE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C66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重量：5KG，喷射时间≥15s，喷射距离≥4m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4255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BD47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1A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CA38B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F7A7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D84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MFZ/ABC4</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C53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重量：4KG，喷射时间≥13s，喷射距离≥3.5m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9D59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B339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5AF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41E1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6E22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7452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37C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重量：2KG，喷射时间≥8s，喷射距离≥2m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67BD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35.88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450E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455C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FB6DA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638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78B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A544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5kg四支装，板材厚度≥0.6mm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933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46.92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8843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0B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D40E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AC6B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1A85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28CC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5kg两支装，板材厚度≥0.6mm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3A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FB6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32BC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B0F9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6B5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3D7C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3DCA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灭火剂重量：≥3KG，</w:t>
            </w:r>
          </w:p>
          <w:p w14:paraId="29563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喷射时间：≥11s，</w:t>
            </w:r>
          </w:p>
          <w:p w14:paraId="5BF3E3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30EA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E5D9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BBF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1899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1AF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B34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37AF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灭火剂重量：≥2KG，</w:t>
            </w:r>
          </w:p>
          <w:p w14:paraId="1211B0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5D3919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喷射距离：≥1.5m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9260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CDC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FABD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A5D9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0AA0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1B18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CE8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容量：6L，</w:t>
            </w:r>
          </w:p>
          <w:p w14:paraId="403439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4395B6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1183C6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24443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有效喷射距离：≥3.5 米；</w:t>
            </w:r>
          </w:p>
          <w:p w14:paraId="5F1274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喷射时间≥40s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F07E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112.47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07DD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DDF9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13A5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44FB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CD82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8C7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容量：3L；</w:t>
            </w:r>
          </w:p>
          <w:p w14:paraId="427B4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72AD26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0193E3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635FBD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产品喷射距离≥3m；</w:t>
            </w:r>
          </w:p>
          <w:p w14:paraId="74F944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喷射时间≥30s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6529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70.38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E8B6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398EE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E45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563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B68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35KG</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600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重量：35KG，</w:t>
            </w:r>
          </w:p>
          <w:p w14:paraId="57D6E4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喷射时间≥60s，</w:t>
            </w:r>
          </w:p>
          <w:p w14:paraId="7D2259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喷射距离≥8m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DCD5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296.7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74D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E711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D368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AB98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F0A7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MFJ950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A0A7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车载用，≥950g干粉灭火药剂，筒体直径≥85mm，</w:t>
            </w:r>
          </w:p>
          <w:p w14:paraId="2B053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7F1B7C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AAA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68.31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7942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398E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B1F3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6760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E7D1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5BCE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1.5m*1.5m,双层符合XF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2C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F332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2AB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F274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BDE5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F4CE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59A2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2m*2m,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E7DE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B0DF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6AD9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FCF3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E86B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728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E50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6m*6m,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1F72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593.4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7D26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54A2D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1E38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D41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111C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7672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手提式、防水、防爆、可充电；</w:t>
            </w:r>
          </w:p>
          <w:p w14:paraId="35D387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最高亮度：350流明及以上；</w:t>
            </w:r>
          </w:p>
          <w:p w14:paraId="6E5B0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最大射程:500m及以上</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15F7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193.2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CE6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76BD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A20D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F7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6AB3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10－65－25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652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2B13CB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口径：65mm；</w:t>
            </w:r>
          </w:p>
          <w:p w14:paraId="227E72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7D55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175.95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EC61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1CB2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553C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FFA5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78BE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10－50－25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ED3F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026F18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口径：50mm；</w:t>
            </w:r>
          </w:p>
          <w:p w14:paraId="190318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97AA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165.6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809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55B9D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1068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1B3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5163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FII65/6×*2-1.6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D8BB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FII65/65*2-1.6（65mm口径一进二出分水器，可承受压力≥1.6MPa）</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3844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110.4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4C0F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595D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E669A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B4D1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47D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011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消防梯长度≥3米</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9514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CF98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r>
      <w:tr w14:paraId="2084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7319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C3EB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906B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5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额定防护时间≥30分钟，</w:t>
            </w:r>
          </w:p>
          <w:p w14:paraId="7E5867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滤烟率≥95%，</w:t>
            </w:r>
          </w:p>
          <w:p w14:paraId="76565F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吸气阻力≤800Pa，</w:t>
            </w:r>
          </w:p>
          <w:p w14:paraId="253118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呼气阻力≤300Pa</w:t>
            </w:r>
          </w:p>
          <w:p w14:paraId="2B1006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视窗透光率≥85%</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8575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F19BD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r>
      <w:tr w14:paraId="4DC45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C036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A874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BB2C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定制铁质货架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85F4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四层；</w:t>
            </w:r>
          </w:p>
          <w:p w14:paraId="61C992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承重≥180KG，</w:t>
            </w:r>
          </w:p>
          <w:p w14:paraId="3BCD1B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长*宽*高：1.5*2*0.5m±1%</w:t>
            </w:r>
          </w:p>
          <w:p w14:paraId="3A5A6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C44E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427.8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23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953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A15D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B7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C1E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FEDD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逃生应急包套装，绳长50米±1%</w:t>
            </w:r>
          </w:p>
          <w:p w14:paraId="4D6F39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118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579.6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971F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A33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2B41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F1FC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7FE3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TMF-03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48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钢制，墙壁挂置</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110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13.662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5AF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D32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78EF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EB9E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233D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184C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 200(含)-500m(不含)；充电模式: 有线充电</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D52C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44.85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63D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4608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0671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1773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BE2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1143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汽油，锯链速度：≥400m/min，输入功率≥1600W，导板长度≥400mm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E03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28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E6F7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685D6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D1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B72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3F01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汽油，双轮异向，排量≥60cc，切割深度≥100mm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A36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5313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134E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3CDD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D00D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790F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58F7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D736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长*宽*高：70*30*110cm±1%（玻璃+304不锈钢），框架式，管材、板材厚度≥0.8mm，含破玻锤1把</w:t>
            </w:r>
          </w:p>
          <w:p w14:paraId="52B8F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8BF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565.8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0500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5D79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C9CF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E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393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25F9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LED寿命≥5000小时、</w:t>
            </w:r>
          </w:p>
          <w:p w14:paraId="3B9CCB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尺寸：54cm（±1cm），</w:t>
            </w:r>
          </w:p>
          <w:p w14:paraId="566AC9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材质：灯体PC、手柄ABS，供电方式：充电电池，红色</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3E5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A06F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42F34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03B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27B9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BF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1737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面料柔软贴身，颜色：荧光绿，拉链穿戴方式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A7DD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2C4D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r>
      <w:tr w14:paraId="76D1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519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FD18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1D42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消防专用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1525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防水、防爆、</w:t>
            </w:r>
          </w:p>
          <w:p w14:paraId="08E4C5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声级强度：80dB-105dB，</w:t>
            </w:r>
          </w:p>
          <w:p w14:paraId="3F8435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静止时间：30±1s，</w:t>
            </w:r>
          </w:p>
          <w:p w14:paraId="569F99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报警时间：≥240min，</w:t>
            </w:r>
          </w:p>
          <w:p w14:paraId="128565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开机时间≥20h，</w:t>
            </w:r>
          </w:p>
          <w:p w14:paraId="0D8116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佩戴质量≤200g，</w:t>
            </w:r>
          </w:p>
          <w:p w14:paraId="624E5D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防护等级≥IP68</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41D1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248.4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1B7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72B0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8377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DA51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8E87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A14B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材质：胶把，钢制；</w:t>
            </w:r>
          </w:p>
          <w:p w14:paraId="2233C5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长度1m（±1cm）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71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E070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r>
      <w:tr w14:paraId="12991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EB9F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B4EB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6238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DFD5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规格：5cm宽*125m长，允许误差范围±1cm，材质：涤纶布；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6F0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D3AA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r>
      <w:tr w14:paraId="0281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B6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06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E266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1829"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665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10-2014《消防员灭火防护服》；CCCF-CPRZ-27:2019《消防类产品认证实施规则 消防装备产品：消防员个人防护装备产品》的相关要求</w:t>
            </w:r>
          </w:p>
        </w:tc>
        <w:tc>
          <w:tcPr>
            <w:tcW w:w="462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520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 xml:space="preserve">阻燃性能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外层损毁长度≤25mm，续燃时间0秒，无熔融滴落现象；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隔热层与舒适层损毁长度≤35-50mm，续燃时间≤2秒。</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2. 热防护性能（TPP值）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整体热防护性能普遍≥33-35 cal/cm²。</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3. 机械强度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外层断裂强力≥1900-2350N（经纬向），撕破强力≥600-1550N；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救生拖拉带断裂强力≥14000N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4. 防水与透气性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防水层耐静水压≥50kPa，水蒸气透过量≥5000g/㎡·24h；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洗涤后拒油性能达≥4级。 </w:t>
            </w:r>
          </w:p>
          <w:p w14:paraId="59E5E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5.多层复合面料       </w:t>
            </w:r>
          </w:p>
          <w:p w14:paraId="138568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防护服由外层、防水透气层、隔热层和舒适层组成</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外层：采用原液染色芳纶纤维，兼具阻燃、防静电、抗撕裂性能；</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中间层：芳纶毡复合PTFE膜，提供防水、透气功能（耐静水压≥50kPa，水蒸气透过量≥7850g/㎡·24h）；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舒适层：芳纶与阻燃粘胶混纺材料。 </w:t>
            </w:r>
          </w:p>
          <w:p w14:paraId="5E37BC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6.人体工学与防护要求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肩、肘、膝部耐磨处理：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反光标识：胸部、腰部、袖口及小腿部配置“黄银黄”反光带（宽度50-50.8mm），提升暗光环境下的可见性；</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功能性口袋：上衣左胸设电台立体口袋，大腿外侧配工具袋，所有外口袋均设漏水孔。</w:t>
            </w:r>
          </w:p>
        </w:tc>
        <w:tc>
          <w:tcPr>
            <w:tcW w:w="123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B061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2829</w:t>
            </w:r>
          </w:p>
        </w:tc>
        <w:tc>
          <w:tcPr>
            <w:tcW w:w="544"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3D5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A08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56D35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CE29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F57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E07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15BF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70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CED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612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353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D32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A9A4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155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C73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3170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A63F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0805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502C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673C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944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B0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88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8021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0BD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856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98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F4A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B7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0DB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35D8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77FE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A2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F52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31BF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34F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5A7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2216D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100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299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符合XF7-2004消防员灭火防护手套CCCF-CPRZ-27:2019《消防类产品认证实施规则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92F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CB59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73A9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310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7A89D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0F48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96E6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符合XF494-2023《消防用防坠落装备》、CCCF-CPRZ-27:2019《消防类产品认证实施规则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92C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26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A44F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D8D1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EE4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FF5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014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6-2004消防员灭火防护靴、CCCF-CPRZ-27:2019《消防类产品认证实施规则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8477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8583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86C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354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ABD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99E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606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符合XF44-2015消防头盔、CCCF-CPRZ-27:2019《消防类产品认证实施规则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E9C4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17式全盔消防头盔</w:t>
            </w:r>
          </w:p>
          <w:p w14:paraId="2F9269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配外部强光手电支架1个</w:t>
            </w:r>
          </w:p>
          <w:p w14:paraId="30CAB2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配防爆战术手电筒1只</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A045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662.4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A4E5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F54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DA390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168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92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D7FE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材质：304不锈钢，玻璃门，</w:t>
            </w:r>
          </w:p>
          <w:p w14:paraId="5E333E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62F4D3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0A2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1380</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D499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2714E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59E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117F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E509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DF56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材质：铁皮，玻璃门，红色，</w:t>
            </w:r>
          </w:p>
          <w:p w14:paraId="6AF3D8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04F35D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A24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6AB6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FDE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7B108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C3C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F193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4CC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65mm转50mm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2CF5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19A2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0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E925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E0F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E6F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0ED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65内扣转快速活接65雌</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07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50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70221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73E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3E53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C5C1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1E5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挎肩式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40A1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144.9</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FD3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1E91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DE2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7962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EC1A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铝箔袋款单个30*30cm</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53B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防火铝箔包装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24EA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6BF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r>
      <w:tr w14:paraId="6A96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B4182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8A45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5F37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9L碳纤维瓶呼吸器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275C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材质：碳纤维复合材料</w:t>
            </w:r>
          </w:p>
          <w:p w14:paraId="7AE331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容积：≥9L</w:t>
            </w:r>
          </w:p>
          <w:p w14:paraId="58ADF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额定工作压力：30Mpa</w:t>
            </w:r>
          </w:p>
          <w:p w14:paraId="512011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使用时间：≥60分钟（30L/min呼吸时），减压器输出压力稳定，气瓶压力在30MPa、20MPa、10MPa时，分别经过5min测试后，试样减压器输出压力没有变化             </w:t>
            </w:r>
          </w:p>
          <w:p w14:paraId="627462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供气阀应为360°快速插接，供气流量≥500L/min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右肩带应缝制有挂钩，左肩带应缝制有挂绳。可以放置呼救器、对讲机。腰带上应配有供气阀放置支架。</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注：（1）供应商所提供的正压式消防空气呼吸器在响应时须符合 GB/T 16556-2007 或 GB 16556-2025。响应时提供国家认可的检测机构出具的评测报告复印件加盖公章。</w:t>
            </w:r>
          </w:p>
          <w:p w14:paraId="7D3797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（2）供应商须承诺，本项目服务期（2026.9.15–2027.9.16）内所交付的正压式消防空气呼吸器均按 GB 16556-2025《呼吸防护 自给开路式压缩空气呼吸器》生产、检验合格，并提供对应检测报告。</w:t>
            </w:r>
          </w:p>
          <w:p w14:paraId="1D60CC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提供国家认可检测机构出具的本次所投同型号产品“公称工作压力”、“公称容积”的检测报告，提供承诺函并加盖供应商公章。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223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3036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85B8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7BBD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5"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27C4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E031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E74A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9164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电池容量：≥3500mAh</w:t>
            </w:r>
          </w:p>
          <w:p w14:paraId="7AAAA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传送距离：≥500m(顺风)</w:t>
            </w:r>
          </w:p>
          <w:p w14:paraId="7CA579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待机时间：≥18小时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录音时长：≥240秒</w:t>
            </w:r>
          </w:p>
          <w:p w14:paraId="33A3D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产品材质：ABS优质塑料,具有喊话、报警、录音功能</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33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4094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9203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9D0D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BE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305F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029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标称电压：3.7V（放电平均电压）</w:t>
            </w:r>
          </w:p>
          <w:p w14:paraId="5780A7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循环寿命：普通 300–500 次（80% 容量）</w:t>
            </w:r>
          </w:p>
          <w:p w14:paraId="4EF9FA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规格与选型</w:t>
            </w:r>
          </w:p>
          <w:p w14:paraId="387903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18650 圆柱：容量 2000–3500mAh，持续放电 1C–10C，适合手电、储能、小设备。</w:t>
            </w:r>
          </w:p>
          <w:p w14:paraId="44A75E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执行 GB/T 18287-2013《移动电话用锂离子蓄电池及蓄电池组总规范》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C03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6488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r>
      <w:tr w14:paraId="642D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22ED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DF8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B5A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D94E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材质：铝合金材质</w:t>
            </w:r>
          </w:p>
          <w:p w14:paraId="25F059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整体重量：≤12KG</w:t>
            </w:r>
          </w:p>
          <w:p w14:paraId="37CAB3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工作长度：≥4M（±10㎝）</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0A6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372.6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375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3260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D7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68F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C52E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82C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材质：聚碳酸酯防化护目镜；</w:t>
            </w:r>
          </w:p>
          <w:p w14:paraId="2D3F42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防雾、防冲击、防腐蚀，具有化学雾滴防护性能及耐热性性能；符合GB 14866-2023《眼面防护具通用技术规范》。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82A0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FA2E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9D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CCD4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DC9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2C4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4FEF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机体为25mm（±1mm）粉末涂层钢架≥5个方位快速便捷定位调节设置性能参数；</w:t>
            </w:r>
          </w:p>
          <w:p w14:paraId="5FFE0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涡轮风叶≤φ400mmX17片，运行时间≥58min(全速运行)；重量≤27KG；</w:t>
            </w:r>
          </w:p>
          <w:p w14:paraId="1183F4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体积≤533h*508w*432dmm；</w:t>
            </w:r>
          </w:p>
          <w:p w14:paraId="57202A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排烟量≥13000m3/hr；</w:t>
            </w:r>
          </w:p>
          <w:p w14:paraId="0E4EAC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注：供应商向采购人提供设备时附带相关检测报告。</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63CC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7935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24BD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0F41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4328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8F9A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9EE4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7C11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长度：≥600mm，</w:t>
            </w:r>
          </w:p>
          <w:p w14:paraId="6B4D6B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材质：碳钢</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DAC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A2A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r>
      <w:tr w14:paraId="4E696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B6991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80A7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708F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EC0E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材质：不锈钢</w:t>
            </w:r>
          </w:p>
          <w:p w14:paraId="227598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其他：含挂绳</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3A00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E3D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B991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A55D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26C4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A1E3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JBQ5.0/8.6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09C5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发动机功率：≥6.8KW                       </w:t>
            </w:r>
          </w:p>
          <w:p w14:paraId="6AA45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吸深：≥7M</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扬程：≥50米，</w:t>
            </w:r>
          </w:p>
          <w:p w14:paraId="178E8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出水压力：≥0.5MPa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外形尺寸：620*590*525MM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926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6693</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C2FE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71496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905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7C97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47DB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3-DG-210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C9E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容量：210AH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尺寸：260MM*182MM*303MM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490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638.25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32B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D7D1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C620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5288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57D8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3-EVF-170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1FCA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  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容量：170AH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尺寸：261MM*180MM*245MM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979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E86B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7535F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D744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A89C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9564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M2AL 12-18 CFR</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7B66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电压：12V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容量：18AH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尺寸：181.5MM*77MM*167.5MM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B6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251.85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B882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5A8E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5" w:hRule="atLeast"/>
        </w:trPr>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D6E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D35C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E798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通过消防产品型式检验，部分地区采购要求 CCCF 认证</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9047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发动机类型：单缸风冷二冲程</w:t>
            </w:r>
          </w:p>
          <w:p w14:paraId="1BDF76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锯片直径：≥350 mm（切割深≥125 mm</w:t>
            </w:r>
          </w:p>
          <w:p w14:paraId="1373A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整备重量（不含燃油）：≤18 kg</w:t>
            </w:r>
          </w:p>
          <w:p w14:paraId="59DF99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砂轮锯片：可切割钢筋、钢材、防盗门</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D358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83A1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364D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334A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A724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25F0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651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基材：PVC压敏胶，强粘且部分可移除不留残胶</w:t>
            </w:r>
          </w:p>
          <w:p w14:paraId="026534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颜色样式：标准红白相间，斜纹、直条；符合国标安全色，白天醒目、夜间灯光照射下高亮反光</w:t>
            </w:r>
          </w:p>
          <w:p w14:paraId="0B684D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标准规格：常用宽度 50mm，长度50m</w:t>
            </w:r>
          </w:p>
          <w:p w14:paraId="13EBE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性能与标准：逆反射系数达标，视角范围广；耐水、耐晒、耐温（-30℃~80℃）使用寿命≥ 3年</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9FD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28B3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r>
      <w:tr w14:paraId="5BCF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C23E3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9D4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89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4KG支架式</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E71F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药剂类型：ABC 超细干粉（可灭 A/B/C/E 类火）</w:t>
            </w:r>
          </w:p>
          <w:p w14:paraId="3D89E4D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含水率≤0.25%、吸湿率≤3.00%、电绝缘性≥4.00kV、灭火效能≤150g/m³</w:t>
            </w:r>
          </w:p>
          <w:p w14:paraId="5789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适用温度：-20℃~+60℃。</w:t>
            </w:r>
          </w:p>
          <w:p w14:paraId="26C03E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认证要求:3C 消防认证、CCCF 强制检验</w:t>
            </w:r>
          </w:p>
          <w:p w14:paraId="78F8ED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8531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266.57</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793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bl>
    <w:p w14:paraId="379682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17FA7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（二）其他要求</w:t>
      </w:r>
    </w:p>
    <w:p w14:paraId="3741F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1、质保要求</w:t>
      </w:r>
    </w:p>
    <w:p w14:paraId="61E38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（1）灭火器类产品质保期不低于3年；其余所有消防器材及配套设施质保期不低于1年；质保期内，产品出现质量问题，供应商须更换、维修，由此产生的费用由供应商承担，采购人不再另行支付。</w:t>
      </w:r>
    </w:p>
    <w:p w14:paraId="2661B2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（2）质保范围：含所有货物（质保期内涉及维修、产品更换、人工费用等一切费用包含在本项目报价中）</w:t>
      </w:r>
    </w:p>
    <w:p w14:paraId="2B18C9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2、核心技术标准要求</w:t>
      </w:r>
    </w:p>
    <w:p w14:paraId="425E16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供应商提供的产品产品须满足以下国家标准，包括但不限于：</w:t>
      </w:r>
    </w:p>
    <w:p w14:paraId="5BC603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灭火器类：GB 4351-2023《手提式灭火器 第 1 部分：性能和结构要求》、GB 8109-2023《推车式灭火器》；</w:t>
      </w:r>
    </w:p>
    <w:p w14:paraId="7A120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消防水带类：GB 6246-2011《消防水带》；</w:t>
      </w:r>
    </w:p>
    <w:p w14:paraId="6284AE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逃生避难器材类：GB/T 21976.1-2008《建筑火灾逃生避难器材 第 1 部分：配备指南》；</w:t>
      </w:r>
    </w:p>
    <w:p w14:paraId="7BD86A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个人防护装备类：XF 10-2014《消防员灭火防护服》、XF 44-2015《消防头盔》、XF 124-2013《正压式消防空气呼吸器》；</w:t>
      </w:r>
    </w:p>
    <w:p w14:paraId="1E65AF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其他器材：XF 1295-2014《灭火毯》、GB 14866-2023《眼面防护具通用技术规范》。</w:t>
      </w:r>
    </w:p>
    <w:p w14:paraId="6D3F1F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注：本项目涉及国家标准、行业标准等描述与国家最新要求不一致时以国家最新要求为准。</w:t>
      </w:r>
    </w:p>
    <w:p w14:paraId="2A426E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3、产品通用要求</w:t>
      </w:r>
    </w:p>
    <w:p w14:paraId="3AB032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（1）资质合规：涉及国家强制3C认证、CCCF认证的产品（如灭火器、17式消防战斗服、消防头盔等），供货时必须随货提供完整的认证证书、检验报告原件的复印件（</w:t>
      </w:r>
      <w:r>
        <w:rPr>
          <w:rFonts w:hint="eastAsia" w:ascii="仿宋" w:hAnsi="仿宋" w:eastAsia="仿宋" w:cs="仿宋"/>
          <w:b/>
          <w:bCs/>
          <w:color w:val="auto"/>
          <w:sz w:val="24"/>
          <w:szCs w:val="24"/>
          <w:highlight w:val="none"/>
          <w:lang w:val="en-US" w:eastAsia="zh-CN"/>
        </w:rPr>
        <w:t>提供与所投产品型号一致的检测报告</w:t>
      </w:r>
      <w:r>
        <w:rPr>
          <w:rFonts w:hint="eastAsia" w:ascii="仿宋" w:hAnsi="仿宋" w:eastAsia="仿宋" w:cs="仿宋"/>
          <w:color w:val="auto"/>
          <w:sz w:val="24"/>
          <w:szCs w:val="24"/>
          <w:highlight w:val="none"/>
          <w:lang w:val="en-US" w:eastAsia="zh-CN"/>
        </w:rPr>
        <w:t>）；</w:t>
      </w:r>
    </w:p>
    <w:p w14:paraId="0821B5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（2）出厂时效：灭火器、消防湿毛巾的出厂日期不得超过采购人供货通知发出后3个月，其余器材出厂日期不得超过6个月；</w:t>
      </w:r>
    </w:p>
    <w:p w14:paraId="30FB0D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（3）质量承诺：供应商须单独出具《产品标准符合性承诺函》（加盖公章），承诺所有产品为全新原厂正品，无假冒伪劣、以次充好情况，若违反承诺，采购人有权解除合同并追究全部责任。</w:t>
      </w:r>
    </w:p>
    <w:p w14:paraId="7372E2B9">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售后服务要求</w:t>
      </w:r>
    </w:p>
    <w:p w14:paraId="4B2F71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（1）培训服务：为采购人工作人员提供产品使用、日常维护、故障处理的专业培训，确保熟练操作；</w:t>
      </w:r>
    </w:p>
    <w:p w14:paraId="6C6653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（2）退换货服务：产品验收不合格的，供应商须在5日内无条件更换合格产品，承担全部运输及相关费用；</w:t>
      </w:r>
    </w:p>
    <w:p w14:paraId="2F3C6E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（3）质保期内，供应商接到采购人售后需求后，须24小时内响应，现场处理或解决问题。</w:t>
      </w:r>
    </w:p>
    <w:p w14:paraId="5C6B5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5、经验要求：供应商自2023年1月1日（含）起，须具有1个大型企事业单位消防器材购置类项目的履约经验，供应商需提供合同或中标(成交)通知书复印件并加盖公章。</w:t>
      </w:r>
    </w:p>
    <w:p w14:paraId="796F5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四、服务方案</w:t>
      </w:r>
    </w:p>
    <w:p w14:paraId="7B5E9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供应商针对本项目制定完整的项目实施方案，包括但不限于以下内容：</w:t>
      </w:r>
    </w:p>
    <w:p w14:paraId="20DDF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1、进度保障：建立快速响应机制，明确需求对接、采购、配送各环节时限，确保满足交付要求；</w:t>
      </w:r>
    </w:p>
    <w:p w14:paraId="673542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2、质量管控：建立产品采购审核、到货检验、运输防护全流程质量控制体系；</w:t>
      </w:r>
    </w:p>
    <w:p w14:paraId="32FFC7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3、人员配置：配备专职项目负责人、配送人员及售后人员，提供24小时联系渠道；</w:t>
      </w:r>
    </w:p>
    <w:p w14:paraId="37CD8C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4、运输配送：制定适配医院多院区零星供货的运输方案，确保产品安全、无损送达采购人指定地点，不影响医院正常诊疗秩序。</w:t>
      </w:r>
    </w:p>
    <w:p w14:paraId="3B5C6D9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leftChars="200"/>
        <w:contextualSpacing/>
        <w:textAlignment w:val="auto"/>
        <w:rPr>
          <w:rFonts w:hint="eastAsia" w:ascii="仿宋" w:hAnsi="仿宋" w:eastAsia="仿宋" w:cs="仿宋"/>
          <w:b/>
          <w:bCs/>
          <w:color w:val="000000"/>
          <w:kern w:val="0"/>
          <w:sz w:val="24"/>
          <w:szCs w:val="24"/>
          <w:lang w:val="en-US" w:eastAsia="zh-CN"/>
        </w:rPr>
      </w:pPr>
      <w:r>
        <w:rPr>
          <w:rFonts w:hint="eastAsia" w:ascii="仿宋" w:hAnsi="仿宋" w:eastAsia="仿宋" w:cs="仿宋"/>
          <w:b/>
          <w:bCs/>
          <w:color w:val="000000"/>
          <w:kern w:val="0"/>
          <w:sz w:val="24"/>
          <w:szCs w:val="24"/>
          <w:lang w:val="en-US" w:eastAsia="zh-CN"/>
        </w:rPr>
        <w:t>五、样品要求</w:t>
      </w:r>
    </w:p>
    <w:p w14:paraId="3D98E8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（1）样品提供：5kg手提式干粉灭火器1具、3kg手提式二氧化碳灭火器1具；6L手提式水基型灭火器1具；消防头盔1顶；17式消防战斗服1套；过滤式消防呼吸器1只。</w:t>
      </w:r>
    </w:p>
    <w:p w14:paraId="0096143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）送样时间：</w:t>
      </w:r>
      <w:r>
        <w:rPr>
          <w:rFonts w:hint="eastAsia" w:ascii="仿宋" w:hAnsi="仿宋" w:eastAsia="仿宋" w:cs="仿宋"/>
          <w:sz w:val="24"/>
          <w:szCs w:val="24"/>
          <w:lang w:val="en-US" w:eastAsia="zh-CN"/>
        </w:rPr>
        <w:t>2026年7月28日8:40-9:0</w:t>
      </w:r>
      <w:bookmarkStart w:id="98" w:name="_GoBack"/>
      <w:bookmarkEnd w:id="98"/>
      <w:r>
        <w:rPr>
          <w:rFonts w:hint="eastAsia" w:ascii="仿宋" w:hAnsi="仿宋" w:eastAsia="仿宋" w:cs="仿宋"/>
          <w:sz w:val="24"/>
          <w:szCs w:val="24"/>
          <w:lang w:val="en-US" w:eastAsia="zh-CN"/>
        </w:rPr>
        <w:t>0</w:t>
      </w:r>
      <w:r>
        <w:rPr>
          <w:rFonts w:hint="eastAsia" w:ascii="仿宋" w:hAnsi="仿宋" w:eastAsia="仿宋" w:cs="仿宋"/>
          <w:sz w:val="24"/>
          <w:szCs w:val="24"/>
          <w:lang w:eastAsia="zh-CN"/>
        </w:rPr>
        <w:t>。地点：四川省人民医院招标采购中心41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会议室（成都市青羊区浣花北路18号附1号4楼</w:t>
      </w:r>
      <w:r>
        <w:rPr>
          <w:rFonts w:hint="eastAsia" w:ascii="仿宋" w:hAnsi="仿宋" w:eastAsia="仿宋" w:cs="仿宋"/>
          <w:sz w:val="24"/>
          <w:szCs w:val="24"/>
          <w:lang w:val="en-US" w:eastAsia="zh-CN"/>
        </w:rPr>
        <w:t>412</w:t>
      </w:r>
      <w:r>
        <w:rPr>
          <w:rFonts w:hint="eastAsia" w:ascii="仿宋" w:hAnsi="仿宋" w:eastAsia="仿宋" w:cs="仿宋"/>
          <w:sz w:val="24"/>
          <w:szCs w:val="24"/>
          <w:lang w:eastAsia="zh-CN"/>
        </w:rPr>
        <w:t>）。</w:t>
      </w:r>
    </w:p>
    <w:p w14:paraId="0632344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的样品制作、搬运、安装、拆除等相关费用由</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承担。采购人对</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所递交样品的包装和污损不负任何责任。</w:t>
      </w:r>
    </w:p>
    <w:p w14:paraId="18DE8B3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）送达样品时，必须提供样品清单，注明项目名称、项目编号、样品名称及数量与所投样品摆放在一起。</w:t>
      </w:r>
    </w:p>
    <w:p w14:paraId="4DA3DF1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）退还：</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的样品用于验收比对（所供货物必须与样品完全一致）。其余</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应在项目结果公告之日起3个工作日内自行取回样品。3个工作日后不取回样品，则视为自动放弃样品的所有权，采购人有权自行处置相关样品。（取样联系人：</w:t>
      </w:r>
      <w:r>
        <w:rPr>
          <w:rFonts w:hint="eastAsia" w:ascii="仿宋" w:hAnsi="仿宋" w:eastAsia="仿宋" w:cs="仿宋"/>
          <w:sz w:val="24"/>
          <w:szCs w:val="24"/>
          <w:lang w:val="en-US" w:eastAsia="zh-CN"/>
        </w:rPr>
        <w:t>甘</w:t>
      </w:r>
      <w:r>
        <w:rPr>
          <w:rFonts w:hint="eastAsia" w:ascii="仿宋" w:hAnsi="仿宋" w:eastAsia="仿宋" w:cs="仿宋"/>
          <w:sz w:val="24"/>
          <w:szCs w:val="24"/>
          <w:lang w:eastAsia="zh-CN"/>
        </w:rPr>
        <w:t>老师，联系方式028-87393</w:t>
      </w:r>
      <w:r>
        <w:rPr>
          <w:rFonts w:hint="eastAsia" w:ascii="仿宋" w:hAnsi="仿宋" w:eastAsia="仿宋" w:cs="仿宋"/>
          <w:sz w:val="24"/>
          <w:szCs w:val="24"/>
          <w:lang w:val="en-US" w:eastAsia="zh-CN"/>
        </w:rPr>
        <w:t>665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p>
    <w:p w14:paraId="7587483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）本项目样品评审采用盲样，在样品包装及样品上均不能出现</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及生产厂家企业名称、品牌商标等可能导致识别</w:t>
      </w:r>
      <w:r>
        <w:rPr>
          <w:rFonts w:hint="eastAsia" w:ascii="仿宋" w:hAnsi="仿宋" w:eastAsia="仿宋" w:cs="仿宋"/>
          <w:sz w:val="24"/>
          <w:szCs w:val="24"/>
          <w:lang w:val="en-US" w:eastAsia="zh-CN"/>
        </w:rPr>
        <w:t>响应</w:t>
      </w:r>
      <w:r>
        <w:rPr>
          <w:rFonts w:hint="eastAsia" w:ascii="仿宋" w:hAnsi="仿宋" w:eastAsia="仿宋" w:cs="仿宋"/>
          <w:sz w:val="24"/>
          <w:szCs w:val="24"/>
          <w:lang w:eastAsia="zh-CN"/>
        </w:rPr>
        <w:t>产品的相关信息。</w:t>
      </w:r>
    </w:p>
    <w:p w14:paraId="458707B6">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未按要求提供实物样品的，少送样品的，错送样品的其样品不得分。</w:t>
      </w:r>
    </w:p>
    <w:p w14:paraId="40DC46F9">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根据供应商提供的样品，未出现以下情况进行综合评定：</w:t>
      </w:r>
    </w:p>
    <w:p w14:paraId="20FB86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1）手提式灭火器：</w:t>
      </w:r>
      <w:r>
        <w:rPr>
          <w:rFonts w:hint="eastAsia" w:ascii="仿宋" w:hAnsi="仿宋" w:eastAsia="仿宋" w:cs="仿宋"/>
          <w:sz w:val="24"/>
          <w:szCs w:val="24"/>
          <w:highlight w:val="none"/>
          <w:lang w:val="en-US" w:eastAsia="zh-CN"/>
        </w:rPr>
        <w:t>①灭火器外观字体模糊不清、难以辨认；②缺灭火器名称、型号、规格、灭火剂类型和主成分及含量；③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w:t>
      </w:r>
    </w:p>
    <w:p w14:paraId="1CC315E1">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17式消防战斗服：①面料表面不平整或有明显织纹缺陷、褪色（如断丝、跳线、污渍、破损等）；②反光条表面不平整、反光不均匀，有气泡、起皱或脱落；③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w:t>
      </w:r>
    </w:p>
    <w:p w14:paraId="225FB65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lang w:val="en-US" w:eastAsia="zh-CN"/>
        </w:rPr>
        <w:t>消防头盔：</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w:t>
      </w:r>
    </w:p>
    <w:p w14:paraId="54A4ED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2"/>
          <w:sz w:val="24"/>
          <w:szCs w:val="24"/>
          <w:highlight w:val="none"/>
          <w:lang w:val="en-US" w:eastAsia="zh-CN" w:bidi="ar-SA"/>
        </w:rPr>
        <w:t>4）过滤式消防呼吸器：</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w:t>
      </w:r>
    </w:p>
    <w:p w14:paraId="1C099F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★六、商务要求：</w:t>
      </w:r>
    </w:p>
    <w:p w14:paraId="3AF235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（一）服务期：2026年9月15日至2027年9月16日。</w:t>
      </w:r>
    </w:p>
    <w:p w14:paraId="3F96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（二）交付时间与地点：</w:t>
      </w:r>
    </w:p>
    <w:p w14:paraId="7F7FDA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1.交付时间：每次接到采购人供货通知后，15日内完成产品配送、安装及调试；</w:t>
      </w:r>
    </w:p>
    <w:p w14:paraId="01BAC0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2.交付地点：四川省人民医院所有院区（具体地点按采购人通知执行）。</w:t>
      </w:r>
    </w:p>
    <w:p w14:paraId="296624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（三）资金支付条款：                                  </w:t>
      </w:r>
    </w:p>
    <w:p w14:paraId="3B0CA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实际供货数量、成交单价据实结算，单次供货验收合格后，供应商在5日内提交合法有效票据及其他相关请款资料；采购人收到上述票据及资料后55日内，通过银行转账支付当次货款的100%。供应商因自身原因逾期交货的，按逾期天数支付违约金（违约金=履约保证金×10%/天），累计不超过履约保证金总额。</w:t>
      </w:r>
    </w:p>
    <w:p w14:paraId="5091D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（四）验收：</w:t>
      </w:r>
    </w:p>
    <w:p w14:paraId="7B58D3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4.1验收时间：供应商完成单次交付工作后5日内通知采购人验收，采购人接供应商通知后10日内组织验收。     </w:t>
      </w:r>
    </w:p>
    <w:p w14:paraId="766A0E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4.2验收主体：采购人       </w:t>
      </w:r>
    </w:p>
    <w:p w14:paraId="5C1DE0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4.3验收方式：现场整体验收</w:t>
      </w:r>
    </w:p>
    <w:p w14:paraId="77B53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4.4验收程序：分期/分段验收</w:t>
      </w:r>
    </w:p>
    <w:p w14:paraId="0E21F7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4.5验收内容：按照基于本项目采购需求编制的采购文件要求及供应商响应文件情况，由供应商向采购人单次交付的全部内容。</w:t>
      </w:r>
    </w:p>
    <w:p w14:paraId="589F5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4.6验收标准：</w:t>
      </w:r>
    </w:p>
    <w:p w14:paraId="1BF304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734832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（2）基于本项目采购需求编制的采购文件相关技术、服务要求、成交供应商响应文件相关响应内容。</w:t>
      </w:r>
    </w:p>
    <w:p w14:paraId="25A7C0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（3）产品生产厂家出具的产品说明书、技术白皮书、医疗器械注册证或备案凭证等技术资料（如涉及）。</w:t>
      </w:r>
    </w:p>
    <w:p w14:paraId="5A5A7C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109DB9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5BAB49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（6）其他标准：无</w:t>
      </w:r>
    </w:p>
    <w:p w14:paraId="6F4358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4.7是否邀请本项目的其它潜在供应商：否</w:t>
      </w:r>
    </w:p>
    <w:p w14:paraId="4320B0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4.8是否邀请专家：否</w:t>
      </w:r>
    </w:p>
    <w:p w14:paraId="05C74C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4.9是否邀请第三方检测机构：否</w:t>
      </w:r>
    </w:p>
    <w:p w14:paraId="4C2572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4.10是否邀请服务对象：否</w:t>
      </w:r>
    </w:p>
    <w:p w14:paraId="53615C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4.11其它验收要求：</w:t>
      </w:r>
    </w:p>
    <w:p w14:paraId="78D8B9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一般器材须随货出具合格证、3C认证、检测报告等完整资质文件；供应商成交后送货至指定地点，采购人将对产品的规格、数量、外观、质量、出厂日期、资质文件及性能等进行全面核验。若产品与采购文件要求、供应商响应文件承诺不符，供应商须在5日内无条件更换合格产品，并承担全部运输及相关费用。</w:t>
      </w:r>
    </w:p>
    <w:p w14:paraId="34D95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消防装备（含ABC干粉灭火器、二氧化碳灭火器、水基灭火器、推车式干粉灭火器、水带含接口、一进二出分水器等）及消防员个人防护装备（17式消防战斗服、消防头盔等），交货时必须出具检验报告及强制性产品认证证书，缺一不可。</w:t>
      </w:r>
    </w:p>
    <w:p w14:paraId="0A53D5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针对项目中涉及国家强制认证（CCC）或前置许可、认证的产品，供应商须在响应文件中提交加盖公章的承诺函，承诺所投产品符合国家强制认证（CCC）及相关前置许可、认证要求，并在供货时一并提供相关许可、认证材料，确保资质合规。</w:t>
      </w:r>
    </w:p>
    <w:p w14:paraId="1660F3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BC2D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1E53B04C">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1989"/>
        <w:gridCol w:w="1036"/>
        <w:gridCol w:w="4703"/>
        <w:gridCol w:w="1743"/>
      </w:tblGrid>
      <w:tr w14:paraId="64D3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6B6FEDE4">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序号</w:t>
            </w:r>
          </w:p>
        </w:tc>
        <w:tc>
          <w:tcPr>
            <w:tcW w:w="1881" w:type="dxa"/>
            <w:tcBorders>
              <w:top w:val="single" w:color="auto" w:sz="4" w:space="0"/>
              <w:left w:val="single" w:color="auto" w:sz="4" w:space="0"/>
              <w:bottom w:val="single" w:color="auto" w:sz="4" w:space="0"/>
              <w:right w:val="single" w:color="auto" w:sz="4" w:space="0"/>
            </w:tcBorders>
            <w:vAlign w:val="center"/>
          </w:tcPr>
          <w:p w14:paraId="15756B6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评审因素</w:t>
            </w:r>
          </w:p>
        </w:tc>
        <w:tc>
          <w:tcPr>
            <w:tcW w:w="980" w:type="dxa"/>
            <w:tcBorders>
              <w:top w:val="single" w:color="auto" w:sz="4" w:space="0"/>
              <w:left w:val="single" w:color="auto" w:sz="4" w:space="0"/>
              <w:bottom w:val="single" w:color="auto" w:sz="4" w:space="0"/>
              <w:right w:val="single" w:color="auto" w:sz="4" w:space="0"/>
            </w:tcBorders>
            <w:vAlign w:val="center"/>
          </w:tcPr>
          <w:p w14:paraId="28E6633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分值</w:t>
            </w:r>
          </w:p>
        </w:tc>
        <w:tc>
          <w:tcPr>
            <w:tcW w:w="4448" w:type="dxa"/>
            <w:tcBorders>
              <w:top w:val="single" w:color="auto" w:sz="4" w:space="0"/>
              <w:left w:val="single" w:color="auto" w:sz="4" w:space="0"/>
              <w:bottom w:val="single" w:color="auto" w:sz="4" w:space="0"/>
              <w:right w:val="single" w:color="auto" w:sz="4" w:space="0"/>
            </w:tcBorders>
            <w:vAlign w:val="center"/>
          </w:tcPr>
          <w:p w14:paraId="1A4CB11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评分标准</w:t>
            </w:r>
          </w:p>
        </w:tc>
        <w:tc>
          <w:tcPr>
            <w:tcW w:w="1648" w:type="dxa"/>
            <w:tcBorders>
              <w:top w:val="single" w:color="auto" w:sz="4" w:space="0"/>
              <w:left w:val="single" w:color="auto" w:sz="4" w:space="0"/>
              <w:bottom w:val="single" w:color="auto" w:sz="4" w:space="0"/>
              <w:right w:val="single" w:color="auto" w:sz="4" w:space="0"/>
            </w:tcBorders>
            <w:vAlign w:val="center"/>
          </w:tcPr>
          <w:p w14:paraId="0E7AD5BC">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说明</w:t>
            </w:r>
          </w:p>
        </w:tc>
      </w:tr>
      <w:tr w14:paraId="7933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4B204B08">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1</w:t>
            </w:r>
          </w:p>
        </w:tc>
        <w:tc>
          <w:tcPr>
            <w:tcW w:w="1881" w:type="dxa"/>
            <w:tcBorders>
              <w:top w:val="single" w:color="auto" w:sz="4" w:space="0"/>
              <w:left w:val="single" w:color="auto" w:sz="4" w:space="0"/>
              <w:bottom w:val="single" w:color="auto" w:sz="4" w:space="0"/>
              <w:right w:val="single" w:color="auto" w:sz="4" w:space="0"/>
            </w:tcBorders>
            <w:vAlign w:val="center"/>
          </w:tcPr>
          <w:p w14:paraId="753C8817">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报价</w:t>
            </w:r>
            <w:r>
              <w:rPr>
                <w:rFonts w:hint="eastAsia" w:ascii="仿宋" w:hAnsi="仿宋" w:eastAsia="仿宋" w:cs="仿宋"/>
                <w:sz w:val="24"/>
                <w:szCs w:val="24"/>
                <w:highlight w:val="none"/>
                <w:u w:val="none"/>
                <w:lang w:val="en-US" w:eastAsia="zh-CN"/>
              </w:rPr>
              <w:t>30</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7F8634BE">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bCs/>
                <w:sz w:val="24"/>
                <w:szCs w:val="24"/>
                <w:highlight w:val="none"/>
                <w:u w:val="none"/>
                <w:lang w:val="en-US" w:eastAsia="zh-CN"/>
              </w:rPr>
              <w:t>30</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727F165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文件要求且有效下浮率最高的为评审基准价，其价格分为满分。其他供应商的报价得分按照下列公式计算：报价得分= (1-基准价）／（1-下浮率)*</w:t>
            </w:r>
            <w:r>
              <w:rPr>
                <w:rFonts w:hint="eastAsia" w:ascii="仿宋" w:eastAsia="仿宋" w:cs="仿宋"/>
                <w:sz w:val="24"/>
                <w:szCs w:val="24"/>
                <w:lang w:val="en-US" w:eastAsia="zh-CN"/>
              </w:rPr>
              <w:t>30</w:t>
            </w:r>
            <w:r>
              <w:rPr>
                <w:rFonts w:hint="eastAsia" w:ascii="仿宋" w:eastAsia="仿宋" w:cs="仿宋"/>
                <w:sz w:val="24"/>
                <w:szCs w:val="24"/>
                <w:lang w:eastAsia="zh-CN"/>
              </w:rPr>
              <w:t>。</w:t>
            </w:r>
          </w:p>
        </w:tc>
        <w:tc>
          <w:tcPr>
            <w:tcW w:w="1648" w:type="dxa"/>
            <w:tcBorders>
              <w:top w:val="single" w:color="auto" w:sz="4" w:space="0"/>
              <w:left w:val="single" w:color="auto" w:sz="4" w:space="0"/>
              <w:bottom w:val="single" w:color="auto" w:sz="4" w:space="0"/>
              <w:right w:val="single" w:color="auto" w:sz="4" w:space="0"/>
            </w:tcBorders>
            <w:vAlign w:val="center"/>
          </w:tcPr>
          <w:p w14:paraId="7A39BA2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4482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right w:val="single" w:color="auto" w:sz="4" w:space="0"/>
            </w:tcBorders>
            <w:vAlign w:val="center"/>
          </w:tcPr>
          <w:p w14:paraId="412A54F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2</w:t>
            </w:r>
          </w:p>
        </w:tc>
        <w:tc>
          <w:tcPr>
            <w:tcW w:w="1881" w:type="dxa"/>
            <w:tcBorders>
              <w:top w:val="single" w:color="auto" w:sz="4" w:space="0"/>
              <w:left w:val="single" w:color="auto" w:sz="4" w:space="0"/>
              <w:right w:val="single" w:color="auto" w:sz="4" w:space="0"/>
            </w:tcBorders>
            <w:vAlign w:val="center"/>
          </w:tcPr>
          <w:p w14:paraId="54600586">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lang w:val="en-US" w:eastAsia="zh-CN"/>
              </w:rPr>
              <w:t>样品48</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149466CA">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48</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65D481A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供应商按采购文件要求提供样品，有下列情形的样品其对应评分项不得分：（1）少送样品的；（2）错送样品的。</w:t>
            </w:r>
          </w:p>
          <w:p w14:paraId="15D17648">
            <w:pPr>
              <w:numPr>
                <w:ilvl w:val="0"/>
                <w:numId w:val="13"/>
              </w:numPr>
              <w:spacing w:line="360" w:lineRule="auto"/>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手提式灭火器：样品无缺陷得14分，每有1处缺陷扣2分，扣完为止。（缺陷是</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灭火器外观字体模糊不清、难以辨认；</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缺灭火器名称、型号、规格、灭火剂类型和主成分及含量；</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以上任意一种情形）</w:t>
            </w:r>
          </w:p>
          <w:p w14:paraId="343ABE3B">
            <w:pPr>
              <w:numPr>
                <w:ilvl w:val="0"/>
                <w:numId w:val="13"/>
              </w:numPr>
              <w:spacing w:line="360" w:lineRule="auto"/>
              <w:ind w:left="0" w:lef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17式消防战斗服：样品无缺陷得14分，每有一处缺陷扣2分，扣完为止。（缺陷是指：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面料表面不平整或有明显织纹缺陷、褪色（如断丝、跳线、污渍、破损等）；</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反光条表面不平整、反光不均匀，有气泡、起皱或脱落；</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以上任意一种情形）</w:t>
            </w:r>
          </w:p>
          <w:p w14:paraId="3BA71DA5">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仿宋" w:hAnsi="仿宋" w:eastAsia="仿宋" w:cs="仿宋"/>
                <w:kern w:val="2"/>
                <w:sz w:val="24"/>
                <w:szCs w:val="24"/>
                <w:highlight w:val="none"/>
                <w:lang w:val="en-US" w:eastAsia="zh-CN" w:bidi="ar-SA"/>
              </w:rPr>
              <w:t>3.消防头盔：样品无缺陷得10分，每有一处缺陷扣2分，扣完为止。（缺陷是指：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缺型号规格、生产日期（批号）等永久性标志以上任意一种情形）</w:t>
            </w:r>
          </w:p>
          <w:p w14:paraId="6CA0AAA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kern w:val="2"/>
                <w:sz w:val="24"/>
                <w:szCs w:val="24"/>
                <w:highlight w:val="none"/>
                <w:lang w:val="en-US" w:eastAsia="zh-CN" w:bidi="ar-SA"/>
              </w:rPr>
              <w:t>4.过滤式消防呼吸器：满分10分，每有一处缺陷扣2分，扣完为止。（缺陷是指：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佩戴繁琐不便、系带不能快速放松拉紧以上任意一种情形）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709C4EE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0F3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167ACB42">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3</w:t>
            </w:r>
          </w:p>
        </w:tc>
        <w:tc>
          <w:tcPr>
            <w:tcW w:w="1881" w:type="dxa"/>
            <w:tcBorders>
              <w:left w:val="single" w:color="auto" w:sz="4" w:space="0"/>
              <w:bottom w:val="single" w:color="auto" w:sz="4" w:space="0"/>
              <w:right w:val="single" w:color="auto" w:sz="4" w:space="0"/>
            </w:tcBorders>
            <w:vAlign w:val="center"/>
          </w:tcPr>
          <w:p w14:paraId="3C4DABD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服务方案10%</w:t>
            </w:r>
          </w:p>
        </w:tc>
        <w:tc>
          <w:tcPr>
            <w:tcW w:w="980" w:type="dxa"/>
            <w:tcBorders>
              <w:top w:val="single" w:color="auto" w:sz="4" w:space="0"/>
              <w:left w:val="single" w:color="auto" w:sz="4" w:space="0"/>
              <w:bottom w:val="single" w:color="auto" w:sz="4" w:space="0"/>
              <w:right w:val="single" w:color="auto" w:sz="4" w:space="0"/>
            </w:tcBorders>
            <w:vAlign w:val="center"/>
          </w:tcPr>
          <w:p w14:paraId="31E0EC8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10分</w:t>
            </w:r>
          </w:p>
        </w:tc>
        <w:tc>
          <w:tcPr>
            <w:tcW w:w="4448" w:type="dxa"/>
            <w:tcBorders>
              <w:top w:val="single" w:color="auto" w:sz="4" w:space="0"/>
              <w:left w:val="single" w:color="auto" w:sz="4" w:space="0"/>
              <w:bottom w:val="single" w:color="auto" w:sz="4" w:space="0"/>
              <w:right w:val="single" w:color="auto" w:sz="4" w:space="0"/>
            </w:tcBorders>
            <w:vAlign w:val="center"/>
          </w:tcPr>
          <w:p w14:paraId="6A6E27F5">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供应商针对本项目制定完整的项目实施方案，包括但不限于以下内容：</w:t>
            </w:r>
          </w:p>
          <w:p w14:paraId="6F2431F1">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1、进度保障：建立快速响应机制，明确需求对接、采购、配送各环节时限，确保满足交付要求；</w:t>
            </w:r>
          </w:p>
          <w:p w14:paraId="53D8575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2、质量管控：建立产品采购审核、到货检验、运输防护全流程质量控制体系；</w:t>
            </w:r>
          </w:p>
          <w:p w14:paraId="3367483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3、人员配置：配备专职项目负责人、配送人员及售后人员，提供24小时联系渠道；</w:t>
            </w:r>
          </w:p>
          <w:p w14:paraId="75D9460C">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4、运输配送：制定适配医院多院区零星供货的运输方案，确保产品安全、无损送达采购人指定地点，不影响医院正常诊疗秩序。</w:t>
            </w:r>
          </w:p>
          <w:p w14:paraId="4DD83DBD">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rPr>
              <w:t>每有一项内容缺失扣</w:t>
            </w:r>
            <w:r>
              <w:rPr>
                <w:rFonts w:hint="eastAsia" w:ascii="仿宋" w:hAnsi="仿宋" w:eastAsia="仿宋" w:cs="仿宋"/>
                <w:bCs/>
                <w:sz w:val="24"/>
                <w:szCs w:val="24"/>
                <w:highlight w:val="none"/>
                <w:u w:val="none"/>
                <w:lang w:val="en-US" w:eastAsia="zh-CN"/>
              </w:rPr>
              <w:t>2.5</w:t>
            </w:r>
            <w:r>
              <w:rPr>
                <w:rFonts w:hint="eastAsia" w:ascii="仿宋" w:hAnsi="仿宋" w:eastAsia="仿宋" w:cs="仿宋"/>
                <w:bCs/>
                <w:sz w:val="24"/>
                <w:szCs w:val="24"/>
                <w:highlight w:val="none"/>
                <w:u w:val="none"/>
              </w:rPr>
              <w:t>分，每有一处内容有缺陷的扣</w:t>
            </w:r>
            <w:r>
              <w:rPr>
                <w:rFonts w:hint="eastAsia" w:ascii="仿宋" w:hAnsi="仿宋" w:eastAsia="仿宋" w:cs="仿宋"/>
                <w:bCs/>
                <w:sz w:val="24"/>
                <w:szCs w:val="24"/>
                <w:highlight w:val="none"/>
                <w:u w:val="none"/>
                <w:lang w:val="en-US" w:eastAsia="zh-CN"/>
              </w:rPr>
              <w:t>1.25</w:t>
            </w:r>
            <w:r>
              <w:rPr>
                <w:rFonts w:hint="eastAsia" w:ascii="仿宋" w:hAnsi="仿宋" w:eastAsia="仿宋" w:cs="仿宋"/>
                <w:bCs/>
                <w:sz w:val="24"/>
                <w:szCs w:val="24"/>
                <w:highlight w:val="none"/>
                <w:u w:val="none"/>
              </w:rPr>
              <w:t>分，直至本项分值扣完为止。</w:t>
            </w:r>
          </w:p>
          <w:p w14:paraId="33CA1CA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eastAsia="zh-CN"/>
              </w:rPr>
            </w:pPr>
            <w:r>
              <w:rPr>
                <w:rFonts w:hint="eastAsia" w:ascii="仿宋" w:hAnsi="仿宋" w:eastAsia="仿宋" w:cs="仿宋"/>
                <w:sz w:val="24"/>
                <w:szCs w:val="24"/>
                <w:highlight w:val="none"/>
                <w:u w:val="none"/>
                <w:lang w:val="en-US" w:eastAsia="zh-CN"/>
              </w:rPr>
              <w:t>注：缺陷</w:t>
            </w:r>
            <w:r>
              <w:rPr>
                <w:rFonts w:hint="eastAsia" w:ascii="仿宋" w:hAnsi="仿宋" w:eastAsia="仿宋" w:cs="仿宋"/>
                <w:sz w:val="24"/>
                <w:szCs w:val="24"/>
                <w:highlight w:val="none"/>
                <w:u w:val="none"/>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3ED77F14">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37D3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3B400C89">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4</w:t>
            </w:r>
          </w:p>
        </w:tc>
        <w:tc>
          <w:tcPr>
            <w:tcW w:w="1881" w:type="dxa"/>
            <w:tcBorders>
              <w:left w:val="single" w:color="auto" w:sz="4" w:space="0"/>
              <w:bottom w:val="single" w:color="auto" w:sz="4" w:space="0"/>
              <w:right w:val="single" w:color="auto" w:sz="4" w:space="0"/>
            </w:tcBorders>
            <w:vAlign w:val="center"/>
          </w:tcPr>
          <w:p w14:paraId="1A718BE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w:t>
            </w:r>
            <w:r>
              <w:rPr>
                <w:rFonts w:hint="eastAsia" w:ascii="仿宋" w:hAnsi="仿宋" w:eastAsia="仿宋" w:cs="仿宋"/>
                <w:sz w:val="24"/>
                <w:szCs w:val="24"/>
                <w:highlight w:val="none"/>
                <w:u w:val="none"/>
                <w:lang w:val="en-US" w:eastAsia="zh-CN"/>
              </w:rPr>
              <w:t>12</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0184E26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12</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1A3DCA1F">
            <w:pPr>
              <w:keepNext w:val="0"/>
              <w:keepLines w:val="0"/>
              <w:pageBreakBefore w:val="0"/>
              <w:widowControl w:val="0"/>
              <w:kinsoku/>
              <w:wordWrap/>
              <w:overflowPunct/>
              <w:topLinePunct w:val="0"/>
              <w:autoSpaceDE/>
              <w:autoSpaceDN/>
              <w:bidi w:val="0"/>
              <w:adjustRightInd/>
              <w:snapToGrid/>
              <w:ind w:left="0"/>
              <w:jc w:val="both"/>
              <w:textAlignment w:val="auto"/>
              <w:rPr>
                <w:rFonts w:hint="default" w:ascii="仿宋" w:hAnsi="仿宋" w:eastAsia="仿宋" w:cs="仿宋"/>
                <w:sz w:val="24"/>
                <w:szCs w:val="24"/>
                <w:highlight w:val="none"/>
                <w:u w:val="none"/>
                <w:lang w:val="en-US"/>
              </w:rPr>
            </w:pPr>
            <w:r>
              <w:rPr>
                <w:rFonts w:hint="eastAsia" w:ascii="仿宋" w:hAnsi="仿宋" w:eastAsia="仿宋" w:cs="仿宋"/>
                <w:color w:val="auto"/>
                <w:sz w:val="24"/>
                <w:szCs w:val="24"/>
                <w:highlight w:val="none"/>
                <w:lang w:val="en-US" w:eastAsia="zh-CN"/>
              </w:rPr>
              <w:t>供应商提供自2023年1月1日（含）起，大型企事业单位消防器材购置类项目的履约经验，在满足1个的基础上，每多提交1个得3分，本项最多得12分</w:t>
            </w:r>
          </w:p>
          <w:p w14:paraId="642903D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业绩需提供合同或中标(成交)通知书复印件并加盖公章。</w:t>
            </w:r>
          </w:p>
        </w:tc>
        <w:tc>
          <w:tcPr>
            <w:tcW w:w="1648" w:type="dxa"/>
            <w:tcBorders>
              <w:top w:val="single" w:color="auto" w:sz="4" w:space="0"/>
              <w:left w:val="single" w:color="auto" w:sz="4" w:space="0"/>
              <w:bottom w:val="single" w:color="auto" w:sz="4" w:space="0"/>
              <w:right w:val="single" w:color="auto" w:sz="4" w:space="0"/>
            </w:tcBorders>
            <w:vAlign w:val="center"/>
          </w:tcPr>
          <w:p w14:paraId="4F9F9A2A">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bl>
    <w:p w14:paraId="7E701686">
      <w:pPr>
        <w:rPr>
          <w:rFonts w:ascii="Times New Roman" w:hAnsi="Times New Roman" w:cs="Times New Roman"/>
        </w:rPr>
      </w:pPr>
    </w:p>
    <w:p w14:paraId="5F7AF94B">
      <w:r>
        <w:br w:type="page"/>
      </w:r>
    </w:p>
    <w:p w14:paraId="0B9F1C4B">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17905"/>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989"/>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6482"/>
      <w:bookmarkStart w:id="50" w:name="_Toc21519"/>
      <w:bookmarkStart w:id="51" w:name="_Toc16029"/>
      <w:bookmarkStart w:id="52" w:name="_Toc3023"/>
      <w:bookmarkStart w:id="53" w:name="_Toc1135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4305"/>
      <w:bookmarkStart w:id="56" w:name="_Toc31838"/>
      <w:bookmarkStart w:id="57" w:name="_Toc30971"/>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0589"/>
      <w:bookmarkStart w:id="68" w:name="_Toc25638"/>
      <w:bookmarkStart w:id="69" w:name="_Toc12015"/>
      <w:bookmarkStart w:id="70" w:name="_Toc15526"/>
      <w:bookmarkStart w:id="71" w:name="_Toc27661"/>
      <w:bookmarkStart w:id="72" w:name="_Toc11351"/>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3967"/>
      <w:bookmarkStart w:id="74" w:name="_Toc1074"/>
      <w:bookmarkStart w:id="75" w:name="_Toc16435"/>
      <w:bookmarkStart w:id="76" w:name="_Toc26969"/>
      <w:bookmarkStart w:id="77" w:name="_Toc12967"/>
      <w:bookmarkStart w:id="78" w:name="_Toc2041"/>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28634"/>
      <w:bookmarkStart w:id="81" w:name="_Toc21082"/>
      <w:bookmarkStart w:id="82" w:name="_Toc31686"/>
      <w:bookmarkStart w:id="83" w:name="_Toc26839"/>
      <w:bookmarkStart w:id="84" w:name="_Toc24806"/>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50"/>
        <w:gridCol w:w="2610"/>
        <w:gridCol w:w="1254"/>
        <w:gridCol w:w="1294"/>
        <w:gridCol w:w="1256"/>
        <w:gridCol w:w="1277"/>
        <w:gridCol w:w="2269"/>
      </w:tblGrid>
      <w:tr w14:paraId="3962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31941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25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DE6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采购产品名称</w:t>
            </w:r>
          </w:p>
        </w:tc>
        <w:tc>
          <w:tcPr>
            <w:tcW w:w="60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621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生产厂家</w:t>
            </w:r>
          </w:p>
        </w:tc>
        <w:tc>
          <w:tcPr>
            <w:tcW w:w="621"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D0B6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品牌、规格型号</w:t>
            </w:r>
          </w:p>
        </w:tc>
        <w:tc>
          <w:tcPr>
            <w:tcW w:w="60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3BF7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61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482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统一下浮率（%）</w:t>
            </w:r>
          </w:p>
        </w:tc>
        <w:tc>
          <w:tcPr>
            <w:tcW w:w="1089" w:type="pct"/>
            <w:tcBorders>
              <w:top w:val="single" w:color="000000" w:sz="6" w:space="0"/>
              <w:left w:val="nil"/>
              <w:bottom w:val="single" w:color="auto" w:sz="4" w:space="0"/>
              <w:right w:val="single" w:color="000000" w:sz="6" w:space="0"/>
            </w:tcBorders>
            <w:shd w:val="clear" w:color="auto" w:fill="auto"/>
            <w:tcMar>
              <w:top w:w="0" w:type="dxa"/>
              <w:left w:w="105" w:type="dxa"/>
              <w:bottom w:w="0" w:type="dxa"/>
              <w:right w:w="105" w:type="dxa"/>
            </w:tcMar>
            <w:vAlign w:val="center"/>
          </w:tcPr>
          <w:p w14:paraId="3E633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2B84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D46DB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600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C3DE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4E82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959B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restart"/>
            <w:tcBorders>
              <w:top w:val="nil"/>
              <w:left w:val="nil"/>
              <w:right w:val="single" w:color="auto" w:sz="4" w:space="0"/>
            </w:tcBorders>
            <w:shd w:val="clear" w:color="auto" w:fill="auto"/>
            <w:tcMar>
              <w:top w:w="0" w:type="dxa"/>
              <w:left w:w="105" w:type="dxa"/>
              <w:bottom w:w="0" w:type="dxa"/>
              <w:right w:w="105" w:type="dxa"/>
            </w:tcMar>
            <w:vAlign w:val="center"/>
          </w:tcPr>
          <w:p w14:paraId="458D62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017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4E7F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B741E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CDDC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DC1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D5FB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8BAF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77D74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30040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5ED3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72B4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9FFA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8DFD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56A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DDA2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A821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A48F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C556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FF1E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BFC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1A62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995E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8E32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E34C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E5F1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6765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AFE8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3A58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B03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5EC3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F285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D6C53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E5A9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046E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5C71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B095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10C6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6ED2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B5A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DA44A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F8C4A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59EE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BA0AC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EF48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B04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E5A1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0E7B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5853F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9AC3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F473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CAB2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2AC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C77F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7ACF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E0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85686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382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41CA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05368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C60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1FBD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F54C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B922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6A7CB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DB9B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F633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DE80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8D5D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4C8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FA69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7752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5EFAC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CD73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CB31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2C5E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A336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DA10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6E24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D418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E4B74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D3DC4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9A1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3664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B4BA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38C6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6262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A23F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4B847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2F61A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3ABD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1AB3E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A9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1C05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3CBA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011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F2685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67EA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B552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A42C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0A67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B18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FD89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920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B4B56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09BD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82DC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DB20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A3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6178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13DF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57E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22FA1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14B3E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2951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0C2C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7069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6403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E703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C0D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DBD8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002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256C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2CA6E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0758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074D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A12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0C0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3B82D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938F0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F5A6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5E9F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C3F5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279C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E54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5619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51BBF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8394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7DA9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A8B7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EEFA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59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02CA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506E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00819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A297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8B33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458D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9E32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C6AC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8681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C960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E95B7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328CD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EB84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8C3E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E4EE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1869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82D1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2966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41FE8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0C66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240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066C9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32C9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2DD0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89C0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484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B1297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0C37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82E3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C6B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1415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B26F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B3E1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AAD7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D524C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1BFB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E23E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25D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5EBA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EBC5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5194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E10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8C0E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657F8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3FC5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C5748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C278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5CC8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15F9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451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468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E36E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9A33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3752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1DB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2714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706C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B863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E9A9D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9301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260B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308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06B3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AC55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8E3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0AE1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92E7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34520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1CB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903E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A620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3BF7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6A3B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2A35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A0473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286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B4A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12124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598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2F7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558A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3C08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AA78E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094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D776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C14EB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44D5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BABA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F1DA1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0D6E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96F38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D78F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E322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69790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BBB9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C4FE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5569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253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3E03B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D78F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080A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B8AC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724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6F30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DCBD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37D8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BF8C9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AA1B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45F4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23A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AEE0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F41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AA0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909E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BAE07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EEA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496C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343A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340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4DE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CED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460D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6FD40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68DDC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BDE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EAA2F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253" w:type="pct"/>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480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602" w:type="pct"/>
            <w:vMerge w:val="restart"/>
            <w:tcBorders>
              <w:top w:val="nil"/>
              <w:left w:val="nil"/>
              <w:right w:val="single" w:color="000000" w:sz="6" w:space="0"/>
            </w:tcBorders>
            <w:shd w:val="clear" w:color="auto" w:fill="auto"/>
            <w:tcMar>
              <w:top w:w="0" w:type="dxa"/>
              <w:left w:w="105" w:type="dxa"/>
              <w:bottom w:w="0" w:type="dxa"/>
              <w:right w:w="105" w:type="dxa"/>
            </w:tcMar>
            <w:vAlign w:val="center"/>
          </w:tcPr>
          <w:p w14:paraId="5654D9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42CB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restart"/>
            <w:tcBorders>
              <w:top w:val="nil"/>
              <w:left w:val="nil"/>
              <w:right w:val="single" w:color="000000" w:sz="6" w:space="0"/>
            </w:tcBorders>
            <w:shd w:val="clear" w:color="auto" w:fill="auto"/>
            <w:tcMar>
              <w:top w:w="0" w:type="dxa"/>
              <w:left w:w="105" w:type="dxa"/>
              <w:bottom w:w="0" w:type="dxa"/>
              <w:right w:w="105" w:type="dxa"/>
            </w:tcMar>
            <w:vAlign w:val="center"/>
          </w:tcPr>
          <w:p w14:paraId="78691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3DAC5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FECB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EF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B409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AC24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3E365A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941C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332BF6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0C6FE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ABB5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14DD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EE958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C731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1E815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B834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501B7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4B6A8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55B38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085B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88469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B1E1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2789FA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CCFE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641482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89878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A633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D99D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9BE93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E19C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2D9A6A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5C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83BA0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41A6C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72778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8C18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F8E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0468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7EC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410E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768C9B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C087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FF0C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5ECB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1ED9E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DCEF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52AD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FA4F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026CB8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57929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FDF2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0ED3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24A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A4D2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7744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1A6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FBA76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A7D8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641A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4A65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11BFA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758A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ACA4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C86C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55A5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A7FE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E6B9E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1A34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05AB9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1F35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A42D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635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4C34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53BC6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600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ACC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49B0D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164D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F53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C239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E9C5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0A69C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F0E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4BF8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AF133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7E11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74D6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5F1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928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36776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C45B9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7EFB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75968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BD83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C747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7771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48BA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213F8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6F06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2E7B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0666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84D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6D66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FA24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BB31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B6E9E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17086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F3B8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FC26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497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EC69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A6D8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E843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8E963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6185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9E7B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A489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2E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17EE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2CBB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F461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AC66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530DA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54BA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4A0A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1BF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C89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2DE2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7308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F3F22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5BF8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B305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3F8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AADD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1110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7BB0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9848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50182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55CA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4B93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81554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335E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FDA3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FEB0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89A2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31650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1257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FA84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D455A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BE94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1D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09C8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0BC1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FFF61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ED73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FD47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595A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07E7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C84E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F78B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DBD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BF8DA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4B74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842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E19C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B040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13BE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05C0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12A0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1CD1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C06D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1AD7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1A6AD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AB57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FE74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DCBA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6DE2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431AA9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251350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0468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C175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0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9917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E96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05A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2B5301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442DF7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4382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E80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29D4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4219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FD6BD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A5381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1D95AC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FB983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87B2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C8AB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E223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5A6F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547F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12A3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4D9F8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1DA4A8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674D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B93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B6E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B4324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E9CD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CBAE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52490D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54E50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EC2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0F9F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AC3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3E58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0C72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5DEA3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528B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3DD5B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BD8A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79EA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A86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C9AA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194B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3FA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29AC09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640473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4064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98FF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3431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BD27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3CEE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9841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35C752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20959D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190B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9331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638B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7582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9C8B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AC2C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bottom w:val="single" w:color="000000" w:sz="6" w:space="0"/>
              <w:right w:val="single" w:color="auto" w:sz="4" w:space="0"/>
            </w:tcBorders>
            <w:shd w:val="clear" w:color="auto" w:fill="auto"/>
            <w:noWrap/>
            <w:tcMar>
              <w:top w:w="0" w:type="dxa"/>
              <w:left w:w="105" w:type="dxa"/>
              <w:bottom w:w="0" w:type="dxa"/>
              <w:right w:w="105" w:type="dxa"/>
            </w:tcMar>
            <w:vAlign w:val="center"/>
          </w:tcPr>
          <w:p w14:paraId="33EBEB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3776F4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bl>
    <w:p w14:paraId="2FEB8A30"/>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en-US" w:eastAsia="zh-CN"/>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9DE4278">
      <w:pPr>
        <w:jc w:val="center"/>
        <w:rPr>
          <w:rFonts w:ascii="黑体" w:hAnsi="黑体" w:eastAsia="黑体"/>
          <w:b/>
          <w:bCs/>
          <w:sz w:val="48"/>
          <w:szCs w:val="48"/>
        </w:rPr>
      </w:pPr>
      <w:r>
        <w:rPr>
          <w:rFonts w:ascii="黑体" w:hAnsi="黑体" w:eastAsia="黑体"/>
          <w:b/>
          <w:bCs/>
          <w:sz w:val="48"/>
          <w:szCs w:val="48"/>
        </w:rPr>
        <w:t>货 物 采 购 合 同</w:t>
      </w:r>
    </w:p>
    <w:p w14:paraId="5B79EA56">
      <w:pPr>
        <w:contextualSpacing/>
        <w:rPr>
          <w:rFonts w:ascii="Times New Roman" w:hAnsi="Times New Roman"/>
          <w:szCs w:val="21"/>
        </w:rPr>
      </w:pPr>
      <w:permStart w:id="0" w:edGrp="everyone"/>
    </w:p>
    <w:p w14:paraId="5AAD32C4">
      <w:pPr>
        <w:pStyle w:val="7"/>
        <w:rPr>
          <w:rFonts w:hint="eastAsia"/>
        </w:rPr>
      </w:pPr>
    </w:p>
    <w:tbl>
      <w:tblPr>
        <w:tblStyle w:val="18"/>
        <w:tblW w:w="5000" w:type="pct"/>
        <w:jc w:val="center"/>
        <w:tblLayout w:type="autofit"/>
        <w:tblCellMar>
          <w:top w:w="0" w:type="dxa"/>
          <w:left w:w="0" w:type="dxa"/>
          <w:bottom w:w="0" w:type="dxa"/>
          <w:right w:w="0" w:type="dxa"/>
        </w:tblCellMar>
      </w:tblPr>
      <w:tblGrid>
        <w:gridCol w:w="4962"/>
        <w:gridCol w:w="5242"/>
      </w:tblGrid>
      <w:tr w14:paraId="368F0F92">
        <w:tblPrEx>
          <w:tblCellMar>
            <w:top w:w="0" w:type="dxa"/>
            <w:left w:w="0" w:type="dxa"/>
            <w:bottom w:w="0" w:type="dxa"/>
            <w:right w:w="0" w:type="dxa"/>
          </w:tblCellMar>
        </w:tblPrEx>
        <w:trPr>
          <w:trHeight w:val="919" w:hRule="atLeast"/>
          <w:jc w:val="center"/>
        </w:trPr>
        <w:tc>
          <w:tcPr>
            <w:tcW w:w="10204" w:type="dxa"/>
            <w:gridSpan w:val="2"/>
            <w:noWrap w:val="0"/>
            <w:vAlign w:val="top"/>
          </w:tcPr>
          <w:p w14:paraId="197B0E19">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473821C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592D013D">
        <w:tblPrEx>
          <w:tblCellMar>
            <w:top w:w="0" w:type="dxa"/>
            <w:left w:w="0" w:type="dxa"/>
            <w:bottom w:w="0" w:type="dxa"/>
            <w:right w:w="0" w:type="dxa"/>
          </w:tblCellMar>
        </w:tblPrEx>
        <w:trPr>
          <w:jc w:val="center"/>
        </w:trPr>
        <w:tc>
          <w:tcPr>
            <w:tcW w:w="4962" w:type="dxa"/>
            <w:noWrap w:val="0"/>
            <w:vAlign w:val="top"/>
          </w:tcPr>
          <w:p w14:paraId="5E20B40D">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0B6EA586">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4C37554C">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51F10ADB">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7C4927E8">
            <w:pPr>
              <w:pStyle w:val="7"/>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15E0F0C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EE62447">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2F685979">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3FFDD798">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76898990">
            <w:pPr>
              <w:pStyle w:val="7"/>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14:paraId="1040C8B3">
      <w:pPr>
        <w:adjustRightInd w:val="0"/>
        <w:snapToGrid w:val="0"/>
        <w:spacing w:before="312" w:beforeLines="100" w:after="312" w:afterLines="100"/>
        <w:contextualSpacing/>
        <w:jc w:val="left"/>
        <w:rPr>
          <w:rFonts w:ascii="Times New Roman" w:hAnsi="Times New Roman"/>
          <w:color w:val="000000"/>
          <w:szCs w:val="21"/>
        </w:rPr>
      </w:pPr>
    </w:p>
    <w:p w14:paraId="2844CCE3">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4C817C2">
      <w:pPr>
        <w:ind w:firstLine="420" w:firstLineChars="200"/>
        <w:rPr>
          <w:rFonts w:ascii="Times New Roman" w:hAnsi="Times New Roman"/>
          <w:color w:val="000000"/>
          <w:szCs w:val="21"/>
        </w:rPr>
      </w:pPr>
    </w:p>
    <w:p w14:paraId="32A7E204">
      <w:pPr>
        <w:pStyle w:val="28"/>
        <w:numPr>
          <w:ilvl w:val="0"/>
          <w:numId w:val="14"/>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14:paraId="02A2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61B602E1">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5035C157">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0850306D">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5B635533">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1027135F">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182AD65F">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41DBF122">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5E0C9244">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4C8C770A">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649E8B5A">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4D5C677E">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47AF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13D2F205">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14:paraId="00CE084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08FEB05D">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5B03FDA5">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3AEA6EAA">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2F437DAF">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550EEF1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36F2632B">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1DE7A749">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14:paraId="5FFA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2FDDAE0">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14:paraId="003C3A48">
            <w:pPr>
              <w:contextualSpacing/>
              <w:jc w:val="center"/>
              <w:rPr>
                <w:rFonts w:ascii="Times New Roman" w:hAnsi="Times New Roman"/>
              </w:rPr>
            </w:pPr>
          </w:p>
        </w:tc>
        <w:tc>
          <w:tcPr>
            <w:tcW w:w="1985" w:type="dxa"/>
            <w:noWrap w:val="0"/>
            <w:vAlign w:val="center"/>
          </w:tcPr>
          <w:p w14:paraId="33CA91A4">
            <w:pPr>
              <w:contextualSpacing/>
              <w:jc w:val="center"/>
              <w:rPr>
                <w:rFonts w:ascii="Times New Roman" w:hAnsi="Times New Roman"/>
              </w:rPr>
            </w:pPr>
          </w:p>
        </w:tc>
        <w:tc>
          <w:tcPr>
            <w:tcW w:w="992" w:type="dxa"/>
            <w:noWrap w:val="0"/>
            <w:vAlign w:val="center"/>
          </w:tcPr>
          <w:p w14:paraId="5ACD913E">
            <w:pPr>
              <w:contextualSpacing/>
              <w:jc w:val="center"/>
              <w:rPr>
                <w:rFonts w:ascii="Times New Roman" w:hAnsi="Times New Roman"/>
              </w:rPr>
            </w:pPr>
          </w:p>
        </w:tc>
        <w:tc>
          <w:tcPr>
            <w:tcW w:w="1417" w:type="dxa"/>
            <w:noWrap w:val="0"/>
            <w:vAlign w:val="center"/>
          </w:tcPr>
          <w:p w14:paraId="74BB83E5">
            <w:pPr>
              <w:contextualSpacing/>
              <w:jc w:val="center"/>
              <w:rPr>
                <w:rFonts w:ascii="Times New Roman" w:hAnsi="Times New Roman"/>
              </w:rPr>
            </w:pPr>
          </w:p>
        </w:tc>
        <w:tc>
          <w:tcPr>
            <w:tcW w:w="426" w:type="dxa"/>
            <w:noWrap w:val="0"/>
            <w:vAlign w:val="center"/>
          </w:tcPr>
          <w:p w14:paraId="464AF86B">
            <w:pPr>
              <w:contextualSpacing/>
              <w:jc w:val="center"/>
              <w:rPr>
                <w:rFonts w:ascii="Times New Roman" w:hAnsi="Times New Roman"/>
              </w:rPr>
            </w:pPr>
          </w:p>
        </w:tc>
        <w:tc>
          <w:tcPr>
            <w:tcW w:w="425" w:type="dxa"/>
            <w:noWrap w:val="0"/>
            <w:vAlign w:val="center"/>
          </w:tcPr>
          <w:p w14:paraId="381F7626">
            <w:pPr>
              <w:contextualSpacing/>
              <w:jc w:val="center"/>
              <w:rPr>
                <w:rFonts w:ascii="Times New Roman" w:hAnsi="Times New Roman"/>
              </w:rPr>
            </w:pPr>
          </w:p>
        </w:tc>
        <w:tc>
          <w:tcPr>
            <w:tcW w:w="992" w:type="dxa"/>
            <w:noWrap w:val="0"/>
            <w:vAlign w:val="center"/>
          </w:tcPr>
          <w:p w14:paraId="3F61282D">
            <w:pPr>
              <w:contextualSpacing/>
              <w:jc w:val="center"/>
              <w:rPr>
                <w:rFonts w:ascii="Times New Roman" w:hAnsi="Times New Roman"/>
              </w:rPr>
            </w:pPr>
          </w:p>
        </w:tc>
        <w:tc>
          <w:tcPr>
            <w:tcW w:w="995" w:type="dxa"/>
            <w:noWrap w:val="0"/>
            <w:vAlign w:val="center"/>
          </w:tcPr>
          <w:p w14:paraId="79CB6913">
            <w:pPr>
              <w:contextualSpacing/>
              <w:jc w:val="center"/>
              <w:rPr>
                <w:rFonts w:ascii="Times New Roman" w:hAnsi="Times New Roman"/>
              </w:rPr>
            </w:pPr>
          </w:p>
        </w:tc>
      </w:tr>
      <w:permEnd w:id="11"/>
      <w:permEnd w:id="12"/>
      <w:permEnd w:id="13"/>
      <w:permEnd w:id="14"/>
      <w:permEnd w:id="15"/>
      <w:permEnd w:id="16"/>
      <w:permEnd w:id="17"/>
      <w:permEnd w:id="18"/>
      <w:permEnd w:id="19"/>
      <w:tr w14:paraId="2D3B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B9BB06D">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14:paraId="37D4E748">
            <w:pPr>
              <w:contextualSpacing/>
              <w:jc w:val="center"/>
              <w:rPr>
                <w:rFonts w:ascii="Times New Roman" w:hAnsi="Times New Roman"/>
              </w:rPr>
            </w:pPr>
          </w:p>
        </w:tc>
        <w:tc>
          <w:tcPr>
            <w:tcW w:w="1985" w:type="dxa"/>
            <w:noWrap w:val="0"/>
            <w:vAlign w:val="center"/>
          </w:tcPr>
          <w:p w14:paraId="00EE6083">
            <w:pPr>
              <w:contextualSpacing/>
              <w:jc w:val="center"/>
              <w:rPr>
                <w:rFonts w:ascii="Times New Roman" w:hAnsi="Times New Roman"/>
              </w:rPr>
            </w:pPr>
          </w:p>
        </w:tc>
        <w:tc>
          <w:tcPr>
            <w:tcW w:w="992" w:type="dxa"/>
            <w:noWrap w:val="0"/>
            <w:vAlign w:val="center"/>
          </w:tcPr>
          <w:p w14:paraId="3F0C3DCF">
            <w:pPr>
              <w:contextualSpacing/>
              <w:jc w:val="center"/>
              <w:rPr>
                <w:rFonts w:ascii="Times New Roman" w:hAnsi="Times New Roman"/>
              </w:rPr>
            </w:pPr>
          </w:p>
        </w:tc>
        <w:tc>
          <w:tcPr>
            <w:tcW w:w="1417" w:type="dxa"/>
            <w:noWrap w:val="0"/>
            <w:vAlign w:val="center"/>
          </w:tcPr>
          <w:p w14:paraId="1C2A808B">
            <w:pPr>
              <w:contextualSpacing/>
              <w:jc w:val="center"/>
              <w:rPr>
                <w:rFonts w:ascii="Times New Roman" w:hAnsi="Times New Roman"/>
              </w:rPr>
            </w:pPr>
          </w:p>
        </w:tc>
        <w:tc>
          <w:tcPr>
            <w:tcW w:w="426" w:type="dxa"/>
            <w:noWrap w:val="0"/>
            <w:vAlign w:val="center"/>
          </w:tcPr>
          <w:p w14:paraId="589D202E">
            <w:pPr>
              <w:contextualSpacing/>
              <w:jc w:val="center"/>
              <w:rPr>
                <w:rFonts w:ascii="Times New Roman" w:hAnsi="Times New Roman"/>
              </w:rPr>
            </w:pPr>
          </w:p>
        </w:tc>
        <w:tc>
          <w:tcPr>
            <w:tcW w:w="425" w:type="dxa"/>
            <w:noWrap w:val="0"/>
            <w:vAlign w:val="center"/>
          </w:tcPr>
          <w:p w14:paraId="6DE5369F">
            <w:pPr>
              <w:contextualSpacing/>
              <w:jc w:val="center"/>
              <w:rPr>
                <w:rFonts w:ascii="Times New Roman" w:hAnsi="Times New Roman"/>
              </w:rPr>
            </w:pPr>
          </w:p>
        </w:tc>
        <w:tc>
          <w:tcPr>
            <w:tcW w:w="992" w:type="dxa"/>
            <w:noWrap w:val="0"/>
            <w:vAlign w:val="center"/>
          </w:tcPr>
          <w:p w14:paraId="70E66603">
            <w:pPr>
              <w:contextualSpacing/>
              <w:jc w:val="center"/>
              <w:rPr>
                <w:rFonts w:ascii="Times New Roman" w:hAnsi="Times New Roman"/>
              </w:rPr>
            </w:pPr>
          </w:p>
        </w:tc>
        <w:tc>
          <w:tcPr>
            <w:tcW w:w="995" w:type="dxa"/>
            <w:noWrap w:val="0"/>
            <w:vAlign w:val="center"/>
          </w:tcPr>
          <w:p w14:paraId="569FFC8F">
            <w:pPr>
              <w:contextualSpacing/>
              <w:jc w:val="center"/>
              <w:rPr>
                <w:rFonts w:ascii="Times New Roman" w:hAnsi="Times New Roman"/>
              </w:rPr>
            </w:pPr>
          </w:p>
        </w:tc>
      </w:tr>
      <w:permEnd w:id="20"/>
      <w:permEnd w:id="21"/>
      <w:permEnd w:id="22"/>
      <w:permEnd w:id="23"/>
      <w:permEnd w:id="24"/>
      <w:permEnd w:id="25"/>
      <w:permEnd w:id="26"/>
      <w:permEnd w:id="27"/>
      <w:permEnd w:id="28"/>
    </w:tbl>
    <w:p w14:paraId="312B77C2">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15A0EC44">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25E245D9">
      <w:pPr>
        <w:pStyle w:val="28"/>
        <w:numPr>
          <w:ilvl w:val="0"/>
          <w:numId w:val="14"/>
        </w:numPr>
        <w:snapToGrid w:val="0"/>
        <w:ind w:firstLineChars="0"/>
        <w:rPr>
          <w:rFonts w:ascii="Times New Roman" w:hAnsi="Times New Roman"/>
          <w:b/>
          <w:bCs/>
          <w:szCs w:val="21"/>
        </w:rPr>
      </w:pPr>
      <w:r>
        <w:rPr>
          <w:rFonts w:ascii="Times New Roman" w:hAnsi="Times New Roman"/>
          <w:b/>
          <w:bCs/>
          <w:szCs w:val="21"/>
        </w:rPr>
        <w:t>合同总价</w:t>
      </w:r>
    </w:p>
    <w:p w14:paraId="785398A4">
      <w:pPr>
        <w:pStyle w:val="28"/>
        <w:ind w:firstLine="0" w:firstLineChars="0"/>
        <w:jc w:val="left"/>
        <w:rPr>
          <w:rFonts w:ascii="Times New Roman" w:hAnsi="Times New Roman"/>
          <w:szCs w:val="21"/>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206FF74">
      <w:pPr>
        <w:pStyle w:val="28"/>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1045F942">
      <w:pPr>
        <w:pStyle w:val="28"/>
        <w:numPr>
          <w:ilvl w:val="0"/>
          <w:numId w:val="14"/>
        </w:numPr>
        <w:snapToGrid w:val="0"/>
        <w:ind w:firstLineChars="0"/>
        <w:rPr>
          <w:rFonts w:ascii="Times New Roman" w:hAnsi="Times New Roman"/>
          <w:b/>
          <w:bCs/>
          <w:szCs w:val="21"/>
        </w:rPr>
      </w:pPr>
      <w:r>
        <w:rPr>
          <w:rFonts w:ascii="Times New Roman" w:hAnsi="Times New Roman"/>
          <w:b/>
          <w:bCs/>
          <w:szCs w:val="21"/>
        </w:rPr>
        <w:t>质量要求</w:t>
      </w:r>
    </w:p>
    <w:p w14:paraId="4FD389DF">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乙方须</w:t>
      </w:r>
      <w:r>
        <w:rPr>
          <w:rFonts w:hint="eastAsia" w:ascii="Times New Roman" w:hAnsi="Times New Roman"/>
          <w:szCs w:val="21"/>
        </w:rPr>
        <w:t>保证向甲方提</w:t>
      </w:r>
      <w:r>
        <w:rPr>
          <w:rFonts w:ascii="Times New Roman" w:hAnsi="Times New Roman"/>
          <w:szCs w:val="21"/>
        </w:rPr>
        <w:t>供的</w:t>
      </w:r>
      <w:r>
        <w:rPr>
          <w:rFonts w:hint="eastAsia" w:ascii="Times New Roman" w:hAnsi="Times New Roman"/>
          <w:szCs w:val="21"/>
        </w:rPr>
        <w:t>货物</w:t>
      </w:r>
      <w:r>
        <w:rPr>
          <w:rFonts w:ascii="Times New Roman" w:hAnsi="Times New Roman"/>
          <w:szCs w:val="21"/>
        </w:rPr>
        <w:t>（含零部件、配件等）</w:t>
      </w:r>
      <w:r>
        <w:rPr>
          <w:rFonts w:hint="eastAsia" w:ascii="Times New Roman" w:hAnsi="Times New Roman"/>
          <w:szCs w:val="21"/>
        </w:rPr>
        <w:t>是完整、全新的，并在性能、质量和设计方面满足安全、可靠和高效运行与方便维护的全部要求。</w:t>
      </w:r>
    </w:p>
    <w:p w14:paraId="161E74A6">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货物必须符合或优于国家（行业）标准，以及本项目采购文件的质量要求和技术指标与出厂标准。</w:t>
      </w:r>
    </w:p>
    <w:p w14:paraId="47ADA8ED">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货物制造质量出现问题，乙方应负责按照第</w:t>
      </w:r>
      <w:r>
        <w:rPr>
          <w:rFonts w:hint="eastAsia" w:ascii="Times New Roman" w:hAnsi="Times New Roman"/>
          <w:szCs w:val="21"/>
        </w:rPr>
        <w:t>十</w:t>
      </w:r>
      <w:r>
        <w:rPr>
          <w:rFonts w:ascii="Times New Roman" w:hAnsi="Times New Roman"/>
          <w:szCs w:val="21"/>
        </w:rPr>
        <w:t>条承担责任，费用由乙方负担。</w:t>
      </w:r>
    </w:p>
    <w:p w14:paraId="0F9D6DAE">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如因货物质量问题导致甲方无法正常使用或影响使用效果，由此与患者发生纠纷而导致甲方赔偿，乙方对此承担全部责任。</w:t>
      </w:r>
    </w:p>
    <w:p w14:paraId="192E2E1B">
      <w:pPr>
        <w:pStyle w:val="28"/>
        <w:numPr>
          <w:ilvl w:val="0"/>
          <w:numId w:val="16"/>
        </w:numPr>
        <w:snapToGrid w:val="0"/>
        <w:ind w:firstLineChars="0"/>
        <w:rPr>
          <w:rFonts w:ascii="Times New Roman" w:hAnsi="Times New Roman"/>
          <w:szCs w:val="21"/>
        </w:rPr>
      </w:pPr>
      <w:r>
        <w:rPr>
          <w:rFonts w:ascii="Times New Roman" w:hAnsi="Times New Roman"/>
          <w:szCs w:val="21"/>
        </w:rPr>
        <w:t>甲方人员参与合同货物开箱、调试等行为均不免除乙方及厂家对合同货物质量所应负责任。</w:t>
      </w:r>
    </w:p>
    <w:p w14:paraId="10C60948">
      <w:pPr>
        <w:pStyle w:val="28"/>
        <w:numPr>
          <w:ilvl w:val="0"/>
          <w:numId w:val="16"/>
        </w:numPr>
        <w:snapToGrid w:val="0"/>
        <w:ind w:firstLineChars="0"/>
        <w:rPr>
          <w:rFonts w:ascii="Times New Roman" w:hAnsi="Times New Roman"/>
          <w:szCs w:val="21"/>
        </w:rPr>
      </w:pPr>
      <w:r>
        <w:rPr>
          <w:rFonts w:hint="eastAsia" w:ascii="Times New Roman" w:hAnsi="Times New Roman"/>
          <w:szCs w:val="21"/>
        </w:rPr>
        <w:t>本合同采购的货物涉及成品软件的，乙方应保证以下内容（本合同另有约定除外）：</w:t>
      </w:r>
    </w:p>
    <w:p w14:paraId="5D2AF3AD">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本合同中提供给甲方的软件产品是其产品原厂发布的最新版本。</w:t>
      </w:r>
    </w:p>
    <w:p w14:paraId="27CA1875">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负责软件功能的升级、维护和文档更新，不再收取任何费用。</w:t>
      </w:r>
    </w:p>
    <w:p w14:paraId="512656D1">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本合同中提供给甲方的软件产品不存在定期密码输入等使用和功能上的限制。</w:t>
      </w:r>
    </w:p>
    <w:p w14:paraId="73A776C4">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本合同中提供给甲方的软件产品不得隐含任何恶意功能，包括但不限于病毒、蠕虫和特洛伊木马等程序；在未获甲方授权的情况下，不得通过软件收集和扩散任何甲方及其相关联单位的信息。</w:t>
      </w:r>
    </w:p>
    <w:p w14:paraId="2A975BE6">
      <w:pPr>
        <w:pStyle w:val="28"/>
        <w:numPr>
          <w:ilvl w:val="0"/>
          <w:numId w:val="17"/>
        </w:numPr>
        <w:snapToGrid w:val="0"/>
        <w:ind w:left="525" w:hanging="525" w:hangingChars="250"/>
        <w:rPr>
          <w:rFonts w:ascii="Times New Roman" w:hAnsi="Times New Roman"/>
          <w:szCs w:val="21"/>
        </w:rPr>
      </w:pPr>
      <w:r>
        <w:rPr>
          <w:rFonts w:hint="eastAsia" w:ascii="Times New Roman" w:hAnsi="Times New Roman"/>
          <w:szCs w:val="21"/>
        </w:rPr>
        <w:t>本合同中提供给甲方的软件产品需要严格遵守相关网络信息安全规定。</w:t>
      </w:r>
    </w:p>
    <w:p w14:paraId="424E4377">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0C769C52">
      <w:pPr>
        <w:pStyle w:val="28"/>
        <w:numPr>
          <w:ilvl w:val="0"/>
          <w:numId w:val="14"/>
        </w:numPr>
        <w:snapToGrid w:val="0"/>
        <w:ind w:firstLineChars="0"/>
        <w:rPr>
          <w:rFonts w:ascii="Times New Roman" w:hAnsi="Times New Roman"/>
          <w:b/>
          <w:bCs/>
          <w:szCs w:val="21"/>
        </w:rPr>
      </w:pPr>
      <w:r>
        <w:rPr>
          <w:rFonts w:hint="eastAsia" w:ascii="Times New Roman" w:hAnsi="Times New Roman"/>
          <w:b/>
          <w:bCs/>
          <w:szCs w:val="21"/>
        </w:rPr>
        <w:t>交付</w:t>
      </w:r>
    </w:p>
    <w:p w14:paraId="46FF2BF3">
      <w:pPr>
        <w:pStyle w:val="28"/>
        <w:snapToGrid w:val="0"/>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合同签订生效</w:t>
      </w:r>
      <w:r>
        <w:rPr>
          <w:rFonts w:hint="eastAsia" w:ascii="Times New Roman" w:hAnsi="Times New Roman"/>
          <w:szCs w:val="21"/>
        </w:rPr>
        <w:t>后*</w:t>
      </w:r>
      <w:r>
        <w:rPr>
          <w:rFonts w:ascii="Times New Roman" w:hAnsi="Times New Roman"/>
          <w:szCs w:val="21"/>
        </w:rPr>
        <w:t>**</w:t>
      </w:r>
      <w:r>
        <w:rPr>
          <w:rFonts w:ascii="Times New Roman" w:hAnsi="Times New Roman"/>
        </w:rPr>
        <w:t>天</w:t>
      </w:r>
      <w:r>
        <w:rPr>
          <w:rFonts w:ascii="Times New Roman" w:hAnsi="Times New Roman"/>
          <w:szCs w:val="21"/>
        </w:rPr>
        <w:t>内</w:t>
      </w:r>
      <w:r>
        <w:rPr>
          <w:rFonts w:hint="eastAsia" w:ascii="Times New Roman" w:hAnsi="Times New Roman"/>
          <w:szCs w:val="21"/>
        </w:rPr>
        <w:t>由乙方在*</w:t>
      </w:r>
      <w:r>
        <w:rPr>
          <w:rFonts w:ascii="Times New Roman" w:hAnsi="Times New Roman"/>
          <w:szCs w:val="21"/>
        </w:rPr>
        <w:t>**</w:t>
      </w:r>
      <w:r>
        <w:rPr>
          <w:rFonts w:hint="eastAsia" w:ascii="Times New Roman" w:hAnsi="Times New Roman"/>
          <w:szCs w:val="21"/>
        </w:rPr>
        <w:t>向甲方交付本合同约定的全部货物，</w:t>
      </w:r>
      <w:r>
        <w:rPr>
          <w:rFonts w:ascii="Times New Roman" w:hAnsi="Times New Roman"/>
          <w:szCs w:val="21"/>
        </w:rPr>
        <w:t>并于</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日内</w:t>
      </w:r>
      <w:r>
        <w:rPr>
          <w:rFonts w:ascii="Times New Roman" w:hAnsi="Times New Roman"/>
          <w:szCs w:val="21"/>
        </w:rPr>
        <w:t>安装调试完毕</w:t>
      </w:r>
      <w:r>
        <w:rPr>
          <w:rFonts w:hint="eastAsia" w:ascii="Times New Roman" w:hAnsi="Times New Roman"/>
          <w:szCs w:val="21"/>
        </w:rPr>
        <w:t>且具备验收条件。</w:t>
      </w:r>
      <w:r>
        <w:rPr>
          <w:rFonts w:ascii="Times New Roman" w:hAnsi="Times New Roman"/>
          <w:szCs w:val="21"/>
        </w:rPr>
        <w:t>货物验收合格前，毁损灭失的风险由乙方承担。</w:t>
      </w:r>
    </w:p>
    <w:p w14:paraId="7B2A3A38">
      <w:pPr>
        <w:pStyle w:val="28"/>
        <w:numPr>
          <w:ilvl w:val="0"/>
          <w:numId w:val="14"/>
        </w:numPr>
        <w:snapToGrid w:val="0"/>
        <w:ind w:firstLineChars="0"/>
        <w:rPr>
          <w:rFonts w:hint="eastAsia" w:ascii="Times New Roman" w:hAnsi="Times New Roman"/>
          <w:b/>
          <w:bCs/>
          <w:szCs w:val="21"/>
        </w:rPr>
      </w:pPr>
      <w:r>
        <w:rPr>
          <w:rFonts w:hint="eastAsia" w:ascii="Times New Roman" w:hAnsi="Times New Roman"/>
          <w:b/>
          <w:bCs/>
          <w:szCs w:val="21"/>
        </w:rPr>
        <w:t>验收</w:t>
      </w:r>
    </w:p>
    <w:p w14:paraId="2BCAB16C">
      <w:pPr>
        <w:pStyle w:val="28"/>
        <w:numPr>
          <w:ilvl w:val="0"/>
          <w:numId w:val="18"/>
        </w:numPr>
        <w:snapToGrid w:val="0"/>
        <w:ind w:left="0" w:firstLine="0" w:firstLineChars="0"/>
        <w:contextualSpacing/>
        <w:rPr>
          <w:rFonts w:ascii="Times New Roman" w:hAnsi="Times New Roman"/>
        </w:rPr>
      </w:pPr>
      <w:r>
        <w:rPr>
          <w:rFonts w:ascii="Times New Roman" w:hAnsi="Times New Roman"/>
        </w:rPr>
        <w:t>甲、乙双方确定，按照本合同约定的验收方案对乙方交付的</w:t>
      </w:r>
      <w:r>
        <w:rPr>
          <w:rFonts w:hint="eastAsia" w:ascii="Times New Roman" w:hAnsi="Times New Roman"/>
        </w:rPr>
        <w:t>货物</w:t>
      </w:r>
      <w:r>
        <w:rPr>
          <w:rFonts w:ascii="Times New Roman" w:hAnsi="Times New Roman"/>
        </w:rPr>
        <w:t>进行验收。</w:t>
      </w:r>
    </w:p>
    <w:p w14:paraId="0FF1D26B">
      <w:pPr>
        <w:pStyle w:val="28"/>
        <w:numPr>
          <w:ilvl w:val="0"/>
          <w:numId w:val="18"/>
        </w:numPr>
        <w:snapToGrid w:val="0"/>
        <w:ind w:left="0" w:firstLine="0" w:firstLineChars="0"/>
        <w:contextualSpacing/>
        <w:rPr>
          <w:rFonts w:ascii="Times New Roman" w:hAnsi="Times New Roman"/>
        </w:rPr>
      </w:pPr>
      <w:r>
        <w:rPr>
          <w:rFonts w:ascii="Times New Roman" w:hAnsi="Times New Roman"/>
        </w:rPr>
        <w:t>验收方案：</w:t>
      </w:r>
    </w:p>
    <w:p w14:paraId="62EB93C2">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验收主体：甲方</w:t>
      </w:r>
    </w:p>
    <w:p w14:paraId="1F5B2E0D">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验收组织方式：自行验收</w:t>
      </w:r>
    </w:p>
    <w:p w14:paraId="021E05B1">
      <w:pPr>
        <w:pStyle w:val="28"/>
        <w:numPr>
          <w:ilvl w:val="0"/>
          <w:numId w:val="19"/>
        </w:numPr>
        <w:snapToGrid w:val="0"/>
        <w:ind w:left="525" w:hanging="525" w:hangingChars="250"/>
        <w:contextualSpacing/>
        <w:rPr>
          <w:rFonts w:ascii="Times New Roman" w:hAnsi="Times New Roman"/>
          <w:color w:val="333333"/>
          <w:kern w:val="0"/>
          <w:szCs w:val="21"/>
          <w:shd w:val="clear" w:color="auto" w:fill="FFFFFF"/>
        </w:rPr>
      </w:pPr>
      <w:r>
        <w:rPr>
          <w:rFonts w:ascii="Times New Roman" w:hAnsi="Times New Roman"/>
        </w:rPr>
        <w:t>验收程序：</w:t>
      </w:r>
      <w:r>
        <w:rPr/>
        <w:sym w:font="Wingdings 2" w:char="F052"/>
      </w:r>
      <w:r>
        <w:rPr>
          <w:rFonts w:ascii="Times New Roman" w:hAnsi="Times New Roman"/>
          <w:kern w:val="0"/>
          <w:szCs w:val="21"/>
          <w:shd w:val="clear" w:color="auto" w:fill="FFFFFF"/>
        </w:rPr>
        <w:t xml:space="preserve">一次性验收   </w:t>
      </w:r>
      <w:r>
        <w:rPr>
          <w:shd w:val="clear" w:color="auto" w:fill="FFFFFF"/>
        </w:rPr>
        <w:sym w:font="Wingdings" w:char="F0A8"/>
      </w:r>
      <w:r>
        <w:rPr>
          <w:rFonts w:ascii="Times New Roman" w:hAnsi="Times New Roman"/>
          <w:kern w:val="0"/>
          <w:szCs w:val="21"/>
          <w:shd w:val="clear" w:color="auto" w:fill="FFFFFF"/>
        </w:rPr>
        <w:t>分段/分期验收</w:t>
      </w:r>
    </w:p>
    <w:p w14:paraId="3C4281FC">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验收方式：现场整体验收</w:t>
      </w:r>
    </w:p>
    <w:p w14:paraId="41214082">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履约验收内容：</w:t>
      </w:r>
      <w:r>
        <w:rPr>
          <w:rFonts w:hint="eastAsia" w:ascii="Times New Roman" w:hAnsi="Times New Roman"/>
        </w:rPr>
        <w:t>按照甲方</w:t>
      </w:r>
      <w:r>
        <w:rPr>
          <w:rFonts w:ascii="Times New Roman" w:hAnsi="Times New Roman"/>
        </w:rPr>
        <w:t>采购文件要求及乙方响应文件情况，由乙方向甲方交付的全部内容。</w:t>
      </w:r>
    </w:p>
    <w:p w14:paraId="3BE21801">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履约验收时间：供应商完成本项目涉及的所有</w:t>
      </w:r>
      <w:r>
        <w:rPr>
          <w:rFonts w:hint="eastAsia" w:ascii="Times New Roman" w:hAnsi="Times New Roman"/>
        </w:rPr>
        <w:t>货物</w:t>
      </w:r>
      <w:r>
        <w:rPr>
          <w:rFonts w:ascii="Times New Roman" w:hAnsi="Times New Roman"/>
        </w:rPr>
        <w:t>的安装、调试并具备验收条件后于5日内通知甲方验收，甲方接乙方通知后10日内组织验收。</w:t>
      </w:r>
    </w:p>
    <w:p w14:paraId="6AE1C9DD">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是否邀请本项目的其他供应商：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348024F">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是否邀请专家：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254C7FCD">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是否邀请服务对象：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83E0044">
      <w:pPr>
        <w:pStyle w:val="28"/>
        <w:numPr>
          <w:ilvl w:val="0"/>
          <w:numId w:val="19"/>
        </w:numPr>
        <w:snapToGrid w:val="0"/>
        <w:ind w:left="525" w:hanging="525" w:hangingChars="250"/>
        <w:contextualSpacing/>
        <w:rPr>
          <w:rFonts w:ascii="Times New Roman" w:hAnsi="Times New Roman"/>
          <w:szCs w:val="21"/>
        </w:rPr>
      </w:pPr>
      <w:r>
        <w:rPr>
          <w:rFonts w:ascii="Times New Roman" w:hAnsi="Times New Roman"/>
          <w:szCs w:val="21"/>
        </w:rPr>
        <w:t xml:space="preserve">是否邀请第三方检测机构： </w:t>
      </w:r>
      <w:r>
        <w:rPr>
          <w:rFonts w:ascii="Times New Roman" w:hAnsi="Times New Roman"/>
          <w:szCs w:val="21"/>
        </w:rPr>
        <w:sym w:font="Wingdings" w:char="F0A8"/>
      </w:r>
      <w:r>
        <w:rPr>
          <w:rFonts w:ascii="Times New Roman" w:hAnsi="Times New Roman"/>
          <w:szCs w:val="21"/>
        </w:rPr>
        <w:t xml:space="preserve">是   </w:t>
      </w:r>
      <w:r>
        <w:rPr>
          <w:rFonts w:ascii="Times New Roman" w:hAnsi="Times New Roman"/>
          <w:szCs w:val="21"/>
        </w:rPr>
        <w:sym w:font="Wingdings 2" w:char="F052"/>
      </w:r>
      <w:r>
        <w:rPr>
          <w:rFonts w:ascii="Times New Roman" w:hAnsi="Times New Roman"/>
          <w:szCs w:val="21"/>
        </w:rPr>
        <w:t>否</w:t>
      </w:r>
    </w:p>
    <w:p w14:paraId="6E3AC757">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验收标准：</w:t>
      </w:r>
    </w:p>
    <w:p w14:paraId="39C2E880">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465776F6">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甲方采购文件相关技术、服务要求、乙方响应文件相关响应内容。</w:t>
      </w:r>
    </w:p>
    <w:p w14:paraId="14B2A24F">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成交产品生产厂家出具的产品说明书、技术白皮书等技术资料（如涉及）。</w:t>
      </w:r>
    </w:p>
    <w:p w14:paraId="1AD44554">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如验收时，采购人与供应商认为本项目验收标准中的技术指标、质量要求等内容存在相互抵触或对其理解存在异议，应按照其中更严格的要求、标准等进行验收。</w:t>
      </w:r>
    </w:p>
    <w:p w14:paraId="39E66743">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参照《财政部关于进一步加强政府采购需求和履约验收管理的指导意见》（财库〔2016〕205号）的要求进行验收。</w:t>
      </w:r>
    </w:p>
    <w:p w14:paraId="0204932D">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其它标准：无。</w:t>
      </w:r>
    </w:p>
    <w:p w14:paraId="22CA0430">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履约验收其它事项：无。</w:t>
      </w:r>
      <w:r>
        <w:rPr>
          <w:rFonts w:ascii="Times New Roman" w:hAnsi="Times New Roman"/>
          <w:i/>
          <w:iCs/>
          <w:highlight w:val="yellow"/>
        </w:rPr>
        <w:t>&lt;如有请填写&gt;</w:t>
      </w:r>
    </w:p>
    <w:p w14:paraId="061E8620">
      <w:pPr>
        <w:pStyle w:val="28"/>
        <w:numPr>
          <w:ilvl w:val="0"/>
          <w:numId w:val="18"/>
        </w:numPr>
        <w:snapToGrid w:val="0"/>
        <w:ind w:left="0" w:firstLine="0" w:firstLineChars="0"/>
        <w:contextualSpacing/>
        <w:rPr>
          <w:rFonts w:ascii="Times New Roman" w:hAnsi="Times New Roman"/>
          <w:szCs w:val="21"/>
        </w:rPr>
      </w:pPr>
      <w:r>
        <w:rPr>
          <w:rFonts w:hint="eastAsia" w:ascii="Times New Roman" w:hAnsi="Times New Roman"/>
          <w:szCs w:val="21"/>
        </w:rPr>
        <w:t>乙方按照本合同向甲方交付的货物：</w:t>
      </w:r>
      <w:bookmarkStart w:id="95" w:name="OLE_LINK3"/>
      <w:r>
        <w:rPr>
          <w:rFonts w:hint="eastAsia" w:ascii="Times New Roman" w:hAnsi="Times New Roman"/>
          <w:i/>
          <w:iCs/>
          <w:color w:val="000000"/>
          <w:szCs w:val="21"/>
          <w:highlight w:val="yellow"/>
        </w:rPr>
        <w:t>&lt;根据项目实际情况选择</w:t>
      </w:r>
      <w:bookmarkEnd w:id="95"/>
      <w:r>
        <w:rPr>
          <w:rFonts w:hint="eastAsia" w:ascii="Times New Roman" w:hAnsi="Times New Roman"/>
          <w:i/>
          <w:iCs/>
          <w:color w:val="000000"/>
          <w:szCs w:val="21"/>
          <w:highlight w:val="yellow"/>
        </w:rPr>
        <w:t>&gt;</w:t>
      </w:r>
    </w:p>
    <w:p w14:paraId="1797AEA1">
      <w:pPr>
        <w:pStyle w:val="28"/>
        <w:snapToGrid w:val="0"/>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w:t>
      </w:r>
      <w:r>
        <w:rPr>
          <w:rFonts w:hint="eastAsia" w:ascii="Times New Roman" w:hAnsi="Times New Roman"/>
          <w:szCs w:val="21"/>
        </w:rPr>
        <w:t>货物有</w:t>
      </w:r>
      <w:r>
        <w:rPr>
          <w:rFonts w:ascii="Times New Roman" w:hAnsi="Times New Roman"/>
          <w:szCs w:val="21"/>
        </w:rPr>
        <w:t>缺陷，或</w:t>
      </w:r>
      <w:r>
        <w:rPr>
          <w:rFonts w:hint="eastAsia" w:ascii="Times New Roman" w:hAnsi="Times New Roman"/>
          <w:szCs w:val="21"/>
        </w:rPr>
        <w:t>性能和</w:t>
      </w:r>
      <w:r>
        <w:rPr>
          <w:rFonts w:ascii="Times New Roman" w:hAnsi="Times New Roman"/>
          <w:szCs w:val="21"/>
        </w:rPr>
        <w:t>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乙方须对相关货物进行更换和相应处理，同时试运行期时限按照上述修改、更正期进行相应顺延。</w:t>
      </w:r>
    </w:p>
    <w:p w14:paraId="073D2A5B">
      <w:pPr>
        <w:pStyle w:val="28"/>
        <w:snapToGrid w:val="0"/>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14:paraId="7632D9CE">
      <w:pPr>
        <w:pStyle w:val="28"/>
        <w:numPr>
          <w:ilvl w:val="0"/>
          <w:numId w:val="18"/>
        </w:numPr>
        <w:snapToGrid w:val="0"/>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14:paraId="0191FFFD">
      <w:pPr>
        <w:pStyle w:val="28"/>
        <w:numPr>
          <w:ilvl w:val="0"/>
          <w:numId w:val="18"/>
        </w:numPr>
        <w:snapToGrid w:val="0"/>
        <w:ind w:left="0" w:firstLine="0" w:firstLineChars="0"/>
        <w:rPr>
          <w:rFonts w:hint="eastAsia"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w:t>
      </w:r>
      <w:r>
        <w:rPr>
          <w:rFonts w:hint="eastAsia" w:ascii="Times New Roman" w:hAnsi="Times New Roman"/>
          <w:szCs w:val="21"/>
          <w:u w:val="single"/>
        </w:rPr>
        <w:t>10</w:t>
      </w:r>
      <w:r>
        <w:rPr>
          <w:rFonts w:ascii="Times New Roman" w:hAnsi="Times New Roman"/>
          <w:szCs w:val="21"/>
        </w:rPr>
        <w:t>%的</w:t>
      </w:r>
      <w:r>
        <w:rPr>
          <w:rFonts w:hint="eastAsia" w:ascii="Times New Roman" w:hAnsi="Times New Roman"/>
          <w:szCs w:val="21"/>
        </w:rPr>
        <w:t>违约金给甲方，违约金不能弥补甲方损失的，乙方应全额赔偿。</w:t>
      </w:r>
    </w:p>
    <w:p w14:paraId="406AFDF1">
      <w:pPr>
        <w:pStyle w:val="28"/>
        <w:numPr>
          <w:ilvl w:val="0"/>
          <w:numId w:val="14"/>
        </w:numPr>
        <w:snapToGrid w:val="0"/>
        <w:ind w:firstLineChars="0"/>
        <w:rPr>
          <w:rFonts w:ascii="Times New Roman" w:hAnsi="Times New Roman"/>
          <w:b/>
          <w:bCs/>
          <w:szCs w:val="21"/>
        </w:rPr>
      </w:pPr>
      <w:r>
        <w:rPr>
          <w:rFonts w:ascii="Times New Roman" w:hAnsi="Times New Roman"/>
          <w:b/>
          <w:bCs/>
          <w:szCs w:val="21"/>
        </w:rPr>
        <w:t>主体资格及知识产权</w:t>
      </w:r>
    </w:p>
    <w:p w14:paraId="6DDC8C69">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主体资格：</w:t>
      </w:r>
    </w:p>
    <w:p w14:paraId="6521C9A8">
      <w:pPr>
        <w:snapToGrid w:val="0"/>
        <w:ind w:firstLine="420" w:firstLineChars="200"/>
        <w:rPr>
          <w:rFonts w:ascii="Times New Roman" w:hAnsi="Times New Roman"/>
          <w:szCs w:val="21"/>
        </w:rPr>
      </w:pPr>
      <w:r>
        <w:rPr>
          <w:rFonts w:ascii="Times New Roman" w:hAnsi="Times New Roman"/>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16F7815">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知识产权：</w:t>
      </w:r>
    </w:p>
    <w:p w14:paraId="1C849AAB">
      <w:pPr>
        <w:pStyle w:val="28"/>
        <w:numPr>
          <w:ilvl w:val="0"/>
          <w:numId w:val="22"/>
        </w:numPr>
        <w:snapToGrid w:val="0"/>
        <w:ind w:firstLineChars="0"/>
        <w:rPr>
          <w:rFonts w:ascii="Times New Roman" w:hAnsi="Times New Roman"/>
          <w:szCs w:val="21"/>
        </w:rPr>
      </w:pPr>
      <w:r>
        <w:rPr>
          <w:rFonts w:ascii="Times New Roman" w:hAnsi="Times New Roman"/>
          <w:szCs w:val="21"/>
        </w:rPr>
        <w:t>乙方必须保证，甲方在中华人民共和国境内使用货物或者货物的某一部分时，如有第三方向甲方提出侵犯其专利权、商标权或其他知识产权的主张，由此造成的一切责任由乙方承担。</w:t>
      </w:r>
    </w:p>
    <w:p w14:paraId="6B088884">
      <w:pPr>
        <w:pStyle w:val="28"/>
        <w:numPr>
          <w:ilvl w:val="0"/>
          <w:numId w:val="22"/>
        </w:numPr>
        <w:snapToGrid w:val="0"/>
        <w:ind w:firstLineChars="0"/>
        <w:rPr>
          <w:rFonts w:ascii="Times New Roman" w:hAnsi="Times New Roman"/>
          <w:szCs w:val="21"/>
        </w:rPr>
      </w:pPr>
      <w:r>
        <w:rPr>
          <w:rFonts w:ascii="Times New Roman" w:hAnsi="Times New Roman"/>
          <w:szCs w:val="21"/>
        </w:rPr>
        <w:t>本合同费用包含向所有权人支付的专利权、商标权或其他知识产权的有关费用及税费。</w:t>
      </w:r>
    </w:p>
    <w:p w14:paraId="33B45955">
      <w:pPr>
        <w:pStyle w:val="28"/>
        <w:numPr>
          <w:ilvl w:val="0"/>
          <w:numId w:val="22"/>
        </w:numPr>
        <w:snapToGrid w:val="0"/>
        <w:ind w:firstLineChars="0"/>
        <w:rPr>
          <w:rFonts w:ascii="Times New Roman" w:hAnsi="Times New Roman"/>
          <w:szCs w:val="21"/>
        </w:rPr>
      </w:pPr>
      <w:r>
        <w:rPr>
          <w:rFonts w:ascii="Times New Roman" w:hAnsi="Times New Roman"/>
          <w:szCs w:val="21"/>
        </w:rPr>
        <w:t>乙方承诺</w:t>
      </w:r>
      <w:r>
        <w:rPr>
          <w:rFonts w:hint="eastAsia" w:ascii="Times New Roman" w:hAnsi="Times New Roman"/>
          <w:szCs w:val="21"/>
        </w:rPr>
        <w:t>向甲方提供的</w:t>
      </w:r>
      <w:r>
        <w:rPr>
          <w:rFonts w:ascii="Times New Roman" w:hAnsi="Times New Roman"/>
          <w:szCs w:val="21"/>
        </w:rPr>
        <w:t>货物上安装的软件已获得软件厂商的正规授权。</w:t>
      </w:r>
    </w:p>
    <w:p w14:paraId="2219FBBF">
      <w:pPr>
        <w:pStyle w:val="28"/>
        <w:numPr>
          <w:ilvl w:val="0"/>
          <w:numId w:val="22"/>
        </w:numPr>
        <w:snapToGrid w:val="0"/>
        <w:ind w:firstLineChars="0"/>
        <w:rPr>
          <w:rFonts w:ascii="Times New Roman" w:hAnsi="Times New Roman"/>
          <w:szCs w:val="21"/>
        </w:rPr>
      </w:pPr>
      <w:r>
        <w:rPr>
          <w:rFonts w:hint="eastAsia" w:ascii="Times New Roman" w:hAnsi="Times New Roman"/>
          <w:szCs w:val="21"/>
        </w:rPr>
        <w:t>甲、乙双方共同研发的该系统软件产品，知识产权归甲、乙双方共同拥有，软件所有数据归甲方所有</w:t>
      </w:r>
    </w:p>
    <w:p w14:paraId="439F1BAF">
      <w:pPr>
        <w:pStyle w:val="28"/>
        <w:numPr>
          <w:ilvl w:val="0"/>
          <w:numId w:val="22"/>
        </w:numPr>
        <w:snapToGrid w:val="0"/>
        <w:ind w:firstLineChars="0"/>
        <w:rPr>
          <w:rFonts w:ascii="Times New Roman" w:hAnsi="Times New Roman"/>
          <w:szCs w:val="21"/>
        </w:rPr>
      </w:pPr>
      <w:r>
        <w:rPr>
          <w:rFonts w:hint="eastAsia" w:ascii="Times New Roman" w:hAnsi="Times New Roman"/>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569B2408">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付款方式</w:t>
      </w:r>
    </w:p>
    <w:p w14:paraId="604DB909">
      <w:pPr>
        <w:pStyle w:val="28"/>
        <w:numPr>
          <w:ilvl w:val="0"/>
          <w:numId w:val="23"/>
        </w:numPr>
        <w:snapToGrid w:val="0"/>
        <w:ind w:firstLineChars="0"/>
        <w:rPr>
          <w:rFonts w:ascii="Times New Roman" w:hAnsi="Times New Roman"/>
          <w:szCs w:val="21"/>
        </w:rPr>
      </w:pPr>
      <w:r>
        <w:rPr>
          <w:rFonts w:hint="eastAsia" w:ascii="Times New Roman" w:hAnsi="Times New Roman"/>
          <w:szCs w:val="21"/>
        </w:rPr>
        <w:t>履约保证金：</w:t>
      </w:r>
    </w:p>
    <w:p w14:paraId="2B4C41B3">
      <w:pPr>
        <w:pStyle w:val="16"/>
        <w:snapToGrid w:val="0"/>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w:t>
      </w:r>
      <w:r>
        <w:rPr>
          <w:rFonts w:ascii="Times New Roman" w:hAnsi="Times New Roman"/>
          <w:color w:val="000000"/>
          <w:szCs w:val="21"/>
        </w:rPr>
        <w:t>货物自验收合格之日满1年，甲方接到乙方付款申请后30个工作日内，甲方一次性无息退还乙方的履约保证金</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14:paraId="78E7576C">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14:paraId="08BCF552">
      <w:pPr>
        <w:pStyle w:val="28"/>
        <w:numPr>
          <w:ilvl w:val="0"/>
          <w:numId w:val="23"/>
        </w:numPr>
        <w:snapToGrid w:val="0"/>
        <w:ind w:firstLineChars="0"/>
        <w:rPr>
          <w:rFonts w:ascii="Times New Roman" w:hAnsi="Times New Roman"/>
          <w:szCs w:val="21"/>
        </w:rPr>
      </w:pPr>
      <w:r>
        <w:rPr>
          <w:rFonts w:hint="eastAsia" w:ascii="Times New Roman" w:hAnsi="Times New Roman"/>
          <w:szCs w:val="21"/>
        </w:rPr>
        <w:t>本合同价款采用以下方式支付，以人民币结算：</w:t>
      </w:r>
    </w:p>
    <w:p w14:paraId="56BD379E">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w:t>
      </w:r>
    </w:p>
    <w:p w14:paraId="43EEF24C">
      <w:pPr>
        <w:pStyle w:val="16"/>
        <w:snapToGrid w:val="0"/>
        <w:spacing w:after="0"/>
        <w:ind w:left="840" w:leftChars="400" w:firstLineChars="200"/>
        <w:contextualSpacing/>
        <w:rPr>
          <w:rFonts w:ascii="Times New Roman" w:hAnsi="Times New Roman"/>
          <w:color w:val="000000"/>
          <w:szCs w:val="21"/>
        </w:rPr>
      </w:pPr>
      <w:r>
        <w:rPr>
          <w:rFonts w:hint="eastAsia" w:ascii="Times New Roman" w:hAnsi="Times New Roman"/>
          <w:color w:val="000000"/>
          <w:szCs w:val="21"/>
        </w:rPr>
        <w:t>甲方验收合格后</w:t>
      </w:r>
      <w:r>
        <w:rPr>
          <w:rFonts w:ascii="Times New Roman" w:hAnsi="Times New Roman"/>
          <w:color w:val="000000"/>
          <w:szCs w:val="21"/>
        </w:rPr>
        <w:t>5</w:t>
      </w:r>
      <w:r>
        <w:rPr>
          <w:rFonts w:hint="eastAsia" w:ascii="Times New Roman" w:hAnsi="Times New Roman"/>
          <w:color w:val="000000"/>
          <w:szCs w:val="21"/>
        </w:rPr>
        <w:t>日内，乙方须向甲方出具</w:t>
      </w:r>
      <w:r>
        <w:rPr>
          <w:lang w:bidi="ar"/>
        </w:rPr>
        <w:t>合法有效票据及其它相关请款资料</w:t>
      </w:r>
      <w:r>
        <w:rPr>
          <w:rFonts w:hint="eastAsia" w:ascii="Times New Roman" w:hAnsi="Times New Roman"/>
          <w:color w:val="000000"/>
          <w:szCs w:val="21"/>
        </w:rPr>
        <w:t>，甲方自收到上述发票及凭证资料后</w:t>
      </w:r>
      <w:r>
        <w:rPr>
          <w:rFonts w:ascii="Times New Roman" w:hAnsi="Times New Roman"/>
          <w:color w:val="000000"/>
          <w:szCs w:val="21"/>
        </w:rPr>
        <w:t>55</w:t>
      </w:r>
      <w:r>
        <w:rPr>
          <w:rFonts w:hint="eastAsia" w:ascii="Times New Roman" w:hAnsi="Times New Roman"/>
          <w:color w:val="000000"/>
          <w:szCs w:val="21"/>
        </w:rPr>
        <w:t>日内支付合同总价</w:t>
      </w:r>
      <w:r>
        <w:rPr>
          <w:rFonts w:ascii="Times New Roman" w:hAnsi="Times New Roman"/>
          <w:color w:val="000000"/>
          <w:szCs w:val="21"/>
        </w:rPr>
        <w:t>100%</w:t>
      </w:r>
      <w:r>
        <w:rPr>
          <w:rFonts w:hint="eastAsia" w:ascii="Times New Roman" w:hAnsi="Times New Roman"/>
          <w:color w:val="000000"/>
          <w:szCs w:val="21"/>
        </w:rPr>
        <w:t>的货款给乙方。</w:t>
      </w:r>
    </w:p>
    <w:p w14:paraId="02296E4C">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分阶段支付，支付期限及额度如下：</w:t>
      </w:r>
    </w:p>
    <w:p w14:paraId="19BFFA0B">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（1）预付款：本合同生效后</w:t>
      </w:r>
      <w:r>
        <w:rPr>
          <w:rFonts w:ascii="Times New Roman" w:hAnsi="Times New Roman"/>
          <w:color w:val="000000"/>
          <w:szCs w:val="21"/>
        </w:rPr>
        <w:t>***</w:t>
      </w:r>
      <w:r>
        <w:rPr>
          <w:rFonts w:hint="eastAsia" w:ascii="Times New Roman" w:hAnsi="Times New Roman"/>
          <w:color w:val="000000"/>
          <w:szCs w:val="21"/>
        </w:rPr>
        <w:t>个工作日内，甲方预付项目费用总额的*</w:t>
      </w:r>
      <w:r>
        <w:rPr>
          <w:rFonts w:ascii="Times New Roman" w:hAnsi="Times New Roman"/>
          <w:color w:val="000000"/>
          <w:szCs w:val="21"/>
        </w:rPr>
        <w:t>**%</w:t>
      </w:r>
      <w:r>
        <w:rPr>
          <w:rFonts w:hint="eastAsia" w:ascii="Times New Roman" w:hAnsi="Times New Roman"/>
          <w:color w:val="000000"/>
          <w:szCs w:val="21"/>
        </w:rPr>
        <w:t xml:space="preserve">，即人民币（大写） </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47BAD0E5">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（2）进度款，甲方应当按照下列方式支付进度款：</w:t>
      </w:r>
    </w:p>
    <w:p w14:paraId="3871E578">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乙方按照本合同约定完成阶段性工作后，甲方应于每一阶段性工作成果验收合格之日起</w:t>
      </w:r>
      <w:r>
        <w:rPr>
          <w:rFonts w:ascii="Times New Roman" w:hAnsi="Times New Roman"/>
          <w:color w:val="000000"/>
          <w:szCs w:val="21"/>
        </w:rPr>
        <w:t>***</w:t>
      </w:r>
      <w:r>
        <w:rPr>
          <w:rFonts w:hint="eastAsia" w:ascii="Times New Roman" w:hAnsi="Times New Roman"/>
          <w:color w:val="000000"/>
          <w:szCs w:val="21"/>
        </w:rPr>
        <w:t>个工作日内，向乙方支付相应的费用。</w:t>
      </w:r>
    </w:p>
    <w:p w14:paraId="4778C991">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乙方完成</w:t>
      </w:r>
      <w:r>
        <w:rPr>
          <w:rFonts w:ascii="Times New Roman" w:hAnsi="Times New Roman"/>
          <w:color w:val="000000"/>
          <w:szCs w:val="21"/>
        </w:rPr>
        <w:t>***</w:t>
      </w:r>
      <w:r>
        <w:rPr>
          <w:rFonts w:hint="eastAsia" w:ascii="Times New Roman" w:hAnsi="Times New Roman"/>
          <w:color w:val="000000"/>
          <w:szCs w:val="21"/>
        </w:rPr>
        <w:t>，甲方支付项目费用总额的</w:t>
      </w:r>
      <w:r>
        <w:rPr>
          <w:rFonts w:ascii="Times New Roman" w:hAnsi="Times New Roman"/>
          <w:color w:val="000000"/>
          <w:szCs w:val="21"/>
        </w:rPr>
        <w:t>***%</w:t>
      </w:r>
      <w:r>
        <w:rPr>
          <w:rFonts w:hint="eastAsia" w:ascii="Times New Roman" w:hAnsi="Times New Roman"/>
          <w:color w:val="000000"/>
          <w:szCs w:val="21"/>
        </w:rPr>
        <w:t>，即 人民币（大写）</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730E2AEE">
      <w:pPr>
        <w:pStyle w:val="16"/>
        <w:snapToGrid w:val="0"/>
        <w:spacing w:after="0"/>
        <w:ind w:left="945" w:leftChars="400" w:hanging="105" w:hangingChars="50"/>
        <w:contextualSpacing/>
        <w:jc w:val="left"/>
        <w:rPr>
          <w:rFonts w:ascii="Times New Roman" w:hAnsi="Times New Roman"/>
          <w:color w:val="000000"/>
          <w:szCs w:val="21"/>
        </w:rPr>
      </w:pPr>
      <w:r>
        <w:rPr>
          <w:rFonts w:hint="eastAsia" w:ascii="Times New Roman" w:hAnsi="Times New Roman"/>
          <w:color w:val="000000"/>
          <w:szCs w:val="21"/>
        </w:rPr>
        <w:t>（3）结算款：本项目竣工验收合格后</w:t>
      </w:r>
      <w:r>
        <w:rPr>
          <w:rFonts w:ascii="Times New Roman" w:hAnsi="Times New Roman"/>
          <w:color w:val="000000"/>
          <w:szCs w:val="21"/>
        </w:rPr>
        <w:t>***</w:t>
      </w:r>
      <w:r>
        <w:rPr>
          <w:rFonts w:hint="eastAsia" w:ascii="Times New Roman" w:hAnsi="Times New Roman"/>
          <w:color w:val="000000"/>
          <w:szCs w:val="21"/>
        </w:rPr>
        <w:t>个工作日内，甲方向乙方支付剩余价款人民币（大写）</w:t>
      </w:r>
      <w:r>
        <w:rPr>
          <w:rFonts w:ascii="Times New Roman" w:hAnsi="Times New Roman"/>
          <w:color w:val="000000"/>
          <w:szCs w:val="21"/>
        </w:rPr>
        <w:t xml:space="preserve">*** </w:t>
      </w:r>
      <w:r>
        <w:rPr>
          <w:rFonts w:hint="eastAsia" w:ascii="Times New Roman" w:hAnsi="Times New Roman"/>
          <w:color w:val="000000"/>
          <w:szCs w:val="21"/>
        </w:rPr>
        <w:t>圆整（RMB</w:t>
      </w:r>
      <w:r>
        <w:rPr>
          <w:rFonts w:ascii="Times New Roman" w:hAnsi="Times New Roman"/>
          <w:color w:val="000000"/>
          <w:szCs w:val="21"/>
        </w:rPr>
        <w:t xml:space="preserve"> ***</w:t>
      </w:r>
      <w:r>
        <w:rPr>
          <w:rFonts w:hint="eastAsia" w:ascii="Times New Roman" w:hAnsi="Times New Roman"/>
          <w:color w:val="000000"/>
          <w:szCs w:val="21"/>
        </w:rPr>
        <w:t xml:space="preserve"> 元）。</w:t>
      </w:r>
    </w:p>
    <w:p w14:paraId="7AA98EEC">
      <w:pPr>
        <w:pStyle w:val="28"/>
        <w:numPr>
          <w:ilvl w:val="0"/>
          <w:numId w:val="23"/>
        </w:numPr>
        <w:snapToGrid w:val="0"/>
        <w:ind w:left="0" w:firstLine="0" w:firstLineChars="0"/>
        <w:rPr>
          <w:rFonts w:ascii="Times New Roman" w:hAnsi="Times New Roman"/>
          <w:szCs w:val="21"/>
        </w:rPr>
      </w:pPr>
      <w:r>
        <w:rPr>
          <w:rFonts w:hint="eastAsia" w:ascii="Times New Roman" w:hAnsi="Times New Roman"/>
          <w:szCs w:val="21"/>
        </w:rPr>
        <w:t>甲方付款前，乙方需出具</w:t>
      </w:r>
      <w:r>
        <w:rPr>
          <w:lang w:bidi="ar"/>
        </w:rPr>
        <w:t>合法有效票据及其它相关请款资料</w:t>
      </w:r>
      <w:r>
        <w:rPr>
          <w:rFonts w:hint="eastAsia" w:ascii="Times New Roman" w:hAnsi="Times New Roman"/>
          <w:szCs w:val="21"/>
        </w:rPr>
        <w:t>，否则甲方有权拒绝支付且不承担任何违约责任，且乙方不得因此停止履约。</w:t>
      </w:r>
    </w:p>
    <w:p w14:paraId="3161F26D">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中的货物</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货物</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14:paraId="0C512D97">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14:paraId="71AF32CE">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售后服务</w:t>
      </w:r>
    </w:p>
    <w:p w14:paraId="52F0F743">
      <w:pPr>
        <w:pStyle w:val="28"/>
        <w:numPr>
          <w:ilvl w:val="0"/>
          <w:numId w:val="24"/>
        </w:numPr>
        <w:snapToGrid w:val="0"/>
        <w:ind w:firstLineChars="0"/>
        <w:rPr>
          <w:rFonts w:ascii="Times New Roman" w:hAnsi="Times New Roman"/>
          <w:szCs w:val="21"/>
        </w:rPr>
      </w:pPr>
      <w:r>
        <w:rPr>
          <w:rFonts w:ascii="Times New Roman" w:hAnsi="Times New Roman"/>
          <w:szCs w:val="21"/>
        </w:rPr>
        <w:t>乙方应对甲方工作人员进行培训：***</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rPr>
        <w:t>。</w:t>
      </w:r>
      <w:r>
        <w:rPr>
          <w:rFonts w:ascii="Times New Roman" w:hAnsi="Times New Roman"/>
          <w:szCs w:val="21"/>
        </w:rPr>
        <w:t>货物</w:t>
      </w:r>
      <w:r>
        <w:rPr>
          <w:rFonts w:hint="eastAsia" w:ascii="Times New Roman" w:hAnsi="Times New Roman"/>
          <w:szCs w:val="21"/>
        </w:rPr>
        <w:t>如需</w:t>
      </w:r>
      <w:r>
        <w:rPr>
          <w:rFonts w:ascii="Times New Roman" w:hAnsi="Times New Roman"/>
          <w:szCs w:val="21"/>
        </w:rPr>
        <w:t>安装调试</w:t>
      </w:r>
      <w:r>
        <w:rPr>
          <w:rFonts w:hint="eastAsia" w:ascii="Times New Roman" w:hAnsi="Times New Roman"/>
          <w:szCs w:val="21"/>
        </w:rPr>
        <w:t>，</w:t>
      </w:r>
      <w:r>
        <w:rPr>
          <w:rFonts w:ascii="Times New Roman" w:hAnsi="Times New Roman"/>
          <w:szCs w:val="21"/>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rPr>
        <w:t>方法</w:t>
      </w:r>
      <w:r>
        <w:rPr>
          <w:rFonts w:ascii="Times New Roman" w:hAnsi="Times New Roman"/>
          <w:szCs w:val="21"/>
        </w:rPr>
        <w:t>，保证正常运行并能排除一般</w:t>
      </w:r>
      <w:r>
        <w:rPr>
          <w:rFonts w:hint="eastAsia" w:ascii="Times New Roman" w:hAnsi="Times New Roman"/>
          <w:szCs w:val="21"/>
        </w:rPr>
        <w:t>性</w:t>
      </w:r>
      <w:r>
        <w:rPr>
          <w:rFonts w:ascii="Times New Roman" w:hAnsi="Times New Roman"/>
          <w:szCs w:val="21"/>
        </w:rPr>
        <w:t>故障。乙方应对</w:t>
      </w:r>
      <w:r>
        <w:rPr>
          <w:rFonts w:hint="eastAsia" w:ascii="Times New Roman" w:hAnsi="Times New Roman"/>
          <w:szCs w:val="21"/>
        </w:rPr>
        <w:t>甲方</w:t>
      </w:r>
      <w:r>
        <w:rPr>
          <w:rFonts w:ascii="Times New Roman" w:hAnsi="Times New Roman"/>
          <w:szCs w:val="21"/>
        </w:rPr>
        <w:t>维修工程师进行全系统维修培训。</w:t>
      </w:r>
    </w:p>
    <w:p w14:paraId="60881DC3">
      <w:pPr>
        <w:pStyle w:val="28"/>
        <w:numPr>
          <w:ilvl w:val="0"/>
          <w:numId w:val="24"/>
        </w:numPr>
        <w:snapToGrid w:val="0"/>
        <w:ind w:firstLineChars="0"/>
        <w:rPr>
          <w:rFonts w:ascii="Times New Roman" w:hAnsi="Times New Roman"/>
          <w:szCs w:val="21"/>
        </w:rPr>
      </w:pPr>
      <w:r>
        <w:rPr>
          <w:rFonts w:ascii="Times New Roman" w:hAnsi="Times New Roman"/>
          <w:szCs w:val="21"/>
        </w:rPr>
        <w:t>质保期为验收合格后 *** 年（合同签订后甲方出具验收报告之日起）</w:t>
      </w:r>
    </w:p>
    <w:p w14:paraId="52BED1CA">
      <w:pPr>
        <w:pStyle w:val="28"/>
        <w:numPr>
          <w:ilvl w:val="0"/>
          <w:numId w:val="24"/>
        </w:numPr>
        <w:snapToGrid w:val="0"/>
        <w:ind w:firstLineChars="0"/>
        <w:contextualSpacing/>
        <w:rPr>
          <w:rFonts w:ascii="Times New Roman" w:hAnsi="Times New Roman"/>
          <w:szCs w:val="21"/>
        </w:rPr>
      </w:pPr>
      <w:r>
        <w:rPr>
          <w:rFonts w:ascii="Times New Roman" w:hAnsi="Times New Roman"/>
          <w:szCs w:val="21"/>
        </w:rPr>
        <w:t>质保范围：</w:t>
      </w:r>
      <w:r>
        <w:rPr>
          <w:rFonts w:ascii="Times New Roman" w:hAnsi="Times New Roman"/>
        </w:rPr>
        <w:t>整机含所有部件（质保期内涉及维修,产品更换,人工费用等一切费用包含在本合同总价中</w:t>
      </w:r>
      <w:r>
        <w:rPr>
          <w:rFonts w:hint="eastAsia" w:ascii="Times New Roman" w:hAnsi="Times New Roman"/>
        </w:rPr>
        <w:t>）</w:t>
      </w:r>
      <w:r>
        <w:rPr>
          <w:rFonts w:ascii="Times New Roman" w:hAnsi="Times New Roman"/>
        </w:rPr>
        <w:t>。</w:t>
      </w:r>
      <w:r>
        <w:rPr>
          <w:rFonts w:ascii="Times New Roman" w:hAnsi="Times New Roman"/>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rPr>
        <w:t>货物</w:t>
      </w:r>
      <w:r>
        <w:rPr>
          <w:rFonts w:eastAsia="Songti SC"/>
        </w:rPr>
        <w:t>在质保期内因同一故障</w:t>
      </w:r>
      <w:r>
        <w:rPr>
          <w:rFonts w:ascii="Times New Roman" w:hAnsi="Times New Roman"/>
          <w:szCs w:val="21"/>
        </w:rPr>
        <w:t>经乙方两次维修仍不能达到本合同约定的</w:t>
      </w:r>
      <w:r>
        <w:rPr>
          <w:rFonts w:hint="eastAsia" w:ascii="Times New Roman" w:hAnsi="Times New Roman"/>
        </w:rPr>
        <w:t>技术要求及国家法律法规规定的</w:t>
      </w:r>
      <w:r>
        <w:rPr>
          <w:rFonts w:ascii="Times New Roman" w:hAnsi="Times New Roman"/>
          <w:szCs w:val="21"/>
        </w:rPr>
        <w:t>质量标准，甲方有权采取要求乙方更换全新货物</w:t>
      </w:r>
      <w:r>
        <w:rPr>
          <w:rFonts w:hint="eastAsia" w:ascii="Times New Roman" w:hAnsi="Times New Roman"/>
          <w:szCs w:val="21"/>
        </w:rPr>
        <w:t>或</w:t>
      </w:r>
      <w:r>
        <w:rPr>
          <w:rFonts w:ascii="Times New Roman" w:hAnsi="Times New Roman"/>
          <w:szCs w:val="21"/>
        </w:rPr>
        <w:t>退货并追究乙方违约责任等措施。质保期内，如需更换零配件，乙方应保证所更换的零配件与原货物相同规格和品质，费用包括在合同总价中。</w:t>
      </w:r>
    </w:p>
    <w:p w14:paraId="313A481E">
      <w:pPr>
        <w:pStyle w:val="28"/>
        <w:numPr>
          <w:ilvl w:val="0"/>
          <w:numId w:val="24"/>
        </w:numPr>
        <w:snapToGrid w:val="0"/>
        <w:ind w:firstLineChars="0"/>
        <w:rPr>
          <w:rFonts w:ascii="Times New Roman" w:hAnsi="Times New Roman"/>
          <w:szCs w:val="21"/>
        </w:rPr>
      </w:pPr>
      <w:r>
        <w:rPr>
          <w:rFonts w:ascii="Times New Roman" w:hAnsi="Times New Roman"/>
          <w:szCs w:val="21"/>
        </w:rPr>
        <w:t>乙方须指派专人负责与甲方联系售后服务事宜</w:t>
      </w:r>
      <w:r>
        <w:rPr>
          <w:rFonts w:hint="eastAsia" w:ascii="Times New Roman" w:hAnsi="Times New Roman"/>
          <w:szCs w:val="21"/>
        </w:rPr>
        <w:t>，</w:t>
      </w:r>
      <w:r>
        <w:rPr>
          <w:rFonts w:ascii="Times New Roman" w:hAnsi="Times New Roman"/>
          <w:szCs w:val="21"/>
        </w:rPr>
        <w:t>联系人：***</w:t>
      </w:r>
      <w:r>
        <w:rPr>
          <w:rFonts w:hint="eastAsia" w:ascii="Times New Roman" w:hAnsi="Times New Roman"/>
          <w:szCs w:val="21"/>
        </w:rPr>
        <w:t>，</w:t>
      </w:r>
      <w:r>
        <w:rPr>
          <w:rFonts w:ascii="Times New Roman" w:hAnsi="Times New Roman"/>
          <w:szCs w:val="21"/>
        </w:rPr>
        <w:t>联系电话：</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w:t>
      </w:r>
    </w:p>
    <w:p w14:paraId="7F9E44A8">
      <w:pPr>
        <w:pStyle w:val="28"/>
        <w:numPr>
          <w:ilvl w:val="0"/>
          <w:numId w:val="24"/>
        </w:numPr>
        <w:snapToGrid w:val="0"/>
        <w:ind w:firstLineChars="0"/>
        <w:rPr>
          <w:rFonts w:ascii="Times New Roman" w:hAnsi="Times New Roman"/>
          <w:szCs w:val="21"/>
        </w:rPr>
      </w:pPr>
      <w:r>
        <w:rPr>
          <w:rFonts w:eastAsia="Songti SC"/>
        </w:rPr>
        <w:t>质保期内，</w:t>
      </w:r>
      <w:r>
        <w:rPr>
          <w:rFonts w:hint="eastAsia" w:eastAsia="Songti SC"/>
        </w:rPr>
        <w:t>货物因自身故障导致的</w:t>
      </w:r>
      <w:r>
        <w:rPr>
          <w:rFonts w:eastAsia="Songti SC"/>
        </w:rPr>
        <w:t>停机率不应超过5%（一年按365天计算），否则</w:t>
      </w:r>
      <w:r>
        <w:rPr>
          <w:rFonts w:hint="eastAsia" w:eastAsia="Songti SC"/>
        </w:rPr>
        <w:t>乙方</w:t>
      </w:r>
      <w:r>
        <w:rPr>
          <w:rFonts w:eastAsia="Songti SC"/>
        </w:rPr>
        <w:t>应就超出部分（</w:t>
      </w:r>
      <w:r>
        <w:rPr>
          <w:rFonts w:hint="eastAsia" w:eastAsia="Songti SC"/>
        </w:rPr>
        <w:t>乙方</w:t>
      </w:r>
      <w:r>
        <w:rPr>
          <w:rFonts w:eastAsia="Songti SC"/>
        </w:rPr>
        <w:t>已提供备用机并保障</w:t>
      </w:r>
      <w:r>
        <w:rPr>
          <w:rFonts w:hint="eastAsia" w:eastAsia="Songti SC"/>
        </w:rPr>
        <w:t>甲方</w:t>
      </w:r>
      <w:r>
        <w:rPr>
          <w:rFonts w:eastAsia="Songti SC"/>
        </w:rPr>
        <w:t>正常使用的时间，不计算为停机时间）按天数向</w:t>
      </w:r>
      <w:r>
        <w:rPr>
          <w:rFonts w:hint="eastAsia" w:eastAsia="Songti SC"/>
        </w:rPr>
        <w:t>甲方</w:t>
      </w:r>
      <w:r>
        <w:rPr>
          <w:rFonts w:eastAsia="Songti SC"/>
        </w:rPr>
        <w:t>赔偿经济损失</w:t>
      </w:r>
      <w:r>
        <w:rPr>
          <w:rFonts w:ascii="Times New Roman" w:hAnsi="Times New Roman"/>
          <w:szCs w:val="21"/>
        </w:rPr>
        <w:t>。</w:t>
      </w:r>
    </w:p>
    <w:p w14:paraId="09DD70AC">
      <w:pPr>
        <w:pStyle w:val="28"/>
        <w:numPr>
          <w:ilvl w:val="0"/>
          <w:numId w:val="24"/>
        </w:numPr>
        <w:snapToGrid w:val="0"/>
        <w:ind w:firstLineChars="0"/>
        <w:rPr>
          <w:rFonts w:ascii="Times New Roman" w:hAnsi="Times New Roman"/>
          <w:szCs w:val="21"/>
        </w:rPr>
      </w:pPr>
      <w:r>
        <w:rPr>
          <w:rFonts w:ascii="Times New Roman" w:hAnsi="Times New Roman"/>
          <w:szCs w:val="21"/>
        </w:rPr>
        <w:t>若货物涉及计算机软件系统的，乙方有义务为甲方此后对货物完全的使用（含维护）提供便利及支持，包括但不限于源代码、密码的提供，乙方不得拒绝或收取额外费用。</w:t>
      </w:r>
    </w:p>
    <w:p w14:paraId="581225FA">
      <w:pPr>
        <w:pStyle w:val="28"/>
        <w:numPr>
          <w:ilvl w:val="0"/>
          <w:numId w:val="24"/>
        </w:numPr>
        <w:snapToGrid w:val="0"/>
        <w:ind w:firstLineChars="0"/>
        <w:rPr>
          <w:rFonts w:ascii="Times New Roman" w:hAnsi="Times New Roman"/>
          <w:szCs w:val="21"/>
        </w:rPr>
      </w:pPr>
      <w:r>
        <w:rPr>
          <w:rFonts w:ascii="Times New Roman" w:hAnsi="Times New Roman"/>
        </w:rPr>
        <w:t>质保期内，如</w:t>
      </w:r>
      <w:r>
        <w:rPr>
          <w:rFonts w:hint="eastAsia" w:ascii="Times New Roman" w:hAnsi="Times New Roman"/>
        </w:rPr>
        <w:t>货物</w:t>
      </w:r>
      <w:r>
        <w:rPr>
          <w:rFonts w:ascii="Times New Roman" w:hAnsi="Times New Roman"/>
        </w:rPr>
        <w:t>因维修无法使用，</w:t>
      </w:r>
      <w:r>
        <w:rPr>
          <w:rFonts w:hint="eastAsia" w:ascii="Times New Roman" w:hAnsi="Times New Roman"/>
        </w:rPr>
        <w:t>乙方</w:t>
      </w:r>
      <w:r>
        <w:rPr>
          <w:rFonts w:ascii="Times New Roman" w:hAnsi="Times New Roman"/>
        </w:rPr>
        <w:t>应根据</w:t>
      </w:r>
      <w:r>
        <w:rPr>
          <w:rFonts w:hint="eastAsia" w:ascii="Times New Roman" w:hAnsi="Times New Roman"/>
        </w:rPr>
        <w:t>甲方</w:t>
      </w:r>
      <w:r>
        <w:rPr>
          <w:rFonts w:ascii="Times New Roman" w:hAnsi="Times New Roman"/>
        </w:rPr>
        <w:t>需要向</w:t>
      </w:r>
      <w:r>
        <w:rPr>
          <w:rFonts w:hint="eastAsia" w:ascii="Times New Roman" w:hAnsi="Times New Roman"/>
        </w:rPr>
        <w:t>甲方</w:t>
      </w:r>
      <w:r>
        <w:rPr>
          <w:rFonts w:ascii="Times New Roman" w:hAnsi="Times New Roman"/>
        </w:rPr>
        <w:t>提供</w:t>
      </w:r>
      <w:r>
        <w:rPr>
          <w:rFonts w:ascii="Times New Roman" w:hAnsi="Times New Roman"/>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0706A5C5">
      <w:pPr>
        <w:pStyle w:val="28"/>
        <w:numPr>
          <w:ilvl w:val="0"/>
          <w:numId w:val="24"/>
        </w:numPr>
        <w:snapToGrid w:val="0"/>
        <w:ind w:firstLineChars="0"/>
        <w:rPr>
          <w:rFonts w:ascii="Times New Roman" w:hAnsi="Times New Roman"/>
          <w:szCs w:val="21"/>
        </w:rPr>
      </w:pPr>
      <w:r>
        <w:rPr>
          <w:rFonts w:ascii="Times New Roman" w:hAnsi="Times New Roman"/>
          <w:szCs w:val="21"/>
        </w:rPr>
        <w:t>售后服务涉及费用均包含在合同总价中。</w:t>
      </w:r>
    </w:p>
    <w:p w14:paraId="0507419A">
      <w:pPr>
        <w:pStyle w:val="28"/>
        <w:numPr>
          <w:ilvl w:val="0"/>
          <w:numId w:val="24"/>
        </w:numPr>
        <w:snapToGrid w:val="0"/>
        <w:ind w:firstLineChars="0"/>
        <w:rPr>
          <w:rFonts w:ascii="Times New Roman" w:hAnsi="Times New Roman"/>
          <w:szCs w:val="21"/>
        </w:rPr>
      </w:pPr>
      <w:r>
        <w:rPr>
          <w:rFonts w:ascii="Times New Roman" w:hAnsi="Times New Roman"/>
          <w:szCs w:val="21"/>
        </w:rPr>
        <w:t>质保期外，若出现停机或不能使用等故障，乙方</w:t>
      </w:r>
      <w:r>
        <w:rPr>
          <w:rFonts w:hint="eastAsia" w:ascii="Times New Roman" w:hAnsi="Times New Roman"/>
          <w:szCs w:val="21"/>
        </w:rPr>
        <w:t>应</w:t>
      </w:r>
      <w:r>
        <w:rPr>
          <w:rFonts w:ascii="Times New Roman" w:hAnsi="Times New Roman"/>
          <w:szCs w:val="21"/>
        </w:rPr>
        <w:t>按维修响应要求</w:t>
      </w:r>
      <w:r>
        <w:rPr>
          <w:rFonts w:hint="eastAsia" w:ascii="Times New Roman" w:hAnsi="Times New Roman"/>
          <w:szCs w:val="21"/>
        </w:rPr>
        <w:t>提供相应的技术支持提供，</w:t>
      </w:r>
      <w:r>
        <w:rPr>
          <w:rFonts w:ascii="Times New Roman" w:hAnsi="Times New Roman"/>
          <w:szCs w:val="21"/>
        </w:rPr>
        <w:t>如乙方未能按上述约定及时履行维修义务，甲方有权按实际经济损失要求赔偿并追究相应的法律责任。</w:t>
      </w:r>
    </w:p>
    <w:p w14:paraId="3A288F69">
      <w:pPr>
        <w:pStyle w:val="28"/>
        <w:numPr>
          <w:ilvl w:val="0"/>
          <w:numId w:val="24"/>
        </w:numPr>
        <w:snapToGrid w:val="0"/>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因乙方原因不能够达到上述货物质保及售后服务的约定，按甲方实际</w:t>
      </w:r>
      <w:r>
        <w:rPr>
          <w:rFonts w:hint="eastAsia" w:ascii="Times New Roman" w:hAnsi="Times New Roman"/>
          <w:szCs w:val="21"/>
        </w:rPr>
        <w:t>无法使用货物的</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的</w:t>
      </w:r>
      <w:r>
        <w:rPr>
          <w:rFonts w:hint="eastAsia" w:ascii="Times New Roman" w:hAnsi="Times New Roman"/>
          <w:szCs w:val="21"/>
        </w:rPr>
        <w:t>退还</w:t>
      </w:r>
      <w:r>
        <w:rPr>
          <w:rFonts w:ascii="Times New Roman" w:hAnsi="Times New Roman"/>
          <w:szCs w:val="21"/>
        </w:rPr>
        <w:t>时间，并追究乙方因此引发的相应的法律责任。</w:t>
      </w:r>
    </w:p>
    <w:p w14:paraId="3BF4E9DB">
      <w:pPr>
        <w:pStyle w:val="28"/>
        <w:numPr>
          <w:ilvl w:val="0"/>
          <w:numId w:val="14"/>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14:paraId="418662E0">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甲方的权利和义务：</w:t>
      </w:r>
    </w:p>
    <w:p w14:paraId="773FFC55">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甲方有权获得乙方所提供的货物及相关服务。</w:t>
      </w:r>
    </w:p>
    <w:p w14:paraId="79534585">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甲方有权及时了解和监督乙方备货的进展情况。</w:t>
      </w:r>
    </w:p>
    <w:p w14:paraId="7EE363BF">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甲方应向乙方提供完成货物安装、调试等所必需的资料和工作条件。</w:t>
      </w:r>
    </w:p>
    <w:p w14:paraId="653085D7">
      <w:pPr>
        <w:pStyle w:val="28"/>
        <w:numPr>
          <w:ilvl w:val="0"/>
          <w:numId w:val="26"/>
        </w:numPr>
        <w:snapToGrid w:val="0"/>
        <w:ind w:left="525" w:hanging="525" w:hangingChars="250"/>
        <w:rPr>
          <w:rFonts w:ascii="Times New Roman" w:hAnsi="Times New Roman"/>
          <w:szCs w:val="21"/>
        </w:rPr>
      </w:pPr>
      <w:r>
        <w:rPr>
          <w:rFonts w:hint="eastAsia" w:ascii="Times New Roman" w:hAnsi="Times New Roman"/>
          <w:szCs w:val="21"/>
        </w:rPr>
        <w:t>甲方应按照合同约定向乙方支付合同价款。</w:t>
      </w:r>
    </w:p>
    <w:p w14:paraId="0B15A1BD">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乙方的权利和义务：</w:t>
      </w:r>
    </w:p>
    <w:p w14:paraId="52D2CE9E">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乙方有权按照本合同约定收取合同价款。</w:t>
      </w:r>
    </w:p>
    <w:p w14:paraId="657F59B6">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乙方有权要求甲方提供货物安装、调试所必需的资料和工作条件。</w:t>
      </w:r>
    </w:p>
    <w:p w14:paraId="1BA25FED">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乙方应派遣身体健康、有相关工作经验和相应技能的技术人员到甲方现场并提供安装、调试、测试、试运行、维护及培训等技术服务，该技术服务费用包括在本合同总价内。</w:t>
      </w:r>
    </w:p>
    <w:p w14:paraId="5DA49B97">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64187384">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369B5F98">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乙方保证其所交付的货物不存在任何权利瑕疵，如任何第三方就乙方交付的货物向甲方提起侵权索赔，乙方应负责与第三方交涉，并承担由此引起的一切法律责任，相关费用由乙方承担。</w:t>
      </w:r>
    </w:p>
    <w:p w14:paraId="3FACB92A">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2E8592B4">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乙方对依照本合同向甲方提供的货物在安装、调试、使用、维修、保养等过程中所获得的所有数据及甲方商业秘密或其它技术及经营信息均负有保密义务，不得向任何第三方透露或泄露。</w:t>
      </w:r>
    </w:p>
    <w:p w14:paraId="50542144">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14:paraId="6BF30AB2">
      <w:pPr>
        <w:pStyle w:val="28"/>
        <w:snapToGrid w:val="0"/>
        <w:ind w:firstLine="0" w:firstLineChars="0"/>
        <w:rPr>
          <w:rFonts w:ascii="Times New Roman" w:hAnsi="Times New Roman"/>
          <w:szCs w:val="21"/>
        </w:rPr>
      </w:pPr>
      <w:r>
        <w:rPr>
          <w:rFonts w:ascii="Times New Roman" w:hAnsi="Times New Roman"/>
          <w:szCs w:val="21"/>
        </w:rPr>
        <w:t>1.甲方违约责任：甲方无正当理由拒收货物的，甲方应偿付合同总</w:t>
      </w:r>
      <w:r>
        <w:rPr>
          <w:rFonts w:hint="eastAsia" w:ascii="Times New Roman" w:hAnsi="Times New Roman"/>
          <w:szCs w:val="21"/>
        </w:rPr>
        <w:t>金额的</w:t>
      </w:r>
      <w:r>
        <w:rPr>
          <w:rFonts w:hint="eastAsia" w:ascii="Times New Roman" w:hAnsi="Times New Roman"/>
          <w:szCs w:val="21"/>
          <w:u w:val="single"/>
        </w:rPr>
        <w:t>1</w:t>
      </w:r>
      <w:r>
        <w:rPr>
          <w:rFonts w:ascii="Times New Roman" w:hAnsi="Times New Roman"/>
          <w:szCs w:val="21"/>
          <w:u w:val="single"/>
        </w:rPr>
        <w:t>0%</w:t>
      </w:r>
      <w:r>
        <w:rPr>
          <w:rFonts w:hint="eastAsia" w:ascii="Times New Roman" w:hAnsi="Times New Roman"/>
          <w:szCs w:val="21"/>
        </w:rPr>
        <w:t>作为</w:t>
      </w:r>
      <w:r>
        <w:rPr>
          <w:rFonts w:ascii="Times New Roman" w:hAnsi="Times New Roman"/>
          <w:szCs w:val="21"/>
        </w:rPr>
        <w:t>违约金。</w:t>
      </w:r>
    </w:p>
    <w:p w14:paraId="4D01BA0A">
      <w:pPr>
        <w:pStyle w:val="28"/>
        <w:snapToGrid w:val="0"/>
        <w:ind w:firstLine="0" w:firstLineChars="0"/>
        <w:rPr>
          <w:rFonts w:ascii="Times New Roman" w:hAnsi="Times New Roman"/>
          <w:szCs w:val="21"/>
        </w:rPr>
      </w:pPr>
      <w:r>
        <w:rPr>
          <w:rFonts w:ascii="Times New Roman" w:hAnsi="Times New Roman"/>
          <w:szCs w:val="21"/>
        </w:rPr>
        <w:t>2.乙方违约责任：</w:t>
      </w:r>
    </w:p>
    <w:p w14:paraId="347CE1A1">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乙方拒绝交付货物，或交付的货物经两次验收仍不符合本合同约定的验收标准，甲方有权解除合同，乙方须向甲方支付合同总金额的</w:t>
      </w:r>
      <w:r>
        <w:rPr>
          <w:rFonts w:hint="eastAsia" w:ascii="Times New Roman" w:hAnsi="Times New Roman"/>
          <w:szCs w:val="21"/>
          <w:u w:val="single"/>
        </w:rPr>
        <w:t>10</w:t>
      </w:r>
      <w:r>
        <w:rPr>
          <w:rFonts w:hint="eastAsia" w:ascii="Times New Roman" w:hAnsi="Times New Roman"/>
          <w:szCs w:val="21"/>
        </w:rPr>
        <w:t>%作为违约金，并承担其它相应的经济损失，</w:t>
      </w:r>
    </w:p>
    <w:p w14:paraId="0F746E72">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rPr>
        <w:t>10</w:t>
      </w:r>
      <w:r>
        <w:rPr>
          <w:rFonts w:ascii="Times New Roman" w:hAnsi="Times New Roman"/>
          <w:szCs w:val="21"/>
        </w:rPr>
        <w:t>%向甲方支付违约金。</w:t>
      </w:r>
    </w:p>
    <w:p w14:paraId="02D398FA">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w:t>
      </w:r>
    </w:p>
    <w:p w14:paraId="7AD6B194">
      <w:pPr>
        <w:pStyle w:val="28"/>
        <w:numPr>
          <w:ilvl w:val="0"/>
          <w:numId w:val="28"/>
        </w:numPr>
        <w:snapToGrid w:val="0"/>
        <w:ind w:left="525" w:hanging="525" w:hangingChars="250"/>
        <w:rPr>
          <w:rFonts w:ascii="Times New Roman" w:hAnsi="Times New Roman"/>
          <w:szCs w:val="21"/>
        </w:rPr>
      </w:pPr>
      <w:bookmarkStart w:id="96" w:name="OLE_LINK18"/>
      <w:bookmarkStart w:id="97" w:name="OLE_LINK17"/>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14:paraId="52969890">
      <w:pPr>
        <w:pStyle w:val="28"/>
        <w:numPr>
          <w:ilvl w:val="0"/>
          <w:numId w:val="28"/>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96"/>
    <w:bookmarkEnd w:id="97"/>
    <w:p w14:paraId="57C6BB16">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1ECB066C">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p>
    <w:p w14:paraId="07960DC9">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5F1F3C0F">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14:paraId="7EDA53E8">
      <w:pPr>
        <w:pStyle w:val="28"/>
        <w:numPr>
          <w:ilvl w:val="0"/>
          <w:numId w:val="28"/>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07FD9B5">
      <w:pPr>
        <w:pStyle w:val="28"/>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3ABC048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不可抗力</w:t>
      </w:r>
    </w:p>
    <w:p w14:paraId="5CD297C6">
      <w:pPr>
        <w:pStyle w:val="28"/>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14:paraId="6B66DF1F">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5F6E3909">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17B9B98D">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24C33F96">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11E9009E">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1D9EB906">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56341542">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F41EAF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其他</w:t>
      </w:r>
    </w:p>
    <w:p w14:paraId="7939A0FA">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762DC780">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14:paraId="3228F9E9">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合同附件</w:t>
      </w:r>
    </w:p>
    <w:p w14:paraId="5BA77B5C">
      <w:pPr>
        <w:snapToGrid w:val="0"/>
        <w:rPr>
          <w:rFonts w:ascii="Times New Roman" w:hAnsi="Times New Roman"/>
          <w:szCs w:val="21"/>
        </w:rPr>
      </w:pPr>
      <w:r>
        <w:rPr>
          <w:rFonts w:ascii="Times New Roman" w:hAnsi="Times New Roman"/>
          <w:szCs w:val="21"/>
        </w:rPr>
        <w:t>附件1：配置清单</w:t>
      </w:r>
    </w:p>
    <w:p w14:paraId="022DF979">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14:paraId="4F7C784F">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8"/>
        <w:tblW w:w="5000" w:type="pct"/>
        <w:jc w:val="center"/>
        <w:tblLayout w:type="autofit"/>
        <w:tblCellMar>
          <w:top w:w="0" w:type="dxa"/>
          <w:left w:w="0" w:type="dxa"/>
          <w:bottom w:w="0" w:type="dxa"/>
          <w:right w:w="0" w:type="dxa"/>
        </w:tblCellMar>
      </w:tblPr>
      <w:tblGrid>
        <w:gridCol w:w="4962"/>
        <w:gridCol w:w="5242"/>
      </w:tblGrid>
      <w:tr w14:paraId="19B83E2E">
        <w:tblPrEx>
          <w:tblCellMar>
            <w:top w:w="0" w:type="dxa"/>
            <w:left w:w="0" w:type="dxa"/>
            <w:bottom w:w="0" w:type="dxa"/>
            <w:right w:w="0" w:type="dxa"/>
          </w:tblCellMar>
        </w:tblPrEx>
        <w:trPr>
          <w:trHeight w:val="519" w:hRule="atLeast"/>
          <w:jc w:val="center"/>
        </w:trPr>
        <w:tc>
          <w:tcPr>
            <w:tcW w:w="10214" w:type="dxa"/>
            <w:gridSpan w:val="2"/>
            <w:noWrap w:val="0"/>
            <w:vAlign w:val="top"/>
          </w:tcPr>
          <w:p w14:paraId="4CF76569">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14:paraId="250F3F9A">
        <w:tblPrEx>
          <w:tblCellMar>
            <w:top w:w="0" w:type="dxa"/>
            <w:left w:w="0" w:type="dxa"/>
            <w:bottom w:w="0" w:type="dxa"/>
            <w:right w:w="0" w:type="dxa"/>
          </w:tblCellMar>
        </w:tblPrEx>
        <w:trPr>
          <w:jc w:val="center"/>
        </w:trPr>
        <w:tc>
          <w:tcPr>
            <w:tcW w:w="4967" w:type="dxa"/>
            <w:noWrap w:val="0"/>
            <w:vAlign w:val="top"/>
          </w:tcPr>
          <w:p w14:paraId="07F1631F">
            <w:pPr>
              <w:rPr>
                <w:rFonts w:ascii="Times New Roman" w:hAnsi="Times New Roman"/>
                <w:szCs w:val="21"/>
              </w:rPr>
            </w:pPr>
            <w:r>
              <w:rPr>
                <w:rFonts w:ascii="Times New Roman" w:hAnsi="Times New Roman"/>
                <w:szCs w:val="21"/>
              </w:rPr>
              <w:t>甲方：四川省人民医院（盖章）</w:t>
            </w:r>
          </w:p>
          <w:p w14:paraId="10E7DBA5">
            <w:pPr>
              <w:rPr>
                <w:rFonts w:ascii="Times New Roman" w:hAnsi="Times New Roman"/>
                <w:szCs w:val="21"/>
              </w:rPr>
            </w:pPr>
            <w:r>
              <w:rPr>
                <w:rFonts w:ascii="Times New Roman" w:hAnsi="Times New Roman"/>
                <w:szCs w:val="21"/>
              </w:rPr>
              <w:t>法定代表人（授权代表签字）：</w:t>
            </w:r>
          </w:p>
          <w:p w14:paraId="42425FDC">
            <w:pPr>
              <w:rPr>
                <w:rFonts w:ascii="Times New Roman" w:hAnsi="Times New Roman"/>
                <w:szCs w:val="21"/>
              </w:rPr>
            </w:pPr>
            <w:r>
              <w:rPr>
                <w:rFonts w:ascii="Times New Roman" w:hAnsi="Times New Roman"/>
                <w:szCs w:val="21"/>
              </w:rPr>
              <w:t>地    址：四川省成都市一环路西二段32号</w:t>
            </w:r>
          </w:p>
          <w:p w14:paraId="4FC9AD48">
            <w:pPr>
              <w:rPr>
                <w:rFonts w:ascii="Times New Roman" w:hAnsi="Times New Roman"/>
                <w:szCs w:val="21"/>
              </w:rPr>
            </w:pPr>
            <w:r>
              <w:rPr>
                <w:rFonts w:ascii="Times New Roman" w:hAnsi="Times New Roman"/>
                <w:szCs w:val="21"/>
              </w:rPr>
              <w:t>开户银行：建设银行成都青羊支行</w:t>
            </w:r>
          </w:p>
          <w:p w14:paraId="64B56D9B">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14:paraId="2A69BBE0">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14:paraId="66442980">
            <w:pPr>
              <w:rPr>
                <w:rFonts w:ascii="Times New Roman" w:hAnsi="Times New Roman"/>
                <w:szCs w:val="21"/>
              </w:rPr>
            </w:pPr>
            <w:r>
              <w:rPr>
                <w:rFonts w:ascii="Times New Roman" w:hAnsi="Times New Roman"/>
                <w:szCs w:val="21"/>
              </w:rPr>
              <w:t>法定代表人（授权代表签字）：</w:t>
            </w:r>
          </w:p>
          <w:p w14:paraId="2263718D">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14:paraId="681FC12D">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14:paraId="5C200DD8">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14:paraId="2F994C74">
      <w:pPr>
        <w:widowControl/>
        <w:jc w:val="left"/>
        <w:rPr>
          <w:rFonts w:ascii="Times New Roman" w:hAnsi="Times New Roman"/>
          <w:b/>
          <w:bCs/>
          <w:szCs w:val="21"/>
        </w:rPr>
        <w:sectPr>
          <w:headerReference r:id="rId6" w:type="default"/>
          <w:footerReference r:id="rId7" w:type="default"/>
          <w:pgSz w:w="11906" w:h="16838"/>
          <w:pgMar w:top="1134" w:right="851" w:bottom="1134" w:left="851" w:header="851" w:footer="567" w:gutter="0"/>
          <w:pgNumType w:fmt="decimal" w:start="1"/>
          <w:cols w:space="720" w:num="1"/>
          <w:docGrid w:type="lines" w:linePitch="312" w:charSpace="0"/>
        </w:sectPr>
      </w:pPr>
    </w:p>
    <w:p w14:paraId="6DDB43DE">
      <w:pPr>
        <w:widowControl/>
        <w:jc w:val="left"/>
        <w:rPr>
          <w:rFonts w:ascii="Times New Roman" w:hAnsi="Times New Roman"/>
          <w:b/>
          <w:bCs/>
          <w:szCs w:val="21"/>
        </w:rPr>
      </w:pPr>
      <w:r>
        <w:rPr>
          <w:rFonts w:ascii="Times New Roman" w:hAnsi="Times New Roman"/>
          <w:b/>
          <w:bCs/>
          <w:szCs w:val="21"/>
        </w:rPr>
        <w:t>附件1：配置清单</w:t>
      </w:r>
    </w:p>
    <w:p w14:paraId="61230AAC">
      <w:pPr>
        <w:pStyle w:val="7"/>
        <w:rPr>
          <w:rFonts w:hint="eastAsia"/>
        </w:rPr>
      </w:pPr>
    </w:p>
    <w:p w14:paraId="5F9B3F78">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3D59F91C">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5807E196">
      <w:pPr>
        <w:rPr>
          <w:rFonts w:ascii="Times New Roman" w:hAnsi="Times New Roman"/>
          <w:szCs w:val="21"/>
        </w:rPr>
      </w:pPr>
      <w:r>
        <w:rPr>
          <w:rFonts w:ascii="Times New Roman" w:hAnsi="Times New Roman"/>
          <w:szCs w:val="21"/>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1"/>
        <w:gridCol w:w="1382"/>
        <w:gridCol w:w="1082"/>
      </w:tblGrid>
      <w:tr w14:paraId="31AC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F0E9CE2">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11C76574">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5BC4936C">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6A53D60B">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12FA2EBC">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306227F3">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6337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2AC03AF9">
            <w:pPr>
              <w:pStyle w:val="7"/>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2791E1EA">
            <w:pPr>
              <w:pStyle w:val="7"/>
              <w:spacing w:after="0"/>
              <w:contextualSpacing/>
              <w:rPr>
                <w:rFonts w:ascii="Times New Roman" w:hAnsi="Times New Roman"/>
                <w:b/>
                <w:bCs/>
                <w:szCs w:val="21"/>
              </w:rPr>
            </w:pPr>
          </w:p>
        </w:tc>
        <w:tc>
          <w:tcPr>
            <w:tcW w:w="2609" w:type="dxa"/>
            <w:noWrap w:val="0"/>
            <w:vAlign w:val="center"/>
          </w:tcPr>
          <w:p w14:paraId="7FA669BB">
            <w:pPr>
              <w:pStyle w:val="7"/>
              <w:spacing w:after="0"/>
              <w:contextualSpacing/>
              <w:rPr>
                <w:rFonts w:ascii="Times New Roman" w:hAnsi="Times New Roman"/>
                <w:b/>
                <w:bCs/>
                <w:szCs w:val="21"/>
              </w:rPr>
            </w:pPr>
          </w:p>
        </w:tc>
        <w:tc>
          <w:tcPr>
            <w:tcW w:w="1562" w:type="dxa"/>
            <w:noWrap w:val="0"/>
            <w:vAlign w:val="center"/>
          </w:tcPr>
          <w:p w14:paraId="0C72D46D">
            <w:pPr>
              <w:pStyle w:val="7"/>
              <w:spacing w:after="0"/>
              <w:contextualSpacing/>
              <w:rPr>
                <w:rFonts w:ascii="Times New Roman" w:hAnsi="Times New Roman"/>
                <w:b/>
                <w:bCs/>
                <w:szCs w:val="21"/>
              </w:rPr>
            </w:pPr>
          </w:p>
        </w:tc>
        <w:tc>
          <w:tcPr>
            <w:tcW w:w="1410" w:type="dxa"/>
            <w:noWrap w:val="0"/>
            <w:vAlign w:val="center"/>
          </w:tcPr>
          <w:p w14:paraId="79478496">
            <w:pPr>
              <w:pStyle w:val="7"/>
              <w:spacing w:after="0"/>
              <w:contextualSpacing/>
              <w:rPr>
                <w:rFonts w:ascii="Times New Roman" w:hAnsi="Times New Roman"/>
                <w:b/>
                <w:bCs/>
                <w:szCs w:val="21"/>
              </w:rPr>
            </w:pPr>
          </w:p>
        </w:tc>
        <w:tc>
          <w:tcPr>
            <w:tcW w:w="1104" w:type="dxa"/>
            <w:noWrap w:val="0"/>
            <w:vAlign w:val="center"/>
          </w:tcPr>
          <w:p w14:paraId="6033BB78">
            <w:pPr>
              <w:contextualSpacing/>
              <w:rPr>
                <w:rFonts w:ascii="Times New Roman" w:hAnsi="Times New Roman"/>
                <w:b/>
                <w:bCs/>
                <w:szCs w:val="21"/>
              </w:rPr>
            </w:pPr>
          </w:p>
        </w:tc>
      </w:tr>
      <w:permEnd w:id="36"/>
      <w:permEnd w:id="37"/>
      <w:permEnd w:id="38"/>
      <w:permEnd w:id="39"/>
      <w:permEnd w:id="40"/>
      <w:permEnd w:id="41"/>
      <w:tr w14:paraId="493BB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B602F60">
            <w:pPr>
              <w:pStyle w:val="7"/>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41A0C4BE">
            <w:pPr>
              <w:pStyle w:val="7"/>
              <w:spacing w:after="0"/>
              <w:contextualSpacing/>
              <w:rPr>
                <w:rFonts w:ascii="Times New Roman" w:hAnsi="Times New Roman"/>
                <w:b/>
                <w:bCs/>
                <w:szCs w:val="21"/>
              </w:rPr>
            </w:pPr>
          </w:p>
        </w:tc>
        <w:tc>
          <w:tcPr>
            <w:tcW w:w="2609" w:type="dxa"/>
            <w:noWrap w:val="0"/>
            <w:vAlign w:val="center"/>
          </w:tcPr>
          <w:p w14:paraId="656831FC">
            <w:pPr>
              <w:pStyle w:val="7"/>
              <w:spacing w:after="0"/>
              <w:contextualSpacing/>
              <w:rPr>
                <w:rFonts w:ascii="Times New Roman" w:hAnsi="Times New Roman"/>
                <w:b/>
                <w:bCs/>
                <w:szCs w:val="21"/>
              </w:rPr>
            </w:pPr>
          </w:p>
        </w:tc>
        <w:tc>
          <w:tcPr>
            <w:tcW w:w="1562" w:type="dxa"/>
            <w:noWrap w:val="0"/>
            <w:vAlign w:val="center"/>
          </w:tcPr>
          <w:p w14:paraId="07F9B0BB">
            <w:pPr>
              <w:contextualSpacing/>
              <w:rPr>
                <w:rFonts w:ascii="Times New Roman" w:hAnsi="Times New Roman"/>
                <w:b/>
                <w:bCs/>
                <w:szCs w:val="21"/>
              </w:rPr>
            </w:pPr>
          </w:p>
        </w:tc>
        <w:tc>
          <w:tcPr>
            <w:tcW w:w="1410" w:type="dxa"/>
            <w:noWrap w:val="0"/>
            <w:vAlign w:val="center"/>
          </w:tcPr>
          <w:p w14:paraId="7C9BD863">
            <w:pPr>
              <w:contextualSpacing/>
              <w:rPr>
                <w:rFonts w:ascii="Times New Roman" w:hAnsi="Times New Roman"/>
                <w:b/>
                <w:bCs/>
                <w:szCs w:val="21"/>
              </w:rPr>
            </w:pPr>
          </w:p>
        </w:tc>
        <w:tc>
          <w:tcPr>
            <w:tcW w:w="1104" w:type="dxa"/>
            <w:noWrap w:val="0"/>
            <w:vAlign w:val="center"/>
          </w:tcPr>
          <w:p w14:paraId="6D73C553">
            <w:pPr>
              <w:contextualSpacing/>
              <w:rPr>
                <w:rFonts w:ascii="Times New Roman" w:hAnsi="Times New Roman"/>
                <w:b/>
                <w:bCs/>
                <w:szCs w:val="21"/>
              </w:rPr>
            </w:pPr>
          </w:p>
        </w:tc>
      </w:tr>
      <w:permEnd w:id="42"/>
      <w:permEnd w:id="43"/>
      <w:permEnd w:id="44"/>
      <w:permEnd w:id="45"/>
      <w:permEnd w:id="46"/>
      <w:permEnd w:id="47"/>
      <w:tr w14:paraId="3A24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5281E66C">
            <w:pPr>
              <w:pStyle w:val="7"/>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59560C37">
            <w:pPr>
              <w:pStyle w:val="7"/>
              <w:spacing w:after="0"/>
              <w:contextualSpacing/>
              <w:rPr>
                <w:rFonts w:ascii="Times New Roman" w:hAnsi="Times New Roman"/>
                <w:b/>
                <w:bCs/>
                <w:szCs w:val="21"/>
              </w:rPr>
            </w:pPr>
          </w:p>
        </w:tc>
        <w:tc>
          <w:tcPr>
            <w:tcW w:w="2609" w:type="dxa"/>
            <w:noWrap w:val="0"/>
            <w:vAlign w:val="center"/>
          </w:tcPr>
          <w:p w14:paraId="2F4975F2">
            <w:pPr>
              <w:pStyle w:val="7"/>
              <w:spacing w:after="0"/>
              <w:contextualSpacing/>
              <w:rPr>
                <w:rFonts w:ascii="Times New Roman" w:hAnsi="Times New Roman"/>
                <w:b/>
                <w:bCs/>
                <w:szCs w:val="21"/>
              </w:rPr>
            </w:pPr>
          </w:p>
        </w:tc>
        <w:tc>
          <w:tcPr>
            <w:tcW w:w="1562" w:type="dxa"/>
            <w:noWrap w:val="0"/>
            <w:vAlign w:val="center"/>
          </w:tcPr>
          <w:p w14:paraId="2F7E2A97">
            <w:pPr>
              <w:contextualSpacing/>
              <w:rPr>
                <w:rFonts w:ascii="Times New Roman" w:hAnsi="Times New Roman"/>
                <w:b/>
                <w:bCs/>
                <w:szCs w:val="21"/>
              </w:rPr>
            </w:pPr>
          </w:p>
        </w:tc>
        <w:tc>
          <w:tcPr>
            <w:tcW w:w="1410" w:type="dxa"/>
            <w:noWrap w:val="0"/>
            <w:vAlign w:val="center"/>
          </w:tcPr>
          <w:p w14:paraId="4F58592F">
            <w:pPr>
              <w:contextualSpacing/>
              <w:rPr>
                <w:rFonts w:ascii="Times New Roman" w:hAnsi="Times New Roman"/>
                <w:b/>
                <w:bCs/>
                <w:szCs w:val="21"/>
              </w:rPr>
            </w:pPr>
          </w:p>
        </w:tc>
        <w:tc>
          <w:tcPr>
            <w:tcW w:w="1104" w:type="dxa"/>
            <w:noWrap w:val="0"/>
            <w:vAlign w:val="center"/>
          </w:tcPr>
          <w:p w14:paraId="479D5F03">
            <w:pPr>
              <w:contextualSpacing/>
              <w:rPr>
                <w:rFonts w:ascii="Times New Roman" w:hAnsi="Times New Roman"/>
                <w:b/>
                <w:bCs/>
                <w:szCs w:val="21"/>
              </w:rPr>
            </w:pPr>
          </w:p>
        </w:tc>
      </w:tr>
      <w:permEnd w:id="48"/>
      <w:permEnd w:id="49"/>
      <w:permEnd w:id="50"/>
      <w:permEnd w:id="51"/>
      <w:permEnd w:id="52"/>
      <w:permEnd w:id="53"/>
    </w:tbl>
    <w:p w14:paraId="073B504D">
      <w:pPr>
        <w:pStyle w:val="7"/>
        <w:sectPr>
          <w:pgSz w:w="11906" w:h="16838"/>
          <w:pgMar w:top="1134" w:right="851" w:bottom="1134" w:left="851" w:header="851" w:footer="567" w:gutter="0"/>
          <w:pgNumType w:fmt="decimal"/>
          <w:cols w:space="720" w:num="1"/>
          <w:docGrid w:type="lines" w:linePitch="312" w:charSpace="0"/>
        </w:sectPr>
      </w:pPr>
    </w:p>
    <w:p w14:paraId="5F822DD6">
      <w:pPr>
        <w:pStyle w:val="7"/>
        <w:rPr>
          <w:rFonts w:ascii="Times New Roman" w:hAnsi="Times New Roman"/>
          <w:b/>
          <w:bCs/>
        </w:rPr>
      </w:pPr>
      <w:r>
        <w:rPr>
          <w:rFonts w:ascii="Times New Roman" w:hAnsi="Times New Roman"/>
          <w:b/>
          <w:bCs/>
        </w:rPr>
        <w:t>附件2：货物技术参数</w:t>
      </w:r>
    </w:p>
    <w:p w14:paraId="17692585">
      <w:pPr>
        <w:pStyle w:val="7"/>
        <w:rPr>
          <w:rFonts w:ascii="Times New Roman" w:hAnsi="Times New Roman"/>
        </w:rPr>
      </w:pPr>
    </w:p>
    <w:p w14:paraId="32950016">
      <w:pPr>
        <w:rPr>
          <w:rFonts w:ascii="Times New Roman" w:hAnsi="Times New Roman"/>
        </w:rPr>
      </w:pPr>
      <w:r>
        <w:rPr>
          <w:rFonts w:hint="eastAsia"/>
        </w:rPr>
        <w:t>*</w:t>
      </w:r>
      <w:r>
        <w:t>**</w:t>
      </w: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CA0DDE1-147B-4F51-A537-4DC13954B91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5B8ADD3-D604-47D9-BE0E-1036DA1C99E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AAA4CC3-3BD5-46A5-9060-94883766F18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1EC941B-01F9-4179-A460-3FD443322E71}"/>
  </w:font>
  <w:font w:name="Segoe UI Symbol">
    <w:panose1 w:val="020B0502040204020203"/>
    <w:charset w:val="00"/>
    <w:family w:val="swiss"/>
    <w:pitch w:val="default"/>
    <w:sig w:usb0="800001E3" w:usb1="1200FFEF" w:usb2="00040000" w:usb3="04000000" w:csb0="00000001" w:csb1="40000000"/>
    <w:embedRegular r:id="rId5" w:fontKey="{181CA296-AA4C-489F-8E77-4E6DA316B440}"/>
  </w:font>
  <w:font w:name="Wingdings 2">
    <w:altName w:val="Wingdings"/>
    <w:panose1 w:val="05020102010507070707"/>
    <w:charset w:val="4D"/>
    <w:family w:val="decorative"/>
    <w:pitch w:val="default"/>
    <w:sig w:usb0="00000000" w:usb1="00000000" w:usb2="00000000" w:usb3="00000000" w:csb0="80000001" w:csb1="00000000"/>
    <w:embedRegular r:id="rId6" w:fontKey="{07C0D9E2-569C-449F-A35C-3C73A52CC276}"/>
  </w:font>
  <w:font w:name="Songti SC">
    <w:altName w:val="宋体"/>
    <w:panose1 w:val="02010600040101010101"/>
    <w:charset w:val="86"/>
    <w:family w:val="auto"/>
    <w:pitch w:val="default"/>
    <w:sig w:usb0="00000000" w:usb1="00000000" w:usb2="00000010" w:usb3="00000000" w:csb0="0004009F" w:csb1="00000000"/>
    <w:embedRegular r:id="rId7" w:fontKey="{98B96F23-72DA-4A38-8B25-B21918D71A9D}"/>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AFD10">
    <w:pPr>
      <w:pStyle w:val="11"/>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76BB3">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276BB3">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51</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EC2AD">
                          <w:pPr>
                            <w:pStyle w:val="11"/>
                          </w:pPr>
                          <w:r>
                            <w:t xml:space="preserve">第 </w:t>
                          </w:r>
                          <w:r>
                            <w:fldChar w:fldCharType="begin"/>
                          </w:r>
                          <w:r>
                            <w:instrText xml:space="preserve"> PAGE  \* MERGEFORMAT </w:instrText>
                          </w:r>
                          <w:r>
                            <w:fldChar w:fldCharType="separate"/>
                          </w:r>
                          <w:r>
                            <w:t>52</w:t>
                          </w:r>
                          <w:r>
                            <w:fldChar w:fldCharType="end"/>
                          </w:r>
                          <w:r>
                            <w:t xml:space="preserve"> 页 共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3EC2AD">
                    <w:pPr>
                      <w:pStyle w:val="11"/>
                    </w:pPr>
                    <w:r>
                      <w:t xml:space="preserve">第 </w:t>
                    </w:r>
                    <w:r>
                      <w:fldChar w:fldCharType="begin"/>
                    </w:r>
                    <w:r>
                      <w:instrText xml:space="preserve"> PAGE  \* MERGEFORMAT </w:instrText>
                    </w:r>
                    <w:r>
                      <w:fldChar w:fldCharType="separate"/>
                    </w:r>
                    <w:r>
                      <w:t>52</w:t>
                    </w:r>
                    <w:r>
                      <w:fldChar w:fldCharType="end"/>
                    </w:r>
                    <w:r>
                      <w:t xml:space="preserve"> 页 共 </w:t>
                    </w:r>
                    <w:r>
                      <w:rPr>
                        <w:rFonts w:hint="eastAsia"/>
                        <w:lang w:val="en-US" w:eastAsia="zh-CN"/>
                      </w:rPr>
                      <w:t>51</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1F929">
    <w:pPr>
      <w:pStyle w:val="12"/>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442B70F"/>
    <w:multiLevelType w:val="singleLevel"/>
    <w:tmpl w:val="B442B70F"/>
    <w:lvl w:ilvl="0" w:tentative="0">
      <w:start w:val="1"/>
      <w:numFmt w:val="decimal"/>
      <w:lvlText w:val="%1."/>
      <w:lvlJc w:val="left"/>
      <w:pPr>
        <w:tabs>
          <w:tab w:val="left" w:pos="312"/>
        </w:tabs>
      </w:pPr>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D22B88"/>
    <w:multiLevelType w:val="singleLevel"/>
    <w:tmpl w:val="61D22B88"/>
    <w:lvl w:ilvl="0" w:tentative="0">
      <w:start w:val="4"/>
      <w:numFmt w:val="decimal"/>
      <w:suff w:val="nothing"/>
      <w:lvlText w:val="%1、"/>
      <w:lvlJc w:val="left"/>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4"/>
  </w:num>
  <w:num w:numId="2">
    <w:abstractNumId w:val="4"/>
  </w:num>
  <w:num w:numId="3">
    <w:abstractNumId w:val="18"/>
  </w:num>
  <w:num w:numId="4">
    <w:abstractNumId w:val="29"/>
  </w:num>
  <w:num w:numId="5">
    <w:abstractNumId w:val="12"/>
  </w:num>
  <w:num w:numId="6">
    <w:abstractNumId w:val="23"/>
  </w:num>
  <w:num w:numId="7">
    <w:abstractNumId w:val="17"/>
  </w:num>
  <w:num w:numId="8">
    <w:abstractNumId w:val="3"/>
  </w:num>
  <w:num w:numId="9">
    <w:abstractNumId w:val="1"/>
  </w:num>
  <w:num w:numId="10">
    <w:abstractNumId w:val="0"/>
  </w:num>
  <w:num w:numId="11">
    <w:abstractNumId w:val="5"/>
  </w:num>
  <w:num w:numId="12">
    <w:abstractNumId w:val="24"/>
  </w:num>
  <w:num w:numId="13">
    <w:abstractNumId w:val="2"/>
  </w:num>
  <w:num w:numId="14">
    <w:abstractNumId w:val="8"/>
  </w:num>
  <w:num w:numId="15">
    <w:abstractNumId w:val="26"/>
  </w:num>
  <w:num w:numId="16">
    <w:abstractNumId w:val="6"/>
  </w:num>
  <w:num w:numId="17">
    <w:abstractNumId w:val="30"/>
  </w:num>
  <w:num w:numId="18">
    <w:abstractNumId w:val="28"/>
  </w:num>
  <w:num w:numId="19">
    <w:abstractNumId w:val="21"/>
  </w:num>
  <w:num w:numId="20">
    <w:abstractNumId w:val="9"/>
  </w:num>
  <w:num w:numId="21">
    <w:abstractNumId w:val="13"/>
  </w:num>
  <w:num w:numId="22">
    <w:abstractNumId w:val="7"/>
  </w:num>
  <w:num w:numId="23">
    <w:abstractNumId w:val="16"/>
  </w:num>
  <w:num w:numId="24">
    <w:abstractNumId w:val="27"/>
  </w:num>
  <w:num w:numId="25">
    <w:abstractNumId w:val="25"/>
  </w:num>
  <w:num w:numId="26">
    <w:abstractNumId w:val="19"/>
  </w:num>
  <w:num w:numId="27">
    <w:abstractNumId w:val="15"/>
  </w:num>
  <w:num w:numId="28">
    <w:abstractNumId w:val="10"/>
  </w:num>
  <w:num w:numId="29">
    <w:abstractNumId w:val="20"/>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65A81"/>
    <w:rsid w:val="02344E77"/>
    <w:rsid w:val="058C78B0"/>
    <w:rsid w:val="05E13064"/>
    <w:rsid w:val="078A573C"/>
    <w:rsid w:val="093A3733"/>
    <w:rsid w:val="0B4508AE"/>
    <w:rsid w:val="0C9746DF"/>
    <w:rsid w:val="0CF161C9"/>
    <w:rsid w:val="0D352B8F"/>
    <w:rsid w:val="0D766D04"/>
    <w:rsid w:val="0E0B7FF0"/>
    <w:rsid w:val="0F8130FB"/>
    <w:rsid w:val="0F9A05A2"/>
    <w:rsid w:val="115D07B9"/>
    <w:rsid w:val="117A5014"/>
    <w:rsid w:val="127F05A0"/>
    <w:rsid w:val="127F1D65"/>
    <w:rsid w:val="13546548"/>
    <w:rsid w:val="136D78F8"/>
    <w:rsid w:val="1411115B"/>
    <w:rsid w:val="15CC4977"/>
    <w:rsid w:val="162A4F7D"/>
    <w:rsid w:val="16A82A66"/>
    <w:rsid w:val="188F39C6"/>
    <w:rsid w:val="1994787E"/>
    <w:rsid w:val="1B395F40"/>
    <w:rsid w:val="1D8442FA"/>
    <w:rsid w:val="1DD000AF"/>
    <w:rsid w:val="1E09745A"/>
    <w:rsid w:val="1E176351"/>
    <w:rsid w:val="1FD31681"/>
    <w:rsid w:val="229D6DB5"/>
    <w:rsid w:val="23B23499"/>
    <w:rsid w:val="23D4489F"/>
    <w:rsid w:val="262001B9"/>
    <w:rsid w:val="27B87AF9"/>
    <w:rsid w:val="27E80EA9"/>
    <w:rsid w:val="280414A1"/>
    <w:rsid w:val="28570368"/>
    <w:rsid w:val="29C5318E"/>
    <w:rsid w:val="2A9E5768"/>
    <w:rsid w:val="2B502F98"/>
    <w:rsid w:val="2C9A0A9E"/>
    <w:rsid w:val="2CA621A6"/>
    <w:rsid w:val="2DA70D65"/>
    <w:rsid w:val="2EE31C10"/>
    <w:rsid w:val="30497EAF"/>
    <w:rsid w:val="30C931D7"/>
    <w:rsid w:val="314D62F2"/>
    <w:rsid w:val="3427766B"/>
    <w:rsid w:val="343706EB"/>
    <w:rsid w:val="3464675D"/>
    <w:rsid w:val="351A08D0"/>
    <w:rsid w:val="35B31394"/>
    <w:rsid w:val="36334CE5"/>
    <w:rsid w:val="36992B4F"/>
    <w:rsid w:val="3A1258C8"/>
    <w:rsid w:val="3A551407"/>
    <w:rsid w:val="3B033C36"/>
    <w:rsid w:val="3E5D4E8E"/>
    <w:rsid w:val="3FE25336"/>
    <w:rsid w:val="42075FF8"/>
    <w:rsid w:val="42842020"/>
    <w:rsid w:val="45257913"/>
    <w:rsid w:val="456979F3"/>
    <w:rsid w:val="468567BB"/>
    <w:rsid w:val="4782487D"/>
    <w:rsid w:val="49F21769"/>
    <w:rsid w:val="4B31068E"/>
    <w:rsid w:val="4BA55220"/>
    <w:rsid w:val="4BAD0151"/>
    <w:rsid w:val="4C8F75A2"/>
    <w:rsid w:val="4DAD4403"/>
    <w:rsid w:val="4E8C008E"/>
    <w:rsid w:val="4EC15C08"/>
    <w:rsid w:val="4FEF758C"/>
    <w:rsid w:val="50771A9C"/>
    <w:rsid w:val="51C47F6D"/>
    <w:rsid w:val="5455382C"/>
    <w:rsid w:val="54643166"/>
    <w:rsid w:val="5573681D"/>
    <w:rsid w:val="569A039C"/>
    <w:rsid w:val="56BA722E"/>
    <w:rsid w:val="5D0A3490"/>
    <w:rsid w:val="5D64041C"/>
    <w:rsid w:val="5D7E0D39"/>
    <w:rsid w:val="5E9D3F29"/>
    <w:rsid w:val="5F3D466C"/>
    <w:rsid w:val="60384CD1"/>
    <w:rsid w:val="60655808"/>
    <w:rsid w:val="613B6B58"/>
    <w:rsid w:val="63A9427A"/>
    <w:rsid w:val="63D462B1"/>
    <w:rsid w:val="641A3596"/>
    <w:rsid w:val="64D96647"/>
    <w:rsid w:val="655B51E5"/>
    <w:rsid w:val="65E40ADA"/>
    <w:rsid w:val="66330B86"/>
    <w:rsid w:val="66E22203"/>
    <w:rsid w:val="68B812C9"/>
    <w:rsid w:val="69D50CF4"/>
    <w:rsid w:val="6C487AFD"/>
    <w:rsid w:val="6CB24363"/>
    <w:rsid w:val="6EA93466"/>
    <w:rsid w:val="6F97249D"/>
    <w:rsid w:val="6FCF0795"/>
    <w:rsid w:val="70EE62C9"/>
    <w:rsid w:val="71381023"/>
    <w:rsid w:val="73714961"/>
    <w:rsid w:val="754D1D92"/>
    <w:rsid w:val="758350A9"/>
    <w:rsid w:val="78946F35"/>
    <w:rsid w:val="79687E1D"/>
    <w:rsid w:val="7B560FD7"/>
    <w:rsid w:val="7B5F74F8"/>
    <w:rsid w:val="7B690630"/>
    <w:rsid w:val="7C5123F4"/>
    <w:rsid w:val="7CB400F8"/>
    <w:rsid w:val="7D040AB6"/>
    <w:rsid w:val="7D4119E6"/>
    <w:rsid w:val="7D91287A"/>
    <w:rsid w:val="7DAF162B"/>
    <w:rsid w:val="7DC42B41"/>
    <w:rsid w:val="7DEC2F26"/>
    <w:rsid w:val="7E18172E"/>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null3"/>
    <w:basedOn w:val="1"/>
    <w:qFormat/>
    <w:uiPriority w:val="0"/>
    <w:pPr>
      <w:widowControl/>
      <w:jc w:val="left"/>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1407</Words>
  <Characters>1495</Characters>
  <Lines>72</Lines>
  <Paragraphs>20</Paragraphs>
  <TotalTime>0</TotalTime>
  <ScaleCrop>false</ScaleCrop>
  <LinksUpToDate>false</LinksUpToDate>
  <CharactersWithSpaces>1567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2026-07-16T07:54:11Z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AAD8643843514DB1A63FE9D986FD543D_13</vt:lpwstr>
  </property>
  <property fmtid="{D5CDD505-2E9C-101B-9397-08002B2CF9AE}" pid="4" name="KSOTemplateDocerSaveRecord">
    <vt:lpwstr>eyJoZGlkIjoiMmYzMjBlOTBlMmU5YzA1ZjM4ZDczZjBmYWNjYjE4M2UiLCJ1c2VySWQiOiI2NTgwMTYxNjcifQ==</vt:lpwstr>
  </property>
</Properties>
</file>