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中和医学实验平台、实训楼、护校空调维保服务</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highlight w:val="none"/>
          <w:lang w:val="en-US" w:eastAsia="zh-CN"/>
        </w:rPr>
        <w:t>7</w:t>
      </w:r>
      <w:r>
        <w:rPr>
          <w:rFonts w:ascii="Times New Roman" w:hAnsi="Times New Roman" w:eastAsia="黑体" w:cs="Times New Roman"/>
          <w:b/>
          <w:sz w:val="36"/>
          <w:szCs w:val="36"/>
          <w:highlight w:val="none"/>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1907"/>
      <w:bookmarkStart w:id="2" w:name="_Toc21919"/>
      <w:bookmarkStart w:id="3" w:name="_Toc3240"/>
      <w:bookmarkStart w:id="4" w:name="_Toc20358"/>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四川省人民医院中和医学实验平台、实训楼、护校空调维保服务采购项目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CGZX-HQB20260942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hint="default" w:ascii="Times New Roman" w:hAnsi="Times New Roman" w:eastAsia="仿宋" w:cs="Times New Roman"/>
                <w:sz w:val="22"/>
                <w:u w:val="none"/>
                <w:lang w:val="en-US"/>
              </w:rPr>
            </w:pPr>
            <w:r>
              <w:rPr>
                <w:rFonts w:ascii="Times New Roman" w:hAnsi="Times New Roman" w:eastAsia="仿宋" w:cs="Times New Roman"/>
                <w:sz w:val="22"/>
                <w:u w:val="none"/>
              </w:rPr>
              <w:t>人民币</w:t>
            </w:r>
            <w:r>
              <w:rPr>
                <w:rFonts w:hint="eastAsia" w:ascii="Times New Roman" w:hAnsi="Times New Roman" w:eastAsia="仿宋" w:cs="Times New Roman"/>
                <w:sz w:val="22"/>
                <w:u w:val="none"/>
                <w:lang w:val="en-US" w:eastAsia="zh-CN"/>
              </w:rPr>
              <w:t>150000.00</w:t>
            </w:r>
            <w:r>
              <w:rPr>
                <w:rFonts w:ascii="Times New Roman" w:hAnsi="Times New Roman" w:eastAsia="仿宋" w:cs="Times New Roman"/>
                <w:sz w:val="22"/>
                <w:u w:val="none"/>
              </w:rPr>
              <w:t>元</w:t>
            </w:r>
            <w:r>
              <w:rPr>
                <w:rFonts w:hint="eastAsia" w:ascii="Times New Roman" w:hAnsi="Times New Roman" w:eastAsia="仿宋" w:cs="Times New Roman"/>
                <w:sz w:val="22"/>
                <w:u w:val="none"/>
                <w:lang w:val="en-US" w:eastAsia="zh-CN"/>
              </w:rPr>
              <w:t>/年。</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70C2932C">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(1)</w:t>
            </w:r>
            <w:r>
              <w:rPr>
                <w:rFonts w:ascii="Times New Roman" w:hAnsi="Times New Roman" w:eastAsia="仿宋" w:cs="Times New Roman"/>
                <w:sz w:val="22"/>
                <w:u w:color="000000"/>
              </w:rPr>
              <w:t>踏勘签到时间：</w:t>
            </w:r>
            <w:r>
              <w:rPr>
                <w:rFonts w:hint="eastAsia" w:ascii="Times New Roman" w:hAnsi="Times New Roman" w:eastAsia="仿宋" w:cs="Times New Roman"/>
                <w:sz w:val="22"/>
                <w:highlight w:val="none"/>
                <w:u w:color="000000"/>
                <w:lang w:val="en-US" w:eastAsia="zh-CN"/>
              </w:rPr>
              <w:t>2026年7月15日</w:t>
            </w:r>
            <w:r>
              <w:rPr>
                <w:rFonts w:hint="eastAsia" w:ascii="Times New Roman" w:hAnsi="Times New Roman" w:eastAsia="仿宋" w:cs="Times New Roman"/>
                <w:sz w:val="22"/>
                <w:u w:color="000000"/>
              </w:rPr>
              <w:t>上午9：00-9：30</w:t>
            </w:r>
          </w:p>
          <w:p w14:paraId="72677446">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(2)</w:t>
            </w: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(3)</w:t>
            </w: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highlight w:val="none"/>
                <w:u w:color="000000"/>
                <w:lang w:val="en-US" w:eastAsia="zh-CN"/>
              </w:rPr>
              <w:t>2026年7月15日</w:t>
            </w:r>
            <w:r>
              <w:rPr>
                <w:rFonts w:hint="eastAsia" w:ascii="Times New Roman" w:hAnsi="Times New Roman" w:eastAsia="仿宋" w:cs="Times New Roman"/>
                <w:sz w:val="22"/>
                <w:u w:color="000000"/>
              </w:rPr>
              <w:t>10：00</w:t>
            </w:r>
          </w:p>
          <w:p w14:paraId="2DB245B1">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(4)</w:t>
            </w:r>
            <w:r>
              <w:rPr>
                <w:rFonts w:hint="eastAsia" w:ascii="Times New Roman" w:hAnsi="Times New Roman" w:eastAsia="仿宋" w:cs="Times New Roman"/>
                <w:sz w:val="22"/>
                <w:u w:color="000000"/>
              </w:rPr>
              <w:t>踏勘地点：四川省人民医院中和科研基地（高新区中和街道应龙社区256号）</w:t>
            </w:r>
          </w:p>
          <w:p w14:paraId="2B285ABD">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(5)</w:t>
            </w: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rPr>
              <w:t>蒋老师</w:t>
            </w:r>
          </w:p>
          <w:p w14:paraId="462DCA6B">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(6)</w:t>
            </w: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rPr>
              <w:t>15102815069</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合同总价的10%</w:t>
            </w:r>
          </w:p>
          <w:p w14:paraId="00EA646A">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因供应商严重违约或其它违法违规行为等情形，导致双方无法继续履约。</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8C8854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none"/>
                <w:lang w:val="en-US" w:eastAsia="zh-CN"/>
              </w:rPr>
              <w:t>无</w:t>
            </w:r>
          </w:p>
        </w:tc>
        <w:tc>
          <w:tcPr>
            <w:tcW w:w="2846" w:type="pct"/>
            <w:vAlign w:val="center"/>
          </w:tcPr>
          <w:p w14:paraId="7D3D2FEC">
            <w:pPr>
              <w:jc w:val="center"/>
              <w:rPr>
                <w:rFonts w:hint="eastAsia" w:ascii="Times New Roman" w:hAnsi="Times New Roman" w:eastAsia="仿宋" w:cs="Times New Roman"/>
                <w:sz w:val="22"/>
                <w:u w:val="single"/>
                <w:lang w:val="en-US" w:eastAsia="zh-CN"/>
              </w:rPr>
            </w:pPr>
            <w:r>
              <w:rPr>
                <w:rFonts w:hint="eastAsia" w:ascii="Times New Roman" w:hAnsi="Times New Roman" w:eastAsia="仿宋" w:cs="Times New Roman"/>
                <w:sz w:val="22"/>
                <w:u w:val="none"/>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779CE6EF">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Times New Roman" w:hAnsi="Times New Roman" w:eastAsia="仿宋" w:cs="Times New Roman"/>
          <w:b/>
          <w:bCs/>
          <w:sz w:val="24"/>
          <w:szCs w:val="24"/>
          <w:lang w:val="en-US" w:eastAsia="zh-CN"/>
        </w:rPr>
      </w:pPr>
    </w:p>
    <w:p w14:paraId="3EB4431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Times New Roman" w:hAnsi="Times New Roman" w:eastAsia="仿宋" w:cs="Times New Roman"/>
          <w:b/>
          <w:bCs/>
          <w:color w:val="auto"/>
          <w:sz w:val="24"/>
          <w:szCs w:val="24"/>
          <w:highlight w:val="none"/>
        </w:rPr>
      </w:pPr>
      <w:r>
        <w:rPr>
          <w:rFonts w:hint="eastAsia" w:ascii="Times New Roman" w:hAnsi="Times New Roman" w:eastAsia="仿宋" w:cs="Times New Roman"/>
          <w:b/>
          <w:bCs/>
          <w:color w:val="auto"/>
          <w:sz w:val="24"/>
          <w:szCs w:val="24"/>
          <w:highlight w:val="none"/>
          <w:lang w:val="en-US" w:eastAsia="zh-CN"/>
        </w:rPr>
        <w:t>一、</w:t>
      </w:r>
      <w:r>
        <w:rPr>
          <w:rFonts w:ascii="Times New Roman" w:hAnsi="Times New Roman" w:eastAsia="仿宋" w:cs="Times New Roman"/>
          <w:b/>
          <w:bCs/>
          <w:color w:val="auto"/>
          <w:sz w:val="24"/>
          <w:szCs w:val="24"/>
          <w:highlight w:val="none"/>
        </w:rPr>
        <w:t>项目简介</w:t>
      </w:r>
    </w:p>
    <w:p w14:paraId="7FAE3D30">
      <w:pPr>
        <w:pStyle w:val="14"/>
        <w:keepNext w:val="0"/>
        <w:keepLines w:val="0"/>
        <w:pageBreakBefore w:val="0"/>
        <w:widowControl/>
        <w:suppressLineNumbers w:val="0"/>
        <w:kinsoku/>
        <w:wordWrap/>
        <w:overflowPunct/>
        <w:topLinePunct w:val="0"/>
        <w:autoSpaceDE/>
        <w:autoSpaceDN/>
        <w:bidi w:val="0"/>
        <w:snapToGrid/>
        <w:spacing w:before="0" w:beforeAutospacing="0" w:after="0" w:afterAutospacing="0" w:line="440" w:lineRule="exact"/>
        <w:ind w:left="0"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因采购人实际工作需要，本项目拟采购一家供应商为四川省人民医院中和科研基地提供空调维保服务，包括</w:t>
      </w:r>
      <w:r>
        <w:rPr>
          <w:rFonts w:hint="eastAsia" w:ascii="仿宋" w:hAnsi="仿宋" w:eastAsia="仿宋" w:cs="仿宋"/>
          <w:color w:val="auto"/>
          <w:kern w:val="2"/>
          <w:sz w:val="24"/>
          <w:szCs w:val="24"/>
          <w:highlight w:val="none"/>
        </w:rPr>
        <w:t>实训楼多联机空调及净化空调系统、护校分体式空调、医学实验平台多联机空调等，</w:t>
      </w:r>
      <w:r>
        <w:rPr>
          <w:rFonts w:hint="eastAsia" w:ascii="仿宋" w:hAnsi="仿宋" w:eastAsia="仿宋" w:cs="仿宋"/>
          <w:color w:val="auto"/>
          <w:kern w:val="2"/>
          <w:sz w:val="24"/>
          <w:szCs w:val="24"/>
          <w:highlight w:val="none"/>
          <w:lang w:val="en-US" w:eastAsia="zh-CN"/>
        </w:rPr>
        <w:t>预计</w:t>
      </w:r>
      <w:r>
        <w:rPr>
          <w:rFonts w:hint="eastAsia" w:ascii="仿宋" w:hAnsi="仿宋" w:eastAsia="仿宋" w:cs="仿宋"/>
          <w:color w:val="auto"/>
          <w:kern w:val="2"/>
          <w:sz w:val="24"/>
          <w:szCs w:val="24"/>
          <w:highlight w:val="none"/>
        </w:rPr>
        <w:t>约400台空调设备。</w:t>
      </w:r>
    </w:p>
    <w:p w14:paraId="18407A91">
      <w:pPr>
        <w:pStyle w:val="14"/>
        <w:keepNext w:val="0"/>
        <w:keepLines w:val="0"/>
        <w:pageBreakBefore w:val="0"/>
        <w:widowControl/>
        <w:suppressLineNumbers w:val="0"/>
        <w:kinsoku/>
        <w:wordWrap/>
        <w:overflowPunct/>
        <w:topLinePunct w:val="0"/>
        <w:autoSpaceDE/>
        <w:autoSpaceDN/>
        <w:bidi w:val="0"/>
        <w:snapToGrid/>
        <w:spacing w:before="0" w:beforeAutospacing="0" w:after="0" w:afterAutospacing="0" w:line="440" w:lineRule="exact"/>
        <w:ind w:left="0" w:firstLine="482" w:firstLineChars="200"/>
        <w:rPr>
          <w:rFonts w:hint="default"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rPr>
        <w:t>★</w:t>
      </w:r>
      <w:r>
        <w:rPr>
          <w:rFonts w:hint="eastAsia" w:ascii="仿宋" w:hAnsi="仿宋" w:eastAsia="仿宋" w:cs="仿宋"/>
          <w:b/>
          <w:bCs/>
          <w:color w:val="auto"/>
          <w:kern w:val="2"/>
          <w:sz w:val="24"/>
          <w:szCs w:val="24"/>
          <w:highlight w:val="none"/>
          <w:lang w:val="en-US" w:eastAsia="zh-CN"/>
        </w:rPr>
        <w:t>二、维保设备清单及设备维保要求</w:t>
      </w:r>
    </w:p>
    <w:p w14:paraId="3FEAA862">
      <w:pPr>
        <w:pStyle w:val="14"/>
        <w:keepNext w:val="0"/>
        <w:keepLines w:val="0"/>
        <w:pageBreakBefore w:val="0"/>
        <w:widowControl/>
        <w:suppressLineNumbers w:val="0"/>
        <w:kinsoku/>
        <w:wordWrap/>
        <w:overflowPunct/>
        <w:topLinePunct w:val="0"/>
        <w:autoSpaceDE/>
        <w:autoSpaceDN/>
        <w:bidi w:val="0"/>
        <w:snapToGrid/>
        <w:spacing w:before="0" w:beforeAutospacing="0" w:after="0" w:afterAutospacing="0" w:line="440" w:lineRule="exact"/>
        <w:ind w:left="0" w:firstLine="482" w:firstLineChars="20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lang w:val="en-US" w:eastAsia="zh-CN"/>
        </w:rPr>
        <w:t>1.</w:t>
      </w:r>
      <w:r>
        <w:rPr>
          <w:rFonts w:hint="eastAsia" w:ascii="仿宋" w:hAnsi="仿宋" w:eastAsia="仿宋" w:cs="仿宋"/>
          <w:b/>
          <w:bCs/>
          <w:color w:val="auto"/>
          <w:kern w:val="2"/>
          <w:sz w:val="24"/>
          <w:szCs w:val="24"/>
          <w:highlight w:val="none"/>
        </w:rPr>
        <w:t>维保设备清单（本次维保范围内的设备，约70%设备已超出原厂质保期限）</w:t>
      </w:r>
    </w:p>
    <w:p w14:paraId="751DF39A">
      <w:pPr>
        <w:pStyle w:val="14"/>
        <w:keepNext w:val="0"/>
        <w:keepLines w:val="0"/>
        <w:pageBreakBefore w:val="0"/>
        <w:widowControl/>
        <w:suppressLineNumbers w:val="0"/>
        <w:kinsoku/>
        <w:wordWrap/>
        <w:overflowPunct/>
        <w:topLinePunct w:val="0"/>
        <w:autoSpaceDE/>
        <w:autoSpaceDN/>
        <w:bidi w:val="0"/>
        <w:spacing w:before="0" w:beforeAutospacing="0" w:after="0" w:afterAutospacing="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多联空调机组设备清单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50"/>
        <w:gridCol w:w="1980"/>
        <w:gridCol w:w="1038"/>
        <w:gridCol w:w="2108"/>
        <w:gridCol w:w="910"/>
        <w:gridCol w:w="2874"/>
      </w:tblGrid>
      <w:tr w14:paraId="363D4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0" w:hRule="atLeast"/>
        </w:trPr>
        <w:tc>
          <w:tcPr>
            <w:tcW w:w="705" w:type="dxa"/>
            <w:tcBorders>
              <w:top w:val="single" w:color="000000" w:sz="6" w:space="0"/>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E2F70F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60" w:type="dxa"/>
            <w:tcBorders>
              <w:top w:val="single" w:color="000000" w:sz="6" w:space="0"/>
              <w:left w:val="nil"/>
              <w:bottom w:val="single" w:color="000000" w:sz="6" w:space="0"/>
              <w:right w:val="single" w:color="000000" w:sz="6" w:space="0"/>
            </w:tcBorders>
            <w:shd w:val="clear" w:color="auto" w:fill="auto"/>
            <w:tcMar>
              <w:bottom w:w="0" w:type="dxa"/>
            </w:tcMar>
            <w:vAlign w:val="center"/>
          </w:tcPr>
          <w:p w14:paraId="65A4FD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设备名称</w:t>
            </w:r>
          </w:p>
        </w:tc>
        <w:tc>
          <w:tcPr>
            <w:tcW w:w="975" w:type="dxa"/>
            <w:tcBorders>
              <w:top w:val="single" w:color="000000" w:sz="6" w:space="0"/>
              <w:left w:val="nil"/>
              <w:bottom w:val="single" w:color="000000" w:sz="6" w:space="0"/>
              <w:right w:val="single" w:color="000000" w:sz="6" w:space="0"/>
            </w:tcBorders>
            <w:shd w:val="clear" w:color="auto" w:fill="auto"/>
            <w:tcMar>
              <w:bottom w:w="0" w:type="dxa"/>
            </w:tcMar>
            <w:vAlign w:val="center"/>
          </w:tcPr>
          <w:p w14:paraId="31BE5A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1980" w:type="dxa"/>
            <w:tcBorders>
              <w:top w:val="single" w:color="000000" w:sz="6" w:space="0"/>
              <w:left w:val="nil"/>
              <w:bottom w:val="single" w:color="000000" w:sz="6" w:space="0"/>
              <w:right w:val="single" w:color="000000" w:sz="6" w:space="0"/>
            </w:tcBorders>
            <w:shd w:val="clear" w:color="auto" w:fill="auto"/>
            <w:tcMar>
              <w:bottom w:w="0" w:type="dxa"/>
            </w:tcMar>
            <w:vAlign w:val="center"/>
          </w:tcPr>
          <w:p w14:paraId="031CEF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tc>
        <w:tc>
          <w:tcPr>
            <w:tcW w:w="855" w:type="dxa"/>
            <w:tcBorders>
              <w:top w:val="single" w:color="000000" w:sz="6" w:space="0"/>
              <w:left w:val="nil"/>
              <w:bottom w:val="single" w:color="000000" w:sz="6" w:space="0"/>
              <w:right w:val="single" w:color="000000" w:sz="6" w:space="0"/>
            </w:tcBorders>
            <w:shd w:val="clear" w:color="auto" w:fill="auto"/>
            <w:tcMar>
              <w:bottom w:w="0" w:type="dxa"/>
            </w:tcMar>
            <w:vAlign w:val="center"/>
          </w:tcPr>
          <w:p w14:paraId="22FC14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2700" w:type="dxa"/>
            <w:tcBorders>
              <w:top w:val="single" w:color="000000" w:sz="6" w:space="0"/>
              <w:left w:val="nil"/>
              <w:bottom w:val="single" w:color="000000" w:sz="6" w:space="0"/>
              <w:right w:val="single" w:color="auto" w:sz="6" w:space="0"/>
            </w:tcBorders>
            <w:shd w:val="clear" w:color="auto" w:fill="auto"/>
            <w:tcMar>
              <w:bottom w:w="0" w:type="dxa"/>
            </w:tcMar>
            <w:vAlign w:val="center"/>
          </w:tcPr>
          <w:p w14:paraId="34119C2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r>
      <w:tr w14:paraId="67995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F00FD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105EB22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多联式空调机组（外机）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44F95A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日立</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79BA7F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RAS-450FSN6Q</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78910EF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49A85D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中和实训楼屋面4楼</w:t>
            </w:r>
          </w:p>
        </w:tc>
      </w:tr>
      <w:tr w14:paraId="460DC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407F3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4D95C63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多联式空调内机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7FC7FB4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日立</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611E050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12拖59</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72EFBD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59</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160ABC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中和实训楼1、2、3楼</w:t>
            </w:r>
          </w:p>
        </w:tc>
      </w:tr>
      <w:tr w14:paraId="339BE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A0D3B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74B6E1B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多联式空调机组（外机）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770819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欧科</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2A445D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EKRV240AR1S</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7B2539F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198EC1C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中和医学实验平台1楼</w:t>
            </w:r>
          </w:p>
        </w:tc>
      </w:tr>
      <w:tr w14:paraId="1088A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C931C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7DAC35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多联式空调内机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63CD0DA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欧科</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7C37867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2拖20</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0B73EC5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01A650C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中和医学实验平台负1楼</w:t>
            </w:r>
          </w:p>
        </w:tc>
      </w:tr>
      <w:tr w14:paraId="5CEE4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8FF112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21FF94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多联式空调机组（外机）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45CB5B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三菱</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405AF1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FDC560KXDE2AQ/1</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0E77E3F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22CBB84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中和医学实验平台1、11楼</w:t>
            </w:r>
          </w:p>
        </w:tc>
      </w:tr>
      <w:tr w14:paraId="6C585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00BD1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758BCB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多联式空调内机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0B20B4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三菱</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2C76C80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14拖144</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07B5DD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0921280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中和医学实验平台1-7楼</w:t>
            </w:r>
          </w:p>
        </w:tc>
      </w:tr>
    </w:tbl>
    <w:p w14:paraId="75D18466">
      <w:pPr>
        <w:pStyle w:val="14"/>
        <w:keepNext w:val="0"/>
        <w:keepLines w:val="0"/>
        <w:pageBreakBefore w:val="0"/>
        <w:widowControl/>
        <w:suppressLineNumbers w:val="0"/>
        <w:kinsoku/>
        <w:wordWrap/>
        <w:overflowPunct/>
        <w:topLinePunct w:val="0"/>
        <w:autoSpaceDE/>
        <w:autoSpaceDN/>
        <w:bidi w:val="0"/>
        <w:spacing w:before="0" w:beforeAutospacing="0" w:after="0" w:afterAutospacing="0" w:line="44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净化空调机组设备清单</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00"/>
        <w:gridCol w:w="2013"/>
        <w:gridCol w:w="1219"/>
        <w:gridCol w:w="2430"/>
        <w:gridCol w:w="1007"/>
        <w:gridCol w:w="740"/>
        <w:gridCol w:w="1647"/>
      </w:tblGrid>
      <w:tr w14:paraId="5D03B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0" w:hRule="atLeast"/>
        </w:trPr>
        <w:tc>
          <w:tcPr>
            <w:tcW w:w="340" w:type="pct"/>
            <w:tcBorders>
              <w:top w:val="single" w:color="000000" w:sz="6" w:space="0"/>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476485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071"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375A517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设备名称</w:t>
            </w:r>
          </w:p>
        </w:tc>
        <w:tc>
          <w:tcPr>
            <w:tcW w:w="660"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4B3737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1082"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51D7558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tc>
        <w:tc>
          <w:tcPr>
            <w:tcW w:w="550"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4B5BD8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安装时间</w:t>
            </w:r>
          </w:p>
        </w:tc>
        <w:tc>
          <w:tcPr>
            <w:tcW w:w="412"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42C8F6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881" w:type="pct"/>
            <w:tcBorders>
              <w:top w:val="single" w:color="000000" w:sz="6" w:space="0"/>
              <w:left w:val="nil"/>
              <w:bottom w:val="single" w:color="000000" w:sz="6" w:space="0"/>
              <w:right w:val="single" w:color="auto" w:sz="6" w:space="0"/>
            </w:tcBorders>
            <w:shd w:val="clear" w:color="auto" w:fill="auto"/>
            <w:tcMar>
              <w:bottom w:w="0" w:type="dxa"/>
            </w:tcMar>
            <w:vAlign w:val="center"/>
          </w:tcPr>
          <w:p w14:paraId="4B56A1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r>
      <w:tr w14:paraId="63AE3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647BC3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3C3EB63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风冷变频空调机组（室外机）</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33F1CA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368854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TSAV0100BRCX</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6026BB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0E5E936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7C637B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583E4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8AB2B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623ACF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变频直膨式空调机组（室内机）</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0F2F075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2E74BD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TAC016020BHVHRHS0100</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4C10D0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44BAE04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3AD21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4286C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921B8C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0E9AEC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天加控制柜</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0C0F551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1471CE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定制</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4DB1F84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7C5C62B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53895FF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37966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6A32E5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2412DC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高效过滤器</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4F86A7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3BFBBC1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420*420</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6C28B3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440DE13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0CDCC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中和实训楼2楼</w:t>
            </w:r>
          </w:p>
        </w:tc>
      </w:tr>
      <w:tr w14:paraId="7BDC7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C4AC81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789BC2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高效过滤器</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793E8EA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1562694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600*600</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4DB4A15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20D779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78A1BF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中和实训楼2楼</w:t>
            </w:r>
          </w:p>
        </w:tc>
      </w:tr>
      <w:tr w14:paraId="26C17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9CA65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71A77A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约克空调机</w:t>
            </w:r>
          </w:p>
          <w:p w14:paraId="615159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1E0198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YORK（约克）</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3725B5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YEOH120VPEMBQH</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0506BCB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3EB0F2F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CAE1A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123D3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17013B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597327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直膨式组合空气处理机组</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24E50E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YORK（约克）</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5453624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YDXT-1216SE/BKA</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63B884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4AE925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4B6C761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16BF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082A4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065AD3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约克控制柜</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6544428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YORK（约克）</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58954E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定制</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0215E18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3DA7CF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509575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3E535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9A4FD1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712EEB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高效过滤器</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53E963E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YORK（约克）</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1C154B8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420*420</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33A241B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2F8BFE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EE087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bl>
    <w:p w14:paraId="3E4E42E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分体空调设备清单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57"/>
        <w:gridCol w:w="18"/>
        <w:gridCol w:w="1910"/>
        <w:gridCol w:w="1879"/>
        <w:gridCol w:w="2728"/>
        <w:gridCol w:w="2155"/>
      </w:tblGrid>
      <w:tr w14:paraId="557BA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single" w:color="000000" w:sz="6" w:space="0"/>
              <w:left w:val="single" w:color="000000" w:sz="6" w:space="0"/>
              <w:bottom w:val="single" w:color="000000" w:sz="6" w:space="0"/>
              <w:right w:val="single" w:color="000000" w:sz="6" w:space="0"/>
            </w:tcBorders>
            <w:shd w:val="clear" w:color="auto" w:fill="A4A4A4"/>
            <w:tcMar>
              <w:top w:w="0" w:type="dxa"/>
              <w:left w:w="105" w:type="dxa"/>
              <w:bottom w:w="0" w:type="dxa"/>
              <w:right w:w="105" w:type="dxa"/>
            </w:tcMar>
            <w:vAlign w:val="center"/>
          </w:tcPr>
          <w:p w14:paraId="4E88F00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老教学楼</w:t>
            </w:r>
          </w:p>
        </w:tc>
      </w:tr>
      <w:tr w14:paraId="03E10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15446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979" w:type="pct"/>
            <w:gridSpan w:val="2"/>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4D9D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房间编号</w:t>
            </w:r>
          </w:p>
        </w:tc>
        <w:tc>
          <w:tcPr>
            <w:tcW w:w="954"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3309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品牌</w:t>
            </w:r>
          </w:p>
        </w:tc>
        <w:tc>
          <w:tcPr>
            <w:tcW w:w="1385"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60EE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型号</w:t>
            </w:r>
          </w:p>
        </w:tc>
        <w:tc>
          <w:tcPr>
            <w:tcW w:w="1092" w:type="pct"/>
            <w:tcBorders>
              <w:top w:val="single" w:color="000000" w:sz="6" w:space="0"/>
              <w:left w:val="nil"/>
              <w:bottom w:val="single" w:color="000000" w:sz="6" w:space="0"/>
              <w:right w:val="single" w:color="000000" w:sz="6" w:space="0"/>
            </w:tcBorders>
            <w:shd w:val="clear" w:color="auto" w:fill="EFEFEF"/>
            <w:tcMar>
              <w:top w:w="0" w:type="dxa"/>
              <w:left w:w="105" w:type="dxa"/>
              <w:bottom w:w="0" w:type="dxa"/>
              <w:right w:w="105" w:type="dxa"/>
            </w:tcMar>
            <w:vAlign w:val="center"/>
          </w:tcPr>
          <w:p w14:paraId="708AB02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空调情况</w:t>
            </w:r>
          </w:p>
        </w:tc>
      </w:tr>
      <w:tr w14:paraId="4E1C7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E4E40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95432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A7E1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D7361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6287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3AF0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C14A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1F9F7B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EF549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AC51C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8F75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6CB0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E6F36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7DA92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DA54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656F5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687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B9BD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6E08DA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1CD7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A2B0A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BD2EE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E3EF5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2301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A81FF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3EAC0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466B2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9C9CC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C88F5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6C43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C178A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61223B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6257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00960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EDA05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E1C3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162BA3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3165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6AAE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C341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259DC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53613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17F26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D76A7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7942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3152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B6E4F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B45E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F328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7784C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62D2D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9E62A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B177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D584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98A0C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FABE5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阶梯教室1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14B2B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36CB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0AF4F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7C9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BC9C9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B80F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阶梯教室2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4439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A5C6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E6DD4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643E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0F6F53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07045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46D58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50831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6F08E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C7C8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EFA64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FF37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8837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B664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43D40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风叶打不开</w:t>
            </w:r>
          </w:p>
        </w:tc>
      </w:tr>
      <w:tr w14:paraId="4CEEB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083C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7D698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D2915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1A77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542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风叶打不开</w:t>
            </w:r>
          </w:p>
        </w:tc>
      </w:tr>
      <w:tr w14:paraId="3FD5C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D5CCC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6B2D5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8731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DAEC5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A31E1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08DF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09799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BF39F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8CA8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E692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60B4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1E1F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5C36B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D0FD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9D5A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7507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A09BD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4067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04C0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E471B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7417A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7A394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70D94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7CCB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0431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BDD8F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B0D92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C505B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8972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只制冷不制热</w:t>
            </w:r>
          </w:p>
        </w:tc>
      </w:tr>
      <w:tr w14:paraId="177E3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12097A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1E3B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0920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76863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A6631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5F05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9CF796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921051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36EB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932D8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FDA5F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C540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54004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EB37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7EFC2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A2F9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C004E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870C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93E7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B611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AE2A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1F28E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2FF9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CA62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06A454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E8BBF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551B8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CB6B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36D3E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3ED2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2126B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00B4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1CFC2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BEC0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52A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8633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21E23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1A001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7366A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9C040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4E5F4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3C39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9C566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BA0E2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1191C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019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7199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4006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3101A9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D8DE1E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1F0ED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E98CD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7A6B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9337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7FAB6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6BFF88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DBFB6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81686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3692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A4A1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8A4B2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FB60F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F6A74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CDA46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7C9F2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7F39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83E75D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358C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BAA6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26833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E115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7C03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AB395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377827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E45DE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00D81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1BA3B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7FBC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nil"/>
              <w:left w:val="single" w:color="000000" w:sz="6" w:space="0"/>
              <w:bottom w:val="nil"/>
              <w:right w:val="nil"/>
            </w:tcBorders>
            <w:shd w:val="clear" w:color="auto" w:fill="BCBCBC"/>
            <w:tcMar>
              <w:top w:w="0" w:type="dxa"/>
              <w:left w:w="105" w:type="dxa"/>
              <w:bottom w:w="0" w:type="dxa"/>
              <w:right w:w="105" w:type="dxa"/>
            </w:tcMar>
            <w:vAlign w:val="center"/>
          </w:tcPr>
          <w:p w14:paraId="52628E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食堂</w:t>
            </w:r>
          </w:p>
        </w:tc>
      </w:tr>
      <w:tr w14:paraId="29674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6B4CB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7731D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食堂1号机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4A74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55AC8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E3AF8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9539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8CC25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78AE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食堂2号机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E77F6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F2ED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7B28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90B5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4B719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A5900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食堂3号机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C54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4E7E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0E5D3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5F76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76DB3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D9A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食堂4号机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8B419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AC57B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3E17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D15B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8C47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088B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食堂5号机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2D9AC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AED816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68C2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8405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BC671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57150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食堂6号机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C0226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49B5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F66C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7752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EAE3A7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39</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2850F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食堂7号机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4C58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69AB0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2D768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17E9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single" w:color="000000" w:sz="6" w:space="0"/>
              <w:left w:val="single" w:color="000000" w:sz="6" w:space="0"/>
              <w:bottom w:val="single" w:color="000000" w:sz="6" w:space="0"/>
              <w:right w:val="single" w:color="000000" w:sz="6" w:space="0"/>
            </w:tcBorders>
            <w:shd w:val="clear" w:color="auto" w:fill="D0D0D0"/>
            <w:tcMar>
              <w:top w:w="0" w:type="dxa"/>
              <w:left w:w="105" w:type="dxa"/>
              <w:bottom w:w="0" w:type="dxa"/>
              <w:right w:w="105" w:type="dxa"/>
            </w:tcMar>
            <w:vAlign w:val="center"/>
          </w:tcPr>
          <w:p w14:paraId="0B0ACCA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学生公寓</w:t>
            </w:r>
          </w:p>
        </w:tc>
      </w:tr>
      <w:tr w14:paraId="2F4D7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39893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748C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F5131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7B53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CAA12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0BE2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16EC1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9CD7A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10D7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01DC2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3C885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161F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ABDB0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6AF7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8EAB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1FFAA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AB3D1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518A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BBB1B3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18BB0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916B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8D546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1451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A5D3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95D78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1E26FA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92D4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ABFC0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96A2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3663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CF6D3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001B6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7878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A5B2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D33F1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CF63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84CC6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8B4023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DC97D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6ED9C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4389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03F8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3F597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8393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A10A4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A7C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1F6B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8AB7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F39964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7187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20261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7B30A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DF6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90A8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2F1C8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A001B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A24F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5B5D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F3326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787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CE67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156D4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36EF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9D3E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2E20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7800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4A8F33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9A8EE1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3F616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CDAB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C5DCD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96AB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9867B0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50915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D108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DC004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56D0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E18C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6EB87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B7BC5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A524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4A25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KFR-26GM</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3A45F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005F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7CFD41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15A2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2F16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704C2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C6180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131E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BAD66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D439E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FF25E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3EC70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A465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991F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65E122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65FEB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0958A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C8268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83290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6B3E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C2962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60D4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DE7D0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E43C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9A61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5E34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7D8043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4020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E85A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D11E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KFR-26GM</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0047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AEDE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587FF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895BF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4857B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7680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B23E7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E6C4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96328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8B86D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92CC5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04901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E96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6EC8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3B092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B682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68A28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51877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437F5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2082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861B2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A37B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229CC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DF9D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5D31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9C4B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E4A23E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5A737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C094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BC6E7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EDF8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94C6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22F79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DCF07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6883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03F3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C816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E2BC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BCF8FB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10E4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8F83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081D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FAEDB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6B83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F6089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EFFD4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43FC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4DEC9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A12A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9C95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5E314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ADBC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75286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625FC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4ADF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352E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8E20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D658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1C67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7EE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0680E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7F44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1613D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6BCC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F92D8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87180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628C6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4547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4FF50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6FC972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628F5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07D44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7305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A3A7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D5DC78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DC68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54A6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082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D602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721D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A1A97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F0C7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67F82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CCF94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7860C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2095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4175A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5AE2A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EF317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62E6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3B67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64FB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3675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389A4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86B9C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1F95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8677C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B10F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D710E1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F4EB8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F6AA7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5A7F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74FB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E8E8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F8FA19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4C7D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99A2A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CD0A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211E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8B68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4BDC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B2C5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F084D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40E1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1650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8AF1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C4AF1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E05F9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9682C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891A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3E49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F053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E6E41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501EF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05A9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7CB74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FFACF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E51D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CCA9D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4E28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7B923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0DBF9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81D21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88DD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5867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4DDD0D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5CECB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4729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5286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2E67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7D57B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7251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36A2C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E70B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8972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7BE6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EB3DB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3D2B9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A72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11CF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4B90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E4F3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6F94B6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5337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0455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A6153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9CB4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9DBA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721EA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9C36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AF54E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2D15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E78F7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4F24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08046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BEC81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61E53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C10A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024D2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8124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C1B63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4244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9881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D3C7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6E908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FE4A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1A335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756A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2874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BDE2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4CCFD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6BAF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14567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3388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6B3BE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5EF8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B262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AAF9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00A58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02A9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F7B1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682F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1100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DB7F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B80E05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96749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9DDD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8DEE7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08DE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BF6A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D66C1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9B0A4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842A0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8304B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99A1B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006F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0683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17A29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403A9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469D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8E9DB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572C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B482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3FAFF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2B6F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84B99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E10B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402A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CDE6E4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37B48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3D0C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40B77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DDD38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834E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E3461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A151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336F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B91E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3A31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E56D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5AB5C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94C782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B949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5224E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1863F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204E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9C4F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5F08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A263D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35907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E1C1F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DECB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122EB6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E235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701F8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649CD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4744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9350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75BE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E143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F30D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DDD8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84E54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52E0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F894F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34E7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00A0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3F3D6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653B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D6AC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64A23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EC00F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19A8F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F47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2AA69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8724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7C583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D9DE2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0BF6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FA1C2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8B3B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A574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AE94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0556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DC4A2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796A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852F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8EC8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CBA28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A4F3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B365F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D472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5E695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529F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3F95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F060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B0179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0BC31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9E14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2C4B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single" w:color="000000" w:sz="6" w:space="0"/>
              <w:left w:val="single" w:color="000000" w:sz="6" w:space="0"/>
              <w:bottom w:val="single" w:color="000000" w:sz="6" w:space="0"/>
              <w:right w:val="single" w:color="000000" w:sz="6" w:space="0"/>
            </w:tcBorders>
            <w:shd w:val="clear" w:color="auto" w:fill="A0A0A0"/>
            <w:tcMar>
              <w:top w:w="0" w:type="dxa"/>
              <w:left w:w="105" w:type="dxa"/>
              <w:bottom w:w="0" w:type="dxa"/>
              <w:right w:w="105" w:type="dxa"/>
            </w:tcMar>
            <w:vAlign w:val="center"/>
          </w:tcPr>
          <w:p w14:paraId="5257094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客房部</w:t>
            </w:r>
          </w:p>
        </w:tc>
      </w:tr>
      <w:tr w14:paraId="12592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6E8A4A8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9A53D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F705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CCF4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KFR-25GW/DC3</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9403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1984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37DDAE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64DEC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FF89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B8D1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KFR-120LW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CDF42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A0C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3CFAA00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109</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8619C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EF69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47145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KFR-120LW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43CB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C73D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7D19D4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E2BF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3CD4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6FBB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KFR-120LW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3F2F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C5F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208A28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5F9152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CA0D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7E668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KFR-120LW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EDC09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B62A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25DB2F2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FC66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251B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21B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KFR-25GW/DC3</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51497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0EB6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767F384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59F9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DD9A1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34159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8E48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内机异响</w:t>
            </w:r>
          </w:p>
        </w:tc>
      </w:tr>
      <w:tr w14:paraId="4F582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5BAF34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662C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0044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550A1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6193B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内机异响</w:t>
            </w:r>
          </w:p>
        </w:tc>
      </w:tr>
      <w:tr w14:paraId="2177E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5C62733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149B1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DB31D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E8142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7A1C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309C7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18A51BB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017F5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B659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6FED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15AB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2355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284246F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A2B5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2BAE7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7383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E99CF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88D2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67D18CF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39B262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45D8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14C4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F7BE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1134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C39D4F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EF0E4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9F0BA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D5EE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E5DA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42C6D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2DED43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120</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D6918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7296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41B7B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4A7F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A651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76941C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8E62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CEBD2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6E4F5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3970B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227FA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70D6135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1EBB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B294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0B91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FDCBA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CE84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4921A4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BC59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744F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19C4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2E418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02841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B4656A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AAC7C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6377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E286B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7FB7F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AD8C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9A1B64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125</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49878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FA073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150E7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4C316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BF1D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1C98F6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126</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5E8AC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7EEFF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B4DB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1BD0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内机异响</w:t>
            </w:r>
          </w:p>
        </w:tc>
      </w:tr>
      <w:tr w14:paraId="5839A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52E85A5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127</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3C9AF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E2C1B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A55DA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85BC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316C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5EB008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128</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F869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35D9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0294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23F0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7F637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0939D51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129</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648B76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64FF7F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AFF88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3F763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只制冷不制热</w:t>
            </w:r>
          </w:p>
        </w:tc>
      </w:tr>
      <w:tr w14:paraId="15F4C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31238CE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130</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832F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5A530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9AF7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637B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5E3F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3D9A59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5DDB9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CAD6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597E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3B4AF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2AC2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B32C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0997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值班室</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6490D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A616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KF-35GW/E</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C3262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739CF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D909C4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AE3A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门卫室</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D3223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3BDE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KFR-32GW/E</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04FC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3058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5047A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134</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1898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监控室</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16FB8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01B3F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79B9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79DFC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single" w:color="000000" w:sz="6" w:space="0"/>
              <w:left w:val="single" w:color="000000" w:sz="6" w:space="0"/>
              <w:bottom w:val="single" w:color="000000" w:sz="6" w:space="0"/>
              <w:right w:val="single" w:color="000000" w:sz="6" w:space="0"/>
            </w:tcBorders>
            <w:shd w:val="clear" w:color="auto" w:fill="A4A4A4"/>
            <w:tcMar>
              <w:top w:w="0" w:type="dxa"/>
              <w:left w:w="105" w:type="dxa"/>
              <w:bottom w:w="0" w:type="dxa"/>
              <w:right w:w="105" w:type="dxa"/>
            </w:tcMar>
            <w:vAlign w:val="center"/>
          </w:tcPr>
          <w:p w14:paraId="77C507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新大楼</w:t>
            </w:r>
          </w:p>
        </w:tc>
      </w:tr>
      <w:tr w14:paraId="745C3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C8F432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135</w:t>
            </w:r>
          </w:p>
        </w:tc>
        <w:tc>
          <w:tcPr>
            <w:tcW w:w="970"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89EE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954"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C7AB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D0B32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FD2A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4A60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C4F4E7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136</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5347D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FAC88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2238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A6886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0A5E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nil"/>
              <w:left w:val="single" w:color="000000" w:sz="6" w:space="0"/>
              <w:bottom w:val="single" w:color="000000" w:sz="6" w:space="0"/>
              <w:right w:val="single" w:color="000000" w:sz="6" w:space="0"/>
            </w:tcBorders>
            <w:shd w:val="clear" w:color="auto" w:fill="A4A4A4"/>
            <w:tcMar>
              <w:top w:w="0" w:type="dxa"/>
              <w:left w:w="105" w:type="dxa"/>
              <w:bottom w:w="0" w:type="dxa"/>
              <w:right w:w="105" w:type="dxa"/>
            </w:tcMar>
            <w:vAlign w:val="center"/>
          </w:tcPr>
          <w:p w14:paraId="670EED8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E区库房</w:t>
            </w:r>
          </w:p>
        </w:tc>
      </w:tr>
      <w:tr w14:paraId="7E96A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30D6B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137</w:t>
            </w:r>
          </w:p>
        </w:tc>
        <w:tc>
          <w:tcPr>
            <w:tcW w:w="970"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FA0F4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库房2</w:t>
            </w:r>
          </w:p>
        </w:tc>
        <w:tc>
          <w:tcPr>
            <w:tcW w:w="954"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33BE3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5EF91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KFR-50GW/K</w:t>
            </w:r>
          </w:p>
        </w:tc>
        <w:tc>
          <w:tcPr>
            <w:tcW w:w="109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B8212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18041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10DA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138</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69A13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库房4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BDEF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64C0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63A4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1D0FF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D7968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139</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80670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13BA7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3FAD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KF-35GW/E</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83B17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49BB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E6BA1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140</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5B233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门卫室1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BDE1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AC664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KF-35GW/E</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45D2A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5EE8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FED9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2B192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门卫室2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0C27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E4E2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KFR-25GW/DC3</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AB7F5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0173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E002F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实训楼</w:t>
            </w:r>
          </w:p>
        </w:tc>
      </w:tr>
      <w:tr w14:paraId="2B670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E4F9F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w:t>
            </w:r>
          </w:p>
        </w:tc>
        <w:tc>
          <w:tcPr>
            <w:tcW w:w="970"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859BE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实训楼1楼</w:t>
            </w:r>
          </w:p>
        </w:tc>
        <w:tc>
          <w:tcPr>
            <w:tcW w:w="954"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1BC1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18FE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AC10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D3B2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AB3A6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0E62E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实训楼1楼</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7CC7F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0E83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0CE4C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0232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1C8CE6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E1029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实训楼1楼</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D6D8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5E32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B3DF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9846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B4921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145</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A478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实训楼1楼</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090D3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5A9D0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15753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bl>
    <w:p w14:paraId="5DF630D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2" w:firstLineChars="200"/>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2.设备维保要求</w:t>
      </w:r>
    </w:p>
    <w:p w14:paraId="074424C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1）</w:t>
      </w:r>
      <w:r>
        <w:rPr>
          <w:rFonts w:hint="eastAsia" w:ascii="仿宋" w:hAnsi="仿宋" w:eastAsia="仿宋" w:cs="仿宋"/>
          <w:color w:val="auto"/>
          <w:kern w:val="2"/>
          <w:sz w:val="24"/>
          <w:szCs w:val="24"/>
          <w:highlight w:val="none"/>
        </w:rPr>
        <w:t>定期保养：每年进行两次保养，上下半年各一次，保养内容包括：检查空调运行状况、空调安全性能等，对空调存在的问题进行修复处理。</w:t>
      </w:r>
    </w:p>
    <w:p w14:paraId="7A61382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定期清洗：每年进行两次深度清洗，上下半年各一次，清洗包括内外机：机壳、接水盘污垢、过滤网、散热网、循环管、叶轮、排水管污垢、蒸发器、冷凝器、进出风口等。</w:t>
      </w:r>
    </w:p>
    <w:p w14:paraId="44C9210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不定期清洗，接到科室的分体空调清洗需求后，按要求进行清洗。</w:t>
      </w:r>
    </w:p>
    <w:p w14:paraId="6AFFD08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平时维修维护，接到科室的报修需求后，对维保范围内的各类品牌分体空调进行维修维护，包括空调不启动、不工作、不制冷、不制热、滴水漏水、不出风、风量小、结冰结霜、保温层损坏缺失、排水不畅通、铜管损坏、缺氟漏氟等，确保空调正常运行，保障科室的使用需求。</w:t>
      </w:r>
    </w:p>
    <w:p w14:paraId="4997A92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b w:val="0"/>
          <w:bCs w:val="0"/>
          <w:color w:val="auto"/>
          <w:kern w:val="2"/>
          <w:sz w:val="24"/>
          <w:szCs w:val="24"/>
          <w:highlight w:val="none"/>
          <w:lang w:val="en-US" w:eastAsia="zh-CN"/>
        </w:rPr>
      </w:pPr>
      <w:r>
        <w:rPr>
          <w:rFonts w:hint="eastAsia" w:ascii="仿宋" w:hAnsi="仿宋" w:eastAsia="仿宋" w:cs="仿宋"/>
          <w:b w:val="0"/>
          <w:bCs w:val="0"/>
          <w:color w:val="auto"/>
          <w:kern w:val="2"/>
          <w:sz w:val="24"/>
          <w:szCs w:val="24"/>
          <w:highlight w:val="none"/>
          <w:lang w:eastAsia="zh-CN"/>
        </w:rPr>
        <w:t>（</w:t>
      </w:r>
      <w:r>
        <w:rPr>
          <w:rFonts w:hint="eastAsia" w:ascii="仿宋" w:hAnsi="仿宋" w:eastAsia="仿宋" w:cs="仿宋"/>
          <w:b w:val="0"/>
          <w:bCs w:val="0"/>
          <w:color w:val="auto"/>
          <w:kern w:val="2"/>
          <w:sz w:val="24"/>
          <w:szCs w:val="24"/>
          <w:highlight w:val="none"/>
          <w:lang w:val="en-US" w:eastAsia="zh-CN"/>
        </w:rPr>
        <w:t>5）</w:t>
      </w:r>
      <w:r>
        <w:rPr>
          <w:rFonts w:hint="eastAsia" w:ascii="仿宋" w:hAnsi="仿宋" w:eastAsia="仿宋" w:cs="仿宋"/>
          <w:b w:val="0"/>
          <w:bCs w:val="0"/>
          <w:color w:val="auto"/>
          <w:kern w:val="2"/>
          <w:sz w:val="24"/>
          <w:szCs w:val="24"/>
          <w:highlight w:val="none"/>
        </w:rPr>
        <w:t>多联空调机组</w:t>
      </w:r>
      <w:r>
        <w:rPr>
          <w:rFonts w:hint="eastAsia" w:ascii="仿宋" w:hAnsi="仿宋" w:eastAsia="仿宋" w:cs="仿宋"/>
          <w:b w:val="0"/>
          <w:bCs w:val="0"/>
          <w:color w:val="auto"/>
          <w:kern w:val="2"/>
          <w:sz w:val="24"/>
          <w:szCs w:val="24"/>
          <w:highlight w:val="none"/>
          <w:lang w:val="en-US" w:eastAsia="zh-CN"/>
        </w:rPr>
        <w:t>维保要求：</w:t>
      </w:r>
    </w:p>
    <w:p w14:paraId="25FDE1C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多联空调机组维修维护包括整套系统从主端到末端，与空调配套的配电箱、线路等也在维修维护范围内。</w:t>
      </w:r>
    </w:p>
    <w:p w14:paraId="3EAD39E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jc w:val="both"/>
        <w:rPr>
          <w:rFonts w:hint="eastAsia" w:ascii="仿宋" w:hAnsi="仿宋" w:eastAsia="仿宋" w:cs="仿宋"/>
          <w:b w:val="0"/>
          <w:bCs w:val="0"/>
          <w:color w:val="auto"/>
          <w:kern w:val="2"/>
          <w:sz w:val="24"/>
          <w:szCs w:val="24"/>
          <w:highlight w:val="none"/>
          <w:lang w:val="en-US" w:eastAsia="zh-CN"/>
        </w:rPr>
      </w:pPr>
      <w:r>
        <w:rPr>
          <w:rFonts w:hint="eastAsia" w:ascii="仿宋" w:hAnsi="仿宋" w:eastAsia="仿宋" w:cs="仿宋"/>
          <w:b w:val="0"/>
          <w:bCs w:val="0"/>
          <w:color w:val="auto"/>
          <w:kern w:val="2"/>
          <w:sz w:val="24"/>
          <w:szCs w:val="24"/>
          <w:highlight w:val="none"/>
          <w:lang w:eastAsia="zh-CN"/>
        </w:rPr>
        <w:t>（</w:t>
      </w:r>
      <w:r>
        <w:rPr>
          <w:rFonts w:hint="eastAsia" w:ascii="仿宋" w:hAnsi="仿宋" w:eastAsia="仿宋" w:cs="仿宋"/>
          <w:b w:val="0"/>
          <w:bCs w:val="0"/>
          <w:color w:val="auto"/>
          <w:kern w:val="2"/>
          <w:sz w:val="24"/>
          <w:szCs w:val="24"/>
          <w:highlight w:val="none"/>
          <w:lang w:val="en-US" w:eastAsia="zh-CN"/>
        </w:rPr>
        <w:t>6）</w:t>
      </w:r>
      <w:r>
        <w:rPr>
          <w:rFonts w:hint="eastAsia" w:ascii="仿宋" w:hAnsi="仿宋" w:eastAsia="仿宋" w:cs="仿宋"/>
          <w:b w:val="0"/>
          <w:bCs w:val="0"/>
          <w:color w:val="auto"/>
          <w:kern w:val="2"/>
          <w:sz w:val="24"/>
          <w:szCs w:val="24"/>
          <w:highlight w:val="none"/>
        </w:rPr>
        <w:t>净化空调机组</w:t>
      </w:r>
      <w:r>
        <w:rPr>
          <w:rFonts w:hint="eastAsia" w:ascii="仿宋" w:hAnsi="仿宋" w:eastAsia="仿宋" w:cs="仿宋"/>
          <w:b w:val="0"/>
          <w:bCs w:val="0"/>
          <w:color w:val="auto"/>
          <w:kern w:val="2"/>
          <w:sz w:val="24"/>
          <w:szCs w:val="24"/>
          <w:highlight w:val="none"/>
          <w:lang w:val="en-US" w:eastAsia="zh-CN"/>
        </w:rPr>
        <w:t>维保要求：</w:t>
      </w:r>
    </w:p>
    <w:p w14:paraId="1F8DE07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每季度更换一次初效过滤器，每半年更换一次中效过滤器，每年更换一次高效过滤器。</w:t>
      </w:r>
    </w:p>
    <w:p w14:paraId="17C375A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净化空调机组维修维护包括整套系统从主端到末端，净化空调机组配套的配电箱、控制系统、线路也在维修维护范围内。</w:t>
      </w:r>
    </w:p>
    <w:p w14:paraId="0D0B509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b w:val="0"/>
          <w:bCs w:val="0"/>
          <w:color w:val="auto"/>
          <w:kern w:val="2"/>
          <w:sz w:val="24"/>
          <w:szCs w:val="24"/>
          <w:highlight w:val="none"/>
          <w:lang w:val="en-US" w:eastAsia="zh-CN"/>
        </w:rPr>
      </w:pPr>
      <w:r>
        <w:rPr>
          <w:rFonts w:hint="eastAsia" w:ascii="仿宋" w:hAnsi="仿宋" w:eastAsia="仿宋" w:cs="仿宋"/>
          <w:b w:val="0"/>
          <w:bCs w:val="0"/>
          <w:color w:val="auto"/>
          <w:kern w:val="2"/>
          <w:sz w:val="24"/>
          <w:szCs w:val="24"/>
          <w:highlight w:val="none"/>
          <w:lang w:eastAsia="zh-CN"/>
        </w:rPr>
        <w:t>（</w:t>
      </w:r>
      <w:r>
        <w:rPr>
          <w:rFonts w:hint="eastAsia" w:ascii="仿宋" w:hAnsi="仿宋" w:eastAsia="仿宋" w:cs="仿宋"/>
          <w:b w:val="0"/>
          <w:bCs w:val="0"/>
          <w:color w:val="auto"/>
          <w:kern w:val="2"/>
          <w:sz w:val="24"/>
          <w:szCs w:val="24"/>
          <w:highlight w:val="none"/>
          <w:lang w:val="en-US" w:eastAsia="zh-CN"/>
        </w:rPr>
        <w:t>7）</w:t>
      </w:r>
      <w:r>
        <w:rPr>
          <w:rFonts w:hint="eastAsia" w:ascii="仿宋" w:hAnsi="仿宋" w:eastAsia="仿宋" w:cs="仿宋"/>
          <w:b w:val="0"/>
          <w:bCs w:val="0"/>
          <w:color w:val="auto"/>
          <w:kern w:val="2"/>
          <w:sz w:val="24"/>
          <w:szCs w:val="24"/>
          <w:highlight w:val="none"/>
        </w:rPr>
        <w:t>分体空调</w:t>
      </w:r>
      <w:r>
        <w:rPr>
          <w:rFonts w:hint="eastAsia" w:ascii="仿宋" w:hAnsi="仿宋" w:eastAsia="仿宋" w:cs="仿宋"/>
          <w:b w:val="0"/>
          <w:bCs w:val="0"/>
          <w:color w:val="auto"/>
          <w:kern w:val="2"/>
          <w:sz w:val="24"/>
          <w:szCs w:val="24"/>
          <w:highlight w:val="none"/>
          <w:lang w:val="en-US" w:eastAsia="zh-CN"/>
        </w:rPr>
        <w:t>维保要求：</w:t>
      </w:r>
    </w:p>
    <w:p w14:paraId="1965BFD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供应商</w:t>
      </w:r>
      <w:r>
        <w:rPr>
          <w:rFonts w:hint="eastAsia" w:ascii="仿宋" w:hAnsi="仿宋" w:eastAsia="仿宋" w:cs="仿宋"/>
          <w:color w:val="auto"/>
          <w:kern w:val="2"/>
          <w:sz w:val="24"/>
          <w:szCs w:val="24"/>
          <w:highlight w:val="none"/>
        </w:rPr>
        <w:t>负责旧空调拆除（包括支架、背架、连接管等）。</w:t>
      </w:r>
    </w:p>
    <w:p w14:paraId="6D50DE8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Segoe UI Symbol" w:hAnsi="Segoe UI Symbol" w:eastAsia="仿宋" w:cs="Segoe UI Symbol"/>
          <w:b/>
          <w:bCs/>
          <w:color w:val="auto"/>
          <w:sz w:val="24"/>
          <w:szCs w:val="22"/>
          <w:highlight w:val="none"/>
        </w:rPr>
      </w:pPr>
      <w:r>
        <w:rPr>
          <w:rFonts w:hint="eastAsia" w:ascii="仿宋" w:hAnsi="仿宋" w:eastAsia="仿宋" w:cs="仿宋"/>
          <w:color w:val="auto"/>
          <w:kern w:val="2"/>
          <w:sz w:val="24"/>
          <w:szCs w:val="24"/>
          <w:highlight w:val="none"/>
          <w:lang w:val="en-US" w:eastAsia="zh-CN"/>
        </w:rPr>
        <w:t>供应商</w:t>
      </w:r>
      <w:r>
        <w:rPr>
          <w:rFonts w:hint="eastAsia" w:ascii="仿宋" w:hAnsi="仿宋" w:eastAsia="仿宋" w:cs="仿宋"/>
          <w:color w:val="auto"/>
          <w:kern w:val="2"/>
          <w:sz w:val="24"/>
          <w:szCs w:val="24"/>
          <w:highlight w:val="none"/>
        </w:rPr>
        <w:t>负责空调移机、旧空调安装（包括增加铜管、连接线、支架、背架等）。</w:t>
      </w:r>
    </w:p>
    <w:p w14:paraId="5C435E2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eastAsia="仿宋" w:cs="Times New Roman"/>
          <w:b/>
          <w:bCs/>
          <w:color w:val="auto"/>
          <w:sz w:val="24"/>
          <w:szCs w:val="24"/>
          <w:highlight w:val="none"/>
          <w:lang w:val="en-US" w:eastAsia="zh-CN"/>
        </w:rPr>
      </w:pPr>
      <w:r>
        <w:rPr>
          <w:rFonts w:ascii="Segoe UI Symbol" w:hAnsi="Segoe UI Symbol" w:eastAsia="仿宋" w:cs="Segoe UI Symbol"/>
          <w:b/>
          <w:bCs/>
          <w:color w:val="auto"/>
          <w:sz w:val="24"/>
          <w:szCs w:val="22"/>
          <w:highlight w:val="none"/>
        </w:rPr>
        <w:t>★</w:t>
      </w:r>
      <w:r>
        <w:rPr>
          <w:rFonts w:hint="eastAsia" w:ascii="Times New Roman" w:hAnsi="Times New Roman" w:eastAsia="仿宋" w:cs="Times New Roman"/>
          <w:b/>
          <w:bCs/>
          <w:color w:val="auto"/>
          <w:sz w:val="24"/>
          <w:szCs w:val="24"/>
          <w:highlight w:val="none"/>
          <w:lang w:val="en-US" w:eastAsia="zh-CN"/>
        </w:rPr>
        <w:t>三、服务内容及服务要求</w:t>
      </w:r>
    </w:p>
    <w:p w14:paraId="7EA3572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（一）服务内容及维修范围</w:t>
      </w:r>
    </w:p>
    <w:p w14:paraId="2522B93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Times New Roman" w:hAnsi="Times New Roman" w:eastAsia="仿宋" w:cs="Times New Roman"/>
          <w:b w:val="0"/>
          <w:bCs w:val="0"/>
          <w:color w:val="auto"/>
          <w:sz w:val="24"/>
          <w:szCs w:val="24"/>
          <w:highlight w:val="none"/>
          <w:lang w:val="en-US" w:eastAsia="zh-CN"/>
        </w:rPr>
        <w:t>1.</w:t>
      </w:r>
      <w:r>
        <w:rPr>
          <w:rStyle w:val="21"/>
          <w:rFonts w:hint="eastAsia" w:ascii="仿宋" w:hAnsi="仿宋" w:eastAsia="仿宋" w:cs="仿宋"/>
          <w:b w:val="0"/>
          <w:bCs w:val="0"/>
          <w:color w:val="auto"/>
          <w:kern w:val="2"/>
          <w:sz w:val="24"/>
          <w:szCs w:val="24"/>
          <w:highlight w:val="none"/>
        </w:rPr>
        <w:t>服务内容</w:t>
      </w:r>
      <w:r>
        <w:rPr>
          <w:rStyle w:val="21"/>
          <w:rFonts w:hint="eastAsia" w:ascii="仿宋" w:hAnsi="仿宋" w:eastAsia="仿宋" w:cs="仿宋"/>
          <w:b w:val="0"/>
          <w:bCs w:val="0"/>
          <w:color w:val="auto"/>
          <w:kern w:val="2"/>
          <w:sz w:val="24"/>
          <w:szCs w:val="24"/>
          <w:highlight w:val="none"/>
          <w:lang w:eastAsia="zh-CN"/>
        </w:rPr>
        <w:t>包括以下内容及其他采购人安排的常规空调维保服务。</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25"/>
        <w:gridCol w:w="8722"/>
      </w:tblGrid>
      <w:tr w14:paraId="13755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6135F9">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清洗保养类</w:t>
            </w:r>
          </w:p>
        </w:tc>
        <w:tc>
          <w:tcPr>
            <w:tcW w:w="7560"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D61F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滤网清洗、蒸发器/冷凝器深度除垢、接水盘杀菌消毒、风轮清洁、排水管疏通。</w:t>
            </w:r>
          </w:p>
        </w:tc>
      </w:tr>
      <w:tr w14:paraId="19242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70FE9A">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安装移机类</w:t>
            </w:r>
          </w:p>
        </w:tc>
        <w:tc>
          <w:tcPr>
            <w:tcW w:w="756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2EF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旧机拆除（含支架、背架、连接管）；旧机安装（含增加铜管、连接线、新支架）；移机整改（含打孔、抽真空、加氟）。</w:t>
            </w:r>
          </w:p>
        </w:tc>
      </w:tr>
      <w:tr w14:paraId="22574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86EEB5">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线路改造类</w:t>
            </w:r>
          </w:p>
        </w:tc>
        <w:tc>
          <w:tcPr>
            <w:tcW w:w="756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169CA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电源线老化更换、控制线修复、加装专用插座、内外机连接线修复。</w:t>
            </w:r>
          </w:p>
        </w:tc>
      </w:tr>
      <w:tr w14:paraId="06D59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A174F2">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系统扩展类</w:t>
            </w:r>
          </w:p>
        </w:tc>
        <w:tc>
          <w:tcPr>
            <w:tcW w:w="756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E4DAA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多联机连接的新风处理机组系统的维修维护。</w:t>
            </w:r>
          </w:p>
        </w:tc>
      </w:tr>
      <w:tr w14:paraId="66EB4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975"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9C69E41">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管理配合类</w:t>
            </w:r>
          </w:p>
        </w:tc>
        <w:tc>
          <w:tcPr>
            <w:tcW w:w="756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7DE28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对接后勤智慧运维管理平台、数据录入、工单流转、满意度评价。</w:t>
            </w:r>
          </w:p>
        </w:tc>
      </w:tr>
    </w:tbl>
    <w:p w14:paraId="12693F7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2.维修范围包括以下内容及其他采购人安排的常规空调维保服务。</w:t>
      </w:r>
    </w:p>
    <w:p w14:paraId="57B7D8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补加冷媒</w:t>
      </w:r>
    </w:p>
    <w:p w14:paraId="3185D42F">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简修</w:t>
      </w:r>
    </w:p>
    <w:p w14:paraId="3038F51A">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上门检修检测、调整、更换遥控器、过滤网、封堵墙洞、加长水管等服务</w:t>
      </w:r>
    </w:p>
    <w:p w14:paraId="1EC911B2">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小修</w:t>
      </w:r>
    </w:p>
    <w:p w14:paraId="17B9E8E6">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外机：更换电抗器、整流桥、接触器、继电器、压缩机过载（过流）保护器、压缩机（风机）电容、电加热带、阀体线圈、轴流风叶、换气电机、压缩机连接线、外观件、加装接水装置及其它零部件等。</w:t>
      </w:r>
    </w:p>
    <w:p w14:paraId="342697AA">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更换挂机壳体、柜机离心风叶；更换面板、面板卡扣、接水盘、变压器、电器盒、控制器（控制板、主板）、显示（板）、接收器（板、头）、感（管）温包（头）、保险丝（管）、电源线、扫风（导风、同步）电机、空气开关、耦合器、开关电源、方形柜机电加热管、电加热管限温器（熔断器）、出风框、扫风（导风）机构、更换水泵、及其它零部件等。</w:t>
      </w:r>
    </w:p>
    <w:p w14:paraId="0AE8464E">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其它：线路断线维修等；处理接水盘及排水管漏、堵等故障；调整、排除内外机风叶、管路零部件噪音故障；处理紧固件、接线松动、松脱等故障；加贴</w:t>
      </w:r>
      <w:r>
        <w:rPr>
          <w:rFonts w:hint="eastAsia" w:ascii="仿宋" w:hAnsi="仿宋" w:eastAsia="仿宋" w:cs="仿宋"/>
          <w:color w:val="auto"/>
          <w:sz w:val="24"/>
          <w:szCs w:val="24"/>
          <w:highlight w:val="none"/>
          <w:lang w:val="en-US" w:eastAsia="zh-CN"/>
        </w:rPr>
        <w:t>海绵</w:t>
      </w:r>
      <w:r>
        <w:rPr>
          <w:rFonts w:hint="eastAsia" w:ascii="仿宋" w:hAnsi="仿宋" w:eastAsia="仿宋" w:cs="仿宋"/>
          <w:color w:val="auto"/>
          <w:sz w:val="24"/>
          <w:szCs w:val="24"/>
          <w:highlight w:val="none"/>
        </w:rPr>
        <w:t>（阻尼块）及其它调整等。</w:t>
      </w:r>
    </w:p>
    <w:p w14:paraId="311A8BC1">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中修</w:t>
      </w:r>
    </w:p>
    <w:p w14:paraId="16F69A3F">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外机：更换底盘、电器盒部（组）件、控制器（控制板、主板）、风机、风机支架；更换管路、系统补漏等。</w:t>
      </w:r>
    </w:p>
    <w:p w14:paraId="698CF0D5">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更换底壳、贯流风叶、挂机电加热管、风扇电机、蒸发器、蒸发器接头、节流元件（毛细管、电子膨胀阀、热力膨胀阀）、过滤器（分配器）；更换管路、系统补漏、圆柱柜机电加热管、圆柱柜机电加热管限温器（熔断器）等。</w:t>
      </w:r>
    </w:p>
    <w:p w14:paraId="54BE26E9">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其它：更换连接管或波纹管、接管螺母；连接管补漏；重扩喇叭口；更换内外机电源连接线、信号控制连接线等。</w:t>
      </w:r>
    </w:p>
    <w:p w14:paraId="7F9B81CA">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大修</w:t>
      </w:r>
    </w:p>
    <w:p w14:paraId="44F09A35">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外机：更换压缩机、冷凝器、四通阀、节流元件、阀门（截止阀）、单向阀、过滤器（分配器）储液罐、汽液分离器、消音器、电磁阀阀体及压力开关等制冷系统部件的维修。</w:t>
      </w:r>
    </w:p>
    <w:p w14:paraId="0EBC0AA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b/>
          <w:bCs/>
          <w:color w:val="auto"/>
          <w:kern w:val="2"/>
          <w:sz w:val="24"/>
          <w:szCs w:val="24"/>
          <w:highlight w:val="none"/>
          <w:lang w:val="en-US" w:eastAsia="zh-CN" w:bidi="ar"/>
        </w:rPr>
        <w:t>（二）服务要求</w:t>
      </w:r>
    </w:p>
    <w:p w14:paraId="6BD4D3E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本项目为总价包干服务项目，供应商在接到采购人维修通知，供应商须在规定时间内完成维修。</w:t>
      </w:r>
    </w:p>
    <w:p w14:paraId="132A43A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lang w:val="en-US" w:eastAsia="zh-CN"/>
        </w:rPr>
        <w:t>1.</w:t>
      </w:r>
      <w:r>
        <w:rPr>
          <w:rFonts w:hint="eastAsia" w:ascii="仿宋" w:hAnsi="仿宋" w:eastAsia="仿宋" w:cs="仿宋"/>
          <w:b/>
          <w:bCs/>
          <w:color w:val="auto"/>
          <w:kern w:val="2"/>
          <w:sz w:val="24"/>
          <w:szCs w:val="24"/>
          <w:highlight w:val="none"/>
        </w:rPr>
        <w:t>全设备覆盖：</w:t>
      </w:r>
    </w:p>
    <w:p w14:paraId="0A05EBB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highlight w:val="none"/>
        </w:rPr>
      </w:pPr>
      <w:r>
        <w:rPr>
          <w:rFonts w:hint="eastAsia" w:ascii="仿宋" w:hAnsi="仿宋" w:eastAsia="仿宋" w:cs="仿宋"/>
          <w:i w:val="0"/>
          <w:iCs w:val="0"/>
          <w:caps w:val="0"/>
          <w:color w:val="auto"/>
          <w:spacing w:val="0"/>
          <w:sz w:val="24"/>
          <w:szCs w:val="24"/>
          <w:highlight w:val="none"/>
          <w:shd w:val="clear" w:fill="FFFFFF"/>
          <w:lang w:val="en-US" w:eastAsia="zh-CN"/>
        </w:rPr>
        <w:t>维保设备</w:t>
      </w:r>
      <w:r>
        <w:rPr>
          <w:rFonts w:hint="eastAsia" w:ascii="仿宋" w:hAnsi="仿宋" w:eastAsia="仿宋" w:cs="仿宋"/>
          <w:i w:val="0"/>
          <w:iCs w:val="0"/>
          <w:caps w:val="0"/>
          <w:color w:val="auto"/>
          <w:spacing w:val="0"/>
          <w:sz w:val="24"/>
          <w:szCs w:val="24"/>
          <w:highlight w:val="none"/>
          <w:shd w:val="clear" w:fill="FFFFFF"/>
        </w:rPr>
        <w:t>包括但不限于多联机空调、净化空调机组，以及分体式空调（含挂机、柜机、吸顶机、风管机等各类机型）。服务期内，采购人新增或清单中遗漏的上述同类型空调设备（即多联空调机组、净化空调机组、分体空调</w:t>
      </w:r>
      <w:r>
        <w:rPr>
          <w:rFonts w:hint="eastAsia" w:ascii="仿宋" w:hAnsi="仿宋" w:eastAsia="仿宋" w:cs="仿宋"/>
          <w:i w:val="0"/>
          <w:iCs w:val="0"/>
          <w:caps w:val="0"/>
          <w:color w:val="auto"/>
          <w:spacing w:val="0"/>
          <w:sz w:val="24"/>
          <w:szCs w:val="24"/>
          <w:highlight w:val="none"/>
          <w:shd w:val="clear" w:fill="FFFFFF"/>
          <w:lang w:eastAsia="zh-CN"/>
        </w:rPr>
        <w:t>，新增及遗漏的总数不超过清单设备总数的5%</w:t>
      </w:r>
      <w:r>
        <w:rPr>
          <w:rFonts w:hint="eastAsia" w:ascii="仿宋" w:hAnsi="仿宋" w:eastAsia="仿宋" w:cs="仿宋"/>
          <w:i w:val="0"/>
          <w:iCs w:val="0"/>
          <w:caps w:val="0"/>
          <w:color w:val="auto"/>
          <w:spacing w:val="0"/>
          <w:sz w:val="24"/>
          <w:szCs w:val="24"/>
          <w:highlight w:val="none"/>
          <w:shd w:val="clear" w:fill="FFFFFF"/>
        </w:rPr>
        <w:t>），均自动纳入本</w:t>
      </w:r>
      <w:r>
        <w:rPr>
          <w:rFonts w:hint="eastAsia" w:ascii="仿宋" w:hAnsi="仿宋" w:eastAsia="仿宋" w:cs="仿宋"/>
          <w:i w:val="0"/>
          <w:iCs w:val="0"/>
          <w:caps w:val="0"/>
          <w:color w:val="auto"/>
          <w:spacing w:val="0"/>
          <w:sz w:val="24"/>
          <w:szCs w:val="24"/>
          <w:highlight w:val="none"/>
          <w:shd w:val="clear" w:fill="FFFFFF"/>
          <w:lang w:val="en-US" w:eastAsia="zh-CN"/>
        </w:rPr>
        <w:t>项目</w:t>
      </w:r>
      <w:r>
        <w:rPr>
          <w:rFonts w:hint="eastAsia" w:ascii="仿宋" w:hAnsi="仿宋" w:eastAsia="仿宋" w:cs="仿宋"/>
          <w:i w:val="0"/>
          <w:iCs w:val="0"/>
          <w:caps w:val="0"/>
          <w:color w:val="auto"/>
          <w:spacing w:val="0"/>
          <w:sz w:val="24"/>
          <w:szCs w:val="24"/>
          <w:highlight w:val="none"/>
          <w:shd w:val="clear" w:fill="FFFFFF"/>
        </w:rPr>
        <w:t>维保范围</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b w:val="0"/>
          <w:bCs w:val="0"/>
          <w:color w:val="auto"/>
          <w:highlight w:val="none"/>
          <w:lang w:val="en-US" w:eastAsia="zh-CN"/>
        </w:rPr>
        <w:t>相关费用已包含在本项目报价中，采购人不再为此支付额外费用。</w:t>
      </w:r>
    </w:p>
    <w:p w14:paraId="54B219D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关联设施：包含所有与空调运行相关的附属设施（支架、背架、连接管、排水管、专用电源线路、控制面板等）。</w:t>
      </w:r>
    </w:p>
    <w:p w14:paraId="7C6520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rPr>
        <w:t>2</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rPr>
        <w:t>全生命周期维护：</w:t>
      </w:r>
    </w:p>
    <w:p w14:paraId="430DEF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预防性维护（PM）：包含但不限于年度两次深度清洗、安全性能检测、电气性能检测、制冷剂管路检查、紧固件检查等。</w:t>
      </w:r>
    </w:p>
    <w:p w14:paraId="03C83C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纠正性维修（CM）：包含所有故障类型的修复（不启动、不制冷、漏水、异响、跳闸等）。</w:t>
      </w:r>
    </w:p>
    <w:p w14:paraId="728E0B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rPr>
        <w:t>3</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rPr>
        <w:t>全物资包干：</w:t>
      </w:r>
    </w:p>
    <w:p w14:paraId="587978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消耗品：清洗用的药剂、抹布、垃圾袋、消毒用品等。</w:t>
      </w:r>
    </w:p>
    <w:p w14:paraId="1DEDBC5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配件包干：所有维修过程中需要更换的配件，无论大小，均包含在</w:t>
      </w:r>
      <w:r>
        <w:rPr>
          <w:rFonts w:hint="eastAsia" w:ascii="仿宋" w:hAnsi="仿宋" w:eastAsia="仿宋" w:cs="仿宋"/>
          <w:color w:val="auto"/>
          <w:sz w:val="24"/>
          <w:szCs w:val="24"/>
          <w:highlight w:val="none"/>
          <w:lang w:val="en-US" w:eastAsia="zh-CN"/>
        </w:rPr>
        <w:t>报价</w:t>
      </w:r>
      <w:r>
        <w:rPr>
          <w:rFonts w:hint="eastAsia" w:ascii="仿宋" w:hAnsi="仿宋" w:eastAsia="仿宋" w:cs="仿宋"/>
          <w:color w:val="auto"/>
          <w:kern w:val="2"/>
          <w:sz w:val="24"/>
          <w:szCs w:val="24"/>
          <w:highlight w:val="none"/>
        </w:rPr>
        <w:t>中。</w:t>
      </w:r>
    </w:p>
    <w:p w14:paraId="3F14AF0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小件：遥控器、电路板、传感器、电容、滤网、接水盘等。</w:t>
      </w:r>
    </w:p>
    <w:p w14:paraId="5B73CA8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大件：压缩机、电机、风扇组件、内外机交换总成等。</w:t>
      </w:r>
    </w:p>
    <w:p w14:paraId="1FD858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特殊说明：供应商必须建立“常用维修配件库”。若因配件缺货导致无法及时修复，视为违约。</w:t>
      </w:r>
    </w:p>
    <w:p w14:paraId="036794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rPr>
        <w:t>4</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rPr>
        <w:t>全作业内容：</w:t>
      </w:r>
    </w:p>
    <w:p w14:paraId="09BB116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基础作业：报价包含上门费、工时费、交通费、加班费（含节假日）、24小时应急值班费。</w:t>
      </w:r>
    </w:p>
    <w:p w14:paraId="24445D0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特殊作业：报价包含度高空作业费（含安全防护）、旧机拆除费、安装费（含铜管、支架、电线辅材）、移机整改费、医疗环境防尘防感染作业费。</w:t>
      </w:r>
    </w:p>
    <w:p w14:paraId="2803423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lang w:val="en-US" w:eastAsia="zh-CN"/>
        </w:rPr>
        <w:t>（三）其他服务要求</w:t>
      </w:r>
    </w:p>
    <w:p w14:paraId="23B6C8A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1.本项目第一年</w:t>
      </w:r>
      <w:r>
        <w:rPr>
          <w:rFonts w:hint="eastAsia" w:ascii="仿宋" w:hAnsi="仿宋" w:eastAsia="仿宋" w:cs="仿宋"/>
          <w:color w:val="auto"/>
          <w:kern w:val="2"/>
          <w:sz w:val="24"/>
          <w:szCs w:val="24"/>
          <w:highlight w:val="none"/>
        </w:rPr>
        <w:t>合同签订后</w:t>
      </w:r>
      <w:r>
        <w:rPr>
          <w:rFonts w:hint="eastAsia" w:ascii="仿宋" w:hAnsi="仿宋" w:eastAsia="仿宋" w:cs="仿宋"/>
          <w:color w:val="auto"/>
          <w:kern w:val="2"/>
          <w:sz w:val="24"/>
          <w:szCs w:val="24"/>
          <w:highlight w:val="none"/>
          <w:lang w:val="en-US" w:eastAsia="zh-CN"/>
        </w:rPr>
        <w:t>30日内</w:t>
      </w:r>
      <w:r>
        <w:rPr>
          <w:rFonts w:hint="eastAsia" w:ascii="仿宋" w:hAnsi="仿宋" w:eastAsia="仿宋" w:cs="仿宋"/>
          <w:color w:val="auto"/>
          <w:kern w:val="2"/>
          <w:sz w:val="24"/>
          <w:szCs w:val="24"/>
          <w:highlight w:val="none"/>
        </w:rPr>
        <w:t>，供应商须对维保范围内的所有空调设备，进行一次全面的集中维护保养（该次服务不包含在年度两次保养之</w:t>
      </w:r>
      <w:r>
        <w:rPr>
          <w:rFonts w:hint="eastAsia" w:ascii="仿宋" w:hAnsi="仿宋" w:eastAsia="仿宋" w:cs="仿宋"/>
          <w:color w:val="auto"/>
          <w:kern w:val="2"/>
          <w:sz w:val="24"/>
          <w:szCs w:val="24"/>
          <w:highlight w:val="none"/>
          <w:lang w:val="en-US" w:eastAsia="zh-CN"/>
        </w:rPr>
        <w:t>中</w:t>
      </w:r>
      <w:r>
        <w:rPr>
          <w:rFonts w:hint="eastAsia" w:ascii="仿宋" w:hAnsi="仿宋" w:eastAsia="仿宋" w:cs="仿宋"/>
          <w:color w:val="auto"/>
          <w:kern w:val="2"/>
          <w:sz w:val="24"/>
          <w:szCs w:val="24"/>
          <w:highlight w:val="none"/>
        </w:rPr>
        <w:t>）。对有问题、有故障的设备进行修复，确保所有空调安全正常运行。</w:t>
      </w:r>
    </w:p>
    <w:p w14:paraId="1AB791A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2.供应商</w:t>
      </w:r>
      <w:r>
        <w:rPr>
          <w:rFonts w:hint="eastAsia" w:ascii="仿宋" w:hAnsi="仿宋" w:eastAsia="仿宋" w:cs="仿宋"/>
          <w:color w:val="auto"/>
          <w:kern w:val="2"/>
          <w:sz w:val="24"/>
          <w:szCs w:val="24"/>
          <w:highlight w:val="none"/>
        </w:rPr>
        <w:t>应当根据采购人的各类空调设备，备好常用维修配件，以保证常见故障的及时修复。</w:t>
      </w:r>
    </w:p>
    <w:p w14:paraId="36E8F3E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3.现场作业专业技术人员要求：不少于1名，须具备制冷与空调作业证、低压电工作业证、焊接与热切割作业证（同一人员可同时持有多项特种作业操作证书，提供证书复印件并加盖供应商公章）,未经采购人批准不得随意更换。若现场作业需求增加，供应商可另行统筹调配技术人员予以支持。</w:t>
      </w:r>
    </w:p>
    <w:p w14:paraId="21CB26A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安全生产要求：</w:t>
      </w:r>
      <w:r>
        <w:rPr>
          <w:rFonts w:hint="eastAsia" w:ascii="仿宋" w:hAnsi="仿宋" w:eastAsia="仿宋" w:cs="仿宋"/>
          <w:color w:val="auto"/>
          <w:kern w:val="2"/>
          <w:sz w:val="24"/>
          <w:szCs w:val="24"/>
          <w:highlight w:val="none"/>
          <w:lang w:val="en-US" w:eastAsia="zh-CN"/>
        </w:rPr>
        <w:t>作业过程中</w:t>
      </w:r>
      <w:r>
        <w:rPr>
          <w:rFonts w:hint="eastAsia" w:ascii="仿宋" w:hAnsi="仿宋" w:eastAsia="仿宋" w:cs="仿宋"/>
          <w:color w:val="auto"/>
          <w:kern w:val="2"/>
          <w:sz w:val="24"/>
          <w:szCs w:val="24"/>
          <w:highlight w:val="none"/>
        </w:rPr>
        <w:t>服务人员安全、作业安全和其他与本项目有关的安全均由供应商负责。</w:t>
      </w:r>
    </w:p>
    <w:p w14:paraId="2259265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5.维修完成后，供应商须确保设备正常运行，避免出现返修</w:t>
      </w:r>
      <w:r>
        <w:rPr>
          <w:rFonts w:hint="eastAsia" w:ascii="仿宋" w:hAnsi="仿宋" w:eastAsia="仿宋" w:cs="仿宋"/>
          <w:i w:val="0"/>
          <w:iCs w:val="0"/>
          <w:color w:val="auto"/>
          <w:kern w:val="0"/>
          <w:sz w:val="24"/>
          <w:szCs w:val="24"/>
          <w:u w:val="none"/>
          <w:lang w:val="en-US" w:eastAsia="zh-CN" w:bidi="ar"/>
        </w:rPr>
        <w:t>（同一故障7日内复发）</w:t>
      </w:r>
      <w:r>
        <w:rPr>
          <w:rFonts w:hint="eastAsia" w:ascii="仿宋" w:hAnsi="仿宋" w:eastAsia="仿宋" w:cs="仿宋"/>
          <w:color w:val="auto"/>
          <w:kern w:val="2"/>
          <w:sz w:val="24"/>
          <w:szCs w:val="24"/>
          <w:highlight w:val="none"/>
          <w:lang w:val="en-US" w:eastAsia="zh-CN"/>
        </w:rPr>
        <w:t>情况。</w:t>
      </w:r>
    </w:p>
    <w:p w14:paraId="7110D13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2" w:firstLineChars="200"/>
        <w:jc w:val="both"/>
        <w:textAlignment w:val="auto"/>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（四）维保响应要求</w:t>
      </w:r>
    </w:p>
    <w:p w14:paraId="7346D23B">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4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供应商需</w:t>
      </w:r>
      <w:r>
        <w:rPr>
          <w:rFonts w:hint="eastAsia" w:ascii="仿宋" w:hAnsi="仿宋" w:eastAsia="仿宋" w:cs="仿宋"/>
          <w:color w:val="auto"/>
          <w:kern w:val="2"/>
          <w:sz w:val="24"/>
          <w:szCs w:val="24"/>
          <w:highlight w:val="none"/>
          <w:lang w:val="en-US" w:eastAsia="zh-CN"/>
        </w:rPr>
        <w:t>接入采购人后勤智慧管理平台</w:t>
      </w:r>
      <w:r>
        <w:rPr>
          <w:rFonts w:hint="eastAsia" w:ascii="仿宋" w:hAnsi="仿宋" w:eastAsia="仿宋" w:cs="仿宋"/>
          <w:color w:val="auto"/>
          <w:kern w:val="2"/>
          <w:sz w:val="24"/>
          <w:szCs w:val="24"/>
          <w:highlight w:val="none"/>
        </w:rPr>
        <w:t>(开发公司名称:南京天溯自动化控制系统有限公司，后勤智慧管理平台，版本:v3.1.3，不产生接口费用)，接受工单派发、进度追踪、结果评价。供应商提供</w:t>
      </w:r>
      <w:r>
        <w:rPr>
          <w:rFonts w:hint="eastAsia" w:ascii="仿宋" w:hAnsi="仿宋" w:eastAsia="仿宋" w:cs="仿宋"/>
          <w:color w:val="auto"/>
          <w:kern w:val="2"/>
          <w:sz w:val="24"/>
          <w:szCs w:val="24"/>
          <w:highlight w:val="none"/>
          <w:lang w:val="en-US" w:eastAsia="zh-CN"/>
        </w:rPr>
        <w:t>7</w:t>
      </w:r>
      <w:r>
        <w:rPr>
          <w:rFonts w:hint="eastAsia" w:ascii="微软雅黑" w:hAnsi="微软雅黑" w:eastAsia="微软雅黑" w:cs="微软雅黑"/>
          <w:color w:val="auto"/>
          <w:kern w:val="2"/>
          <w:sz w:val="24"/>
          <w:szCs w:val="24"/>
          <w:highlight w:val="none"/>
          <w:lang w:val="en-US" w:eastAsia="zh-CN"/>
        </w:rPr>
        <w:t>×</w:t>
      </w:r>
      <w:r>
        <w:rPr>
          <w:rFonts w:hint="eastAsia" w:ascii="仿宋" w:hAnsi="仿宋" w:eastAsia="仿宋" w:cs="仿宋"/>
          <w:color w:val="auto"/>
          <w:kern w:val="2"/>
          <w:sz w:val="24"/>
          <w:szCs w:val="24"/>
          <w:highlight w:val="none"/>
        </w:rPr>
        <w:t>24小时服务，确保各类设备设施处于安全正常运行状态。若维保范围内的设备设施出现问题，须派人现场解决。供应商接到报修通知后，在0.5小时内响应，3小时内到达现场进行维修，平均工单完成时间在6小时内。</w:t>
      </w:r>
    </w:p>
    <w:p w14:paraId="75B869DC">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4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2.在原厂质保期内的空调设备及配件出现故障时，供应商须负责联系原厂维修人员在规定时间内完成维修。不在原厂质保期内的空调设备及配件出现故障时，供应商应在规定时间完成维修。</w:t>
      </w:r>
    </w:p>
    <w:p w14:paraId="5DA931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40" w:lineRule="exact"/>
        <w:ind w:firstLine="482" w:firstLineChars="200"/>
        <w:jc w:val="left"/>
        <w:textAlignment w:val="auto"/>
        <w:rPr>
          <w:rFonts w:ascii="Times New Roman" w:hAnsi="Times New Roman" w:eastAsia="仿宋" w:cs="Times New Roman"/>
          <w:b/>
          <w:bCs/>
          <w:color w:val="auto"/>
          <w:sz w:val="24"/>
          <w:szCs w:val="24"/>
          <w:highlight w:val="none"/>
        </w:rPr>
      </w:pPr>
      <w:r>
        <w:rPr>
          <w:rFonts w:ascii="Segoe UI Symbol" w:hAnsi="Segoe UI Symbol" w:eastAsia="仿宋" w:cs="Segoe UI Symbol"/>
          <w:b/>
          <w:bCs/>
          <w:color w:val="auto"/>
          <w:sz w:val="24"/>
          <w:szCs w:val="22"/>
          <w:highlight w:val="none"/>
        </w:rPr>
        <w:t>★</w:t>
      </w:r>
      <w:r>
        <w:rPr>
          <w:rFonts w:hint="eastAsia" w:ascii="Times New Roman" w:hAnsi="Times New Roman" w:eastAsia="仿宋" w:cs="Times New Roman"/>
          <w:b/>
          <w:bCs/>
          <w:color w:val="auto"/>
          <w:sz w:val="24"/>
          <w:szCs w:val="24"/>
          <w:highlight w:val="none"/>
          <w:lang w:val="en-US" w:eastAsia="zh-CN"/>
        </w:rPr>
        <w:t>四</w:t>
      </w:r>
      <w:r>
        <w:rPr>
          <w:rFonts w:ascii="Times New Roman" w:hAnsi="Times New Roman" w:eastAsia="仿宋" w:cs="Times New Roman"/>
          <w:b/>
          <w:bCs/>
          <w:color w:val="auto"/>
          <w:sz w:val="24"/>
          <w:szCs w:val="24"/>
          <w:highlight w:val="none"/>
        </w:rPr>
        <w:t>、商务要求</w:t>
      </w:r>
    </w:p>
    <w:p w14:paraId="3F76A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40" w:lineRule="exact"/>
        <w:ind w:firstLine="482"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一）服务期限</w:t>
      </w:r>
      <w:r>
        <w:rPr>
          <w:rFonts w:hint="eastAsia" w:ascii="仿宋" w:hAnsi="仿宋" w:eastAsia="仿宋" w:cs="仿宋"/>
          <w:b w:val="0"/>
          <w:bCs w:val="0"/>
          <w:color w:val="auto"/>
          <w:sz w:val="24"/>
          <w:szCs w:val="24"/>
          <w:highlight w:val="none"/>
          <w:lang w:val="en-US" w:eastAsia="zh-CN"/>
        </w:rPr>
        <w:t>：2026年8月8日起至2029年8月7日，合同一年一签，经年度考核合格后续签下一年度合同。若合同签订生效时间晚于2026年8月8日，则以合同签订生效时间作为服务期起始时间，服务期结束时间按本项目服务期限顺延。</w:t>
      </w:r>
    </w:p>
    <w:p w14:paraId="74D3F1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（二）</w:t>
      </w:r>
      <w:r>
        <w:rPr>
          <w:rFonts w:hint="eastAsia" w:ascii="仿宋" w:hAnsi="仿宋" w:eastAsia="仿宋" w:cs="仿宋"/>
          <w:b/>
          <w:bCs/>
          <w:color w:val="auto"/>
          <w:sz w:val="24"/>
          <w:szCs w:val="24"/>
          <w:highlight w:val="none"/>
          <w:lang w:val="en-US" w:eastAsia="zh-CN"/>
        </w:rPr>
        <w:t>服务地点</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四川省人民医院中和科研基地。</w:t>
      </w:r>
    </w:p>
    <w:p w14:paraId="1BCD5D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（三）服务费用</w:t>
      </w:r>
    </w:p>
    <w:p w14:paraId="48BE8F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kern w:val="2"/>
          <w:sz w:val="24"/>
          <w:szCs w:val="24"/>
          <w:highlight w:val="none"/>
          <w:lang w:val="en-US" w:eastAsia="zh-CN" w:bidi="ar-SA"/>
        </w:rPr>
        <w:t>供应商报价是为完成本项目空调设备维保服务所需的一切费用，包括：人工费、材料费（含维修更换零配件）、机械费、管理费、规费、维修维护费、清洗费、利润、税金、安全防护费、垃圾清运费等以及因服务产生的所有费用。</w:t>
      </w:r>
      <w:bookmarkStart w:id="101" w:name="_GoBack"/>
      <w:bookmarkEnd w:id="101"/>
    </w:p>
    <w:p w14:paraId="07764F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付款方式</w:t>
      </w:r>
    </w:p>
    <w:p w14:paraId="7E6C32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内，每三个月支付一次费用，每次费用金额为：本项目成交价/4（按四舍五入保留两位小数）。供应商每完成三个月服务且经采购人验收后，供应商5日内向采购人提供合法有效票据及其他相关请款资料，采购人自收到上述票据及资料后55日内，向供应商支付相应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4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default"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按照基于本项目采购需求编制的采购文件要求及供应商响应文件情况，由供应商向采购人提供的全部服务的履约情况。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供应商每完成每三个月服务后，于5日内通知采购人验收，采购人接供应商通知后10日内组织验收。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default"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5.参照《财政部关于进一步加强政府采购需求和履约验收管理的指导意见》（财库〔2016〕205号）的要求进行验收。</w:t>
            </w:r>
          </w:p>
          <w:p w14:paraId="63D35DD2">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bl>
    <w:p w14:paraId="150D15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40" w:lineRule="exact"/>
        <w:ind w:firstLine="482" w:firstLineChars="200"/>
        <w:jc w:val="left"/>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（六）考核表</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49"/>
        <w:gridCol w:w="1716"/>
        <w:gridCol w:w="932"/>
        <w:gridCol w:w="5452"/>
      </w:tblGrid>
      <w:tr w14:paraId="16E53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3D52D">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考核大类</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92B05">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细分指标</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5B268">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分值</w:t>
            </w:r>
          </w:p>
        </w:tc>
        <w:tc>
          <w:tcPr>
            <w:tcW w:w="2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0B49A">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考核标准/扣分规则</w:t>
            </w:r>
          </w:p>
        </w:tc>
      </w:tr>
      <w:tr w14:paraId="5A06C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3543EA">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 xml:space="preserve">1. </w:t>
            </w:r>
            <w:r>
              <w:rPr>
                <w:rFonts w:hint="eastAsia" w:ascii="仿宋" w:hAnsi="仿宋" w:eastAsia="仿宋" w:cs="仿宋"/>
                <w:i w:val="0"/>
                <w:iCs w:val="0"/>
                <w:color w:val="auto"/>
                <w:kern w:val="0"/>
                <w:sz w:val="24"/>
                <w:szCs w:val="24"/>
                <w:u w:val="none"/>
                <w:lang w:val="en-US" w:eastAsia="zh-CN" w:bidi="ar"/>
              </w:rPr>
              <w:t>响应及时性（</w:t>
            </w:r>
            <w:r>
              <w:rPr>
                <w:rStyle w:val="44"/>
                <w:rFonts w:hint="eastAsia" w:ascii="仿宋" w:hAnsi="仿宋" w:eastAsia="仿宋" w:cs="仿宋"/>
                <w:color w:val="auto"/>
                <w:sz w:val="24"/>
                <w:szCs w:val="24"/>
                <w:lang w:val="en-US" w:eastAsia="zh-CN" w:bidi="ar"/>
              </w:rPr>
              <w:t>30</w:t>
            </w:r>
            <w:r>
              <w:rPr>
                <w:rFonts w:hint="eastAsia" w:ascii="仿宋" w:hAnsi="仿宋" w:eastAsia="仿宋" w:cs="仿宋"/>
                <w:i w:val="0"/>
                <w:iCs w:val="0"/>
                <w:color w:val="auto"/>
                <w:kern w:val="0"/>
                <w:sz w:val="24"/>
                <w:szCs w:val="24"/>
                <w:u w:val="none"/>
                <w:lang w:val="en-US" w:eastAsia="zh-CN" w:bidi="ar"/>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388F">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响应率</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69E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B86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接到报修后0.5小时内响应。每超时1次扣2分，未响应扣10分。</w:t>
            </w:r>
          </w:p>
        </w:tc>
      </w:tr>
      <w:tr w14:paraId="2E232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81708">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F79A">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到场时效</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42D6D">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6069B">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3小时内到达现场。每超时1次扣2分，未到场扣10分。</w:t>
            </w:r>
          </w:p>
        </w:tc>
      </w:tr>
      <w:tr w14:paraId="5FAB4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E562A">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77A9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完工时效</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FC38">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314D">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平均工单完成时间在6小时内。超时工单占比&gt;10%扣5分，&gt;20%不得分。</w:t>
            </w:r>
          </w:p>
        </w:tc>
      </w:tr>
      <w:tr w14:paraId="08A91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53254">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 xml:space="preserve">2. </w:t>
            </w:r>
            <w:r>
              <w:rPr>
                <w:rFonts w:hint="eastAsia" w:ascii="仿宋" w:hAnsi="仿宋" w:eastAsia="仿宋" w:cs="仿宋"/>
                <w:i w:val="0"/>
                <w:iCs w:val="0"/>
                <w:color w:val="auto"/>
                <w:kern w:val="0"/>
                <w:sz w:val="24"/>
                <w:szCs w:val="24"/>
                <w:u w:val="none"/>
                <w:lang w:val="en-US" w:eastAsia="zh-CN" w:bidi="ar"/>
              </w:rPr>
              <w:t>维修质量与配件（</w:t>
            </w:r>
            <w:r>
              <w:rPr>
                <w:rStyle w:val="44"/>
                <w:rFonts w:hint="eastAsia" w:ascii="仿宋" w:hAnsi="仿宋" w:eastAsia="仿宋" w:cs="仿宋"/>
                <w:color w:val="auto"/>
                <w:sz w:val="24"/>
                <w:szCs w:val="24"/>
                <w:lang w:val="en-US" w:eastAsia="zh-CN" w:bidi="ar"/>
              </w:rPr>
              <w:t>35</w:t>
            </w:r>
            <w:r>
              <w:rPr>
                <w:rFonts w:hint="eastAsia" w:ascii="仿宋" w:hAnsi="仿宋" w:eastAsia="仿宋" w:cs="仿宋"/>
                <w:i w:val="0"/>
                <w:iCs w:val="0"/>
                <w:color w:val="auto"/>
                <w:kern w:val="0"/>
                <w:sz w:val="24"/>
                <w:szCs w:val="24"/>
                <w:u w:val="none"/>
                <w:lang w:val="en-US" w:eastAsia="zh-CN" w:bidi="ar"/>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63DE">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一次修复率</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C013">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15分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556F">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首次维修即解决问题。出现返修（同一故障7日内复发）每单扣5分。</w:t>
            </w:r>
          </w:p>
        </w:tc>
      </w:tr>
      <w:tr w14:paraId="0A62B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6D7FF">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EB51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配件库建设</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ECFF">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460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现场常用配件库齐全。因缺配件导致无法修复（除特殊定制件外），每次扣5分。</w:t>
            </w:r>
          </w:p>
        </w:tc>
      </w:tr>
      <w:tr w14:paraId="78D50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2068D">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A645">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全包干执行</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F629">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96C8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检查是否有向科室索要配件费、加氟费、高空费等违规行为。发现一次扣5分，严重者一票否决。</w:t>
            </w:r>
          </w:p>
        </w:tc>
      </w:tr>
      <w:tr w14:paraId="16C52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75A60E">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 xml:space="preserve">3. </w:t>
            </w:r>
            <w:r>
              <w:rPr>
                <w:rFonts w:hint="eastAsia" w:ascii="仿宋" w:hAnsi="仿宋" w:eastAsia="仿宋" w:cs="仿宋"/>
                <w:i w:val="0"/>
                <w:iCs w:val="0"/>
                <w:color w:val="auto"/>
                <w:kern w:val="0"/>
                <w:sz w:val="24"/>
                <w:szCs w:val="24"/>
                <w:u w:val="none"/>
                <w:lang w:val="en-US" w:eastAsia="zh-CN" w:bidi="ar"/>
              </w:rPr>
              <w:t>预防性维护</w:t>
            </w:r>
            <w:r>
              <w:rPr>
                <w:rStyle w:val="44"/>
                <w:rFonts w:hint="eastAsia" w:ascii="仿宋" w:hAnsi="仿宋" w:eastAsia="仿宋" w:cs="仿宋"/>
                <w:color w:val="auto"/>
                <w:sz w:val="24"/>
                <w:szCs w:val="24"/>
                <w:lang w:val="en-US" w:eastAsia="zh-CN" w:bidi="ar"/>
              </w:rPr>
              <w:t>(PM)</w:t>
            </w:r>
            <w:r>
              <w:rPr>
                <w:rFonts w:hint="eastAsia" w:ascii="仿宋" w:hAnsi="仿宋" w:eastAsia="仿宋" w:cs="仿宋"/>
                <w:i w:val="0"/>
                <w:iCs w:val="0"/>
                <w:color w:val="auto"/>
                <w:kern w:val="0"/>
                <w:sz w:val="24"/>
                <w:szCs w:val="24"/>
                <w:u w:val="none"/>
                <w:lang w:val="en-US" w:eastAsia="zh-CN" w:bidi="ar"/>
              </w:rPr>
              <w:t>（</w:t>
            </w:r>
            <w:r>
              <w:rPr>
                <w:rStyle w:val="44"/>
                <w:rFonts w:hint="eastAsia" w:ascii="仿宋" w:hAnsi="仿宋" w:eastAsia="仿宋" w:cs="仿宋"/>
                <w:color w:val="auto"/>
                <w:sz w:val="24"/>
                <w:szCs w:val="24"/>
                <w:lang w:val="en-US" w:eastAsia="zh-CN" w:bidi="ar"/>
              </w:rPr>
              <w:t>20</w:t>
            </w:r>
            <w:r>
              <w:rPr>
                <w:rFonts w:hint="eastAsia" w:ascii="仿宋" w:hAnsi="仿宋" w:eastAsia="仿宋" w:cs="仿宋"/>
                <w:i w:val="0"/>
                <w:iCs w:val="0"/>
                <w:color w:val="auto"/>
                <w:kern w:val="0"/>
                <w:sz w:val="24"/>
                <w:szCs w:val="24"/>
                <w:u w:val="none"/>
                <w:lang w:val="en-US" w:eastAsia="zh-CN" w:bidi="ar"/>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6B0B">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清洗保养完成率</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4F2F">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11DF">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检查当月计划的清洗保养是否完成。每漏检/漏洗1台扣1分。</w:t>
            </w:r>
          </w:p>
        </w:tc>
      </w:tr>
      <w:tr w14:paraId="66396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234A9">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71FC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清洗质量</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F1AB3">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E3B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随机抽查已清洗设备，若发现滤网堵塞、接水盘有污垢、排水管未疏通，每处扣2分。</w:t>
            </w:r>
          </w:p>
        </w:tc>
      </w:tr>
      <w:tr w14:paraId="735FA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BCBE59">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 xml:space="preserve">4. </w:t>
            </w:r>
            <w:r>
              <w:rPr>
                <w:rFonts w:hint="eastAsia" w:ascii="仿宋" w:hAnsi="仿宋" w:eastAsia="仿宋" w:cs="仿宋"/>
                <w:i w:val="0"/>
                <w:iCs w:val="0"/>
                <w:color w:val="auto"/>
                <w:kern w:val="0"/>
                <w:sz w:val="24"/>
                <w:szCs w:val="24"/>
                <w:u w:val="none"/>
                <w:lang w:val="en-US" w:eastAsia="zh-CN" w:bidi="ar"/>
              </w:rPr>
              <w:t>管理与安全（</w:t>
            </w:r>
            <w:r>
              <w:rPr>
                <w:rStyle w:val="44"/>
                <w:rFonts w:hint="eastAsia" w:ascii="仿宋" w:hAnsi="仿宋" w:eastAsia="仿宋" w:cs="仿宋"/>
                <w:color w:val="auto"/>
                <w:sz w:val="24"/>
                <w:szCs w:val="24"/>
                <w:lang w:val="en-US" w:eastAsia="zh-CN" w:bidi="ar"/>
              </w:rPr>
              <w:t>15</w:t>
            </w:r>
            <w:r>
              <w:rPr>
                <w:rFonts w:hint="eastAsia" w:ascii="仿宋" w:hAnsi="仿宋" w:eastAsia="仿宋" w:cs="仿宋"/>
                <w:i w:val="0"/>
                <w:iCs w:val="0"/>
                <w:color w:val="auto"/>
                <w:kern w:val="0"/>
                <w:sz w:val="24"/>
                <w:szCs w:val="24"/>
                <w:u w:val="none"/>
                <w:lang w:val="en-US" w:eastAsia="zh-CN" w:bidi="ar"/>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D346">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平台对接</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0605">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1D8C">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工单流转、数据录入及时准确。出现工单遗漏或数据错误扣2分/次。</w:t>
            </w:r>
          </w:p>
        </w:tc>
      </w:tr>
      <w:tr w14:paraId="0ABFE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75EBA">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F820C">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人员资质</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37D83">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975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现场作业人员持证（制冷、低压电工、焊工）。发现无证上岗，直接扣5分。</w:t>
            </w:r>
          </w:p>
        </w:tc>
      </w:tr>
      <w:tr w14:paraId="02E93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5C51B">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9D5F">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安全作业</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63E4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5</w:t>
            </w:r>
            <w:r>
              <w:rPr>
                <w:rFonts w:hint="eastAsia" w:ascii="仿宋" w:hAnsi="仿宋" w:eastAsia="仿宋" w:cs="仿宋"/>
                <w:i w:val="0"/>
                <w:iCs w:val="0"/>
                <w:color w:val="auto"/>
                <w:kern w:val="0"/>
                <w:sz w:val="24"/>
                <w:szCs w:val="24"/>
                <w:u w:val="none"/>
                <w:lang w:val="en-US" w:eastAsia="zh-CN" w:bidi="ar"/>
              </w:rPr>
              <w:t>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700A">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检查高空作业防护、用电安全、医疗环境防尘防感染措施。发现安全隐患扣3分/次。</w:t>
            </w:r>
          </w:p>
        </w:tc>
      </w:tr>
      <w:tr w14:paraId="4A2BA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88" w:type="pct"/>
            <w:tcBorders>
              <w:top w:val="nil"/>
              <w:left w:val="nil"/>
              <w:bottom w:val="nil"/>
              <w:right w:val="nil"/>
            </w:tcBorders>
            <w:shd w:val="clear" w:color="auto" w:fill="auto"/>
            <w:noWrap/>
            <w:vAlign w:val="bottom"/>
          </w:tcPr>
          <w:p w14:paraId="369521D4">
            <w:pPr>
              <w:keepNext w:val="0"/>
              <w:keepLines w:val="0"/>
              <w:pageBreakBefore w:val="0"/>
              <w:widowControl/>
              <w:kinsoku/>
              <w:wordWrap/>
              <w:overflowPunct/>
              <w:topLinePunct w:val="0"/>
              <w:autoSpaceDE/>
              <w:autoSpaceDN/>
              <w:bidi w:val="0"/>
              <w:adjustRightInd/>
              <w:snapToGrid/>
              <w:spacing w:after="0" w:line="440" w:lineRule="exact"/>
              <w:ind w:firstLine="0" w:firstLineChars="0"/>
              <w:rPr>
                <w:rFonts w:hint="eastAsia" w:ascii="仿宋" w:hAnsi="仿宋" w:eastAsia="仿宋" w:cs="仿宋"/>
                <w:i w:val="0"/>
                <w:iCs w:val="0"/>
                <w:color w:val="auto"/>
                <w:sz w:val="24"/>
                <w:szCs w:val="24"/>
                <w:highlight w:val="none"/>
                <w:u w:val="none"/>
              </w:rPr>
            </w:pPr>
          </w:p>
        </w:tc>
        <w:tc>
          <w:tcPr>
            <w:tcW w:w="871" w:type="pct"/>
            <w:tcBorders>
              <w:top w:val="nil"/>
              <w:left w:val="nil"/>
              <w:bottom w:val="nil"/>
              <w:right w:val="nil"/>
            </w:tcBorders>
            <w:shd w:val="clear" w:color="auto" w:fill="auto"/>
            <w:noWrap/>
            <w:vAlign w:val="bottom"/>
          </w:tcPr>
          <w:p w14:paraId="47F31497">
            <w:pPr>
              <w:keepNext w:val="0"/>
              <w:keepLines w:val="0"/>
              <w:pageBreakBefore w:val="0"/>
              <w:widowControl/>
              <w:kinsoku/>
              <w:wordWrap/>
              <w:overflowPunct/>
              <w:topLinePunct w:val="0"/>
              <w:autoSpaceDE/>
              <w:autoSpaceDN/>
              <w:bidi w:val="0"/>
              <w:adjustRightInd/>
              <w:snapToGrid/>
              <w:spacing w:after="0" w:line="440" w:lineRule="exact"/>
              <w:ind w:firstLine="0" w:firstLineChars="0"/>
              <w:rPr>
                <w:rFonts w:hint="eastAsia" w:ascii="仿宋" w:hAnsi="仿宋" w:eastAsia="仿宋" w:cs="仿宋"/>
                <w:i w:val="0"/>
                <w:iCs w:val="0"/>
                <w:color w:val="auto"/>
                <w:sz w:val="24"/>
                <w:szCs w:val="24"/>
                <w:highlight w:val="none"/>
                <w:u w:val="none"/>
              </w:rPr>
            </w:pPr>
          </w:p>
        </w:tc>
        <w:tc>
          <w:tcPr>
            <w:tcW w:w="473" w:type="pct"/>
            <w:tcBorders>
              <w:top w:val="nil"/>
              <w:left w:val="nil"/>
              <w:bottom w:val="nil"/>
              <w:right w:val="nil"/>
            </w:tcBorders>
            <w:shd w:val="clear" w:color="auto" w:fill="auto"/>
            <w:noWrap/>
            <w:vAlign w:val="bottom"/>
          </w:tcPr>
          <w:p w14:paraId="2EA3980C">
            <w:pPr>
              <w:keepNext w:val="0"/>
              <w:keepLines w:val="0"/>
              <w:pageBreakBefore w:val="0"/>
              <w:widowControl/>
              <w:kinsoku/>
              <w:wordWrap/>
              <w:overflowPunct/>
              <w:topLinePunct w:val="0"/>
              <w:autoSpaceDE/>
              <w:autoSpaceDN/>
              <w:bidi w:val="0"/>
              <w:adjustRightInd/>
              <w:snapToGrid/>
              <w:spacing w:after="0" w:line="440" w:lineRule="exact"/>
              <w:ind w:firstLine="0" w:firstLineChars="0"/>
              <w:rPr>
                <w:rFonts w:hint="eastAsia" w:ascii="仿宋" w:hAnsi="仿宋" w:eastAsia="仿宋" w:cs="仿宋"/>
                <w:i w:val="0"/>
                <w:iCs w:val="0"/>
                <w:color w:val="auto"/>
                <w:sz w:val="24"/>
                <w:szCs w:val="24"/>
                <w:highlight w:val="none"/>
                <w:u w:val="none"/>
              </w:rPr>
            </w:pPr>
          </w:p>
        </w:tc>
        <w:tc>
          <w:tcPr>
            <w:tcW w:w="2766" w:type="pct"/>
            <w:tcBorders>
              <w:top w:val="nil"/>
              <w:left w:val="nil"/>
              <w:bottom w:val="nil"/>
              <w:right w:val="nil"/>
            </w:tcBorders>
            <w:shd w:val="clear" w:color="auto" w:fill="auto"/>
            <w:noWrap/>
            <w:vAlign w:val="bottom"/>
          </w:tcPr>
          <w:p w14:paraId="5FDCEF33">
            <w:pPr>
              <w:keepNext w:val="0"/>
              <w:keepLines w:val="0"/>
              <w:pageBreakBefore w:val="0"/>
              <w:widowControl/>
              <w:kinsoku/>
              <w:wordWrap/>
              <w:overflowPunct/>
              <w:topLinePunct w:val="0"/>
              <w:autoSpaceDE/>
              <w:autoSpaceDN/>
              <w:bidi w:val="0"/>
              <w:adjustRightInd/>
              <w:snapToGrid/>
              <w:spacing w:after="0" w:line="440" w:lineRule="exact"/>
              <w:ind w:firstLine="0" w:firstLineChars="0"/>
              <w:rPr>
                <w:rFonts w:hint="eastAsia" w:ascii="仿宋" w:hAnsi="仿宋" w:eastAsia="仿宋" w:cs="仿宋"/>
                <w:i w:val="0"/>
                <w:iCs w:val="0"/>
                <w:color w:val="auto"/>
                <w:sz w:val="24"/>
                <w:szCs w:val="24"/>
                <w:highlight w:val="none"/>
                <w:u w:val="none"/>
              </w:rPr>
            </w:pPr>
          </w:p>
        </w:tc>
      </w:tr>
      <w:tr w14:paraId="72CE8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4"/>
            <w:tcBorders>
              <w:top w:val="nil"/>
              <w:left w:val="nil"/>
              <w:bottom w:val="nil"/>
              <w:right w:val="nil"/>
            </w:tcBorders>
            <w:shd w:val="clear" w:color="auto" w:fill="auto"/>
            <w:vAlign w:val="bottom"/>
          </w:tcPr>
          <w:p w14:paraId="0858389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1.考核结果应用</w:t>
            </w:r>
          </w:p>
          <w:p w14:paraId="4606529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考核得分≥95分：向供应商全额支付该季度服务费用。</w:t>
            </w:r>
          </w:p>
          <w:p w14:paraId="7BC3E77E">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80≤考核得分＜95分：若供应商季度考核得分低于95分，每低于95分1分，采购人有权在该季度服务费支付比例中扣除1%。计算公式：实际支付比例=100%-(95-考核得分)%</w:t>
            </w:r>
          </w:p>
          <w:p w14:paraId="3336253C">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考核得分＜80分：该季度服务费不予支付。供应商需在考核结束后3日内提交整改报告，并扣除履约保证金的50%作为违约金。</w:t>
            </w:r>
          </w:p>
          <w:p w14:paraId="3061519A">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2.考核一票否决</w:t>
            </w:r>
          </w:p>
          <w:p w14:paraId="4BD81F2E">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若发生以下任一情况，采购人有权单方面解除合同，且不予退还履约保证金：</w:t>
            </w:r>
          </w:p>
          <w:p w14:paraId="56B440CE">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（1）严重超时：经采购人核实，因供应商响应不及时（超过2小时）导致生产事故的情形。</w:t>
            </w:r>
          </w:p>
          <w:p w14:paraId="060F1AE3">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（2）累计不合格：在服务期内，累计出现2次季度考核低于80分。</w:t>
            </w:r>
          </w:p>
          <w:p w14:paraId="4AD299E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（3）放弃服务：供应商以任何理由拒绝接收新工单或停止服务。</w:t>
            </w:r>
          </w:p>
          <w:p w14:paraId="469ED4CC">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3.合同续签：年度考核合格续签下一年度合同，年度考核合格是指供应商前三个季度考核得分均≥90分。</w:t>
            </w:r>
          </w:p>
        </w:tc>
      </w:tr>
    </w:tbl>
    <w:p w14:paraId="09D846B2">
      <w:pPr>
        <w:pStyle w:val="16"/>
        <w:keepNext w:val="0"/>
        <w:keepLines w:val="0"/>
        <w:pageBreakBefore w:val="0"/>
        <w:widowControl w:val="0"/>
        <w:kinsoku/>
        <w:wordWrap/>
        <w:overflowPunct/>
        <w:topLinePunct w:val="0"/>
        <w:autoSpaceDE/>
        <w:autoSpaceDN/>
        <w:bidi w:val="0"/>
        <w:adjustRightInd/>
        <w:spacing w:before="0" w:after="0" w:line="440" w:lineRule="exact"/>
        <w:ind w:firstLine="482" w:firstLineChars="200"/>
        <w:textAlignment w:val="auto"/>
        <w:rPr>
          <w:rFonts w:hint="eastAsia"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五、其他要求</w:t>
      </w:r>
    </w:p>
    <w:p w14:paraId="35C75681">
      <w:pPr>
        <w:pStyle w:val="16"/>
        <w:keepNext w:val="0"/>
        <w:keepLines w:val="0"/>
        <w:pageBreakBefore w:val="0"/>
        <w:widowControl w:val="0"/>
        <w:numPr>
          <w:ilvl w:val="0"/>
          <w:numId w:val="0"/>
        </w:numPr>
        <w:kinsoku/>
        <w:wordWrap/>
        <w:overflowPunct/>
        <w:topLinePunct w:val="0"/>
        <w:autoSpaceDE/>
        <w:autoSpaceDN/>
        <w:bidi w:val="0"/>
        <w:adjustRightInd/>
        <w:spacing w:before="0" w:after="0"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1.供应商提供自2023年1月1日（含）至响应文件递交截止之日类似项目业绩（类似项目是指空调维保服务项目），提供合同复印件并加盖供应商公章。</w:t>
      </w:r>
    </w:p>
    <w:p w14:paraId="05E34D3C">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color w:val="auto"/>
          <w:highlight w:val="none"/>
        </w:rPr>
      </w:pPr>
      <w:r>
        <w:rPr>
          <w:rFonts w:hint="eastAsia" w:ascii="仿宋" w:hAnsi="仿宋" w:eastAsia="仿宋" w:cs="仿宋"/>
          <w:color w:val="auto"/>
          <w:sz w:val="24"/>
          <w:szCs w:val="24"/>
          <w:highlight w:val="none"/>
          <w:lang w:val="en-US" w:eastAsia="zh-CN"/>
        </w:rPr>
        <w:t>2.供应商为本项目拟配备的服务人员，拟配备项目经理具有机电工程相关专业中级或高级工程师职称。</w:t>
      </w:r>
    </w:p>
    <w:p w14:paraId="643B735A">
      <w:pPr>
        <w:pStyle w:val="16"/>
        <w:keepNext w:val="0"/>
        <w:keepLines w:val="0"/>
        <w:pageBreakBefore w:val="0"/>
        <w:widowControl w:val="0"/>
        <w:numPr>
          <w:ilvl w:val="0"/>
          <w:numId w:val="0"/>
        </w:numPr>
        <w:kinsoku/>
        <w:wordWrap/>
        <w:overflowPunct/>
        <w:topLinePunct w:val="0"/>
        <w:autoSpaceDE/>
        <w:autoSpaceDN/>
        <w:bidi w:val="0"/>
        <w:adjustRightInd/>
        <w:spacing w:before="0" w:after="0"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3.</w:t>
      </w:r>
      <w:r>
        <w:rPr>
          <w:rFonts w:hint="eastAsia" w:ascii="仿宋" w:hAnsi="仿宋" w:eastAsia="仿宋" w:cs="仿宋"/>
          <w:color w:val="auto"/>
          <w:sz w:val="24"/>
          <w:szCs w:val="24"/>
          <w:highlight w:val="none"/>
          <w:lang w:val="en-US" w:eastAsia="zh-CN"/>
        </w:rPr>
        <w:t>供应商针对本项目提供维保服务方案，包括：①设备维护保养计划；②维护保养巡检措施；③设备的维护保养流程、工序；④备品备件更换及质量保障方案。</w:t>
      </w:r>
    </w:p>
    <w:p w14:paraId="1AD22D47">
      <w:pPr>
        <w:pStyle w:val="16"/>
        <w:keepNext w:val="0"/>
        <w:keepLines w:val="0"/>
        <w:pageBreakBefore w:val="0"/>
        <w:widowControl w:val="0"/>
        <w:kinsoku/>
        <w:wordWrap/>
        <w:overflowPunct/>
        <w:topLinePunct w:val="0"/>
        <w:autoSpaceDE/>
        <w:autoSpaceDN/>
        <w:bidi w:val="0"/>
        <w:adjustRightInd/>
        <w:spacing w:before="0" w:after="0" w:line="440" w:lineRule="exact"/>
        <w:ind w:firstLine="480" w:firstLineChars="200"/>
        <w:textAlignment w:val="auto"/>
        <w:rPr>
          <w:rFonts w:hint="default" w:ascii="仿宋" w:hAnsi="仿宋" w:eastAsia="仿宋" w:cs="仿宋"/>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4.供应商针对本项目提供安全、应急保障方案，</w:t>
      </w:r>
      <w:r>
        <w:rPr>
          <w:rFonts w:hint="default" w:ascii="仿宋" w:hAnsi="仿宋" w:eastAsia="仿宋" w:cs="仿宋"/>
          <w:color w:val="auto"/>
          <w:sz w:val="24"/>
          <w:szCs w:val="24"/>
          <w:highlight w:val="none"/>
          <w:lang w:val="en-US" w:eastAsia="zh-CN"/>
        </w:rPr>
        <w:t>包括：①作业安全与人员保障方案；②应急事件响应方案；③设备故障响应与抢修方案。</w:t>
      </w:r>
    </w:p>
    <w:p w14:paraId="5966EB51">
      <w:pPr>
        <w:pStyle w:val="16"/>
        <w:keepLines w:val="0"/>
        <w:pageBreakBefore w:val="0"/>
        <w:kinsoku/>
        <w:wordWrap/>
        <w:overflowPunct/>
        <w:topLinePunct w:val="0"/>
        <w:autoSpaceDE/>
        <w:autoSpaceDN/>
        <w:bidi w:val="0"/>
        <w:spacing w:before="0" w:after="0" w:line="440" w:lineRule="exact"/>
        <w:ind w:firstLine="480" w:firstLineChars="200"/>
        <w:rPr>
          <w:rFonts w:ascii="Times New Roman" w:hAnsi="Times New Roman" w:eastAsia="仿宋" w:cs="Times New Roman"/>
          <w:color w:val="auto"/>
          <w:sz w:val="24"/>
          <w:szCs w:val="24"/>
          <w:highlight w:val="none"/>
        </w:rPr>
      </w:pPr>
    </w:p>
    <w:p w14:paraId="4A6A2942">
      <w:pPr>
        <w:pStyle w:val="16"/>
        <w:keepLines w:val="0"/>
        <w:pageBreakBefore w:val="0"/>
        <w:kinsoku/>
        <w:wordWrap/>
        <w:overflowPunct/>
        <w:topLinePunct w:val="0"/>
        <w:autoSpaceDE/>
        <w:autoSpaceDN/>
        <w:bidi w:val="0"/>
        <w:spacing w:before="0" w:after="0" w:line="440" w:lineRule="exact"/>
        <w:ind w:firstLine="480" w:firstLineChars="200"/>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注：本章中带“</w:t>
      </w:r>
      <w:r>
        <w:rPr>
          <w:rFonts w:ascii="Segoe UI Symbol" w:hAnsi="Segoe UI Symbol" w:eastAsia="仿宋" w:cs="Segoe UI Symbol"/>
          <w:b/>
          <w:bCs/>
          <w:color w:val="auto"/>
          <w:sz w:val="24"/>
          <w:szCs w:val="22"/>
          <w:highlight w:val="none"/>
        </w:rPr>
        <w:t>★</w:t>
      </w:r>
      <w:r>
        <w:rPr>
          <w:rFonts w:ascii="Times New Roman" w:hAnsi="Times New Roman" w:eastAsia="仿宋" w:cs="Times New Roman"/>
          <w:color w:val="auto"/>
          <w:sz w:val="24"/>
          <w:szCs w:val="24"/>
          <w:highlight w:val="none"/>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279"/>
        <w:gridCol w:w="1057"/>
        <w:gridCol w:w="4525"/>
        <w:gridCol w:w="2150"/>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0E123AE4">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79" w:type="dxa"/>
            <w:tcBorders>
              <w:top w:val="single" w:color="auto" w:sz="4" w:space="0"/>
              <w:left w:val="single" w:color="auto" w:sz="4" w:space="0"/>
              <w:bottom w:val="single" w:color="auto" w:sz="4" w:space="0"/>
              <w:right w:val="single" w:color="auto" w:sz="4" w:space="0"/>
            </w:tcBorders>
            <w:vAlign w:val="center"/>
          </w:tcPr>
          <w:p w14:paraId="6C69E609">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1057" w:type="dxa"/>
            <w:tcBorders>
              <w:top w:val="single" w:color="auto" w:sz="4" w:space="0"/>
              <w:left w:val="single" w:color="auto" w:sz="4" w:space="0"/>
              <w:bottom w:val="single" w:color="auto" w:sz="4" w:space="0"/>
              <w:right w:val="single" w:color="auto" w:sz="4" w:space="0"/>
            </w:tcBorders>
            <w:vAlign w:val="center"/>
          </w:tcPr>
          <w:p w14:paraId="35AAE3BA">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525" w:type="dxa"/>
            <w:tcBorders>
              <w:top w:val="single" w:color="auto" w:sz="4" w:space="0"/>
              <w:left w:val="single" w:color="auto" w:sz="4" w:space="0"/>
              <w:bottom w:val="single" w:color="auto" w:sz="4" w:space="0"/>
              <w:right w:val="single" w:color="auto" w:sz="4" w:space="0"/>
            </w:tcBorders>
            <w:vAlign w:val="center"/>
          </w:tcPr>
          <w:p w14:paraId="77EF252B">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150" w:type="dxa"/>
            <w:tcBorders>
              <w:top w:val="single" w:color="auto" w:sz="4" w:space="0"/>
              <w:left w:val="single" w:color="auto" w:sz="4" w:space="0"/>
              <w:bottom w:val="single" w:color="auto" w:sz="4" w:space="0"/>
              <w:right w:val="single" w:color="auto" w:sz="4" w:space="0"/>
            </w:tcBorders>
            <w:vAlign w:val="center"/>
          </w:tcPr>
          <w:p w14:paraId="2C71D137">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6F7F373C">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1</w:t>
            </w:r>
          </w:p>
        </w:tc>
        <w:tc>
          <w:tcPr>
            <w:tcW w:w="1279" w:type="dxa"/>
            <w:tcBorders>
              <w:top w:val="single" w:color="auto" w:sz="4" w:space="0"/>
              <w:left w:val="single" w:color="auto" w:sz="4" w:space="0"/>
              <w:bottom w:val="single" w:color="auto" w:sz="4" w:space="0"/>
              <w:right w:val="single" w:color="auto" w:sz="4" w:space="0"/>
            </w:tcBorders>
            <w:vAlign w:val="center"/>
          </w:tcPr>
          <w:p w14:paraId="7E76E211">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报价</w:t>
            </w:r>
          </w:p>
        </w:tc>
        <w:tc>
          <w:tcPr>
            <w:tcW w:w="1057" w:type="dxa"/>
            <w:tcBorders>
              <w:top w:val="single" w:color="auto" w:sz="4" w:space="0"/>
              <w:left w:val="single" w:color="auto" w:sz="4" w:space="0"/>
              <w:bottom w:val="single" w:color="auto" w:sz="4" w:space="0"/>
              <w:right w:val="single" w:color="auto" w:sz="4" w:space="0"/>
            </w:tcBorders>
            <w:vAlign w:val="center"/>
          </w:tcPr>
          <w:p w14:paraId="31CBAE52">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30</w:t>
            </w:r>
            <w:r>
              <w:rPr>
                <w:rFonts w:hint="eastAsia" w:ascii="仿宋" w:hAnsi="仿宋" w:eastAsia="仿宋" w:cs="仿宋"/>
                <w:bCs/>
                <w:sz w:val="24"/>
                <w:szCs w:val="24"/>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2150" w:type="dxa"/>
            <w:tcBorders>
              <w:top w:val="single" w:color="auto" w:sz="4" w:space="0"/>
              <w:left w:val="single" w:color="auto" w:sz="4" w:space="0"/>
              <w:bottom w:val="single" w:color="auto" w:sz="4" w:space="0"/>
              <w:right w:val="single" w:color="auto" w:sz="4" w:space="0"/>
            </w:tcBorders>
            <w:vAlign w:val="center"/>
          </w:tcPr>
          <w:p w14:paraId="7919845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right w:val="single" w:color="auto" w:sz="4" w:space="0"/>
            </w:tcBorders>
            <w:vAlign w:val="center"/>
          </w:tcPr>
          <w:p w14:paraId="0E0DA849">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2</w:t>
            </w:r>
          </w:p>
        </w:tc>
        <w:tc>
          <w:tcPr>
            <w:tcW w:w="1279" w:type="dxa"/>
            <w:tcBorders>
              <w:top w:val="single" w:color="auto" w:sz="4" w:space="0"/>
              <w:left w:val="single" w:color="auto" w:sz="4" w:space="0"/>
              <w:right w:val="single" w:color="auto" w:sz="4" w:space="0"/>
            </w:tcBorders>
            <w:vAlign w:val="center"/>
          </w:tcPr>
          <w:p w14:paraId="3CFDA42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1057" w:type="dxa"/>
            <w:tcBorders>
              <w:top w:val="single" w:color="auto" w:sz="4" w:space="0"/>
              <w:left w:val="single" w:color="auto" w:sz="4" w:space="0"/>
              <w:bottom w:val="single" w:color="auto" w:sz="4" w:space="0"/>
              <w:right w:val="single" w:color="auto" w:sz="4" w:space="0"/>
            </w:tcBorders>
            <w:vAlign w:val="center"/>
          </w:tcPr>
          <w:p w14:paraId="698E54E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仿宋" w:hAnsi="仿宋" w:eastAsia="仿宋" w:cs="仿宋"/>
                <w:sz w:val="24"/>
                <w:szCs w:val="24"/>
                <w:highlight w:val="none"/>
                <w:lang w:val="en-US" w:eastAsia="zh-CN"/>
              </w:rPr>
              <w:t>45分</w:t>
            </w:r>
          </w:p>
        </w:tc>
        <w:tc>
          <w:tcPr>
            <w:tcW w:w="4525" w:type="dxa"/>
            <w:tcBorders>
              <w:top w:val="single" w:color="auto" w:sz="4" w:space="0"/>
              <w:left w:val="single" w:color="auto" w:sz="4" w:space="0"/>
              <w:bottom w:val="single" w:color="auto" w:sz="4" w:space="0"/>
              <w:right w:val="single" w:color="auto" w:sz="4" w:space="0"/>
            </w:tcBorders>
            <w:vAlign w:val="center"/>
          </w:tcPr>
          <w:p w14:paraId="145B6C9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供应商自2023年1月1日（含）至响应文件递交截止之日，每具有1个类似项目业绩（类似项目是指空调维保服务项目）得7.5分，本项最高得45分。</w:t>
            </w:r>
          </w:p>
        </w:tc>
        <w:tc>
          <w:tcPr>
            <w:tcW w:w="2150" w:type="dxa"/>
            <w:tcBorders>
              <w:top w:val="single" w:color="auto" w:sz="4" w:space="0"/>
              <w:left w:val="single" w:color="auto" w:sz="4" w:space="0"/>
              <w:bottom w:val="single" w:color="auto" w:sz="4" w:space="0"/>
              <w:right w:val="single" w:color="auto" w:sz="4" w:space="0"/>
            </w:tcBorders>
            <w:vAlign w:val="center"/>
          </w:tcPr>
          <w:p w14:paraId="1260EA4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提供合同复印件并加盖供应商公章</w:t>
            </w:r>
            <w:r>
              <w:rPr>
                <w:rFonts w:hint="eastAsia" w:ascii="仿宋" w:hAnsi="仿宋" w:eastAsia="仿宋" w:cs="仿宋"/>
                <w:sz w:val="24"/>
                <w:szCs w:val="24"/>
              </w:rPr>
              <w:t>。</w:t>
            </w: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12E402E8">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79" w:type="dxa"/>
            <w:tcBorders>
              <w:left w:val="single" w:color="auto" w:sz="4" w:space="0"/>
              <w:bottom w:val="single" w:color="auto" w:sz="4" w:space="0"/>
              <w:right w:val="single" w:color="auto" w:sz="4" w:space="0"/>
            </w:tcBorders>
            <w:vAlign w:val="center"/>
          </w:tcPr>
          <w:p w14:paraId="505033EE">
            <w:pPr>
              <w:ind w:left="525" w:leftChars="0" w:hanging="525" w:hangingChars="219"/>
              <w:jc w:val="center"/>
              <w:rPr>
                <w:rFonts w:hint="eastAsia" w:ascii="Times New Roman" w:hAnsi="Times New Roman" w:eastAsia="仿宋" w:cs="Times New Roman"/>
                <w:sz w:val="24"/>
                <w:szCs w:val="24"/>
                <w:lang w:eastAsia="zh-CN"/>
              </w:rPr>
            </w:pPr>
            <w:r>
              <w:rPr>
                <w:rFonts w:hint="eastAsia" w:ascii="Times New Roman" w:hAnsi="Times New Roman" w:eastAsia="仿宋" w:cs="Times New Roman"/>
                <w:bCs/>
                <w:sz w:val="24"/>
                <w:szCs w:val="24"/>
                <w:lang w:val="en-US" w:eastAsia="zh-CN"/>
              </w:rPr>
              <w:t>服务人员</w:t>
            </w:r>
          </w:p>
        </w:tc>
        <w:tc>
          <w:tcPr>
            <w:tcW w:w="1057" w:type="dxa"/>
            <w:tcBorders>
              <w:top w:val="single" w:color="auto" w:sz="4" w:space="0"/>
              <w:left w:val="single" w:color="auto" w:sz="4" w:space="0"/>
              <w:bottom w:val="single" w:color="auto" w:sz="4" w:space="0"/>
              <w:right w:val="single" w:color="auto" w:sz="4" w:space="0"/>
            </w:tcBorders>
            <w:vAlign w:val="center"/>
          </w:tcPr>
          <w:p w14:paraId="2FE50D66">
            <w:pPr>
              <w:ind w:firstLine="28" w:firstLineChars="0"/>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11</w:t>
            </w:r>
            <w:r>
              <w:rPr>
                <w:rFonts w:ascii="Times New Roman" w:hAnsi="Times New Roman" w:eastAsia="仿宋" w:cs="Times New Roman"/>
                <w:bCs/>
                <w:sz w:val="24"/>
                <w:szCs w:val="24"/>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675A6AD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根据供应商为本项目拟配备的服务人员情况，按以下标准评审：</w:t>
            </w:r>
          </w:p>
          <w:p w14:paraId="47A91D8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拟配备项目经理，具有机电工程相关专业中级工程师职称的得7分，具有机电工程相关专业高级工程师职称的得11分，本项最多得11分，未提供不得分。</w:t>
            </w:r>
          </w:p>
        </w:tc>
        <w:tc>
          <w:tcPr>
            <w:tcW w:w="2150" w:type="dxa"/>
            <w:tcBorders>
              <w:top w:val="single" w:color="auto" w:sz="4" w:space="0"/>
              <w:left w:val="single" w:color="auto" w:sz="4" w:space="0"/>
              <w:bottom w:val="single" w:color="auto" w:sz="4" w:space="0"/>
              <w:right w:val="single" w:color="auto" w:sz="4" w:space="0"/>
            </w:tcBorders>
            <w:vAlign w:val="center"/>
          </w:tcPr>
          <w:p w14:paraId="65A98B9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b w:val="0"/>
                <w:bCs/>
                <w:kern w:val="2"/>
                <w:sz w:val="24"/>
                <w:szCs w:val="24"/>
                <w:lang w:val="en-US" w:eastAsia="zh-CN"/>
              </w:rPr>
            </w:pPr>
            <w:r>
              <w:rPr>
                <w:rFonts w:hint="eastAsia" w:ascii="仿宋" w:hAnsi="仿宋" w:eastAsia="仿宋" w:cs="仿宋"/>
                <w:b w:val="0"/>
                <w:bCs/>
                <w:kern w:val="2"/>
                <w:sz w:val="24"/>
                <w:szCs w:val="24"/>
                <w:lang w:val="en-US" w:eastAsia="zh-CN"/>
              </w:rPr>
              <w:t>同一人员同时持有多项证书的，按最高一项分值计分，不重复累计。</w:t>
            </w:r>
          </w:p>
          <w:p w14:paraId="0928DA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证书须在有效期内，提供证书复印件、身份证复印件并加盖供应商公章。</w:t>
            </w:r>
          </w:p>
        </w:tc>
      </w:tr>
      <w:tr w14:paraId="7CC4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63961D65">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4</w:t>
            </w:r>
          </w:p>
        </w:tc>
        <w:tc>
          <w:tcPr>
            <w:tcW w:w="1279" w:type="dxa"/>
            <w:tcBorders>
              <w:left w:val="single" w:color="auto" w:sz="4" w:space="0"/>
              <w:bottom w:val="single" w:color="auto" w:sz="4" w:space="0"/>
              <w:right w:val="single" w:color="auto" w:sz="4" w:space="0"/>
            </w:tcBorders>
            <w:vAlign w:val="center"/>
          </w:tcPr>
          <w:p w14:paraId="10F284C9">
            <w:pPr>
              <w:ind w:firstLine="28"/>
              <w:jc w:val="center"/>
              <w:rPr>
                <w:rFonts w:hint="eastAsia" w:ascii="Times New Roman" w:hAnsi="Times New Roman" w:eastAsia="仿宋" w:cs="Times New Roman"/>
                <w:sz w:val="24"/>
                <w:szCs w:val="24"/>
                <w:lang w:eastAsia="zh-CN"/>
              </w:rPr>
            </w:pPr>
            <w:r>
              <w:rPr>
                <w:rFonts w:hint="eastAsia" w:ascii="Times New Roman" w:hAnsi="Times New Roman" w:eastAsia="仿宋" w:cs="Times New Roman"/>
                <w:bCs/>
                <w:sz w:val="24"/>
                <w:szCs w:val="24"/>
                <w:lang w:val="en-US" w:eastAsia="zh-CN"/>
              </w:rPr>
              <w:t>维保服务方案</w:t>
            </w:r>
          </w:p>
        </w:tc>
        <w:tc>
          <w:tcPr>
            <w:tcW w:w="1057" w:type="dxa"/>
            <w:tcBorders>
              <w:top w:val="single" w:color="auto" w:sz="4" w:space="0"/>
              <w:left w:val="single" w:color="auto" w:sz="4" w:space="0"/>
              <w:bottom w:val="single" w:color="auto" w:sz="4" w:space="0"/>
              <w:right w:val="single" w:color="auto" w:sz="4" w:space="0"/>
            </w:tcBorders>
            <w:vAlign w:val="center"/>
          </w:tcPr>
          <w:p w14:paraId="42DCC55F">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Times New Roman" w:hAnsi="Times New Roman" w:eastAsia="仿宋" w:cs="Times New Roman"/>
                <w:bCs/>
                <w:sz w:val="24"/>
                <w:szCs w:val="24"/>
                <w:lang w:val="en-US"/>
              </w:rPr>
            </w:pPr>
            <w:r>
              <w:rPr>
                <w:rFonts w:hint="eastAsia" w:ascii="仿宋" w:hAnsi="仿宋" w:eastAsia="仿宋" w:cs="仿宋"/>
                <w:kern w:val="2"/>
                <w:sz w:val="24"/>
                <w:szCs w:val="24"/>
                <w:highlight w:val="none"/>
                <w:lang w:val="en-US" w:eastAsia="zh-CN" w:bidi="ar-SA"/>
              </w:rPr>
              <w:t>8分</w:t>
            </w:r>
          </w:p>
        </w:tc>
        <w:tc>
          <w:tcPr>
            <w:tcW w:w="4525" w:type="dxa"/>
            <w:tcBorders>
              <w:top w:val="single" w:color="auto" w:sz="4" w:space="0"/>
              <w:left w:val="single" w:color="auto" w:sz="4" w:space="0"/>
              <w:bottom w:val="single" w:color="auto" w:sz="4" w:space="0"/>
              <w:right w:val="single" w:color="auto" w:sz="4" w:space="0"/>
            </w:tcBorders>
            <w:vAlign w:val="center"/>
          </w:tcPr>
          <w:p w14:paraId="633BBD6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维保服务方案，包括：①设备维护保养计划；②维护保养巡检措施；③设备的维护保养流程、工序；④备品备件更换及质量保障方案。涵盖以上内容且不存在缺陷得8分，在此基础上，每缺少一项内容扣2分，每有一处内容存在缺陷扣1分，扣完为止。</w:t>
            </w:r>
          </w:p>
          <w:p w14:paraId="56018C0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7158F53A">
            <w:pPr>
              <w:jc w:val="center"/>
              <w:rPr>
                <w:rFonts w:ascii="Times New Roman" w:hAnsi="Times New Roman" w:eastAsia="仿宋" w:cs="Times New Roman"/>
                <w:sz w:val="24"/>
                <w:szCs w:val="24"/>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1E62D6EC">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5</w:t>
            </w:r>
          </w:p>
        </w:tc>
        <w:tc>
          <w:tcPr>
            <w:tcW w:w="1279" w:type="dxa"/>
            <w:tcBorders>
              <w:top w:val="single" w:color="auto" w:sz="4" w:space="0"/>
              <w:left w:val="single" w:color="auto" w:sz="4" w:space="0"/>
              <w:bottom w:val="single" w:color="auto" w:sz="4" w:space="0"/>
              <w:right w:val="single" w:color="auto" w:sz="4" w:space="0"/>
            </w:tcBorders>
            <w:vAlign w:val="center"/>
          </w:tcPr>
          <w:p w14:paraId="50DBF0ED">
            <w:pPr>
              <w:ind w:firstLine="28"/>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bCs/>
                <w:sz w:val="24"/>
                <w:szCs w:val="24"/>
                <w:lang w:val="en-US" w:eastAsia="zh-CN"/>
              </w:rPr>
              <w:t>安全、应急保障方案</w:t>
            </w:r>
          </w:p>
        </w:tc>
        <w:tc>
          <w:tcPr>
            <w:tcW w:w="1057" w:type="dxa"/>
            <w:tcBorders>
              <w:top w:val="single" w:color="auto" w:sz="4" w:space="0"/>
              <w:left w:val="single" w:color="auto" w:sz="4" w:space="0"/>
              <w:bottom w:val="single" w:color="auto" w:sz="4" w:space="0"/>
              <w:right w:val="single" w:color="auto" w:sz="4" w:space="0"/>
            </w:tcBorders>
            <w:vAlign w:val="center"/>
          </w:tcPr>
          <w:p w14:paraId="20B6A218">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sz w:val="24"/>
                <w:szCs w:val="24"/>
              </w:rPr>
            </w:pPr>
            <w:r>
              <w:rPr>
                <w:rFonts w:hint="eastAsia" w:ascii="仿宋" w:hAnsi="仿宋" w:eastAsia="仿宋" w:cs="仿宋"/>
                <w:kern w:val="2"/>
                <w:sz w:val="24"/>
                <w:szCs w:val="24"/>
                <w:highlight w:val="none"/>
                <w:lang w:val="en-US" w:eastAsia="zh-CN" w:bidi="ar-SA"/>
              </w:rPr>
              <w:t>6分</w:t>
            </w:r>
          </w:p>
        </w:tc>
        <w:tc>
          <w:tcPr>
            <w:tcW w:w="4525" w:type="dxa"/>
            <w:tcBorders>
              <w:top w:val="single" w:color="auto" w:sz="4" w:space="0"/>
              <w:left w:val="single" w:color="auto" w:sz="4" w:space="0"/>
              <w:bottom w:val="single" w:color="auto" w:sz="4" w:space="0"/>
              <w:right w:val="single" w:color="auto" w:sz="4" w:space="0"/>
            </w:tcBorders>
            <w:vAlign w:val="center"/>
          </w:tcPr>
          <w:p w14:paraId="78AAB5E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安全、应急保障方案，包括：①作业安全与人员保障方案；②应急事件响应方案；③设备故障响应与抢修方案。涵盖以上内容且不存在缺陷得6分，在此基础上，每缺少一项内容扣2分，每有一处内容存在缺陷扣1分，扣完为止。</w:t>
            </w:r>
          </w:p>
          <w:p w14:paraId="67C36FB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420172E6">
            <w:pPr>
              <w:jc w:val="center"/>
              <w:rPr>
                <w:rFonts w:ascii="Times New Roman" w:hAnsi="Times New Roman" w:eastAsia="仿宋" w:cs="Times New Roman"/>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0028A7FC">
      <w:pPr>
        <w:spacing w:line="700" w:lineRule="exact"/>
        <w:rPr>
          <w:rFonts w:ascii="Times New Roman" w:hAnsi="Times New Roman" w:eastAsia="仿宋" w:cs="Times New Roman"/>
          <w:b/>
          <w:bCs/>
          <w:sz w:val="32"/>
          <w:szCs w:val="32"/>
        </w:rPr>
      </w:pPr>
      <w:bookmarkStart w:id="21" w:name="_Toc32605"/>
      <w:bookmarkStart w:id="22" w:name="_Toc15065"/>
      <w:bookmarkStart w:id="23" w:name="_Toc24494"/>
      <w:bookmarkStart w:id="24" w:name="_Toc3871"/>
    </w:p>
    <w:p w14:paraId="7684B06E">
      <w:pPr>
        <w:jc w:val="left"/>
        <w:rPr>
          <w:rFonts w:ascii="Times New Roman" w:hAnsi="Times New Roman" w:eastAsia="仿宋" w:cs="Times New Roman"/>
          <w:sz w:val="28"/>
          <w:szCs w:val="24"/>
        </w:rPr>
      </w:pPr>
      <w:bookmarkStart w:id="25" w:name="_Toc4960"/>
      <w:bookmarkStart w:id="26" w:name="_Toc29819"/>
      <w:bookmarkStart w:id="27" w:name="_Toc5913"/>
      <w:r>
        <w:rPr>
          <w:rFonts w:ascii="Times New Roman" w:hAnsi="Times New Roman" w:eastAsia="仿宋" w:cs="Times New Roman"/>
          <w:sz w:val="28"/>
          <w:szCs w:val="24"/>
        </w:rPr>
        <w:t>（响应文件封面）</w:t>
      </w:r>
      <w:bookmarkEnd w:id="25"/>
      <w:bookmarkEnd w:id="26"/>
      <w:bookmarkEnd w:id="27"/>
    </w:p>
    <w:p w14:paraId="02C9575D">
      <w:pPr>
        <w:rPr>
          <w:rFonts w:ascii="Times New Roman" w:hAnsi="Times New Roman" w:eastAsia="仿宋" w:cs="Times New Roman"/>
          <w:sz w:val="28"/>
          <w:szCs w:val="28"/>
        </w:rPr>
      </w:pPr>
    </w:p>
    <w:p w14:paraId="082AD931">
      <w:pPr>
        <w:jc w:val="left"/>
        <w:rPr>
          <w:rFonts w:ascii="Times New Roman" w:hAnsi="Times New Roman" w:eastAsia="仿宋" w:cs="Times New Roman"/>
          <w:sz w:val="24"/>
          <w:szCs w:val="24"/>
        </w:rPr>
      </w:pPr>
      <w:bookmarkStart w:id="28" w:name="_Toc30609"/>
      <w:bookmarkStart w:id="29" w:name="_Toc19851"/>
      <w:bookmarkStart w:id="30" w:name="_Toc9428"/>
      <w:r>
        <w:rPr>
          <w:rFonts w:ascii="Times New Roman" w:hAnsi="Times New Roman" w:eastAsia="仿宋" w:cs="Times New Roman"/>
          <w:sz w:val="24"/>
          <w:szCs w:val="24"/>
        </w:rPr>
        <w:t>项目名称：</w:t>
      </w:r>
      <w:bookmarkEnd w:id="28"/>
      <w:bookmarkEnd w:id="29"/>
      <w:bookmarkEnd w:id="30"/>
    </w:p>
    <w:p w14:paraId="58EC75C9">
      <w:pPr>
        <w:jc w:val="left"/>
        <w:rPr>
          <w:rFonts w:ascii="Times New Roman" w:hAnsi="Times New Roman" w:eastAsia="仿宋" w:cs="Times New Roman"/>
          <w:sz w:val="24"/>
          <w:szCs w:val="24"/>
        </w:rPr>
      </w:pPr>
      <w:bookmarkStart w:id="31" w:name="_Toc1544"/>
      <w:bookmarkStart w:id="32" w:name="_Toc9041"/>
      <w:bookmarkStart w:id="33" w:name="_Toc32352"/>
      <w:r>
        <w:rPr>
          <w:rFonts w:ascii="Times New Roman" w:hAnsi="Times New Roman" w:eastAsia="仿宋" w:cs="Times New Roman"/>
          <w:sz w:val="24"/>
          <w:szCs w:val="24"/>
        </w:rPr>
        <w:t>项目编号：</w:t>
      </w:r>
      <w:bookmarkEnd w:id="31"/>
      <w:bookmarkEnd w:id="32"/>
      <w:bookmarkEnd w:id="33"/>
    </w:p>
    <w:p w14:paraId="29757E61">
      <w:pPr>
        <w:rPr>
          <w:rFonts w:ascii="Times New Roman" w:hAnsi="Times New Roman" w:eastAsia="仿宋" w:cs="Times New Roman"/>
        </w:rPr>
      </w:pPr>
    </w:p>
    <w:p w14:paraId="5C523132">
      <w:pPr>
        <w:rPr>
          <w:rFonts w:ascii="Times New Roman" w:hAnsi="Times New Roman" w:eastAsia="仿宋" w:cs="Times New Roman"/>
        </w:rPr>
      </w:pPr>
    </w:p>
    <w:p w14:paraId="7090B562">
      <w:pPr>
        <w:rPr>
          <w:rFonts w:ascii="Times New Roman" w:hAnsi="Times New Roman" w:eastAsia="仿宋" w:cs="Times New Roman"/>
        </w:rPr>
      </w:pPr>
    </w:p>
    <w:p w14:paraId="44F14194">
      <w:pPr>
        <w:jc w:val="left"/>
        <w:rPr>
          <w:rFonts w:ascii="Times New Roman" w:hAnsi="Times New Roman" w:eastAsia="仿宋" w:cs="Times New Roman"/>
          <w:sz w:val="84"/>
          <w:szCs w:val="24"/>
        </w:rPr>
      </w:pPr>
      <w:bookmarkStart w:id="34" w:name="_Toc21472"/>
      <w:bookmarkStart w:id="35" w:name="_Toc24097"/>
    </w:p>
    <w:bookmarkEnd w:id="34"/>
    <w:bookmarkEnd w:id="35"/>
    <w:p w14:paraId="4820CBAC">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293A11D6">
      <w:pPr>
        <w:rPr>
          <w:rFonts w:ascii="Times New Roman" w:hAnsi="Times New Roman" w:eastAsia="仿宋" w:cs="Times New Roman"/>
        </w:rPr>
      </w:pPr>
    </w:p>
    <w:p w14:paraId="3FC0E926">
      <w:pPr>
        <w:rPr>
          <w:rFonts w:ascii="Times New Roman" w:hAnsi="Times New Roman" w:eastAsia="仿宋" w:cs="Times New Roman"/>
        </w:rPr>
      </w:pPr>
    </w:p>
    <w:p w14:paraId="790040E3">
      <w:pPr>
        <w:rPr>
          <w:rFonts w:ascii="Times New Roman" w:hAnsi="Times New Roman" w:eastAsia="仿宋" w:cs="Times New Roman"/>
        </w:rPr>
      </w:pPr>
    </w:p>
    <w:p w14:paraId="48A2E62B">
      <w:pPr>
        <w:rPr>
          <w:rFonts w:ascii="Times New Roman" w:hAnsi="Times New Roman" w:eastAsia="仿宋" w:cs="Times New Roman"/>
        </w:rPr>
      </w:pPr>
    </w:p>
    <w:p w14:paraId="35714137">
      <w:pPr>
        <w:rPr>
          <w:rFonts w:ascii="Times New Roman" w:hAnsi="Times New Roman" w:eastAsia="仿宋" w:cs="Times New Roman"/>
        </w:rPr>
      </w:pPr>
    </w:p>
    <w:p w14:paraId="41D38D10">
      <w:pPr>
        <w:rPr>
          <w:rFonts w:ascii="Times New Roman" w:hAnsi="Times New Roman" w:eastAsia="仿宋" w:cs="Times New Roman"/>
        </w:rPr>
      </w:pPr>
    </w:p>
    <w:p w14:paraId="256E7F01">
      <w:pPr>
        <w:jc w:val="left"/>
        <w:rPr>
          <w:rFonts w:ascii="Times New Roman" w:hAnsi="Times New Roman" w:eastAsia="仿宋" w:cs="Times New Roman"/>
          <w:sz w:val="28"/>
          <w:szCs w:val="24"/>
        </w:rPr>
      </w:pPr>
      <w:bookmarkStart w:id="36" w:name="_Toc24859"/>
      <w:bookmarkStart w:id="37" w:name="_Toc32749"/>
      <w:bookmarkStart w:id="38" w:name="_Toc17163"/>
      <w:bookmarkStart w:id="39" w:name="_Toc1690"/>
      <w:r>
        <w:rPr>
          <w:rFonts w:ascii="Times New Roman" w:hAnsi="Times New Roman" w:eastAsia="仿宋" w:cs="Times New Roman"/>
          <w:sz w:val="28"/>
          <w:szCs w:val="24"/>
        </w:rPr>
        <w:t>供应商名称（公章）：</w:t>
      </w:r>
      <w:bookmarkEnd w:id="36"/>
      <w:bookmarkEnd w:id="37"/>
      <w:bookmarkEnd w:id="38"/>
      <w:bookmarkEnd w:id="39"/>
    </w:p>
    <w:p w14:paraId="08134EC8">
      <w:pPr>
        <w:jc w:val="left"/>
        <w:rPr>
          <w:rFonts w:ascii="Times New Roman" w:hAnsi="Times New Roman" w:eastAsia="仿宋" w:cs="Times New Roman"/>
          <w:sz w:val="28"/>
          <w:szCs w:val="24"/>
        </w:rPr>
      </w:pPr>
      <w:bookmarkStart w:id="40" w:name="_Toc24123"/>
      <w:bookmarkStart w:id="41" w:name="_Toc17905"/>
      <w:bookmarkStart w:id="42" w:name="_Toc3558"/>
      <w:bookmarkStart w:id="43" w:name="_Toc6803"/>
      <w:r>
        <w:rPr>
          <w:rFonts w:ascii="Times New Roman" w:hAnsi="Times New Roman" w:eastAsia="仿宋" w:cs="Times New Roman"/>
          <w:sz w:val="28"/>
          <w:szCs w:val="24"/>
        </w:rPr>
        <w:t>法定代表人或授权代理人（签字）：</w:t>
      </w:r>
      <w:bookmarkEnd w:id="40"/>
      <w:bookmarkEnd w:id="41"/>
      <w:bookmarkEnd w:id="42"/>
      <w:bookmarkEnd w:id="43"/>
    </w:p>
    <w:p w14:paraId="432EF678">
      <w:pPr>
        <w:jc w:val="left"/>
        <w:rPr>
          <w:rFonts w:ascii="Times New Roman" w:hAnsi="Times New Roman" w:eastAsia="仿宋" w:cs="Times New Roman"/>
          <w:sz w:val="28"/>
          <w:szCs w:val="24"/>
        </w:rPr>
      </w:pPr>
      <w:bookmarkStart w:id="44" w:name="_Toc2989"/>
      <w:bookmarkStart w:id="45" w:name="_Toc27526"/>
      <w:bookmarkStart w:id="46" w:name="_Toc27135"/>
      <w:bookmarkStart w:id="47" w:name="_Toc5996"/>
      <w:r>
        <w:rPr>
          <w:rFonts w:ascii="Times New Roman" w:hAnsi="Times New Roman" w:eastAsia="仿宋" w:cs="Times New Roman"/>
          <w:sz w:val="28"/>
          <w:szCs w:val="24"/>
        </w:rPr>
        <w:t>联系方式（移动电话）：</w:t>
      </w:r>
      <w:bookmarkEnd w:id="44"/>
      <w:bookmarkEnd w:id="45"/>
      <w:bookmarkEnd w:id="46"/>
      <w:bookmarkEnd w:id="47"/>
    </w:p>
    <w:p w14:paraId="6BC0F1E0">
      <w:pPr>
        <w:jc w:val="left"/>
        <w:rPr>
          <w:rFonts w:ascii="Times New Roman" w:hAnsi="Times New Roman" w:eastAsia="仿宋" w:cs="Times New Roman"/>
          <w:sz w:val="28"/>
          <w:szCs w:val="24"/>
        </w:rPr>
      </w:pPr>
      <w:bookmarkStart w:id="48" w:name="_Toc19987"/>
      <w:bookmarkStart w:id="49" w:name="_Toc7233"/>
      <w:bookmarkStart w:id="50" w:name="_Toc2031"/>
      <w:bookmarkStart w:id="51" w:name="_Toc5056"/>
      <w:r>
        <w:rPr>
          <w:rFonts w:ascii="Times New Roman" w:hAnsi="Times New Roman" w:eastAsia="仿宋" w:cs="Times New Roman"/>
          <w:sz w:val="28"/>
          <w:szCs w:val="24"/>
        </w:rPr>
        <w:t>日期：     年    月     日</w:t>
      </w:r>
      <w:bookmarkEnd w:id="48"/>
      <w:bookmarkEnd w:id="49"/>
      <w:bookmarkEnd w:id="50"/>
      <w:bookmarkEnd w:id="51"/>
    </w:p>
    <w:p w14:paraId="1AA08C65">
      <w:pPr>
        <w:jc w:val="center"/>
        <w:rPr>
          <w:rFonts w:ascii="Times New Roman" w:hAnsi="Times New Roman" w:eastAsia="仿宋" w:cs="Times New Roman"/>
          <w:sz w:val="32"/>
          <w:szCs w:val="40"/>
        </w:rPr>
      </w:pPr>
      <w:bookmarkStart w:id="52" w:name="_Toc16029"/>
      <w:bookmarkStart w:id="53" w:name="_Toc6482"/>
      <w:bookmarkStart w:id="54" w:name="_Toc21519"/>
      <w:bookmarkStart w:id="55" w:name="_Toc14829"/>
      <w:bookmarkStart w:id="56" w:name="_Toc3023"/>
      <w:bookmarkStart w:id="57" w:name="_Toc11352"/>
    </w:p>
    <w:p w14:paraId="19D62983">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48F872A8">
      <w:pPr>
        <w:pStyle w:val="3"/>
        <w:ind w:firstLine="0"/>
      </w:pPr>
      <w:r>
        <w:t>承诺函</w:t>
      </w:r>
      <w:bookmarkEnd w:id="52"/>
      <w:bookmarkEnd w:id="53"/>
      <w:bookmarkEnd w:id="54"/>
      <w:bookmarkEnd w:id="55"/>
      <w:bookmarkEnd w:id="56"/>
      <w:bookmarkEnd w:id="57"/>
    </w:p>
    <w:p w14:paraId="67A58C3D">
      <w:pPr>
        <w:pStyle w:val="7"/>
        <w:rPr>
          <w:rFonts w:ascii="Times New Roman" w:hAnsi="Times New Roman" w:eastAsia="仿宋" w:cs="Times New Roman"/>
        </w:rPr>
      </w:pPr>
    </w:p>
    <w:p w14:paraId="522E3A50">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547276D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05EB24F2">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720887A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063DE76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32B51D43">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FDD98D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12EBE0F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39DBC3E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0CA0552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5E3B9DC8">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4580090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51DCBBD8">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0406B97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4C62518E">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059DA4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25AD181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789EE2C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ED909F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8C1470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6FC4D76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5AAED407">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D13530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30C40087">
      <w:pPr>
        <w:adjustRightInd w:val="0"/>
        <w:spacing w:line="360" w:lineRule="auto"/>
        <w:rPr>
          <w:rFonts w:ascii="Times New Roman" w:hAnsi="Times New Roman" w:eastAsia="仿宋" w:cs="Times New Roman"/>
          <w:bCs/>
          <w:sz w:val="24"/>
        </w:rPr>
      </w:pPr>
    </w:p>
    <w:p w14:paraId="2E39D97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227BBF">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632BC8">
      <w:pPr>
        <w:rPr>
          <w:rFonts w:ascii="Times New Roman" w:hAnsi="Times New Roman" w:cs="Times New Roman"/>
        </w:rPr>
      </w:pPr>
      <w:bookmarkStart w:id="58" w:name="_Toc31838"/>
      <w:bookmarkStart w:id="59" w:name="_Toc30971"/>
      <w:bookmarkStart w:id="60" w:name="_Toc17857"/>
      <w:bookmarkStart w:id="61" w:name="_Toc22676"/>
      <w:bookmarkStart w:id="62" w:name="_Toc4305"/>
      <w:r>
        <w:rPr>
          <w:rFonts w:ascii="Times New Roman" w:hAnsi="Times New Roman" w:cs="Times New Roman"/>
        </w:rPr>
        <w:br w:type="page"/>
      </w:r>
    </w:p>
    <w:p w14:paraId="7FD9A03F">
      <w:pPr>
        <w:pStyle w:val="3"/>
        <w:ind w:firstLine="0"/>
      </w:pPr>
      <w:r>
        <w:t>具有独立承担民事责任的能力</w:t>
      </w:r>
      <w:bookmarkEnd w:id="58"/>
      <w:bookmarkEnd w:id="59"/>
      <w:bookmarkEnd w:id="60"/>
      <w:bookmarkEnd w:id="61"/>
      <w:bookmarkEnd w:id="62"/>
    </w:p>
    <w:p w14:paraId="7A9CCF0C">
      <w:pPr>
        <w:pStyle w:val="7"/>
        <w:jc w:val="center"/>
        <w:rPr>
          <w:rFonts w:ascii="Times New Roman" w:hAnsi="Times New Roman" w:eastAsia="仿宋" w:cs="Times New Roman"/>
          <w:b/>
          <w:bCs/>
        </w:rPr>
      </w:pPr>
    </w:p>
    <w:p w14:paraId="69D659C8">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E457177">
      <w:pPr>
        <w:pStyle w:val="3"/>
        <w:ind w:firstLine="0"/>
        <w:rPr>
          <w:rStyle w:val="32"/>
          <w:szCs w:val="28"/>
        </w:rPr>
      </w:pPr>
      <w:r>
        <w:rPr>
          <w:bCs/>
        </w:rPr>
        <w:br w:type="page"/>
      </w:r>
      <w:bookmarkStart w:id="63" w:name="_Toc27186"/>
      <w:bookmarkStart w:id="64" w:name="_Toc15613"/>
      <w:bookmarkStart w:id="65" w:name="_Toc30158"/>
      <w:r>
        <w:t>具有健全的财务会计制度的证明材料</w:t>
      </w:r>
    </w:p>
    <w:p w14:paraId="48AC8BCC">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3"/>
      <w:bookmarkEnd w:id="64"/>
      <w:bookmarkStart w:id="66" w:name="_Toc13904"/>
      <w:bookmarkStart w:id="67" w:name="_Toc13706"/>
      <w:bookmarkStart w:id="68" w:name="_Toc25357"/>
    </w:p>
    <w:p w14:paraId="63C837BE">
      <w:pPr>
        <w:pStyle w:val="3"/>
        <w:ind w:firstLine="0"/>
        <w:rPr>
          <w:szCs w:val="32"/>
        </w:rPr>
      </w:pPr>
      <w:bookmarkStart w:id="69" w:name="_Toc15508"/>
      <w:bookmarkStart w:id="70" w:name="_Toc23146"/>
      <w:r>
        <w:t>本项目其他资格条件提供的证明材料</w:t>
      </w:r>
      <w:bookmarkEnd w:id="65"/>
      <w:bookmarkEnd w:id="66"/>
      <w:bookmarkEnd w:id="67"/>
      <w:bookmarkEnd w:id="68"/>
      <w:bookmarkEnd w:id="69"/>
      <w:bookmarkEnd w:id="70"/>
    </w:p>
    <w:p w14:paraId="3B975A48">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0A99B558">
      <w:pPr>
        <w:pStyle w:val="31"/>
        <w:ind w:left="420" w:leftChars="200"/>
        <w:jc w:val="both"/>
        <w:rPr>
          <w:rFonts w:ascii="Times New Roman" w:hAnsi="Times New Roman" w:eastAsia="仿宋" w:cs="Times New Roman"/>
          <w:color w:val="auto"/>
        </w:rPr>
      </w:pPr>
    </w:p>
    <w:p w14:paraId="7EFC0410">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6F9F6CA4">
      <w:pPr>
        <w:pStyle w:val="3"/>
        <w:ind w:firstLine="0"/>
        <w:rPr>
          <w:szCs w:val="32"/>
        </w:rPr>
      </w:pPr>
      <w:r>
        <w:rPr>
          <w:szCs w:val="32"/>
        </w:rPr>
        <w:br w:type="page"/>
      </w:r>
      <w:bookmarkStart w:id="71" w:name="_Toc27661"/>
      <w:bookmarkStart w:id="72" w:name="_Toc25638"/>
      <w:bookmarkStart w:id="73" w:name="_Toc12015"/>
      <w:bookmarkStart w:id="74" w:name="_Toc15526"/>
      <w:bookmarkStart w:id="75" w:name="_Toc11351"/>
      <w:bookmarkStart w:id="76" w:name="_Toc20589"/>
      <w:r>
        <w:rPr>
          <w:rStyle w:val="40"/>
          <w:b/>
        </w:rPr>
        <w:t>法定代表人身份证明书</w:t>
      </w:r>
      <w:bookmarkEnd w:id="71"/>
      <w:bookmarkEnd w:id="72"/>
      <w:bookmarkEnd w:id="73"/>
      <w:bookmarkEnd w:id="74"/>
      <w:bookmarkEnd w:id="75"/>
      <w:bookmarkEnd w:id="76"/>
    </w:p>
    <w:p w14:paraId="429BF792">
      <w:pPr>
        <w:pStyle w:val="31"/>
        <w:jc w:val="center"/>
        <w:rPr>
          <w:rFonts w:ascii="Times New Roman" w:hAnsi="Times New Roman" w:eastAsia="仿宋" w:cs="Times New Roman"/>
          <w:color w:val="auto"/>
        </w:rPr>
      </w:pPr>
    </w:p>
    <w:p w14:paraId="25F053F1">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2ACDEB1">
      <w:pPr>
        <w:pStyle w:val="31"/>
        <w:jc w:val="center"/>
        <w:rPr>
          <w:rFonts w:ascii="Times New Roman" w:hAnsi="Times New Roman" w:eastAsia="仿宋" w:cs="Times New Roman"/>
          <w:color w:val="auto"/>
        </w:rPr>
      </w:pPr>
    </w:p>
    <w:p w14:paraId="4EDE984B">
      <w:pPr>
        <w:pStyle w:val="31"/>
        <w:jc w:val="center"/>
        <w:rPr>
          <w:rFonts w:ascii="Times New Roman" w:hAnsi="Times New Roman" w:eastAsia="仿宋" w:cs="Times New Roman"/>
          <w:color w:val="auto"/>
        </w:rPr>
      </w:pPr>
    </w:p>
    <w:p w14:paraId="6639B54F">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0896AE94">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0F870E3">
      <w:pPr>
        <w:pStyle w:val="31"/>
        <w:jc w:val="both"/>
        <w:rPr>
          <w:rFonts w:ascii="Times New Roman" w:hAnsi="Times New Roman" w:eastAsia="仿宋" w:cs="Times New Roman"/>
          <w:color w:val="auto"/>
        </w:rPr>
      </w:pPr>
    </w:p>
    <w:p w14:paraId="44CC897B">
      <w:pPr>
        <w:pStyle w:val="31"/>
        <w:jc w:val="both"/>
        <w:rPr>
          <w:rFonts w:ascii="Times New Roman" w:hAnsi="Times New Roman" w:eastAsia="仿宋" w:cs="Times New Roman"/>
          <w:color w:val="auto"/>
        </w:rPr>
      </w:pPr>
    </w:p>
    <w:p w14:paraId="05A2914A">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6692E20">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08A9F97">
      <w:pPr>
        <w:pStyle w:val="31"/>
        <w:jc w:val="center"/>
        <w:rPr>
          <w:rFonts w:ascii="Times New Roman" w:hAnsi="Times New Roman" w:eastAsia="仿宋" w:cs="Times New Roman"/>
          <w:color w:val="auto"/>
        </w:rPr>
      </w:pPr>
    </w:p>
    <w:p w14:paraId="1CB3B391">
      <w:pPr>
        <w:pStyle w:val="31"/>
        <w:jc w:val="center"/>
        <w:rPr>
          <w:rFonts w:ascii="Times New Roman" w:hAnsi="Times New Roman" w:eastAsia="仿宋" w:cs="Times New Roman"/>
          <w:color w:val="auto"/>
        </w:rPr>
      </w:pPr>
    </w:p>
    <w:p w14:paraId="1B1D9808">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67A50E5D">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82AE7DB">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6DC22ABB">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35ABAC66">
      <w:pPr>
        <w:pStyle w:val="31"/>
        <w:jc w:val="both"/>
        <w:rPr>
          <w:rFonts w:ascii="Times New Roman" w:hAnsi="Times New Roman" w:eastAsia="仿宋" w:cs="Times New Roman"/>
          <w:color w:val="auto"/>
          <w:sz w:val="32"/>
          <w:szCs w:val="32"/>
        </w:rPr>
      </w:pPr>
    </w:p>
    <w:p w14:paraId="4E4DE15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2DE9BE7B">
      <w:pPr>
        <w:pStyle w:val="31"/>
        <w:jc w:val="center"/>
        <w:rPr>
          <w:rFonts w:ascii="Times New Roman" w:hAnsi="Times New Roman" w:eastAsia="仿宋" w:cs="Times New Roman"/>
          <w:b/>
          <w:bCs/>
          <w:color w:val="auto"/>
        </w:rPr>
      </w:pPr>
    </w:p>
    <w:p w14:paraId="0882CD79">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3984233">
      <w:pPr>
        <w:pStyle w:val="31"/>
        <w:jc w:val="center"/>
        <w:rPr>
          <w:rFonts w:ascii="Times New Roman" w:hAnsi="Times New Roman" w:eastAsia="仿宋" w:cs="Times New Roman"/>
          <w:color w:val="auto"/>
        </w:rPr>
      </w:pPr>
    </w:p>
    <w:p w14:paraId="5CF69C78">
      <w:pPr>
        <w:pStyle w:val="7"/>
        <w:snapToGrid w:val="0"/>
        <w:spacing w:after="0" w:line="500" w:lineRule="exact"/>
        <w:ind w:firstLine="480" w:firstLineChars="200"/>
        <w:rPr>
          <w:rFonts w:ascii="Times New Roman" w:hAnsi="Times New Roman" w:eastAsia="仿宋" w:cs="Times New Roman"/>
          <w:sz w:val="24"/>
        </w:rPr>
      </w:pPr>
    </w:p>
    <w:p w14:paraId="6266501A">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041D053C">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61DE1B58">
      <w:pPr>
        <w:snapToGrid w:val="0"/>
        <w:spacing w:line="560" w:lineRule="exact"/>
        <w:ind w:firstLine="480" w:firstLineChars="200"/>
        <w:rPr>
          <w:rFonts w:ascii="Times New Roman" w:hAnsi="Times New Roman" w:eastAsia="仿宋" w:cs="Times New Roman"/>
          <w:sz w:val="24"/>
        </w:rPr>
      </w:pPr>
    </w:p>
    <w:p w14:paraId="2807CD5D">
      <w:pPr>
        <w:snapToGrid w:val="0"/>
        <w:spacing w:line="560" w:lineRule="exact"/>
        <w:ind w:firstLine="480" w:firstLineChars="200"/>
        <w:rPr>
          <w:rFonts w:ascii="Times New Roman" w:hAnsi="Times New Roman" w:eastAsia="仿宋" w:cs="Times New Roman"/>
          <w:sz w:val="24"/>
        </w:rPr>
      </w:pPr>
    </w:p>
    <w:p w14:paraId="3D1AC1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3E4CEB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1F115E34">
      <w:pPr>
        <w:snapToGrid w:val="0"/>
        <w:spacing w:line="560" w:lineRule="exact"/>
        <w:rPr>
          <w:rFonts w:ascii="Times New Roman" w:hAnsi="Times New Roman" w:eastAsia="仿宋" w:cs="Times New Roman"/>
          <w:sz w:val="24"/>
        </w:rPr>
      </w:pPr>
    </w:p>
    <w:p w14:paraId="108DA6F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7FF6CC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BD7F067">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9C15FE">
      <w:pPr>
        <w:pStyle w:val="3"/>
        <w:ind w:firstLine="0"/>
        <w:rPr>
          <w:szCs w:val="32"/>
        </w:rPr>
      </w:pPr>
      <w:r>
        <w:rPr>
          <w:szCs w:val="32"/>
        </w:rPr>
        <w:br w:type="page"/>
      </w:r>
      <w:bookmarkStart w:id="77" w:name="_Toc26969"/>
      <w:bookmarkStart w:id="78" w:name="_Toc16435"/>
      <w:bookmarkStart w:id="79" w:name="_Toc12967"/>
      <w:bookmarkStart w:id="80" w:name="_Toc2041"/>
      <w:bookmarkStart w:id="81" w:name="_Toc1074"/>
      <w:bookmarkStart w:id="82" w:name="_Toc23967"/>
      <w:r>
        <w:rPr>
          <w:rStyle w:val="40"/>
          <w:b/>
        </w:rPr>
        <w:t>采购需求偏离表</w:t>
      </w:r>
      <w:bookmarkEnd w:id="77"/>
      <w:bookmarkEnd w:id="78"/>
      <w:bookmarkEnd w:id="79"/>
      <w:bookmarkEnd w:id="80"/>
      <w:bookmarkEnd w:id="81"/>
      <w:bookmarkEnd w:id="82"/>
    </w:p>
    <w:p w14:paraId="1349AA4F">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4DEC1A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280E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AC6A6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D771D6">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60744">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A39D3E">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697440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8F8EE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DDFDD3">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6F7B7">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F69169">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5014BC">
            <w:pPr>
              <w:rPr>
                <w:rFonts w:ascii="Times New Roman" w:hAnsi="Times New Roman" w:eastAsia="仿宋" w:cs="Times New Roman"/>
                <w:sz w:val="24"/>
              </w:rPr>
            </w:pPr>
          </w:p>
        </w:tc>
      </w:tr>
      <w:tr w14:paraId="6B1022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8DE7E">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0B8559">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887A29">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3C5F1">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A8310">
            <w:pPr>
              <w:rPr>
                <w:rFonts w:ascii="Times New Roman" w:hAnsi="Times New Roman" w:eastAsia="仿宋" w:cs="Times New Roman"/>
                <w:sz w:val="24"/>
              </w:rPr>
            </w:pPr>
          </w:p>
        </w:tc>
      </w:tr>
      <w:tr w14:paraId="1D63EA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539C9">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24BB2B">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22DB4">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F30EE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DD3966">
            <w:pPr>
              <w:rPr>
                <w:rFonts w:ascii="Times New Roman" w:hAnsi="Times New Roman" w:eastAsia="仿宋" w:cs="Times New Roman"/>
                <w:sz w:val="24"/>
              </w:rPr>
            </w:pPr>
          </w:p>
        </w:tc>
      </w:tr>
    </w:tbl>
    <w:p w14:paraId="76FD9FDF">
      <w:pPr>
        <w:spacing w:line="360" w:lineRule="auto"/>
        <w:jc w:val="left"/>
        <w:rPr>
          <w:rFonts w:ascii="Times New Roman" w:hAnsi="Times New Roman" w:eastAsia="仿宋" w:cs="Times New Roman"/>
          <w:bCs/>
          <w:sz w:val="24"/>
        </w:rPr>
      </w:pPr>
    </w:p>
    <w:p w14:paraId="22341232">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71311EBE">
      <w:pPr>
        <w:pStyle w:val="16"/>
        <w:ind w:firstLine="0"/>
        <w:rPr>
          <w:rFonts w:ascii="Times New Roman" w:hAnsi="Times New Roman" w:eastAsia="仿宋" w:cs="Times New Roman"/>
          <w:lang w:val="zh-TW" w:eastAsia="zh-TW"/>
        </w:rPr>
      </w:pPr>
    </w:p>
    <w:p w14:paraId="67D830C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D31FA4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14660A92">
      <w:pPr>
        <w:pStyle w:val="31"/>
        <w:jc w:val="center"/>
        <w:rPr>
          <w:rFonts w:ascii="Times New Roman" w:hAnsi="Times New Roman" w:eastAsia="仿宋" w:cs="Times New Roman"/>
          <w:color w:val="auto"/>
          <w:sz w:val="32"/>
          <w:szCs w:val="32"/>
        </w:rPr>
      </w:pPr>
    </w:p>
    <w:p w14:paraId="357B11B5">
      <w:pPr>
        <w:pStyle w:val="3"/>
        <w:ind w:firstLine="0"/>
        <w:rPr>
          <w:bCs/>
          <w:szCs w:val="32"/>
        </w:rPr>
      </w:pPr>
      <w:r>
        <w:rPr>
          <w:szCs w:val="32"/>
        </w:rPr>
        <w:br w:type="page"/>
      </w:r>
      <w:bookmarkStart w:id="83" w:name="_Toc31686"/>
      <w:bookmarkStart w:id="84" w:name="_Toc26839"/>
      <w:bookmarkStart w:id="85" w:name="_Toc1369"/>
      <w:bookmarkStart w:id="86" w:name="_Toc28634"/>
      <w:bookmarkStart w:id="87" w:name="_Toc21082"/>
      <w:bookmarkStart w:id="88" w:name="_Toc24806"/>
      <w:r>
        <w:rPr>
          <w:rStyle w:val="40"/>
          <w:b/>
        </w:rPr>
        <w:t>评分需要提供的证明材料</w:t>
      </w:r>
      <w:bookmarkEnd w:id="83"/>
      <w:bookmarkEnd w:id="84"/>
      <w:bookmarkEnd w:id="85"/>
      <w:bookmarkEnd w:id="86"/>
      <w:bookmarkEnd w:id="87"/>
      <w:bookmarkEnd w:id="88"/>
    </w:p>
    <w:p w14:paraId="0E0106F8">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4384EF07">
      <w:pPr>
        <w:pStyle w:val="31"/>
        <w:jc w:val="center"/>
        <w:rPr>
          <w:rFonts w:ascii="Times New Roman" w:hAnsi="Times New Roman" w:eastAsia="仿宋" w:cs="Times New Roman"/>
          <w:b/>
          <w:bCs/>
          <w:color w:val="auto"/>
        </w:rPr>
      </w:pPr>
    </w:p>
    <w:p w14:paraId="531100FC">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26FCDAD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0D5746C2">
      <w:pPr>
        <w:rPr>
          <w:rFonts w:ascii="Times New Roman" w:hAnsi="Times New Roman" w:eastAsia="仿宋" w:cs="Times New Roman"/>
          <w:sz w:val="24"/>
          <w:szCs w:val="24"/>
        </w:rPr>
      </w:pPr>
    </w:p>
    <w:p w14:paraId="6E4369C5">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05F7BCD2">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DAF5798">
      <w:pPr>
        <w:rPr>
          <w:rFonts w:ascii="Times New Roman" w:hAnsi="Times New Roman" w:eastAsia="仿宋" w:cs="Times New Roman"/>
          <w:sz w:val="24"/>
          <w:szCs w:val="24"/>
        </w:rPr>
      </w:pPr>
    </w:p>
    <w:p w14:paraId="5DC31E1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CF62BB5">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2173427E">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p>
    <w:p w14:paraId="7E648D40">
      <w:pPr>
        <w:pStyle w:val="3"/>
        <w:ind w:firstLine="0"/>
      </w:pPr>
      <w:r>
        <w:t>报价单</w:t>
      </w:r>
    </w:p>
    <w:p w14:paraId="276B86E9">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077650E8">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E825D47">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15E5DA2E">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273133D3">
      <w:pPr>
        <w:rPr>
          <w:lang w:val="zh-TW"/>
        </w:rPr>
      </w:pPr>
    </w:p>
    <w:p w14:paraId="22C05AFE">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2606"/>
        <w:gridCol w:w="4065"/>
        <w:gridCol w:w="2404"/>
      </w:tblGrid>
      <w:tr w14:paraId="4D90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72" w:type="dxa"/>
            <w:vAlign w:val="center"/>
          </w:tcPr>
          <w:p w14:paraId="2E858C89">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2606" w:type="dxa"/>
            <w:vAlign w:val="center"/>
          </w:tcPr>
          <w:p w14:paraId="01AB6555">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采购标的名称</w:t>
            </w:r>
          </w:p>
        </w:tc>
        <w:tc>
          <w:tcPr>
            <w:tcW w:w="4065" w:type="dxa"/>
            <w:vAlign w:val="center"/>
          </w:tcPr>
          <w:p w14:paraId="027E30CC">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报价</w:t>
            </w:r>
            <w:r>
              <w:rPr>
                <w:rFonts w:ascii="Times New Roman" w:hAnsi="Times New Roman" w:eastAsia="仿宋" w:cs="Times New Roman"/>
                <w:kern w:val="0"/>
                <w:szCs w:val="21"/>
                <w:lang w:val="zh-TW" w:eastAsia="zh-TW"/>
              </w:rPr>
              <w:t>（元）</w:t>
            </w:r>
          </w:p>
        </w:tc>
        <w:tc>
          <w:tcPr>
            <w:tcW w:w="2404" w:type="dxa"/>
            <w:vAlign w:val="center"/>
          </w:tcPr>
          <w:p w14:paraId="631786CD">
            <w:pPr>
              <w:spacing w:line="200" w:lineRule="exact"/>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备注</w:t>
            </w:r>
          </w:p>
        </w:tc>
      </w:tr>
      <w:tr w14:paraId="35F3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46DD23E">
            <w:pPr>
              <w:pStyle w:val="7"/>
              <w:jc w:val="center"/>
              <w:rPr>
                <w:rFonts w:ascii="Times New Roman" w:hAnsi="Times New Roman" w:eastAsia="仿宋" w:cs="Times New Roman"/>
                <w:szCs w:val="21"/>
              </w:rPr>
            </w:pPr>
            <w:r>
              <w:rPr>
                <w:rFonts w:ascii="Times New Roman" w:hAnsi="Times New Roman" w:eastAsia="仿宋" w:cs="Times New Roman"/>
                <w:szCs w:val="21"/>
              </w:rPr>
              <w:t>1</w:t>
            </w:r>
          </w:p>
        </w:tc>
        <w:tc>
          <w:tcPr>
            <w:tcW w:w="2606" w:type="dxa"/>
            <w:vAlign w:val="center"/>
          </w:tcPr>
          <w:p w14:paraId="12653FA9">
            <w:pPr>
              <w:pStyle w:val="7"/>
              <w:jc w:val="center"/>
              <w:rPr>
                <w:rFonts w:ascii="Times New Roman" w:hAnsi="Times New Roman" w:eastAsia="仿宋" w:cs="Times New Roman"/>
                <w:szCs w:val="21"/>
              </w:rPr>
            </w:pPr>
            <w:r>
              <w:rPr>
                <w:rFonts w:hint="eastAsia" w:ascii="Times New Roman" w:hAnsi="Times New Roman" w:eastAsia="仿宋" w:cs="Times New Roman"/>
                <w:sz w:val="22"/>
              </w:rPr>
              <w:t>中和医学实验平台、实训楼、护校空调维保服务</w:t>
            </w:r>
          </w:p>
        </w:tc>
        <w:tc>
          <w:tcPr>
            <w:tcW w:w="4065" w:type="dxa"/>
            <w:vAlign w:val="center"/>
          </w:tcPr>
          <w:p w14:paraId="42A6F169">
            <w:pPr>
              <w:pStyle w:val="7"/>
              <w:jc w:val="center"/>
              <w:rPr>
                <w:rFonts w:ascii="Times New Roman" w:hAnsi="Times New Roman" w:eastAsia="仿宋" w:cs="Times New Roman"/>
                <w:szCs w:val="21"/>
              </w:rPr>
            </w:pPr>
          </w:p>
        </w:tc>
        <w:tc>
          <w:tcPr>
            <w:tcW w:w="2404" w:type="dxa"/>
            <w:vAlign w:val="center"/>
          </w:tcPr>
          <w:p w14:paraId="259F32B6">
            <w:pPr>
              <w:pStyle w:val="7"/>
              <w:jc w:val="center"/>
              <w:rPr>
                <w:rFonts w:ascii="Times New Roman" w:hAnsi="Times New Roman" w:eastAsia="仿宋" w:cs="Times New Roman"/>
                <w:szCs w:val="21"/>
              </w:rPr>
            </w:pPr>
          </w:p>
        </w:tc>
      </w:tr>
      <w:tr w14:paraId="0311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3178" w:type="dxa"/>
            <w:gridSpan w:val="2"/>
            <w:vAlign w:val="center"/>
          </w:tcPr>
          <w:p w14:paraId="53F34F87">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报价合计</w:t>
            </w:r>
          </w:p>
        </w:tc>
        <w:tc>
          <w:tcPr>
            <w:tcW w:w="6469" w:type="dxa"/>
            <w:gridSpan w:val="2"/>
            <w:vAlign w:val="center"/>
          </w:tcPr>
          <w:p w14:paraId="5B3B0638">
            <w:pPr>
              <w:spacing w:line="200" w:lineRule="exact"/>
              <w:ind w:firstLine="105" w:firstLineChars="50"/>
              <w:jc w:val="left"/>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 xml:space="preserve">大写：       </w:t>
            </w:r>
            <w:r>
              <w:rPr>
                <w:rFonts w:hint="eastAsia" w:ascii="Times New Roman" w:hAnsi="Times New Roman" w:eastAsia="仿宋" w:cs="Times New Roman"/>
                <w:kern w:val="0"/>
                <w:szCs w:val="21"/>
                <w:lang w:val="zh-TW"/>
              </w:rPr>
              <w:t xml:space="preserve">    </w:t>
            </w:r>
            <w:r>
              <w:rPr>
                <w:rFonts w:ascii="Times New Roman" w:hAnsi="Times New Roman" w:eastAsia="仿宋" w:cs="Times New Roman"/>
                <w:kern w:val="0"/>
                <w:szCs w:val="21"/>
                <w:lang w:val="zh-TW" w:eastAsia="zh-TW"/>
              </w:rPr>
              <w:t>小写：</w:t>
            </w:r>
          </w:p>
        </w:tc>
      </w:tr>
    </w:tbl>
    <w:p w14:paraId="0906D637">
      <w:pPr>
        <w:widowControl/>
        <w:jc w:val="left"/>
        <w:rPr>
          <w:rFonts w:ascii="Times New Roman" w:hAnsi="Times New Roman" w:eastAsia="仿宋" w:cs="Times New Roman"/>
          <w:szCs w:val="21"/>
          <w:lang w:val="zh-TW"/>
        </w:rPr>
      </w:pPr>
    </w:p>
    <w:p w14:paraId="4345F4A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7FEC277">
      <w:pPr>
        <w:pStyle w:val="7"/>
        <w:rPr>
          <w:rFonts w:ascii="Times New Roman" w:hAnsi="Times New Roman" w:eastAsia="仿宋" w:cs="Times New Roman"/>
          <w:szCs w:val="21"/>
          <w:lang w:val="zh-TW" w:eastAsia="zh-TW"/>
        </w:rPr>
      </w:pPr>
    </w:p>
    <w:p w14:paraId="462CAB00">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22A92CA8">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6C9064D">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06808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0C795DC3">
      <w:pPr>
        <w:pStyle w:val="3"/>
        <w:ind w:firstLine="0"/>
      </w:pPr>
      <w:r>
        <w:t>供应商认为需要提供的其他材料</w:t>
      </w:r>
    </w:p>
    <w:p w14:paraId="5C553D71">
      <w:pPr>
        <w:pStyle w:val="7"/>
        <w:jc w:val="center"/>
        <w:rPr>
          <w:rFonts w:ascii="Times New Roman" w:hAnsi="Times New Roman" w:eastAsia="仿宋" w:cs="Times New Roman"/>
        </w:rPr>
      </w:pPr>
    </w:p>
    <w:p w14:paraId="1C462007">
      <w:pPr>
        <w:pStyle w:val="7"/>
        <w:jc w:val="center"/>
        <w:rPr>
          <w:rFonts w:ascii="Times New Roman" w:hAnsi="Times New Roman" w:eastAsia="仿宋" w:cs="Times New Roman"/>
        </w:rPr>
      </w:pPr>
    </w:p>
    <w:p w14:paraId="6FC624DE">
      <w:pPr>
        <w:pStyle w:val="7"/>
        <w:jc w:val="center"/>
        <w:rPr>
          <w:rFonts w:ascii="Times New Roman" w:hAnsi="Times New Roman" w:eastAsia="仿宋" w:cs="Times New Roman"/>
        </w:rPr>
      </w:pPr>
    </w:p>
    <w:p w14:paraId="7F7FF383">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3E0130BD">
      <w:pPr>
        <w:rPr>
          <w:rFonts w:ascii="Times New Roman" w:hAnsi="Times New Roman" w:eastAsia="黑体" w:cs="Times New Roman"/>
          <w:b/>
          <w:sz w:val="36"/>
          <w:szCs w:val="32"/>
        </w:rPr>
      </w:pPr>
      <w:r>
        <w:rPr>
          <w:rFonts w:ascii="Times New Roman" w:hAnsi="Times New Roman" w:eastAsia="黑体" w:cs="Times New Roman"/>
          <w:b/>
          <w:sz w:val="36"/>
          <w:szCs w:val="32"/>
        </w:rPr>
        <w:br w:type="page"/>
      </w:r>
    </w:p>
    <w:bookmarkEnd w:id="21"/>
    <w:bookmarkEnd w:id="22"/>
    <w:bookmarkEnd w:id="23"/>
    <w:bookmarkEnd w:id="24"/>
    <w:p w14:paraId="2C1171E3">
      <w:pPr>
        <w:pStyle w:val="2"/>
        <w:rPr>
          <w:rFonts w:ascii="Times New Roman" w:hAnsi="Times New Roman" w:cs="Times New Roman"/>
        </w:rPr>
      </w:pPr>
      <w:bookmarkStart w:id="89" w:name="_Toc10625"/>
      <w:bookmarkStart w:id="90" w:name="_Toc20691"/>
      <w:bookmarkStart w:id="91" w:name="_Toc5447"/>
      <w:r>
        <w:rPr>
          <w:rFonts w:ascii="Times New Roman" w:hAnsi="Times New Roman" w:cs="Times New Roman"/>
        </w:rPr>
        <w:t>合同条款（仅成交后使用）</w:t>
      </w:r>
      <w:bookmarkEnd w:id="89"/>
      <w:bookmarkEnd w:id="90"/>
      <w:bookmarkEnd w:id="91"/>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3"/>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48"/>
          <w:szCs w:val="48"/>
        </w:rPr>
      </w:pPr>
      <w:r>
        <w:rPr>
          <w:rFonts w:hint="eastAsia" w:ascii="宋体" w:hAnsi="宋体" w:eastAsia="宋体" w:cs="宋体"/>
          <w:sz w:val="48"/>
          <w:szCs w:val="48"/>
        </w:rPr>
        <w:t>***服务项目</w:t>
      </w:r>
    </w:p>
    <w:p w14:paraId="622B975B">
      <w:pPr>
        <w:pStyle w:val="43"/>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48"/>
          <w:szCs w:val="48"/>
        </w:rPr>
      </w:pPr>
      <w:r>
        <w:rPr>
          <w:rFonts w:hint="eastAsia" w:ascii="宋体" w:hAnsi="宋体" w:eastAsia="宋体" w:cs="宋体"/>
          <w:sz w:val="48"/>
          <w:szCs w:val="48"/>
        </w:rPr>
        <w:t>采购合同</w:t>
      </w:r>
    </w:p>
    <w:p w14:paraId="51A81929">
      <w:pPr>
        <w:keepNext w:val="0"/>
        <w:keepLines w:val="0"/>
        <w:pageBreakBefore w:val="0"/>
        <w:kinsoku/>
        <w:wordWrap/>
        <w:overflowPunct/>
        <w:topLinePunct w:val="0"/>
        <w:autoSpaceDE/>
        <w:autoSpaceDN/>
        <w:bidi w:val="0"/>
        <w:adjustRightInd w:val="0"/>
        <w:spacing w:line="400" w:lineRule="exact"/>
        <w:ind w:left="0" w:leftChars="0" w:firstLine="420" w:firstLineChars="200"/>
        <w:contextualSpacing/>
        <w:jc w:val="left"/>
        <w:textAlignment w:val="auto"/>
        <w:rPr>
          <w:rFonts w:hint="eastAsia" w:ascii="宋体" w:hAnsi="宋体" w:eastAsia="宋体" w:cs="宋体"/>
          <w:color w:val="000000"/>
          <w:szCs w:val="21"/>
        </w:rPr>
      </w:pPr>
    </w:p>
    <w:p w14:paraId="38DA1C0D">
      <w:pPr>
        <w:keepNext w:val="0"/>
        <w:keepLines w:val="0"/>
        <w:pageBreakBefore w:val="0"/>
        <w:kinsoku/>
        <w:wordWrap/>
        <w:overflowPunct/>
        <w:topLinePunct w:val="0"/>
        <w:autoSpaceDE/>
        <w:autoSpaceDN/>
        <w:bidi w:val="0"/>
        <w:adjustRightInd w:val="0"/>
        <w:spacing w:line="400" w:lineRule="exact"/>
        <w:ind w:left="0" w:leftChars="0" w:firstLine="420" w:firstLineChars="200"/>
        <w:contextualSpacing/>
        <w:jc w:val="left"/>
        <w:textAlignment w:val="auto"/>
        <w:rPr>
          <w:rFonts w:hint="eastAsia" w:ascii="宋体" w:hAnsi="宋体" w:eastAsia="宋体" w:cs="宋体"/>
          <w:color w:val="000000"/>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keepNext w:val="0"/>
              <w:keepLines w:val="0"/>
              <w:pageBreakBefore w:val="0"/>
              <w:kinsoku/>
              <w:wordWrap/>
              <w:overflowPunct/>
              <w:topLinePunct w:val="0"/>
              <w:autoSpaceDE/>
              <w:autoSpaceDN/>
              <w:bidi w:val="0"/>
              <w:spacing w:line="400" w:lineRule="exact"/>
              <w:ind w:left="0" w:leftChars="0"/>
              <w:contextualSpacing/>
              <w:textAlignment w:val="auto"/>
              <w:rPr>
                <w:rFonts w:hint="eastAsia" w:ascii="宋体" w:hAnsi="宋体" w:eastAsia="宋体" w:cs="宋体"/>
                <w:color w:val="000000"/>
                <w:szCs w:val="21"/>
              </w:rPr>
            </w:pPr>
            <w:r>
              <w:rPr>
                <w:rFonts w:hint="eastAsia" w:ascii="宋体" w:hAnsi="宋体" w:eastAsia="宋体" w:cs="宋体"/>
                <w:b/>
                <w:bCs/>
                <w:color w:val="000000"/>
                <w:szCs w:val="21"/>
              </w:rPr>
              <w:t>合同编号</w:t>
            </w:r>
            <w:r>
              <w:rPr>
                <w:rFonts w:hint="eastAsia" w:ascii="宋体" w:hAnsi="宋体" w:eastAsia="宋体" w:cs="宋体"/>
                <w:color w:val="000000"/>
                <w:szCs w:val="21"/>
              </w:rPr>
              <w:t>：CGZX-***</w:t>
            </w:r>
          </w:p>
          <w:p w14:paraId="2F6BC159">
            <w:pPr>
              <w:keepNext w:val="0"/>
              <w:keepLines w:val="0"/>
              <w:pageBreakBefore w:val="0"/>
              <w:kinsoku/>
              <w:wordWrap/>
              <w:overflowPunct/>
              <w:topLinePunct w:val="0"/>
              <w:autoSpaceDE/>
              <w:autoSpaceDN/>
              <w:bidi w:val="0"/>
              <w:spacing w:line="400" w:lineRule="exact"/>
              <w:ind w:left="0" w:leftChars="0"/>
              <w:contextualSpacing/>
              <w:textAlignment w:val="auto"/>
              <w:rPr>
                <w:rFonts w:hint="eastAsia" w:ascii="宋体" w:hAnsi="宋体" w:eastAsia="宋体" w:cs="宋体"/>
                <w:color w:val="000000"/>
                <w:szCs w:val="21"/>
              </w:rPr>
            </w:pPr>
            <w:r>
              <w:rPr>
                <w:rFonts w:hint="eastAsia" w:ascii="宋体" w:hAnsi="宋体" w:eastAsia="宋体" w:cs="宋体"/>
                <w:b/>
                <w:bCs/>
                <w:color w:val="000000"/>
                <w:szCs w:val="21"/>
              </w:rPr>
              <w:t>签订地点</w:t>
            </w:r>
            <w:r>
              <w:rPr>
                <w:rFonts w:hint="eastAsia" w:ascii="宋体" w:hAnsi="宋体" w:eastAsia="宋体" w:cs="宋体"/>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b/>
                <w:bCs/>
                <w:szCs w:val="21"/>
              </w:rPr>
              <w:t>采购人（以下简称甲方）</w:t>
            </w:r>
            <w:r>
              <w:rPr>
                <w:rFonts w:hint="eastAsia" w:ascii="宋体" w:hAnsi="宋体" w:eastAsia="宋体" w:cs="宋体"/>
                <w:szCs w:val="21"/>
              </w:rPr>
              <w:t>：四川省人民医院</w:t>
            </w:r>
          </w:p>
          <w:p w14:paraId="2FDD4CA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b/>
                <w:bCs/>
                <w:szCs w:val="21"/>
              </w:rPr>
              <w:t>地址</w:t>
            </w:r>
            <w:r>
              <w:rPr>
                <w:rFonts w:hint="eastAsia" w:ascii="宋体" w:hAnsi="宋体" w:eastAsia="宋体" w:cs="宋体"/>
                <w:szCs w:val="21"/>
              </w:rPr>
              <w:t>：四川省成都市一环路西二段32号</w:t>
            </w:r>
          </w:p>
          <w:p w14:paraId="57D306C0">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b/>
                <w:bCs/>
                <w:szCs w:val="21"/>
              </w:rPr>
              <w:t>项目联系人</w:t>
            </w:r>
            <w:r>
              <w:rPr>
                <w:rFonts w:hint="eastAsia" w:ascii="宋体" w:hAnsi="宋体" w:eastAsia="宋体" w:cs="宋体"/>
                <w:szCs w:val="21"/>
              </w:rPr>
              <w:t xml:space="preserve">：*** </w:t>
            </w:r>
            <w:r>
              <w:rPr>
                <w:rFonts w:hint="eastAsia" w:ascii="宋体" w:hAnsi="宋体" w:eastAsia="宋体" w:cs="宋体"/>
                <w:b/>
                <w:bCs/>
                <w:szCs w:val="21"/>
              </w:rPr>
              <w:t>电话</w:t>
            </w:r>
            <w:r>
              <w:rPr>
                <w:rFonts w:hint="eastAsia" w:ascii="宋体" w:hAnsi="宋体" w:eastAsia="宋体" w:cs="宋体"/>
                <w:szCs w:val="21"/>
              </w:rPr>
              <w:t>：***</w:t>
            </w:r>
          </w:p>
          <w:p w14:paraId="55B6CA4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b/>
                <w:bCs/>
                <w:szCs w:val="21"/>
              </w:rPr>
              <w:t>电子邮件：</w:t>
            </w:r>
            <w:r>
              <w:rPr>
                <w:rFonts w:hint="eastAsia" w:ascii="宋体" w:hAnsi="宋体" w:eastAsia="宋体" w:cs="宋体"/>
                <w:szCs w:val="21"/>
              </w:rPr>
              <w:t>***</w:t>
            </w:r>
          </w:p>
        </w:tc>
        <w:tc>
          <w:tcPr>
            <w:tcW w:w="5242" w:type="dxa"/>
          </w:tcPr>
          <w:p w14:paraId="607B7137">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供应商（以下简称乙方）：***</w:t>
            </w:r>
          </w:p>
          <w:p w14:paraId="7AB3403D">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地址：***</w:t>
            </w:r>
          </w:p>
          <w:p w14:paraId="49B46EA1">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移动电话：***</w:t>
            </w:r>
          </w:p>
          <w:p w14:paraId="2A04E3BE">
            <w:pPr>
              <w:keepNext w:val="0"/>
              <w:keepLines w:val="0"/>
              <w:pageBreakBefore w:val="0"/>
              <w:kinsoku/>
              <w:wordWrap/>
              <w:overflowPunct/>
              <w:topLinePunct w:val="0"/>
              <w:autoSpaceDE/>
              <w:autoSpaceDN/>
              <w:bidi w:val="0"/>
              <w:spacing w:line="400" w:lineRule="exact"/>
              <w:ind w:left="0" w:leftChars="0"/>
              <w:contextualSpacing/>
              <w:textAlignment w:val="auto"/>
              <w:rPr>
                <w:rFonts w:hint="eastAsia" w:ascii="宋体" w:hAnsi="宋体" w:eastAsia="宋体" w:cs="宋体"/>
                <w:b/>
                <w:bCs/>
                <w:szCs w:val="21"/>
              </w:rPr>
            </w:pPr>
            <w:r>
              <w:rPr>
                <w:rFonts w:hint="eastAsia" w:ascii="宋体" w:hAnsi="宋体" w:eastAsia="宋体" w:cs="宋体"/>
                <w:b/>
                <w:bCs/>
                <w:szCs w:val="21"/>
              </w:rPr>
              <w:t>联系人：***</w:t>
            </w:r>
          </w:p>
          <w:p w14:paraId="18A1ADE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Cs/>
                <w:szCs w:val="21"/>
              </w:rPr>
            </w:pPr>
            <w:r>
              <w:rPr>
                <w:rFonts w:hint="eastAsia" w:ascii="宋体" w:hAnsi="宋体" w:eastAsia="宋体" w:cs="宋体"/>
                <w:b/>
                <w:bCs/>
                <w:szCs w:val="21"/>
              </w:rPr>
              <w:t>电子邮件：</w:t>
            </w:r>
            <w:r>
              <w:rPr>
                <w:rFonts w:hint="eastAsia" w:ascii="宋体" w:hAnsi="宋体" w:eastAsia="宋体" w:cs="宋体"/>
                <w:szCs w:val="21"/>
              </w:rPr>
              <w:t>***</w:t>
            </w:r>
          </w:p>
        </w:tc>
      </w:tr>
    </w:tbl>
    <w:p w14:paraId="5F2EEB2D">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color w:val="000000"/>
          <w:szCs w:val="21"/>
        </w:rPr>
      </w:pPr>
    </w:p>
    <w:p w14:paraId="2600F949">
      <w:pPr>
        <w:keepNext w:val="0"/>
        <w:keepLines w:val="0"/>
        <w:pageBreakBefore w:val="0"/>
        <w:kinsoku/>
        <w:wordWrap/>
        <w:overflowPunct/>
        <w:topLinePunct w:val="0"/>
        <w:autoSpaceDE/>
        <w:autoSpaceDN/>
        <w:bidi w:val="0"/>
        <w:adjustRightInd w:val="0"/>
        <w:spacing w:line="400" w:lineRule="exact"/>
        <w:ind w:left="0" w:leftChars="0" w:firstLine="420" w:firstLineChars="200"/>
        <w:contextualSpacing/>
        <w:jc w:val="left"/>
        <w:textAlignment w:val="auto"/>
        <w:rPr>
          <w:rFonts w:hint="eastAsia" w:ascii="宋体" w:hAnsi="宋体" w:eastAsia="宋体" w:cs="宋体"/>
          <w:b/>
          <w:szCs w:val="21"/>
        </w:rPr>
      </w:pPr>
      <w:r>
        <w:rPr>
          <w:rFonts w:hint="eastAsia" w:ascii="宋体" w:hAnsi="宋体" w:eastAsia="宋体" w:cs="宋体"/>
          <w:color w:val="000000"/>
          <w:szCs w:val="21"/>
        </w:rPr>
        <w:t>根据《中华人民共和国民法典》及甲方发布的***项目（项目编号</w:t>
      </w:r>
      <w:permStart w:id="0" w:edGrp="everyone"/>
      <w:r>
        <w:rPr>
          <w:rFonts w:hint="eastAsia" w:ascii="宋体" w:hAnsi="宋体" w:eastAsia="宋体" w:cs="宋体"/>
          <w:color w:val="000000"/>
          <w:szCs w:val="21"/>
        </w:rPr>
        <w:t>：</w:t>
      </w:r>
      <w:r>
        <w:rPr>
          <w:rFonts w:hint="eastAsia" w:ascii="宋体" w:hAnsi="宋体" w:eastAsia="宋体" w:cs="宋体"/>
          <w:szCs w:val="21"/>
        </w:rPr>
        <w:t>***</w:t>
      </w:r>
      <w:permEnd w:id="0"/>
      <w:r>
        <w:rPr>
          <w:rFonts w:hint="eastAsia" w:ascii="宋体" w:hAnsi="宋体" w:eastAsia="宋体" w:cs="宋体"/>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keepNext w:val="0"/>
        <w:keepLines w:val="0"/>
        <w:pageBreakBefore w:val="0"/>
        <w:kinsoku/>
        <w:wordWrap/>
        <w:overflowPunct/>
        <w:topLinePunct w:val="0"/>
        <w:autoSpaceDE/>
        <w:autoSpaceDN/>
        <w:bidi w:val="0"/>
        <w:spacing w:line="400" w:lineRule="exact"/>
        <w:ind w:left="0" w:leftChars="0"/>
        <w:contextualSpacing/>
        <w:jc w:val="left"/>
        <w:textAlignment w:val="auto"/>
        <w:rPr>
          <w:rFonts w:hint="eastAsia" w:ascii="宋体" w:hAnsi="宋体" w:eastAsia="宋体" w:cs="宋体"/>
          <w:b/>
          <w:szCs w:val="21"/>
        </w:rPr>
      </w:pPr>
    </w:p>
    <w:p w14:paraId="4F98A680">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合同标的</w:t>
      </w:r>
    </w:p>
    <w:p w14:paraId="2E385537">
      <w:pPr>
        <w:pStyle w:val="9"/>
        <w:keepNext w:val="0"/>
        <w:keepLines w:val="0"/>
        <w:pageBreakBefore w:val="0"/>
        <w:numPr>
          <w:ilvl w:val="0"/>
          <w:numId w:val="12"/>
        </w:numPr>
        <w:kinsoku/>
        <w:wordWrap/>
        <w:overflowPunct/>
        <w:topLinePunct w:val="0"/>
        <w:autoSpaceDE/>
        <w:autoSpaceDN/>
        <w:bidi w:val="0"/>
        <w:spacing w:after="0" w:line="400" w:lineRule="exact"/>
        <w:ind w:left="210" w:leftChars="0" w:hanging="210" w:hangingChars="100"/>
        <w:contextualSpacing/>
        <w:jc w:val="left"/>
        <w:textAlignment w:val="auto"/>
        <w:rPr>
          <w:rFonts w:hint="eastAsia" w:ascii="宋体" w:hAnsi="宋体" w:eastAsia="宋体" w:cs="宋体"/>
          <w:szCs w:val="21"/>
        </w:rPr>
      </w:pPr>
      <w:r>
        <w:rPr>
          <w:rFonts w:hint="eastAsia" w:ascii="宋体" w:hAnsi="宋体" w:eastAsia="宋体" w:cs="宋体"/>
          <w:szCs w:val="21"/>
        </w:rPr>
        <w:t>标的名称：</w:t>
      </w:r>
      <w:permStart w:id="1" w:edGrp="everyone"/>
      <w:r>
        <w:rPr>
          <w:rFonts w:hint="eastAsia" w:ascii="宋体" w:hAnsi="宋体" w:eastAsia="宋体" w:cs="宋体"/>
          <w:szCs w:val="21"/>
        </w:rPr>
        <w:t>***</w:t>
      </w:r>
      <w:permEnd w:id="1"/>
      <w:r>
        <w:rPr>
          <w:rFonts w:hint="eastAsia" w:ascii="宋体" w:hAnsi="宋体" w:eastAsia="宋体" w:cs="宋体"/>
          <w:szCs w:val="21"/>
        </w:rPr>
        <w:t>。</w:t>
      </w:r>
    </w:p>
    <w:p w14:paraId="4229FB38">
      <w:pPr>
        <w:pStyle w:val="9"/>
        <w:keepNext w:val="0"/>
        <w:keepLines w:val="0"/>
        <w:pageBreakBefore w:val="0"/>
        <w:numPr>
          <w:ilvl w:val="0"/>
          <w:numId w:val="12"/>
        </w:numPr>
        <w:kinsoku/>
        <w:wordWrap/>
        <w:overflowPunct/>
        <w:topLinePunct w:val="0"/>
        <w:autoSpaceDE/>
        <w:autoSpaceDN/>
        <w:bidi w:val="0"/>
        <w:spacing w:after="0" w:line="400" w:lineRule="exact"/>
        <w:ind w:left="210" w:leftChars="0" w:hanging="210" w:hangingChars="100"/>
        <w:contextualSpacing/>
        <w:jc w:val="left"/>
        <w:textAlignment w:val="auto"/>
        <w:rPr>
          <w:rFonts w:hint="eastAsia" w:ascii="宋体" w:hAnsi="宋体" w:eastAsia="宋体" w:cs="宋体"/>
          <w:szCs w:val="21"/>
        </w:rPr>
      </w:pPr>
      <w:r>
        <w:rPr>
          <w:rFonts w:hint="eastAsia" w:ascii="宋体" w:hAnsi="宋体" w:eastAsia="宋体" w:cs="宋体"/>
          <w:szCs w:val="21"/>
        </w:rPr>
        <w:t>乙方向甲方提供服务的主要内容：***。</w:t>
      </w:r>
    </w:p>
    <w:p w14:paraId="5F975DD2">
      <w:pPr>
        <w:pStyle w:val="9"/>
        <w:keepNext w:val="0"/>
        <w:keepLines w:val="0"/>
        <w:pageBreakBefore w:val="0"/>
        <w:numPr>
          <w:ilvl w:val="0"/>
          <w:numId w:val="12"/>
        </w:numPr>
        <w:kinsoku/>
        <w:wordWrap/>
        <w:overflowPunct/>
        <w:topLinePunct w:val="0"/>
        <w:autoSpaceDE/>
        <w:autoSpaceDN/>
        <w:bidi w:val="0"/>
        <w:spacing w:after="0" w:line="400" w:lineRule="exact"/>
        <w:ind w:left="210" w:leftChars="0" w:hanging="210" w:hangingChars="100"/>
        <w:contextualSpacing/>
        <w:jc w:val="left"/>
        <w:textAlignment w:val="auto"/>
        <w:rPr>
          <w:rFonts w:hint="eastAsia" w:ascii="宋体" w:hAnsi="宋体" w:eastAsia="宋体" w:cs="宋体"/>
          <w:szCs w:val="21"/>
        </w:rPr>
      </w:pPr>
      <w:r>
        <w:rPr>
          <w:rFonts w:hint="eastAsia" w:ascii="宋体" w:hAnsi="宋体" w:eastAsia="宋体" w:cs="宋体"/>
          <w:szCs w:val="21"/>
        </w:rPr>
        <w:t>服务分项明细：</w:t>
      </w:r>
      <w:r>
        <w:rPr>
          <w:rFonts w:hint="eastAsia" w:ascii="宋体" w:hAnsi="宋体" w:eastAsia="宋体" w:cs="宋体"/>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序号</w:t>
            </w:r>
          </w:p>
        </w:tc>
        <w:tc>
          <w:tcPr>
            <w:tcW w:w="2977" w:type="dxa"/>
            <w:vAlign w:val="center"/>
          </w:tcPr>
          <w:p w14:paraId="42032E31">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分项服务名称</w:t>
            </w:r>
          </w:p>
        </w:tc>
        <w:tc>
          <w:tcPr>
            <w:tcW w:w="3686" w:type="dxa"/>
            <w:vAlign w:val="center"/>
          </w:tcPr>
          <w:p w14:paraId="0F0FDBF4">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具体内容</w:t>
            </w:r>
          </w:p>
        </w:tc>
        <w:tc>
          <w:tcPr>
            <w:tcW w:w="963" w:type="dxa"/>
            <w:vAlign w:val="center"/>
          </w:tcPr>
          <w:p w14:paraId="6E75E46C">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分项价格（万元）</w:t>
            </w:r>
          </w:p>
        </w:tc>
        <w:tc>
          <w:tcPr>
            <w:tcW w:w="2016" w:type="dxa"/>
          </w:tcPr>
          <w:p w14:paraId="3BC8F9B2">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w:t>
            </w:r>
          </w:p>
        </w:tc>
        <w:tc>
          <w:tcPr>
            <w:tcW w:w="2977" w:type="dxa"/>
            <w:vAlign w:val="center"/>
          </w:tcPr>
          <w:p w14:paraId="629F7C51">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3686" w:type="dxa"/>
            <w:vAlign w:val="center"/>
          </w:tcPr>
          <w:p w14:paraId="1B711F72">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963" w:type="dxa"/>
            <w:vAlign w:val="center"/>
          </w:tcPr>
          <w:p w14:paraId="5DD02118">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p>
        </w:tc>
        <w:tc>
          <w:tcPr>
            <w:tcW w:w="2016" w:type="dxa"/>
          </w:tcPr>
          <w:p w14:paraId="149276E7">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2</w:t>
            </w:r>
          </w:p>
        </w:tc>
        <w:tc>
          <w:tcPr>
            <w:tcW w:w="2977" w:type="dxa"/>
            <w:vAlign w:val="center"/>
          </w:tcPr>
          <w:p w14:paraId="0E44D544">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3686" w:type="dxa"/>
            <w:vAlign w:val="center"/>
          </w:tcPr>
          <w:p w14:paraId="01B65D9C">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963" w:type="dxa"/>
            <w:vAlign w:val="center"/>
          </w:tcPr>
          <w:p w14:paraId="4C31DD39">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p>
        </w:tc>
        <w:tc>
          <w:tcPr>
            <w:tcW w:w="2016" w:type="dxa"/>
          </w:tcPr>
          <w:p w14:paraId="3000AC5A">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3</w:t>
            </w:r>
          </w:p>
        </w:tc>
        <w:tc>
          <w:tcPr>
            <w:tcW w:w="2977" w:type="dxa"/>
            <w:vAlign w:val="center"/>
          </w:tcPr>
          <w:p w14:paraId="71D5F885">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3686" w:type="dxa"/>
            <w:vAlign w:val="center"/>
          </w:tcPr>
          <w:p w14:paraId="38AC0A57">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963" w:type="dxa"/>
            <w:vAlign w:val="center"/>
          </w:tcPr>
          <w:p w14:paraId="3B158765">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p>
        </w:tc>
        <w:tc>
          <w:tcPr>
            <w:tcW w:w="2016" w:type="dxa"/>
          </w:tcPr>
          <w:p w14:paraId="43F7F4B9">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w:t>
            </w:r>
          </w:p>
        </w:tc>
        <w:tc>
          <w:tcPr>
            <w:tcW w:w="2977" w:type="dxa"/>
            <w:vAlign w:val="center"/>
          </w:tcPr>
          <w:p w14:paraId="492CFE5D">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3686" w:type="dxa"/>
            <w:vAlign w:val="center"/>
          </w:tcPr>
          <w:p w14:paraId="5E27032F">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963" w:type="dxa"/>
            <w:vAlign w:val="center"/>
          </w:tcPr>
          <w:p w14:paraId="19B21445">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p>
        </w:tc>
        <w:tc>
          <w:tcPr>
            <w:tcW w:w="2016" w:type="dxa"/>
          </w:tcPr>
          <w:p w14:paraId="5FC047A6">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r>
    </w:tbl>
    <w:p w14:paraId="2D35C912">
      <w:pPr>
        <w:pStyle w:val="29"/>
        <w:keepNext w:val="0"/>
        <w:keepLines w:val="0"/>
        <w:pageBreakBefore w:val="0"/>
        <w:numPr>
          <w:ilvl w:val="0"/>
          <w:numId w:val="11"/>
        </w:numPr>
        <w:kinsoku/>
        <w:wordWrap/>
        <w:overflowPunct/>
        <w:topLinePunct w:val="0"/>
        <w:autoSpaceDE/>
        <w:autoSpaceDN/>
        <w:bidi w:val="0"/>
        <w:spacing w:line="400" w:lineRule="exact"/>
        <w:ind w:left="0" w:leftChars="0" w:firstLineChars="0"/>
        <w:jc w:val="left"/>
        <w:textAlignment w:val="auto"/>
        <w:rPr>
          <w:rFonts w:hint="eastAsia" w:ascii="宋体" w:hAnsi="宋体" w:eastAsia="宋体" w:cs="宋体"/>
          <w:b/>
          <w:szCs w:val="21"/>
        </w:rPr>
      </w:pPr>
      <w:r>
        <w:rPr>
          <w:rFonts w:hint="eastAsia" w:ascii="宋体" w:hAnsi="宋体" w:eastAsia="宋体" w:cs="宋体"/>
          <w:b/>
          <w:szCs w:val="21"/>
        </w:rPr>
        <w:t>合同价款</w:t>
      </w:r>
    </w:p>
    <w:p w14:paraId="036F89BD">
      <w:pPr>
        <w:keepNext w:val="0"/>
        <w:keepLines w:val="0"/>
        <w:pageBreakBefore w:val="0"/>
        <w:kinsoku/>
        <w:wordWrap/>
        <w:overflowPunct/>
        <w:topLinePunct w:val="0"/>
        <w:autoSpaceDE/>
        <w:autoSpaceDN/>
        <w:bidi w:val="0"/>
        <w:spacing w:line="400" w:lineRule="exact"/>
        <w:ind w:left="0" w:leftChars="0" w:firstLine="480"/>
        <w:contextualSpacing/>
        <w:jc w:val="left"/>
        <w:textAlignment w:val="auto"/>
        <w:rPr>
          <w:rFonts w:hint="eastAsia" w:ascii="宋体" w:hAnsi="宋体" w:eastAsia="宋体" w:cs="宋体"/>
          <w:szCs w:val="21"/>
        </w:rPr>
      </w:pPr>
      <w:bookmarkStart w:id="92" w:name="OLE_LINK2"/>
      <w:bookmarkStart w:id="93" w:name="OLE_LINK1"/>
      <w:r>
        <w:rPr>
          <w:rFonts w:hint="eastAsia" w:ascii="宋体" w:hAnsi="宋体" w:eastAsia="宋体" w:cs="宋体"/>
          <w:color w:val="000000"/>
          <w:szCs w:val="21"/>
        </w:rPr>
        <w:sym w:font="Wingdings 2" w:char="F052"/>
      </w:r>
      <w:r>
        <w:rPr>
          <w:rFonts w:hint="eastAsia" w:ascii="宋体" w:hAnsi="宋体" w:eastAsia="宋体" w:cs="宋体"/>
          <w:szCs w:val="21"/>
        </w:rPr>
        <w:t>全包服务</w:t>
      </w:r>
    </w:p>
    <w:p w14:paraId="6903D519">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keepNext w:val="0"/>
        <w:keepLines w:val="0"/>
        <w:pageBreakBefore w:val="0"/>
        <w:kinsoku/>
        <w:wordWrap/>
        <w:overflowPunct/>
        <w:topLinePunct w:val="0"/>
        <w:autoSpaceDE/>
        <w:autoSpaceDN/>
        <w:bidi w:val="0"/>
        <w:spacing w:line="400" w:lineRule="exact"/>
        <w:ind w:left="0" w:leftChars="0" w:firstLine="480"/>
        <w:contextualSpacing/>
        <w:jc w:val="left"/>
        <w:textAlignment w:val="auto"/>
        <w:rPr>
          <w:rFonts w:hint="eastAsia" w:ascii="宋体" w:hAnsi="宋体" w:eastAsia="宋体" w:cs="宋体"/>
        </w:rPr>
      </w:pPr>
      <w:r>
        <w:rPr>
          <w:rFonts w:hint="eastAsia" w:ascii="宋体" w:hAnsi="宋体" w:eastAsia="宋体" w:cs="宋体"/>
          <w:color w:val="000000"/>
          <w:szCs w:val="21"/>
          <w:shd w:val="clear" w:color="auto" w:fill="FFFFFF"/>
        </w:rPr>
        <w:sym w:font="Wingdings" w:char="F0A8"/>
      </w:r>
      <w:r>
        <w:rPr>
          <w:rFonts w:hint="eastAsia" w:ascii="宋体" w:hAnsi="宋体" w:eastAsia="宋体" w:cs="宋体"/>
        </w:rPr>
        <w:t>半包服务</w:t>
      </w:r>
    </w:p>
    <w:p w14:paraId="1F79E5D1">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szCs w:val="21"/>
        </w:rPr>
        <w:t>1.本合同固定部分价款为</w:t>
      </w:r>
      <w:bookmarkStart w:id="94" w:name="OLE_LINK28"/>
      <w:r>
        <w:rPr>
          <w:rFonts w:hint="eastAsia" w:ascii="宋体" w:hAnsi="宋体" w:eastAsia="宋体" w:cs="宋体"/>
          <w:szCs w:val="21"/>
        </w:rPr>
        <w:t>人民币大写：*** 圆整，即RMB *** 元</w:t>
      </w:r>
      <w:bookmarkEnd w:id="94"/>
      <w:r>
        <w:rPr>
          <w:rFonts w:hint="eastAsia" w:ascii="宋体" w:hAnsi="宋体" w:eastAsia="宋体" w:cs="宋体"/>
          <w:szCs w:val="21"/>
        </w:rPr>
        <w:t>，该部分价款已包括***及税费在内的全部含税费用。本合同执行期间该部分合同价款不变，甲方无须向乙方支付本合同规定之外的其他任何费用。</w:t>
      </w:r>
    </w:p>
    <w:p w14:paraId="22723641">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Cs w:val="21"/>
          <w:highlight w:val="yellow"/>
        </w:rPr>
        <w:t>&lt;根据项目实际情况编制结算依据、标准等必要内容&gt;</w:t>
      </w:r>
    </w:p>
    <w:p w14:paraId="12981F5A">
      <w:pPr>
        <w:keepNext w:val="0"/>
        <w:keepLines w:val="0"/>
        <w:pageBreakBefore w:val="0"/>
        <w:kinsoku/>
        <w:wordWrap/>
        <w:overflowPunct/>
        <w:topLinePunct w:val="0"/>
        <w:autoSpaceDE/>
        <w:autoSpaceDN/>
        <w:bidi w:val="0"/>
        <w:spacing w:line="400" w:lineRule="exact"/>
        <w:ind w:left="0" w:leftChars="0" w:firstLine="480"/>
        <w:contextualSpacing/>
        <w:jc w:val="left"/>
        <w:textAlignment w:val="auto"/>
        <w:rPr>
          <w:rFonts w:hint="eastAsia" w:ascii="宋体" w:hAnsi="宋体" w:eastAsia="宋体" w:cs="宋体"/>
        </w:rPr>
      </w:pPr>
      <w:r>
        <w:rPr>
          <w:rFonts w:hint="eastAsia" w:ascii="宋体" w:hAnsi="宋体" w:eastAsia="宋体" w:cs="宋体"/>
          <w:color w:val="000000"/>
          <w:szCs w:val="21"/>
          <w:shd w:val="clear" w:color="auto" w:fill="FFFFFF"/>
        </w:rPr>
        <w:sym w:font="Wingdings" w:char="F0A8"/>
      </w:r>
      <w:r>
        <w:rPr>
          <w:rFonts w:hint="eastAsia" w:ascii="宋体" w:hAnsi="宋体" w:eastAsia="宋体" w:cs="宋体"/>
        </w:rPr>
        <w:t>按实结算</w:t>
      </w:r>
    </w:p>
    <w:p w14:paraId="70F77AF6">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szCs w:val="21"/>
        </w:rPr>
        <w:t>本合同支付总额不超过人民币大写：*** 圆整，即RMB *** 元，依据本合同单价进行结算，结算单价详见附件1《结算单价清单》。</w:t>
      </w:r>
    </w:p>
    <w:bookmarkEnd w:id="92"/>
    <w:bookmarkEnd w:id="93"/>
    <w:p w14:paraId="61352334">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jc w:val="left"/>
        <w:textAlignment w:val="auto"/>
        <w:rPr>
          <w:rFonts w:hint="eastAsia" w:ascii="宋体" w:hAnsi="宋体" w:eastAsia="宋体" w:cs="宋体"/>
          <w:b/>
          <w:szCs w:val="21"/>
        </w:rPr>
      </w:pPr>
      <w:r>
        <w:rPr>
          <w:rFonts w:hint="eastAsia" w:ascii="宋体" w:hAnsi="宋体" w:eastAsia="宋体" w:cs="宋体"/>
          <w:b/>
          <w:szCs w:val="21"/>
        </w:rPr>
        <w:t>服务期限</w:t>
      </w:r>
      <w:r>
        <w:rPr>
          <w:rFonts w:hint="eastAsia" w:ascii="宋体" w:hAnsi="宋体" w:eastAsia="宋体" w:cs="宋体"/>
          <w:i/>
          <w:iCs/>
          <w:szCs w:val="21"/>
          <w:highlight w:val="yellow"/>
        </w:rPr>
        <w:t>&lt;根据项目实际情况选择&gt;</w:t>
      </w:r>
    </w:p>
    <w:p w14:paraId="27DB179C">
      <w:pPr>
        <w:pStyle w:val="29"/>
        <w:keepNext w:val="0"/>
        <w:keepLines w:val="0"/>
        <w:pageBreakBefore w:val="0"/>
        <w:kinsoku/>
        <w:wordWrap/>
        <w:overflowPunct/>
        <w:topLinePunct w:val="0"/>
        <w:autoSpaceDE/>
        <w:autoSpaceDN/>
        <w:bidi w:val="0"/>
        <w:spacing w:line="400" w:lineRule="exact"/>
        <w:ind w:left="0" w:leftChars="0" w:firstLine="315" w:firstLineChars="150"/>
        <w:jc w:val="left"/>
        <w:textAlignment w:val="auto"/>
        <w:rPr>
          <w:rFonts w:hint="eastAsia" w:ascii="宋体" w:hAnsi="宋体" w:eastAsia="宋体" w:cs="宋体"/>
          <w:b/>
          <w:szCs w:val="21"/>
        </w:rPr>
      </w:pPr>
      <w:r>
        <w:rPr>
          <w:rFonts w:hint="eastAsia" w:ascii="宋体" w:hAnsi="宋体" w:eastAsia="宋体" w:cs="宋体"/>
          <w:color w:val="000000"/>
          <w:szCs w:val="21"/>
        </w:rPr>
        <w:sym w:font="Wingdings 2" w:char="F052"/>
      </w:r>
      <w:r>
        <w:rPr>
          <w:rFonts w:hint="eastAsia" w:ascii="宋体" w:hAnsi="宋体" w:eastAsia="宋体" w:cs="宋体"/>
          <w:bCs/>
          <w:szCs w:val="21"/>
        </w:rPr>
        <w:t>本项目服务期为</w:t>
      </w:r>
      <w:r>
        <w:rPr>
          <w:rFonts w:hint="eastAsia" w:ascii="宋体" w:hAnsi="宋体" w:eastAsia="宋体" w:cs="宋体"/>
          <w:bCs/>
          <w:szCs w:val="21"/>
          <w:u w:val="single"/>
        </w:rPr>
        <w:t>叁</w:t>
      </w:r>
      <w:r>
        <w:rPr>
          <w:rFonts w:hint="eastAsia" w:ascii="宋体" w:hAnsi="宋体" w:eastAsia="宋体" w:cs="宋体"/>
          <w:bCs/>
          <w:szCs w:val="21"/>
        </w:rPr>
        <w:t>年（自202*年**月**日到202*年**月**日），合同一年一签，每年服务费为人民币 *** 元（大写：*** 圆整）。本合同为第***期，服务期为自202*年***月***日至202*年**月**日</w:t>
      </w:r>
      <w:r>
        <w:rPr>
          <w:rFonts w:hint="eastAsia" w:ascii="宋体" w:hAnsi="宋体" w:eastAsia="宋体" w:cs="宋体"/>
          <w:bCs/>
          <w:szCs w:val="21"/>
          <w:u w:val="single"/>
        </w:rPr>
        <w:t>，经甲方考核合格后续签下一年合同</w:t>
      </w:r>
      <w:bookmarkStart w:id="95" w:name="OLE_LINK29"/>
      <w:r>
        <w:rPr>
          <w:rFonts w:hint="eastAsia" w:ascii="宋体" w:hAnsi="宋体" w:eastAsia="宋体" w:cs="宋体"/>
          <w:bCs/>
          <w:szCs w:val="21"/>
        </w:rPr>
        <w:t>，考核标准详见附件</w:t>
      </w:r>
      <w:r>
        <w:rPr>
          <w:rFonts w:hint="eastAsia" w:ascii="宋体" w:hAnsi="宋体" w:eastAsia="宋体" w:cs="宋体"/>
          <w:bCs/>
          <w:szCs w:val="21"/>
          <w:u w:val="single"/>
        </w:rPr>
        <w:t>2</w:t>
      </w:r>
      <w:r>
        <w:rPr>
          <w:rFonts w:hint="eastAsia" w:ascii="宋体" w:hAnsi="宋体" w:eastAsia="宋体" w:cs="宋体"/>
          <w:bCs/>
          <w:szCs w:val="21"/>
        </w:rPr>
        <w:t>《考核标准》</w:t>
      </w:r>
      <w:bookmarkEnd w:id="95"/>
      <w:r>
        <w:rPr>
          <w:rFonts w:hint="eastAsia" w:ascii="宋体" w:hAnsi="宋体" w:eastAsia="宋体" w:cs="宋体"/>
          <w:bCs/>
          <w:szCs w:val="21"/>
        </w:rPr>
        <w:t>。</w:t>
      </w:r>
    </w:p>
    <w:p w14:paraId="1B257405">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服务方案</w:t>
      </w:r>
    </w:p>
    <w:p w14:paraId="06E0AE13">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bCs/>
          <w:szCs w:val="21"/>
        </w:rPr>
        <w:t>乙方应严格按照本合同服务方案和甲方要求提供服务，服务方案详见附件3《服务方案》。</w:t>
      </w:r>
    </w:p>
    <w:p w14:paraId="7482C29A">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验收</w:t>
      </w:r>
    </w:p>
    <w:p w14:paraId="57707485">
      <w:pPr>
        <w:pStyle w:val="29"/>
        <w:keepNext w:val="0"/>
        <w:keepLines w:val="0"/>
        <w:pageBreakBefore w:val="0"/>
        <w:numPr>
          <w:ilvl w:val="0"/>
          <w:numId w:val="13"/>
        </w:numPr>
        <w:kinsoku/>
        <w:wordWrap/>
        <w:overflowPunct/>
        <w:topLinePunct w:val="0"/>
        <w:autoSpaceDE/>
        <w:autoSpaceDN/>
        <w:bidi w:val="0"/>
        <w:spacing w:line="400" w:lineRule="exact"/>
        <w:ind w:left="0" w:leftChars="0" w:firstLine="0" w:firstLineChars="0"/>
        <w:contextualSpacing/>
        <w:textAlignment w:val="auto"/>
        <w:rPr>
          <w:rFonts w:hint="eastAsia" w:ascii="宋体" w:hAnsi="宋体" w:eastAsia="宋体" w:cs="宋体"/>
          <w:szCs w:val="21"/>
        </w:rPr>
      </w:pPr>
      <w:r>
        <w:rPr>
          <w:rFonts w:hint="eastAsia" w:ascii="宋体" w:hAnsi="宋体" w:eastAsia="宋体" w:cs="宋体"/>
          <w:szCs w:val="21"/>
        </w:rPr>
        <w:t>甲、乙双方确定，按照本合同约定的验收方案对乙方按本合同约定所提供的服务进行验收。</w:t>
      </w:r>
    </w:p>
    <w:p w14:paraId="103305C9">
      <w:pPr>
        <w:pStyle w:val="29"/>
        <w:keepNext w:val="0"/>
        <w:keepLines w:val="0"/>
        <w:pageBreakBefore w:val="0"/>
        <w:numPr>
          <w:ilvl w:val="0"/>
          <w:numId w:val="13"/>
        </w:numPr>
        <w:kinsoku/>
        <w:wordWrap/>
        <w:overflowPunct/>
        <w:topLinePunct w:val="0"/>
        <w:autoSpaceDE/>
        <w:autoSpaceDN/>
        <w:bidi w:val="0"/>
        <w:spacing w:line="400" w:lineRule="exact"/>
        <w:ind w:left="0" w:leftChars="0" w:firstLine="0" w:firstLineChars="0"/>
        <w:contextualSpacing/>
        <w:textAlignment w:val="auto"/>
        <w:rPr>
          <w:rFonts w:hint="eastAsia" w:ascii="宋体" w:hAnsi="宋体" w:eastAsia="宋体" w:cs="宋体"/>
          <w:szCs w:val="21"/>
        </w:rPr>
      </w:pPr>
      <w:r>
        <w:rPr>
          <w:rFonts w:hint="eastAsia" w:ascii="宋体" w:hAnsi="宋体" w:eastAsia="宋体" w:cs="宋体"/>
          <w:szCs w:val="21"/>
        </w:rPr>
        <w:t>验收方案：</w:t>
      </w:r>
    </w:p>
    <w:p w14:paraId="10719FFA">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验收主体：甲方</w:t>
      </w:r>
    </w:p>
    <w:p w14:paraId="7212F6E2">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验收组织方式：自行验收</w:t>
      </w:r>
    </w:p>
    <w:p w14:paraId="5C963DBA">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验收程序：</w:t>
      </w:r>
      <w:r>
        <w:rPr>
          <w:rFonts w:hint="eastAsia" w:ascii="宋体" w:hAnsi="宋体" w:eastAsia="宋体" w:cs="宋体"/>
        </w:rPr>
        <w:sym w:font="Wingdings 2" w:char="F052"/>
      </w:r>
      <w:r>
        <w:rPr>
          <w:rFonts w:hint="eastAsia" w:ascii="宋体" w:hAnsi="宋体" w:eastAsia="宋体" w:cs="宋体"/>
          <w:color w:val="000000"/>
          <w:szCs w:val="21"/>
        </w:rPr>
        <w:t xml:space="preserve">一次性验收   </w:t>
      </w:r>
      <w:r>
        <w:rPr>
          <w:rFonts w:hint="eastAsia" w:ascii="宋体" w:hAnsi="宋体" w:eastAsia="宋体" w:cs="宋体"/>
        </w:rPr>
        <w:sym w:font="Wingdings" w:char="F0A8"/>
      </w:r>
      <w:r>
        <w:rPr>
          <w:rFonts w:hint="eastAsia" w:ascii="宋体" w:hAnsi="宋体" w:eastAsia="宋体" w:cs="宋体"/>
          <w:color w:val="000000"/>
          <w:szCs w:val="21"/>
        </w:rPr>
        <w:t>分段/分期验收</w:t>
      </w:r>
    </w:p>
    <w:p w14:paraId="0ACAEB8E">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验收方式：</w:t>
      </w:r>
      <w:r>
        <w:rPr>
          <w:rFonts w:hint="eastAsia" w:ascii="宋体" w:hAnsi="宋体" w:eastAsia="宋体" w:cs="宋体"/>
          <w:color w:val="000000"/>
        </w:rPr>
        <w:sym w:font="Wingdings 2" w:char="F052"/>
      </w:r>
      <w:r>
        <w:rPr>
          <w:rFonts w:hint="eastAsia" w:ascii="宋体" w:hAnsi="宋体" w:eastAsia="宋体" w:cs="宋体"/>
          <w:color w:val="000000"/>
        </w:rPr>
        <w:t>现场整体验收</w:t>
      </w:r>
      <w:r>
        <w:rPr>
          <w:rFonts w:hint="eastAsia" w:ascii="宋体" w:hAnsi="宋体" w:eastAsia="宋体" w:cs="宋体"/>
          <w:color w:val="000000"/>
          <w:kern w:val="0"/>
          <w:szCs w:val="21"/>
          <w:shd w:val="clear" w:color="auto" w:fill="FFFFFF"/>
        </w:rPr>
        <w:t xml:space="preserve">   </w:t>
      </w:r>
      <w:r>
        <w:rPr>
          <w:rFonts w:hint="eastAsia" w:ascii="宋体" w:hAnsi="宋体" w:eastAsia="宋体" w:cs="宋体"/>
          <w:color w:val="000000"/>
          <w:shd w:val="clear" w:color="auto" w:fill="FFFFFF"/>
        </w:rPr>
        <w:sym w:font="Wingdings" w:char="F0A8"/>
      </w:r>
      <w:r>
        <w:rPr>
          <w:rFonts w:hint="eastAsia" w:ascii="宋体" w:hAnsi="宋体" w:eastAsia="宋体" w:cs="宋体"/>
          <w:color w:val="000000"/>
          <w:shd w:val="clear" w:color="auto" w:fill="FFFFFF"/>
        </w:rPr>
        <w:t>考核验收</w:t>
      </w:r>
      <w:r>
        <w:rPr>
          <w:rFonts w:hint="eastAsia" w:ascii="宋体" w:hAnsi="宋体" w:eastAsia="宋体" w:cs="宋体"/>
          <w:color w:val="000000"/>
          <w:kern w:val="0"/>
          <w:szCs w:val="21"/>
          <w:shd w:val="clear" w:color="auto" w:fill="FFFFFF"/>
        </w:rPr>
        <w:t xml:space="preserve">   </w:t>
      </w:r>
      <w:r>
        <w:rPr>
          <w:rFonts w:hint="eastAsia" w:ascii="宋体" w:hAnsi="宋体" w:eastAsia="宋体" w:cs="宋体"/>
          <w:color w:val="000000"/>
          <w:shd w:val="clear" w:color="auto" w:fill="FFFFFF"/>
        </w:rPr>
        <w:sym w:font="Wingdings" w:char="F0A8"/>
      </w:r>
      <w:r>
        <w:rPr>
          <w:rFonts w:hint="eastAsia" w:ascii="宋体" w:hAnsi="宋体" w:eastAsia="宋体" w:cs="宋体"/>
          <w:color w:val="000000"/>
          <w:shd w:val="clear" w:color="auto" w:fill="FFFFFF"/>
        </w:rPr>
        <w:t>其它验收方式：</w:t>
      </w:r>
      <w:r>
        <w:rPr>
          <w:rFonts w:hint="eastAsia" w:ascii="宋体" w:hAnsi="宋体" w:eastAsia="宋体" w:cs="宋体"/>
          <w:color w:val="000000"/>
          <w:u w:val="single"/>
          <w:shd w:val="clear" w:color="auto" w:fill="FFFFFF"/>
        </w:rPr>
        <w:t>***</w:t>
      </w:r>
    </w:p>
    <w:p w14:paraId="25BB580A">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履约验收内容：按照甲方的采购文件要求及乙方响应文件响应情况，由乙方向甲方提供的</w:t>
      </w:r>
      <w:r>
        <w:rPr>
          <w:rFonts w:hint="eastAsia" w:ascii="宋体" w:hAnsi="宋体" w:eastAsia="宋体" w:cs="宋体"/>
          <w:szCs w:val="21"/>
          <w:u w:val="single"/>
        </w:rPr>
        <w:t>全部服务</w:t>
      </w:r>
      <w:r>
        <w:rPr>
          <w:rFonts w:hint="eastAsia" w:ascii="宋体" w:hAnsi="宋体" w:eastAsia="宋体" w:cs="宋体"/>
          <w:szCs w:val="21"/>
        </w:rPr>
        <w:t>的履约情况。</w:t>
      </w:r>
    </w:p>
    <w:p w14:paraId="1F2D4CFA">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履约验收时间：</w:t>
      </w:r>
    </w:p>
    <w:p w14:paraId="27EEE864">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2" w:char="F052"/>
      </w:r>
      <w:r>
        <w:rPr>
          <w:rFonts w:hint="eastAsia" w:ascii="宋体" w:hAnsi="宋体" w:eastAsia="宋体" w:cs="宋体"/>
          <w:color w:val="000000"/>
          <w:szCs w:val="21"/>
        </w:rPr>
        <w:t>服务期满且乙方完成所有服务内容后X日内通知甲方验收，甲方接乙方通知后X日内组织验收</w:t>
      </w:r>
    </w:p>
    <w:p w14:paraId="13560871">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乙方完成每一阶段或轮次服务内容后X日内通知甲方验收，甲方接乙方通知后X日内组织验收</w:t>
      </w:r>
    </w:p>
    <w:p w14:paraId="668E8ECC">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甲方完成考核后X日内组织验收</w:t>
      </w:r>
    </w:p>
    <w:p w14:paraId="06090759">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shd w:val="clear" w:color="auto" w:fill="FFFFFF"/>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 xml:space="preserve">其它验收时间：            </w:t>
      </w:r>
    </w:p>
    <w:p w14:paraId="0A943DA8">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 xml:space="preserve">是否邀请本项目的其他供应商： </w:t>
      </w:r>
      <w:r>
        <w:rPr>
          <w:rFonts w:hint="eastAsia" w:ascii="宋体" w:hAnsi="宋体" w:eastAsia="宋体" w:cs="宋体"/>
          <w:kern w:val="0"/>
          <w:shd w:val="clear" w:color="auto" w:fill="FFFFFF"/>
        </w:rPr>
        <w:sym w:font="Wingdings" w:char="F0A8"/>
      </w:r>
      <w:r>
        <w:rPr>
          <w:rFonts w:hint="eastAsia" w:ascii="宋体" w:hAnsi="宋体" w:eastAsia="宋体" w:cs="宋体"/>
          <w:szCs w:val="21"/>
          <w:shd w:val="clear" w:color="auto" w:fill="FFFFFF"/>
        </w:rPr>
        <w:t xml:space="preserve">是   </w:t>
      </w:r>
      <w:r>
        <w:rPr>
          <w:rFonts w:hint="eastAsia" w:ascii="宋体" w:hAnsi="宋体" w:eastAsia="宋体" w:cs="宋体"/>
          <w:kern w:val="0"/>
        </w:rPr>
        <w:sym w:font="Wingdings 2" w:char="F052"/>
      </w:r>
      <w:r>
        <w:rPr>
          <w:rFonts w:hint="eastAsia" w:ascii="宋体" w:hAnsi="宋体" w:eastAsia="宋体" w:cs="宋体"/>
          <w:szCs w:val="21"/>
          <w:shd w:val="clear" w:color="auto" w:fill="FFFFFF"/>
        </w:rPr>
        <w:t>否</w:t>
      </w:r>
    </w:p>
    <w:p w14:paraId="740E083B">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 xml:space="preserve">是否邀请专家： </w:t>
      </w:r>
      <w:r>
        <w:rPr>
          <w:rFonts w:hint="eastAsia" w:ascii="宋体" w:hAnsi="宋体" w:eastAsia="宋体" w:cs="宋体"/>
          <w:kern w:val="0"/>
          <w:shd w:val="clear" w:color="auto" w:fill="FFFFFF"/>
        </w:rPr>
        <w:sym w:font="Wingdings" w:char="F0A8"/>
      </w:r>
      <w:r>
        <w:rPr>
          <w:rFonts w:hint="eastAsia" w:ascii="宋体" w:hAnsi="宋体" w:eastAsia="宋体" w:cs="宋体"/>
          <w:szCs w:val="21"/>
          <w:shd w:val="clear" w:color="auto" w:fill="FFFFFF"/>
        </w:rPr>
        <w:t xml:space="preserve">是   </w:t>
      </w:r>
      <w:r>
        <w:rPr>
          <w:rFonts w:hint="eastAsia" w:ascii="宋体" w:hAnsi="宋体" w:eastAsia="宋体" w:cs="宋体"/>
          <w:kern w:val="0"/>
        </w:rPr>
        <w:sym w:font="Wingdings 2" w:char="F052"/>
      </w:r>
      <w:r>
        <w:rPr>
          <w:rFonts w:hint="eastAsia" w:ascii="宋体" w:hAnsi="宋体" w:eastAsia="宋体" w:cs="宋体"/>
          <w:szCs w:val="21"/>
          <w:shd w:val="clear" w:color="auto" w:fill="FFFFFF"/>
        </w:rPr>
        <w:t>否</w:t>
      </w:r>
    </w:p>
    <w:p w14:paraId="595EB419">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 xml:space="preserve">是否邀请服务对象： </w:t>
      </w:r>
      <w:r>
        <w:rPr>
          <w:rFonts w:hint="eastAsia" w:ascii="宋体" w:hAnsi="宋体" w:eastAsia="宋体" w:cs="宋体"/>
          <w:kern w:val="0"/>
          <w:shd w:val="clear" w:color="auto" w:fill="FFFFFF"/>
        </w:rPr>
        <w:sym w:font="Wingdings" w:char="F0A8"/>
      </w:r>
      <w:r>
        <w:rPr>
          <w:rFonts w:hint="eastAsia" w:ascii="宋体" w:hAnsi="宋体" w:eastAsia="宋体" w:cs="宋体"/>
          <w:szCs w:val="21"/>
          <w:shd w:val="clear" w:color="auto" w:fill="FFFFFF"/>
        </w:rPr>
        <w:t xml:space="preserve">是   </w:t>
      </w:r>
      <w:r>
        <w:rPr>
          <w:rFonts w:hint="eastAsia" w:ascii="宋体" w:hAnsi="宋体" w:eastAsia="宋体" w:cs="宋体"/>
          <w:kern w:val="0"/>
        </w:rPr>
        <w:sym w:font="Wingdings 2" w:char="F052"/>
      </w:r>
      <w:r>
        <w:rPr>
          <w:rFonts w:hint="eastAsia" w:ascii="宋体" w:hAnsi="宋体" w:eastAsia="宋体" w:cs="宋体"/>
          <w:szCs w:val="21"/>
          <w:shd w:val="clear" w:color="auto" w:fill="FFFFFF"/>
        </w:rPr>
        <w:t>否</w:t>
      </w:r>
    </w:p>
    <w:p w14:paraId="212FF5E1">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是否邀请第三方检测机构：</w:t>
      </w:r>
      <w:r>
        <w:rPr>
          <w:rFonts w:hint="eastAsia" w:ascii="宋体" w:hAnsi="宋体" w:eastAsia="宋体" w:cs="宋体"/>
          <w:kern w:val="0"/>
          <w:shd w:val="clear" w:color="auto" w:fill="FFFFFF"/>
        </w:rPr>
        <w:t xml:space="preserve"> </w:t>
      </w:r>
      <w:r>
        <w:rPr>
          <w:rFonts w:hint="eastAsia" w:ascii="宋体" w:hAnsi="宋体" w:eastAsia="宋体" w:cs="宋体"/>
          <w:kern w:val="0"/>
          <w:shd w:val="clear" w:color="auto" w:fill="FFFFFF"/>
        </w:rPr>
        <w:sym w:font="Wingdings" w:char="F0A8"/>
      </w:r>
      <w:r>
        <w:rPr>
          <w:rFonts w:hint="eastAsia" w:ascii="宋体" w:hAnsi="宋体" w:eastAsia="宋体" w:cs="宋体"/>
          <w:szCs w:val="21"/>
          <w:shd w:val="clear" w:color="auto" w:fill="FFFFFF"/>
        </w:rPr>
        <w:t xml:space="preserve">是   </w:t>
      </w:r>
      <w:r>
        <w:rPr>
          <w:rFonts w:hint="eastAsia" w:ascii="宋体" w:hAnsi="宋体" w:eastAsia="宋体" w:cs="宋体"/>
          <w:kern w:val="0"/>
        </w:rPr>
        <w:sym w:font="Wingdings 2" w:char="F052"/>
      </w:r>
      <w:r>
        <w:rPr>
          <w:rFonts w:hint="eastAsia" w:ascii="宋体" w:hAnsi="宋体" w:eastAsia="宋体" w:cs="宋体"/>
          <w:szCs w:val="21"/>
          <w:shd w:val="clear" w:color="auto" w:fill="FFFFFF"/>
        </w:rPr>
        <w:t>否</w:t>
      </w:r>
    </w:p>
    <w:p w14:paraId="47F88790">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验收标准：</w:t>
      </w:r>
    </w:p>
    <w:p w14:paraId="24757C73">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bookmarkStart w:id="96" w:name="OLE_LINK4"/>
      <w:r>
        <w:rPr>
          <w:rFonts w:hint="eastAsia" w:ascii="宋体" w:hAnsi="宋体" w:eastAsia="宋体" w:cs="宋体"/>
          <w:szCs w:val="21"/>
          <w:shd w:val="clear" w:color="auto" w:fill="FFFFFF"/>
        </w:rPr>
        <w:t>国家相关法律法规、行业标准、技术规范。</w:t>
      </w:r>
    </w:p>
    <w:p w14:paraId="4A341926">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甲方采购文件相关技术、服务要求、乙方响应文件相关响应内容。</w:t>
      </w:r>
    </w:p>
    <w:p w14:paraId="4BB5AAAF">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如本项目验收方式为考核验收，则考核结果须为合格。</w:t>
      </w:r>
    </w:p>
    <w:bookmarkEnd w:id="96"/>
    <w:p w14:paraId="2BFFECC6">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如验收时，甲方与乙方认为本项目验收标准中的技术指标、质量要求等内容存在相互抵触或对其理解存在异议，应按照其中更严格的要求、标准等进行验收。</w:t>
      </w:r>
    </w:p>
    <w:p w14:paraId="142B41FF">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参照《财政部关于进一步加强政府采购需求和履约验收管理的指导意见》（财库〔2016〕205号）的要求进行验收。</w:t>
      </w:r>
    </w:p>
    <w:p w14:paraId="5A8F93D9">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其它标准：</w:t>
      </w:r>
      <w:r>
        <w:rPr>
          <w:rFonts w:hint="eastAsia" w:ascii="宋体" w:hAnsi="宋体" w:eastAsia="宋体" w:cs="宋体"/>
          <w:szCs w:val="21"/>
          <w:u w:val="single"/>
        </w:rPr>
        <w:t>无。</w:t>
      </w:r>
    </w:p>
    <w:p w14:paraId="5FCD4D1B">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其它验收要求：</w:t>
      </w:r>
      <w:r>
        <w:rPr>
          <w:rFonts w:hint="eastAsia" w:ascii="宋体" w:hAnsi="宋体" w:eastAsia="宋体" w:cs="宋体"/>
          <w:color w:val="000000"/>
          <w:kern w:val="0"/>
          <w:szCs w:val="21"/>
          <w:u w:val="single"/>
        </w:rPr>
        <w:t>无</w:t>
      </w:r>
      <w:r>
        <w:rPr>
          <w:rFonts w:hint="eastAsia" w:ascii="宋体" w:hAnsi="宋体" w:eastAsia="宋体" w:cs="宋体"/>
          <w:i/>
          <w:iCs/>
          <w:color w:val="000000"/>
          <w:kern w:val="0"/>
          <w:szCs w:val="21"/>
          <w:highlight w:val="yellow"/>
        </w:rPr>
        <w:t>&lt;如有请填写</w:t>
      </w:r>
      <w:r>
        <w:rPr>
          <w:rFonts w:hint="eastAsia" w:ascii="宋体" w:hAnsi="宋体" w:eastAsia="宋体" w:cs="宋体"/>
          <w:i/>
          <w:iCs/>
          <w:color w:val="000000"/>
          <w:kern w:val="0"/>
          <w:szCs w:val="21"/>
        </w:rPr>
        <w:t>&gt;</w:t>
      </w:r>
    </w:p>
    <w:p w14:paraId="6213DBF3">
      <w:pPr>
        <w:pStyle w:val="29"/>
        <w:keepNext w:val="0"/>
        <w:keepLines w:val="0"/>
        <w:pageBreakBefore w:val="0"/>
        <w:numPr>
          <w:ilvl w:val="0"/>
          <w:numId w:val="13"/>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付款方式</w:t>
      </w:r>
    </w:p>
    <w:p w14:paraId="5CC20725">
      <w:pPr>
        <w:pStyle w:val="9"/>
        <w:keepNext w:val="0"/>
        <w:keepLines w:val="0"/>
        <w:pageBreakBefore w:val="0"/>
        <w:numPr>
          <w:ilvl w:val="0"/>
          <w:numId w:val="16"/>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履约保证金：</w:t>
      </w:r>
    </w:p>
    <w:p w14:paraId="1A98FD8C">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2" w:char="F052"/>
      </w:r>
      <w:r>
        <w:rPr>
          <w:rFonts w:hint="eastAsia" w:ascii="宋体" w:hAnsi="宋体" w:eastAsia="宋体" w:cs="宋体"/>
          <w:color w:val="000000"/>
          <w:szCs w:val="21"/>
        </w:rPr>
        <w:t>乙方在合同签订生效之日起的</w:t>
      </w:r>
      <w:r>
        <w:rPr>
          <w:rFonts w:hint="eastAsia" w:ascii="宋体" w:hAnsi="宋体" w:eastAsia="宋体" w:cs="宋体"/>
          <w:color w:val="000000"/>
          <w:szCs w:val="21"/>
          <w:u w:val="single"/>
        </w:rPr>
        <w:t>***</w:t>
      </w:r>
      <w:r>
        <w:rPr>
          <w:rFonts w:hint="eastAsia" w:ascii="宋体" w:hAnsi="宋体" w:eastAsia="宋体" w:cs="宋体"/>
          <w:color w:val="000000"/>
          <w:szCs w:val="21"/>
        </w:rPr>
        <w:t>个工作日内，按合同总价</w:t>
      </w:r>
      <w:r>
        <w:rPr>
          <w:rFonts w:hint="eastAsia" w:ascii="宋体" w:hAnsi="宋体" w:eastAsia="宋体" w:cs="宋体"/>
          <w:color w:val="000000"/>
          <w:szCs w:val="21"/>
          <w:u w:val="single"/>
        </w:rPr>
        <w:t>***</w:t>
      </w:r>
      <w:r>
        <w:rPr>
          <w:rFonts w:hint="eastAsia" w:ascii="宋体" w:hAnsi="宋体" w:eastAsia="宋体" w:cs="宋体"/>
          <w:color w:val="000000"/>
          <w:szCs w:val="21"/>
        </w:rPr>
        <w:t>%支付履约保证金；本合同服务期满且验收合格后，甲方接到乙方付款申请后</w:t>
      </w:r>
      <w:r>
        <w:rPr>
          <w:rFonts w:hint="eastAsia" w:ascii="宋体" w:hAnsi="宋体" w:eastAsia="宋体" w:cs="宋体"/>
          <w:color w:val="000000"/>
          <w:szCs w:val="21"/>
          <w:u w:val="single"/>
        </w:rPr>
        <w:t>30</w:t>
      </w:r>
      <w:r>
        <w:rPr>
          <w:rFonts w:hint="eastAsia" w:ascii="宋体" w:hAnsi="宋体" w:eastAsia="宋体" w:cs="宋体"/>
          <w:color w:val="000000"/>
          <w:szCs w:val="21"/>
        </w:rPr>
        <w:t>个工作日内，甲方一次性无息退还乙方的履约保证金；经验收后乙方履约不合格的，履约保证金不予退还。</w:t>
      </w:r>
    </w:p>
    <w:p w14:paraId="7A4394EF">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本合同不涉及履约保证金。</w:t>
      </w:r>
    </w:p>
    <w:p w14:paraId="0DB5940E">
      <w:pPr>
        <w:pStyle w:val="9"/>
        <w:keepNext w:val="0"/>
        <w:keepLines w:val="0"/>
        <w:pageBreakBefore w:val="0"/>
        <w:numPr>
          <w:ilvl w:val="0"/>
          <w:numId w:val="16"/>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本合同价款采用以下方式支付，以人民币结算：</w:t>
      </w:r>
    </w:p>
    <w:p w14:paraId="09FDA0E6">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2" w:char="F052"/>
      </w:r>
      <w:r>
        <w:rPr>
          <w:rFonts w:hint="eastAsia" w:ascii="宋体" w:hAnsi="宋体" w:eastAsia="宋体" w:cs="宋体"/>
          <w:color w:val="000000"/>
          <w:szCs w:val="21"/>
        </w:rPr>
        <w:t>一次性支付：</w:t>
      </w:r>
    </w:p>
    <w:p w14:paraId="621259CA">
      <w:pPr>
        <w:pStyle w:val="16"/>
        <w:keepNext w:val="0"/>
        <w:keepLines w:val="0"/>
        <w:pageBreakBefore w:val="0"/>
        <w:kinsoku/>
        <w:wordWrap/>
        <w:overflowPunct/>
        <w:topLinePunct w:val="0"/>
        <w:autoSpaceDE/>
        <w:autoSpaceDN/>
        <w:bidi w:val="0"/>
        <w:spacing w:before="0" w:after="0" w:line="400" w:lineRule="exact"/>
        <w:ind w:left="0" w:leftChars="0" w:firstLineChars="200"/>
        <w:contextualSpacing/>
        <w:textAlignment w:val="auto"/>
        <w:rPr>
          <w:rFonts w:hint="eastAsia" w:ascii="宋体" w:hAnsi="宋体" w:eastAsia="宋体" w:cs="宋体"/>
          <w:color w:val="000000"/>
          <w:szCs w:val="21"/>
        </w:rPr>
      </w:pPr>
      <w:r>
        <w:rPr>
          <w:rFonts w:hint="eastAsia" w:ascii="宋体" w:hAnsi="宋体" w:eastAsia="宋体" w:cs="宋体"/>
          <w:szCs w:val="21"/>
        </w:rPr>
        <w:t>本合同服务期满且经甲方验收合格后</w:t>
      </w:r>
      <w:r>
        <w:rPr>
          <w:rFonts w:hint="eastAsia" w:ascii="宋体" w:hAnsi="宋体" w:eastAsia="宋体" w:cs="宋体"/>
          <w:szCs w:val="21"/>
          <w:u w:val="single"/>
        </w:rPr>
        <w:t>5</w:t>
      </w:r>
      <w:r>
        <w:rPr>
          <w:rFonts w:hint="eastAsia" w:ascii="宋体" w:hAnsi="宋体" w:eastAsia="宋体" w:cs="宋体"/>
          <w:szCs w:val="21"/>
        </w:rPr>
        <w:t>日内</w:t>
      </w:r>
      <w:r>
        <w:rPr>
          <w:rFonts w:hint="eastAsia" w:ascii="宋体" w:hAnsi="宋体" w:eastAsia="宋体" w:cs="宋体"/>
          <w:color w:val="000000"/>
          <w:szCs w:val="21"/>
        </w:rPr>
        <w:t>，乙方须向甲方提供合法有效票据及其他相关请款资料，甲方自收到乙方请款资料后</w:t>
      </w:r>
      <w:r>
        <w:rPr>
          <w:rFonts w:hint="eastAsia" w:ascii="宋体" w:hAnsi="宋体" w:eastAsia="宋体" w:cs="宋体"/>
          <w:color w:val="000000"/>
          <w:szCs w:val="21"/>
          <w:u w:val="single"/>
        </w:rPr>
        <w:t>55</w:t>
      </w:r>
      <w:r>
        <w:rPr>
          <w:rFonts w:hint="eastAsia" w:ascii="宋体" w:hAnsi="宋体" w:eastAsia="宋体" w:cs="宋体"/>
          <w:color w:val="000000"/>
          <w:szCs w:val="21"/>
        </w:rPr>
        <w:t>日内支付合同总价100%的金额给乙方。</w:t>
      </w:r>
    </w:p>
    <w:p w14:paraId="750B8A19">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分阶段支付，支付期限、方式及额度如下：</w:t>
      </w:r>
    </w:p>
    <w:p w14:paraId="56BDDA9D">
      <w:pPr>
        <w:pStyle w:val="16"/>
        <w:keepNext w:val="0"/>
        <w:keepLines w:val="0"/>
        <w:pageBreakBefore w:val="0"/>
        <w:kinsoku/>
        <w:wordWrap/>
        <w:overflowPunct/>
        <w:topLinePunct w:val="0"/>
        <w:autoSpaceDE/>
        <w:autoSpaceDN/>
        <w:bidi w:val="0"/>
        <w:spacing w:before="0" w:after="0" w:line="400" w:lineRule="exact"/>
        <w:ind w:left="0" w:leftChars="0" w:firstLineChars="20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（1）</w:t>
      </w:r>
      <w:bookmarkStart w:id="97" w:name="OLE_LINK30"/>
      <w:r>
        <w:rPr>
          <w:rFonts w:hint="eastAsia" w:ascii="宋体" w:hAnsi="宋体" w:eastAsia="宋体" w:cs="宋体"/>
          <w:szCs w:val="21"/>
        </w:rPr>
        <w:t>固定部分价款</w:t>
      </w:r>
      <w:bookmarkEnd w:id="97"/>
      <w:r>
        <w:rPr>
          <w:rFonts w:hint="eastAsia" w:ascii="宋体" w:hAnsi="宋体" w:eastAsia="宋体" w:cs="宋体"/>
          <w:color w:val="000000"/>
          <w:szCs w:val="21"/>
        </w:rPr>
        <w:t>：</w:t>
      </w:r>
      <w:r>
        <w:rPr>
          <w:rFonts w:hint="eastAsia" w:ascii="宋体" w:hAnsi="宋体" w:eastAsia="宋体" w:cs="宋体"/>
          <w:szCs w:val="21"/>
        </w:rPr>
        <w:t>本合同服务期满且经甲方验收合格后5日内</w:t>
      </w:r>
      <w:r>
        <w:rPr>
          <w:rFonts w:hint="eastAsia" w:ascii="宋体" w:hAnsi="宋体" w:eastAsia="宋体" w:cs="宋体"/>
          <w:color w:val="000000"/>
          <w:szCs w:val="21"/>
        </w:rPr>
        <w:t>，乙方须向甲方提供合法有效票据及其他相关请款资料，甲方自收到乙方请款资料后55日内向乙方支付本合同</w:t>
      </w:r>
      <w:r>
        <w:rPr>
          <w:rFonts w:hint="eastAsia" w:ascii="宋体" w:hAnsi="宋体" w:eastAsia="宋体" w:cs="宋体"/>
          <w:color w:val="000000"/>
          <w:szCs w:val="21"/>
          <w:u w:val="single"/>
        </w:rPr>
        <w:t>第二条</w:t>
      </w:r>
      <w:r>
        <w:rPr>
          <w:rFonts w:hint="eastAsia" w:ascii="宋体" w:hAnsi="宋体" w:eastAsia="宋体" w:cs="宋体"/>
          <w:color w:val="000000"/>
          <w:szCs w:val="21"/>
        </w:rPr>
        <w:t>写明的全部</w:t>
      </w:r>
      <w:r>
        <w:rPr>
          <w:rFonts w:hint="eastAsia" w:ascii="宋体" w:hAnsi="宋体" w:eastAsia="宋体" w:cs="宋体"/>
          <w:szCs w:val="21"/>
        </w:rPr>
        <w:t>固定部分价款</w:t>
      </w:r>
      <w:r>
        <w:rPr>
          <w:rFonts w:hint="eastAsia" w:ascii="宋体" w:hAnsi="宋体" w:eastAsia="宋体" w:cs="宋体"/>
          <w:color w:val="000000"/>
          <w:szCs w:val="21"/>
        </w:rPr>
        <w:t>。</w:t>
      </w:r>
    </w:p>
    <w:p w14:paraId="4C3983EC">
      <w:pPr>
        <w:pStyle w:val="16"/>
        <w:keepNext w:val="0"/>
        <w:keepLines w:val="0"/>
        <w:pageBreakBefore w:val="0"/>
        <w:kinsoku/>
        <w:wordWrap/>
        <w:overflowPunct/>
        <w:topLinePunct w:val="0"/>
        <w:autoSpaceDE/>
        <w:autoSpaceDN/>
        <w:bidi w:val="0"/>
        <w:spacing w:before="0" w:after="0" w:line="400" w:lineRule="exact"/>
        <w:ind w:left="0" w:leftChars="0" w:firstLineChars="20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（2）按实结算部分：每</w:t>
      </w:r>
      <w:r>
        <w:rPr>
          <w:rFonts w:hint="eastAsia" w:ascii="宋体" w:hAnsi="宋体" w:eastAsia="宋体" w:cs="宋体"/>
          <w:color w:val="000000"/>
          <w:szCs w:val="21"/>
          <w:u w:val="single"/>
        </w:rPr>
        <w:t>XX</w:t>
      </w:r>
      <w:r>
        <w:rPr>
          <w:rFonts w:hint="eastAsia" w:ascii="宋体" w:hAnsi="宋体" w:eastAsia="宋体" w:cs="宋体"/>
          <w:i/>
          <w:iCs/>
          <w:szCs w:val="21"/>
          <w:highlight w:val="yellow"/>
        </w:rPr>
        <w:t>&lt;约定按固定周期支付的（如每季度），可根据项目具体情况编制本条款&gt;</w:t>
      </w:r>
      <w:r>
        <w:rPr>
          <w:rFonts w:hint="eastAsia" w:ascii="宋体" w:hAnsi="宋体" w:eastAsia="宋体" w:cs="宋体"/>
          <w:color w:val="000000"/>
          <w:szCs w:val="21"/>
        </w:rPr>
        <w:t>结算一次费用，结算单价以</w:t>
      </w:r>
      <w:r>
        <w:rPr>
          <w:rFonts w:hint="eastAsia" w:ascii="宋体" w:hAnsi="宋体" w:eastAsia="宋体" w:cs="宋体"/>
          <w:szCs w:val="21"/>
        </w:rPr>
        <w:t>《结算单价清单》</w:t>
      </w:r>
      <w:r>
        <w:rPr>
          <w:rFonts w:hint="eastAsia" w:ascii="宋体" w:hAnsi="宋体" w:eastAsia="宋体" w:cs="宋体"/>
          <w:color w:val="000000"/>
          <w:szCs w:val="21"/>
        </w:rPr>
        <w:t>为准。</w:t>
      </w:r>
      <w:r>
        <w:rPr>
          <w:rFonts w:hint="eastAsia" w:ascii="宋体" w:hAnsi="宋体" w:eastAsia="宋体" w:cs="宋体"/>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u w:val="single"/>
          <w:lang w:bidi="ar"/>
        </w:rPr>
        <w:t>55</w:t>
      </w:r>
      <w:r>
        <w:rPr>
          <w:rFonts w:hint="eastAsia" w:ascii="宋体" w:hAnsi="宋体" w:eastAsia="宋体" w:cs="宋体"/>
          <w:lang w:bidi="ar"/>
        </w:rPr>
        <w:t>日内，向乙方全额支付上述结算费用。</w:t>
      </w:r>
    </w:p>
    <w:p w14:paraId="5586C7FB">
      <w:pPr>
        <w:pStyle w:val="9"/>
        <w:keepNext w:val="0"/>
        <w:keepLines w:val="0"/>
        <w:pageBreakBefore w:val="0"/>
        <w:numPr>
          <w:ilvl w:val="0"/>
          <w:numId w:val="16"/>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甲方付款前，乙方需</w:t>
      </w:r>
      <w:r>
        <w:rPr>
          <w:rFonts w:hint="eastAsia" w:ascii="宋体" w:hAnsi="宋体" w:eastAsia="宋体" w:cs="宋体"/>
          <w:lang w:bidi="ar"/>
        </w:rPr>
        <w:t>提供合法有效票据及其他相关请款资料</w:t>
      </w:r>
      <w:r>
        <w:rPr>
          <w:rFonts w:hint="eastAsia" w:ascii="宋体" w:hAnsi="宋体" w:eastAsia="宋体" w:cs="宋体"/>
          <w:szCs w:val="21"/>
        </w:rPr>
        <w:t>，否则甲方有权拒绝支付且不承担任何违约责任，且乙方不得因此停止服务。</w:t>
      </w:r>
    </w:p>
    <w:p w14:paraId="2EB2BA75">
      <w:pPr>
        <w:pStyle w:val="9"/>
        <w:keepNext w:val="0"/>
        <w:keepLines w:val="0"/>
        <w:pageBreakBefore w:val="0"/>
        <w:numPr>
          <w:ilvl w:val="0"/>
          <w:numId w:val="16"/>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乙方开票信息应与合同预留账户信息一致。如有变更，乙方应当在变更后3日内通知甲方。否则，由此造成的损失由乙方自行承担。</w:t>
      </w:r>
    </w:p>
    <w:p w14:paraId="19A7DEEB">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双方权利与义务</w:t>
      </w:r>
    </w:p>
    <w:p w14:paraId="581F8AA0">
      <w:pPr>
        <w:pStyle w:val="9"/>
        <w:keepNext w:val="0"/>
        <w:keepLines w:val="0"/>
        <w:pageBreakBefore w:val="0"/>
        <w:numPr>
          <w:ilvl w:val="0"/>
          <w:numId w:val="17"/>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甲方权利与义务</w:t>
      </w:r>
    </w:p>
    <w:p w14:paraId="4D16113D">
      <w:pPr>
        <w:pStyle w:val="29"/>
        <w:keepNext w:val="0"/>
        <w:keepLines w:val="0"/>
        <w:pageBreakBefore w:val="0"/>
        <w:numPr>
          <w:ilvl w:val="0"/>
          <w:numId w:val="18"/>
        </w:numPr>
        <w:kinsoku/>
        <w:wordWrap/>
        <w:overflowPunct/>
        <w:topLinePunct w:val="0"/>
        <w:autoSpaceDE/>
        <w:autoSpaceDN/>
        <w:bidi w:val="0"/>
        <w:adjustRightInd w:val="0"/>
        <w:spacing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按合同约定向乙方支付费用。</w:t>
      </w:r>
    </w:p>
    <w:p w14:paraId="62A02753">
      <w:pPr>
        <w:pStyle w:val="29"/>
        <w:keepNext w:val="0"/>
        <w:keepLines w:val="0"/>
        <w:pageBreakBefore w:val="0"/>
        <w:numPr>
          <w:ilvl w:val="0"/>
          <w:numId w:val="18"/>
        </w:numPr>
        <w:kinsoku/>
        <w:wordWrap/>
        <w:overflowPunct/>
        <w:topLinePunct w:val="0"/>
        <w:autoSpaceDE/>
        <w:autoSpaceDN/>
        <w:bidi w:val="0"/>
        <w:adjustRightInd w:val="0"/>
        <w:spacing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保证乙方实施服务所必须的外部条件如电源、水源的正常供应及开启、关闭等。</w:t>
      </w:r>
    </w:p>
    <w:p w14:paraId="35119703">
      <w:pPr>
        <w:pStyle w:val="29"/>
        <w:keepNext w:val="0"/>
        <w:keepLines w:val="0"/>
        <w:pageBreakBefore w:val="0"/>
        <w:numPr>
          <w:ilvl w:val="0"/>
          <w:numId w:val="18"/>
        </w:numPr>
        <w:kinsoku/>
        <w:wordWrap/>
        <w:overflowPunct/>
        <w:topLinePunct w:val="0"/>
        <w:autoSpaceDE/>
        <w:autoSpaceDN/>
        <w:bidi w:val="0"/>
        <w:adjustRightInd w:val="0"/>
        <w:spacing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对于乙方在提供服务期间所提供的信息，甲方应予保密，未经乙方书面同意，甲方不得擅自使用或透露给第三方。</w:t>
      </w:r>
    </w:p>
    <w:p w14:paraId="7EDB0B3A">
      <w:pPr>
        <w:pStyle w:val="29"/>
        <w:keepNext w:val="0"/>
        <w:keepLines w:val="0"/>
        <w:pageBreakBefore w:val="0"/>
        <w:numPr>
          <w:ilvl w:val="0"/>
          <w:numId w:val="18"/>
        </w:numPr>
        <w:kinsoku/>
        <w:wordWrap/>
        <w:overflowPunct/>
        <w:topLinePunct w:val="0"/>
        <w:autoSpaceDE/>
        <w:autoSpaceDN/>
        <w:bidi w:val="0"/>
        <w:adjustRightInd w:val="0"/>
        <w:spacing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甲方对服务人员不满意的，有权要求乙方在7日内更换相关服务人员。</w:t>
      </w:r>
    </w:p>
    <w:p w14:paraId="344AB8AA">
      <w:pPr>
        <w:pStyle w:val="9"/>
        <w:keepNext w:val="0"/>
        <w:keepLines w:val="0"/>
        <w:pageBreakBefore w:val="0"/>
        <w:numPr>
          <w:ilvl w:val="0"/>
          <w:numId w:val="17"/>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乙方权利与义务</w:t>
      </w:r>
    </w:p>
    <w:p w14:paraId="319B30B1">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按本合同约定向甲方提供服务。</w:t>
      </w:r>
    </w:p>
    <w:p w14:paraId="29A7D576">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乙方应保证提供的服务人员具备相应的服务能力和服务资质（如涉及）。</w:t>
      </w:r>
    </w:p>
    <w:p w14:paraId="26B4DD92">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如服务涉及计算机软件产品的，乙方须承诺在服务中设备安装的软件已获得软件厂商的正规授权。</w:t>
      </w:r>
    </w:p>
    <w:p w14:paraId="68E6AAB3">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乙方对在按本合同约定向甲方提供服务过程中所获得的所有数据、商业秘密或其它技术及经营信息负有保密的义务，不得向任何第三方透露或泄露。</w:t>
      </w:r>
    </w:p>
    <w:p w14:paraId="742F7349">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违约责任</w:t>
      </w:r>
      <w:r>
        <w:rPr>
          <w:rFonts w:hint="eastAsia" w:ascii="宋体" w:hAnsi="宋体" w:eastAsia="宋体" w:cs="宋体"/>
          <w:bCs/>
          <w:i/>
          <w:iCs/>
          <w:szCs w:val="21"/>
          <w:highlight w:val="yellow"/>
        </w:rPr>
        <w:t>&lt;本条款中违约金比例可根据项目实际情况确定，如合同无固定总金额的，请按实际需求调整表述&gt;</w:t>
      </w:r>
    </w:p>
    <w:p w14:paraId="5B66A4B0">
      <w:pPr>
        <w:pStyle w:val="9"/>
        <w:keepNext w:val="0"/>
        <w:keepLines w:val="0"/>
        <w:pageBreakBefore w:val="0"/>
        <w:numPr>
          <w:ilvl w:val="0"/>
          <w:numId w:val="20"/>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甲方违约责任：甲方无正当理由拒绝乙方按本合同约定提供服务的，甲方应偿付合同总金额的</w:t>
      </w:r>
      <w:r>
        <w:rPr>
          <w:rFonts w:hint="eastAsia" w:ascii="宋体" w:hAnsi="宋体" w:eastAsia="宋体" w:cs="宋体"/>
          <w:szCs w:val="21"/>
          <w:u w:val="single"/>
        </w:rPr>
        <w:t>10%</w:t>
      </w:r>
      <w:r>
        <w:rPr>
          <w:rFonts w:hint="eastAsia" w:ascii="宋体" w:hAnsi="宋体" w:eastAsia="宋体" w:cs="宋体"/>
          <w:szCs w:val="21"/>
        </w:rPr>
        <w:t>作为违约金。</w:t>
      </w:r>
    </w:p>
    <w:p w14:paraId="0BC8E6CE">
      <w:pPr>
        <w:pStyle w:val="29"/>
        <w:keepNext w:val="0"/>
        <w:keepLines w:val="0"/>
        <w:pageBreakBefore w:val="0"/>
        <w:numPr>
          <w:ilvl w:val="0"/>
          <w:numId w:val="20"/>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乙方违约责任：</w:t>
      </w:r>
    </w:p>
    <w:p w14:paraId="354B31C5">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bookmarkStart w:id="98" w:name="OLE_LINK18"/>
      <w:bookmarkStart w:id="99" w:name="OLE_LINK17"/>
      <w:r>
        <w:rPr>
          <w:rFonts w:hint="eastAsia" w:ascii="宋体" w:hAnsi="宋体" w:eastAsia="宋体" w:cs="宋体"/>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因乙方在服务中更换的备品备件或原材料在质保期内并在正常使用情况下出现质量原因导致甲方或第三方财产或人身损害的，由乙方承担赔偿责任。</w:t>
      </w:r>
    </w:p>
    <w:p w14:paraId="2E725C36">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在本合同的履行中，如乙方提供的服务存在设计、工艺或材料缺陷（包括潜在缺陷），乙方应当对由于上述缺陷造成的损失负责。</w:t>
      </w:r>
    </w:p>
    <w:p w14:paraId="74485C68">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在本合同履行中，如乙方未按本合同约定及时向甲方提供服务，每发生一次，乙方应按</w:t>
      </w:r>
      <w:r>
        <w:rPr>
          <w:rFonts w:hint="eastAsia" w:ascii="宋体" w:hAnsi="宋体" w:eastAsia="宋体" w:cs="宋体"/>
          <w:szCs w:val="21"/>
          <w:u w:val="single"/>
        </w:rPr>
        <w:t>合同总金额</w:t>
      </w:r>
      <w:r>
        <w:rPr>
          <w:rFonts w:hint="eastAsia" w:ascii="宋体" w:hAnsi="宋体" w:eastAsia="宋体" w:cs="宋体"/>
          <w:szCs w:val="21"/>
        </w:rPr>
        <w:t>的</w:t>
      </w:r>
      <w:r>
        <w:rPr>
          <w:rFonts w:hint="eastAsia" w:ascii="宋体" w:hAnsi="宋体" w:eastAsia="宋体" w:cs="宋体"/>
          <w:szCs w:val="21"/>
          <w:u w:val="single"/>
          <w:lang w:val="en-US" w:eastAsia="zh-CN"/>
        </w:rPr>
        <w:t>3</w:t>
      </w:r>
      <w:r>
        <w:rPr>
          <w:rFonts w:hint="eastAsia" w:ascii="宋体" w:hAnsi="宋体" w:eastAsia="宋体" w:cs="宋体"/>
          <w:szCs w:val="21"/>
        </w:rPr>
        <w:t>‰向甲方支付违约金。甲方可采取必要的补救措施，但由此而产生的风险责任和费用将由乙方负担，甲方根据合同规定对乙方行使的其他权利不受影响。</w:t>
      </w:r>
    </w:p>
    <w:p w14:paraId="170DE4FD">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乙方在提供服务过程中侵犯他人知识产权，甲方有权单方解除合同，并要求乙方赔偿所造成的损失，同时甲方有权要求对方按照</w:t>
      </w:r>
      <w:r>
        <w:rPr>
          <w:rFonts w:hint="eastAsia" w:ascii="宋体" w:hAnsi="宋体" w:eastAsia="宋体" w:cs="宋体"/>
          <w:szCs w:val="21"/>
          <w:u w:val="single"/>
        </w:rPr>
        <w:t>合同总金额</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%支付违约金。</w:t>
      </w:r>
    </w:p>
    <w:p w14:paraId="0B168445">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乙方违反保密义务，甲方有权单方解除合同，乙方应按甲方实际损失向甲方进行赔偿并向甲方支付</w:t>
      </w:r>
      <w:r>
        <w:rPr>
          <w:rFonts w:hint="eastAsia" w:ascii="宋体" w:hAnsi="宋体" w:eastAsia="宋体" w:cs="宋体"/>
          <w:szCs w:val="21"/>
          <w:u w:val="single"/>
        </w:rPr>
        <w:t>合同总金额</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%作为违约金。</w:t>
      </w:r>
    </w:p>
    <w:bookmarkEnd w:id="98"/>
    <w:bookmarkEnd w:id="99"/>
    <w:p w14:paraId="79DD140B">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乙方偿付的违约金不足以弥补甲方损失的，还应按甲方损失尚未弥补的部分，支付赔偿金给甲方。</w:t>
      </w:r>
    </w:p>
    <w:p w14:paraId="3156E70D">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keepNext w:val="0"/>
        <w:keepLines w:val="0"/>
        <w:pageBreakBefore w:val="0"/>
        <w:numPr>
          <w:ilvl w:val="0"/>
          <w:numId w:val="21"/>
        </w:numPr>
        <w:kinsoku/>
        <w:wordWrap/>
        <w:overflowPunct/>
        <w:topLinePunct w:val="0"/>
        <w:autoSpaceDE/>
        <w:autoSpaceDN/>
        <w:bidi w:val="0"/>
        <w:snapToGrid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keepNext w:val="0"/>
        <w:keepLines w:val="0"/>
        <w:pageBreakBefore w:val="0"/>
        <w:kinsoku/>
        <w:wordWrap/>
        <w:overflowPunct/>
        <w:topLinePunct w:val="0"/>
        <w:autoSpaceDE/>
        <w:autoSpaceDN/>
        <w:bidi w:val="0"/>
        <w:spacing w:after="0" w:line="400" w:lineRule="exact"/>
        <w:ind w:left="0" w:leftChars="0"/>
        <w:contextualSpacing/>
        <w:jc w:val="left"/>
        <w:textAlignment w:val="auto"/>
        <w:rPr>
          <w:rFonts w:hint="eastAsia" w:ascii="宋体" w:hAnsi="宋体" w:eastAsia="宋体" w:cs="宋体"/>
          <w:szCs w:val="21"/>
        </w:rPr>
      </w:pPr>
      <w:r>
        <w:rPr>
          <w:rFonts w:hint="eastAsia" w:ascii="宋体" w:hAnsi="宋体" w:eastAsia="宋体" w:cs="宋体"/>
          <w:szCs w:val="21"/>
        </w:rPr>
        <w:t>3.本合同履行中如有任何一方违约，那么守约方为保障自己合法权益而产生的律师费、诉讼费、差旅费、公告费等，均由违约方承担。</w:t>
      </w:r>
    </w:p>
    <w:p w14:paraId="754D0209">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不可抗力</w:t>
      </w:r>
    </w:p>
    <w:p w14:paraId="26541785">
      <w:pPr>
        <w:pStyle w:val="29"/>
        <w:keepNext w:val="0"/>
        <w:keepLines w:val="0"/>
        <w:pageBreakBefore w:val="0"/>
        <w:kinsoku/>
        <w:wordWrap/>
        <w:overflowPunct/>
        <w:topLinePunct w:val="0"/>
        <w:autoSpaceDE/>
        <w:autoSpaceDN/>
        <w:bidi w:val="0"/>
        <w:snapToGrid w:val="0"/>
        <w:spacing w:line="400" w:lineRule="exact"/>
        <w:ind w:left="0" w:leftChars="0"/>
        <w:textAlignment w:val="auto"/>
        <w:rPr>
          <w:rFonts w:hint="eastAsia" w:ascii="宋体" w:hAnsi="宋体" w:eastAsia="宋体" w:cs="宋体"/>
          <w:bCs/>
          <w:szCs w:val="21"/>
        </w:rPr>
      </w:pPr>
      <w:r>
        <w:rPr>
          <w:rFonts w:hint="eastAsia" w:ascii="宋体" w:hAnsi="宋体" w:eastAsia="宋体" w:cs="宋体"/>
          <w:bCs/>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Cs w:val="21"/>
          <w:lang w:val="en-US" w:eastAsia="zh-CN"/>
        </w:rPr>
        <w:t>30</w:t>
      </w:r>
      <w:r>
        <w:rPr>
          <w:rFonts w:hint="eastAsia" w:ascii="宋体" w:hAnsi="宋体" w:eastAsia="宋体" w:cs="宋体"/>
          <w:bCs/>
          <w:szCs w:val="21"/>
        </w:rPr>
        <w:t>日，甲方有权解除合同，双方互不承担违约责任。</w:t>
      </w:r>
    </w:p>
    <w:p w14:paraId="031713B9">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合同终止及解除</w:t>
      </w:r>
    </w:p>
    <w:p w14:paraId="275C61D9">
      <w:pPr>
        <w:pStyle w:val="29"/>
        <w:keepNext w:val="0"/>
        <w:keepLines w:val="0"/>
        <w:pageBreakBefore w:val="0"/>
        <w:numPr>
          <w:ilvl w:val="0"/>
          <w:numId w:val="22"/>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keepNext w:val="0"/>
        <w:keepLines w:val="0"/>
        <w:pageBreakBefore w:val="0"/>
        <w:numPr>
          <w:ilvl w:val="0"/>
          <w:numId w:val="22"/>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在甲、乙任何一方有严重违约行为时，另一方有权单方解除合同。</w:t>
      </w:r>
    </w:p>
    <w:p w14:paraId="2BA7B89E">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争议解决办法</w:t>
      </w:r>
    </w:p>
    <w:p w14:paraId="5C6244A3">
      <w:pPr>
        <w:pStyle w:val="29"/>
        <w:keepNext w:val="0"/>
        <w:keepLines w:val="0"/>
        <w:pageBreakBefore w:val="0"/>
        <w:numPr>
          <w:ilvl w:val="0"/>
          <w:numId w:val="23"/>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因服务质量问题发生争议，由质量技术监督部门或其指定的质量鉴定机构进行质量鉴定，结果符合标准的，鉴定费由甲方承担；不符合标准的，鉴定费由乙方承担。</w:t>
      </w:r>
    </w:p>
    <w:p w14:paraId="40F006BE">
      <w:pPr>
        <w:pStyle w:val="29"/>
        <w:keepNext w:val="0"/>
        <w:keepLines w:val="0"/>
        <w:pageBreakBefore w:val="0"/>
        <w:numPr>
          <w:ilvl w:val="0"/>
          <w:numId w:val="23"/>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合同履行期间,若双方发生争议，可协商或由有关部门调解解决，协商或调解不成的，任何一方均有权向甲方所在地具有管辖权的人民法院起诉。</w:t>
      </w:r>
    </w:p>
    <w:p w14:paraId="533F8595">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送达（送达地址是司法机关、执法机关和仲裁机关将法律文书送达给当事人的收件地址）</w:t>
      </w:r>
    </w:p>
    <w:p w14:paraId="46F487CF">
      <w:pPr>
        <w:pStyle w:val="34"/>
        <w:keepNext w:val="0"/>
        <w:keepLines w:val="0"/>
        <w:pageBreakBefore w:val="0"/>
        <w:numPr>
          <w:ilvl w:val="0"/>
          <w:numId w:val="24"/>
        </w:numPr>
        <w:kinsoku/>
        <w:wordWrap/>
        <w:overflowPunct/>
        <w:topLinePunct w:val="0"/>
        <w:autoSpaceDE/>
        <w:autoSpaceDN/>
        <w:bidi w:val="0"/>
        <w:spacing w:line="400" w:lineRule="exact"/>
        <w:ind w:left="0" w:leftChars="0" w:firstLine="0"/>
        <w:textAlignment w:val="auto"/>
        <w:rPr>
          <w:rFonts w:hint="eastAsia" w:ascii="宋体" w:hAnsi="宋体" w:eastAsia="宋体" w:cs="宋体"/>
          <w:color w:val="auto"/>
        </w:rPr>
      </w:pPr>
      <w:r>
        <w:rPr>
          <w:rFonts w:hint="eastAsia" w:ascii="宋体" w:hAnsi="宋体" w:eastAsia="宋体" w:cs="宋体"/>
          <w:color w:val="auto"/>
        </w:rPr>
        <w:t>甲方送达地址：四川省成都市青羊区一环路西二段32号。</w:t>
      </w:r>
    </w:p>
    <w:p w14:paraId="2E0AF282">
      <w:pPr>
        <w:pStyle w:val="34"/>
        <w:keepNext w:val="0"/>
        <w:keepLines w:val="0"/>
        <w:pageBreakBefore w:val="0"/>
        <w:numPr>
          <w:ilvl w:val="0"/>
          <w:numId w:val="24"/>
        </w:numPr>
        <w:kinsoku/>
        <w:wordWrap/>
        <w:overflowPunct/>
        <w:topLinePunct w:val="0"/>
        <w:autoSpaceDE/>
        <w:autoSpaceDN/>
        <w:bidi w:val="0"/>
        <w:spacing w:line="400" w:lineRule="exact"/>
        <w:ind w:left="0" w:leftChars="0" w:firstLine="0"/>
        <w:textAlignment w:val="auto"/>
        <w:rPr>
          <w:rFonts w:hint="eastAsia" w:ascii="宋体" w:hAnsi="宋体" w:eastAsia="宋体" w:cs="宋体"/>
          <w:color w:val="auto"/>
        </w:rPr>
      </w:pPr>
      <w:r>
        <w:rPr>
          <w:rFonts w:hint="eastAsia" w:ascii="宋体" w:hAnsi="宋体" w:eastAsia="宋体" w:cs="宋体"/>
          <w:color w:val="auto"/>
        </w:rPr>
        <w:t>乙方送达地址：***</w:t>
      </w:r>
    </w:p>
    <w:p w14:paraId="750624B0">
      <w:pPr>
        <w:pStyle w:val="34"/>
        <w:keepNext w:val="0"/>
        <w:keepLines w:val="0"/>
        <w:pageBreakBefore w:val="0"/>
        <w:numPr>
          <w:ilvl w:val="0"/>
          <w:numId w:val="24"/>
        </w:numPr>
        <w:kinsoku/>
        <w:wordWrap/>
        <w:overflowPunct/>
        <w:topLinePunct w:val="0"/>
        <w:autoSpaceDE/>
        <w:autoSpaceDN/>
        <w:bidi w:val="0"/>
        <w:spacing w:line="400" w:lineRule="exact"/>
        <w:ind w:left="0" w:leftChars="0" w:firstLine="0"/>
        <w:textAlignment w:val="auto"/>
        <w:rPr>
          <w:rFonts w:hint="eastAsia" w:ascii="宋体" w:hAnsi="宋体" w:eastAsia="宋体" w:cs="宋体"/>
          <w:color w:val="auto"/>
        </w:rPr>
      </w:pPr>
      <w:r>
        <w:rPr>
          <w:rFonts w:hint="eastAsia" w:ascii="宋体" w:hAnsi="宋体" w:eastAsia="宋体" w:cs="宋体"/>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其他</w:t>
      </w:r>
    </w:p>
    <w:p w14:paraId="162904B6">
      <w:pPr>
        <w:pStyle w:val="29"/>
        <w:keepNext w:val="0"/>
        <w:keepLines w:val="0"/>
        <w:pageBreakBefore w:val="0"/>
        <w:numPr>
          <w:ilvl w:val="0"/>
          <w:numId w:val="25"/>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如有未尽事宜，由双方依法订立补充合同。补充合同及本合同附件均为本合同的组成部分，与本合同具有同等法律效力。</w:t>
      </w:r>
    </w:p>
    <w:p w14:paraId="3EA6778F">
      <w:pPr>
        <w:pStyle w:val="29"/>
        <w:keepNext w:val="0"/>
        <w:keepLines w:val="0"/>
        <w:pageBreakBefore w:val="0"/>
        <w:numPr>
          <w:ilvl w:val="0"/>
          <w:numId w:val="25"/>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lang w:val="en-US" w:eastAsia="zh-CN"/>
        </w:rPr>
        <w:t>五</w:t>
      </w:r>
      <w:r>
        <w:rPr>
          <w:rFonts w:hint="eastAsia" w:ascii="宋体" w:hAnsi="宋体" w:eastAsia="宋体" w:cs="宋体"/>
          <w:szCs w:val="21"/>
        </w:rPr>
        <w:t>份，自双方签字且盖章之日起生效。甲方</w:t>
      </w:r>
      <w:r>
        <w:rPr>
          <w:rFonts w:hint="eastAsia" w:ascii="宋体" w:hAnsi="宋体" w:eastAsia="宋体" w:cs="宋体"/>
          <w:szCs w:val="21"/>
          <w:lang w:val="en-US" w:eastAsia="zh-CN"/>
        </w:rPr>
        <w:t>四</w:t>
      </w:r>
      <w:r>
        <w:rPr>
          <w:rFonts w:hint="eastAsia" w:ascii="宋体" w:hAnsi="宋体" w:eastAsia="宋体" w:cs="宋体"/>
          <w:szCs w:val="21"/>
        </w:rPr>
        <w:t>份，乙方一份。</w:t>
      </w:r>
    </w:p>
    <w:p w14:paraId="134580B1">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合同附件</w:t>
      </w:r>
    </w:p>
    <w:p w14:paraId="6C66D4AC">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本合同为</w:t>
      </w:r>
      <w:r>
        <w:rPr>
          <w:rFonts w:hint="eastAsia" w:ascii="宋体" w:hAnsi="宋体" w:eastAsia="宋体" w:cs="宋体"/>
          <w:szCs w:val="21"/>
          <w:u w:val="single"/>
        </w:rPr>
        <w:t>有</w:t>
      </w:r>
      <w:r>
        <w:rPr>
          <w:rFonts w:hint="eastAsia" w:ascii="宋体" w:hAnsi="宋体" w:eastAsia="宋体" w:cs="宋体"/>
          <w:szCs w:val="21"/>
        </w:rPr>
        <w:t>附件合同，附件如下：</w:t>
      </w:r>
      <w:r>
        <w:rPr>
          <w:rFonts w:hint="eastAsia" w:ascii="宋体" w:hAnsi="宋体" w:eastAsia="宋体" w:cs="宋体"/>
          <w:i/>
          <w:iCs/>
          <w:szCs w:val="21"/>
          <w:highlight w:val="yellow"/>
        </w:rPr>
        <w:t>&lt;根据项目实际情况编制&gt;</w:t>
      </w:r>
    </w:p>
    <w:p w14:paraId="3FF9CA8A">
      <w:pPr>
        <w:keepNext w:val="0"/>
        <w:keepLines w:val="0"/>
        <w:pageBreakBefore w:val="0"/>
        <w:kinsoku/>
        <w:wordWrap/>
        <w:overflowPunct/>
        <w:topLinePunct w:val="0"/>
        <w:autoSpaceDE/>
        <w:autoSpaceDN/>
        <w:bidi w:val="0"/>
        <w:spacing w:line="400" w:lineRule="exact"/>
        <w:ind w:left="0" w:leftChars="0"/>
        <w:jc w:val="left"/>
        <w:textAlignment w:val="auto"/>
        <w:outlineLvl w:val="0"/>
        <w:rPr>
          <w:rFonts w:hint="eastAsia" w:ascii="宋体" w:hAnsi="宋体" w:eastAsia="宋体" w:cs="宋体"/>
          <w:szCs w:val="21"/>
        </w:rPr>
      </w:pPr>
      <w:r>
        <w:rPr>
          <w:rFonts w:hint="eastAsia" w:ascii="宋体" w:hAnsi="宋体" w:eastAsia="宋体" w:cs="宋体"/>
          <w:szCs w:val="21"/>
        </w:rPr>
        <w:t>附件1《</w:t>
      </w:r>
      <w:bookmarkStart w:id="100" w:name="OLE_LINK32"/>
      <w:r>
        <w:rPr>
          <w:rFonts w:hint="eastAsia" w:ascii="宋体" w:hAnsi="宋体" w:eastAsia="宋体" w:cs="宋体"/>
          <w:szCs w:val="21"/>
        </w:rPr>
        <w:t>结算单价清单</w:t>
      </w:r>
      <w:bookmarkEnd w:id="100"/>
      <w:r>
        <w:rPr>
          <w:rFonts w:hint="eastAsia" w:ascii="宋体" w:hAnsi="宋体" w:eastAsia="宋体" w:cs="宋体"/>
          <w:szCs w:val="21"/>
        </w:rPr>
        <w:t>》</w:t>
      </w:r>
    </w:p>
    <w:p w14:paraId="6CDBD3F1">
      <w:pPr>
        <w:keepNext w:val="0"/>
        <w:keepLines w:val="0"/>
        <w:pageBreakBefore w:val="0"/>
        <w:kinsoku/>
        <w:wordWrap/>
        <w:overflowPunct/>
        <w:topLinePunct w:val="0"/>
        <w:autoSpaceDE/>
        <w:autoSpaceDN/>
        <w:bidi w:val="0"/>
        <w:spacing w:line="400" w:lineRule="exact"/>
        <w:ind w:left="0" w:leftChars="0"/>
        <w:jc w:val="left"/>
        <w:textAlignment w:val="auto"/>
        <w:outlineLvl w:val="0"/>
        <w:rPr>
          <w:rFonts w:hint="eastAsia" w:ascii="宋体" w:hAnsi="宋体" w:eastAsia="宋体" w:cs="宋体"/>
          <w:szCs w:val="21"/>
        </w:rPr>
      </w:pPr>
      <w:r>
        <w:rPr>
          <w:rFonts w:hint="eastAsia" w:ascii="宋体" w:hAnsi="宋体" w:eastAsia="宋体" w:cs="宋体"/>
          <w:szCs w:val="21"/>
        </w:rPr>
        <w:t>附件2《考核标准》</w:t>
      </w:r>
    </w:p>
    <w:p w14:paraId="485EAD27">
      <w:pPr>
        <w:keepNext w:val="0"/>
        <w:keepLines w:val="0"/>
        <w:pageBreakBefore w:val="0"/>
        <w:kinsoku/>
        <w:wordWrap/>
        <w:overflowPunct/>
        <w:topLinePunct w:val="0"/>
        <w:autoSpaceDE/>
        <w:autoSpaceDN/>
        <w:bidi w:val="0"/>
        <w:spacing w:line="400" w:lineRule="exact"/>
        <w:ind w:left="0" w:leftChars="0"/>
        <w:jc w:val="left"/>
        <w:textAlignment w:val="auto"/>
        <w:outlineLvl w:val="0"/>
        <w:rPr>
          <w:rFonts w:hint="eastAsia" w:ascii="宋体" w:hAnsi="宋体" w:eastAsia="宋体" w:cs="宋体"/>
          <w:szCs w:val="21"/>
        </w:rPr>
      </w:pPr>
      <w:r>
        <w:rPr>
          <w:rFonts w:hint="eastAsia" w:ascii="宋体" w:hAnsi="宋体" w:eastAsia="宋体" w:cs="宋体"/>
          <w:szCs w:val="21"/>
        </w:rPr>
        <w:t>附件3《服务方案》</w:t>
      </w:r>
    </w:p>
    <w:p w14:paraId="73257A85">
      <w:pPr>
        <w:keepNext w:val="0"/>
        <w:keepLines w:val="0"/>
        <w:pageBreakBefore w:val="0"/>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 w:val="18"/>
          <w:szCs w:val="18"/>
        </w:rPr>
        <w:t>以下无正文</w:t>
      </w:r>
      <w:r>
        <w:rPr>
          <w:rFonts w:hint="eastAsia" w:ascii="宋体" w:hAnsi="宋体" w:eastAsia="宋体" w:cs="宋体"/>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签订时间：</w:t>
            </w:r>
            <w:r>
              <w:rPr>
                <w:rFonts w:hint="eastAsia" w:ascii="宋体" w:hAnsi="宋体" w:eastAsia="宋体" w:cs="宋体"/>
              </w:rPr>
              <w:t>202*</w:t>
            </w:r>
            <w:r>
              <w:rPr>
                <w:rFonts w:hint="eastAsia" w:ascii="宋体" w:hAnsi="宋体" w:eastAsia="宋体" w:cs="宋体"/>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甲方：四川省人民医院（盖章）</w:t>
            </w:r>
          </w:p>
          <w:p w14:paraId="1BF2641A">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法定代表人（授权代表签字）：</w:t>
            </w:r>
          </w:p>
          <w:p w14:paraId="3CF6E833">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地    址：四川省成都市一环路西二段32号</w:t>
            </w:r>
          </w:p>
          <w:p w14:paraId="6736D38D">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开户银行：建设银行成都青羊支行</w:t>
            </w:r>
          </w:p>
          <w:p w14:paraId="3D5EBF0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账号：5100 1446 4360 5037 4282</w:t>
            </w:r>
          </w:p>
        </w:tc>
        <w:tc>
          <w:tcPr>
            <w:tcW w:w="5247" w:type="dxa"/>
          </w:tcPr>
          <w:p w14:paraId="76D47F6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乙方：</w:t>
            </w:r>
            <w:permStart w:id="2" w:edGrp="everyone"/>
            <w:r>
              <w:rPr>
                <w:rFonts w:hint="eastAsia" w:ascii="宋体" w:hAnsi="宋体" w:eastAsia="宋体" w:cs="宋体"/>
                <w:szCs w:val="21"/>
              </w:rPr>
              <w:t>***</w:t>
            </w:r>
            <w:permEnd w:id="2"/>
            <w:r>
              <w:rPr>
                <w:rFonts w:hint="eastAsia" w:ascii="宋体" w:hAnsi="宋体" w:eastAsia="宋体" w:cs="宋体"/>
                <w:szCs w:val="21"/>
              </w:rPr>
              <w:t>（盖章）</w:t>
            </w:r>
          </w:p>
          <w:p w14:paraId="5129AF1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法定代表人（授权代表签字）：</w:t>
            </w:r>
          </w:p>
          <w:p w14:paraId="47302462">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地址：</w:t>
            </w:r>
            <w:permStart w:id="3" w:edGrp="everyone"/>
            <w:r>
              <w:rPr>
                <w:rFonts w:hint="eastAsia" w:ascii="宋体" w:hAnsi="宋体" w:eastAsia="宋体" w:cs="宋体"/>
                <w:szCs w:val="21"/>
              </w:rPr>
              <w:t>***</w:t>
            </w:r>
            <w:permEnd w:id="3"/>
          </w:p>
          <w:p w14:paraId="1CF0A190">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开户银行：</w:t>
            </w:r>
            <w:permStart w:id="4" w:edGrp="everyone"/>
            <w:r>
              <w:rPr>
                <w:rFonts w:hint="eastAsia" w:ascii="宋体" w:hAnsi="宋体" w:eastAsia="宋体" w:cs="宋体"/>
                <w:szCs w:val="21"/>
              </w:rPr>
              <w:t>***</w:t>
            </w:r>
          </w:p>
          <w:permEnd w:id="4"/>
          <w:p w14:paraId="5672E29C">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rPr>
            </w:pPr>
            <w:r>
              <w:rPr>
                <w:rFonts w:hint="eastAsia" w:ascii="宋体" w:hAnsi="宋体" w:eastAsia="宋体" w:cs="宋体"/>
                <w:szCs w:val="21"/>
              </w:rPr>
              <w:t>账号：</w:t>
            </w:r>
            <w:permStart w:id="5" w:edGrp="everyone"/>
            <w:r>
              <w:rPr>
                <w:rFonts w:hint="eastAsia" w:ascii="宋体" w:hAnsi="宋体" w:eastAsia="宋体" w:cs="宋体"/>
                <w:szCs w:val="21"/>
              </w:rPr>
              <w:t>***</w:t>
            </w:r>
            <w:permEnd w:id="5"/>
          </w:p>
        </w:tc>
      </w:tr>
    </w:tbl>
    <w:p w14:paraId="00536653">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br w:type="page"/>
      </w:r>
    </w:p>
    <w:p w14:paraId="7B4B943E">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b/>
          <w:bCs/>
          <w:szCs w:val="21"/>
        </w:rPr>
      </w:pPr>
      <w:r>
        <w:rPr>
          <w:rFonts w:hint="eastAsia" w:ascii="宋体" w:hAnsi="宋体" w:eastAsia="宋体" w:cs="宋体"/>
          <w:b/>
          <w:bCs/>
          <w:szCs w:val="21"/>
        </w:rPr>
        <w:t>附件1：结算单价清单（人民币：元）</w:t>
      </w:r>
      <w:r>
        <w:rPr>
          <w:rFonts w:hint="eastAsia" w:ascii="宋体" w:hAnsi="宋体" w:eastAsia="宋体" w:cs="宋体"/>
          <w:b/>
          <w:bCs/>
          <w:i/>
          <w:iCs/>
          <w:szCs w:val="21"/>
          <w:highlight w:val="yellow"/>
        </w:rPr>
        <w:t>&lt;根据项目实际情况编制&gt;</w:t>
      </w:r>
    </w:p>
    <w:p w14:paraId="1D831279">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序号</w:t>
            </w:r>
          </w:p>
        </w:tc>
        <w:tc>
          <w:tcPr>
            <w:tcW w:w="3686" w:type="dxa"/>
            <w:vAlign w:val="center"/>
          </w:tcPr>
          <w:p w14:paraId="6C23FD50">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结算项目名称</w:t>
            </w:r>
          </w:p>
        </w:tc>
        <w:tc>
          <w:tcPr>
            <w:tcW w:w="3402" w:type="dxa"/>
            <w:vAlign w:val="center"/>
          </w:tcPr>
          <w:p w14:paraId="3BB9E94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i/>
                <w:iCs/>
                <w:szCs w:val="21"/>
              </w:rPr>
            </w:pPr>
            <w:r>
              <w:rPr>
                <w:rFonts w:hint="eastAsia" w:ascii="宋体" w:hAnsi="宋体" w:eastAsia="宋体" w:cs="宋体"/>
                <w:b/>
                <w:bCs/>
                <w:szCs w:val="21"/>
              </w:rPr>
              <w:t>项目信息</w:t>
            </w:r>
            <w:r>
              <w:rPr>
                <w:rFonts w:hint="eastAsia" w:ascii="宋体" w:hAnsi="宋体" w:eastAsia="宋体" w:cs="宋体"/>
                <w:b/>
                <w:bCs/>
                <w:i/>
                <w:iCs/>
                <w:szCs w:val="21"/>
                <w:highlight w:val="yellow"/>
              </w:rPr>
              <w:t>&lt;生产厂商、品牌、型号规格等&gt;</w:t>
            </w:r>
          </w:p>
        </w:tc>
        <w:tc>
          <w:tcPr>
            <w:tcW w:w="992" w:type="dxa"/>
            <w:vAlign w:val="center"/>
          </w:tcPr>
          <w:p w14:paraId="66368B46">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结算单位</w:t>
            </w:r>
            <w:r>
              <w:rPr>
                <w:rFonts w:hint="eastAsia" w:ascii="宋体" w:hAnsi="宋体" w:eastAsia="宋体" w:cs="宋体"/>
                <w:b/>
                <w:bCs/>
                <w:i/>
                <w:iCs/>
                <w:szCs w:val="21"/>
                <w:highlight w:val="yellow"/>
              </w:rPr>
              <w:t>&lt;指货物的单位&gt;</w:t>
            </w:r>
          </w:p>
        </w:tc>
        <w:tc>
          <w:tcPr>
            <w:tcW w:w="986" w:type="dxa"/>
            <w:vAlign w:val="center"/>
          </w:tcPr>
          <w:p w14:paraId="5589F7C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1</w:t>
            </w:r>
          </w:p>
        </w:tc>
        <w:tc>
          <w:tcPr>
            <w:tcW w:w="3686" w:type="dxa"/>
            <w:vAlign w:val="center"/>
          </w:tcPr>
          <w:p w14:paraId="4A635D96">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610A0DF8">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59C6D210">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3B758A07">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2</w:t>
            </w:r>
          </w:p>
        </w:tc>
        <w:tc>
          <w:tcPr>
            <w:tcW w:w="3686" w:type="dxa"/>
            <w:vAlign w:val="center"/>
          </w:tcPr>
          <w:p w14:paraId="2C25F4E1">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473015E2">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1AC45725">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794FEA5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w:t>
            </w:r>
          </w:p>
        </w:tc>
        <w:tc>
          <w:tcPr>
            <w:tcW w:w="3686" w:type="dxa"/>
            <w:vAlign w:val="center"/>
          </w:tcPr>
          <w:p w14:paraId="09F89178">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1FF16C42">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0BD2D448">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32267964">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bl>
    <w:p w14:paraId="4333764E">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br w:type="page"/>
      </w:r>
    </w:p>
    <w:p w14:paraId="6BEFDD75">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b/>
          <w:bCs/>
          <w:szCs w:val="21"/>
        </w:rPr>
      </w:pPr>
      <w:r>
        <w:rPr>
          <w:rFonts w:hint="eastAsia" w:ascii="宋体" w:hAnsi="宋体" w:eastAsia="宋体" w:cs="宋体"/>
          <w:b/>
          <w:bCs/>
          <w:szCs w:val="21"/>
        </w:rPr>
        <w:t>附件2：考核标准</w:t>
      </w:r>
    </w:p>
    <w:p w14:paraId="6C0FC75D">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p>
    <w:p w14:paraId="01FC3DB7">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t>***</w:t>
      </w:r>
    </w:p>
    <w:p w14:paraId="2EED2368">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br w:type="page"/>
      </w:r>
    </w:p>
    <w:p w14:paraId="692BA005">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附件3：服务方案</w:t>
      </w:r>
    </w:p>
    <w:p w14:paraId="49A6C9EA">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p>
    <w:p w14:paraId="1E9CF7A4">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t>***</w:t>
      </w:r>
    </w:p>
    <w:p w14:paraId="0CA01D3C">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 w:val="44"/>
          <w:szCs w:val="52"/>
        </w:rPr>
      </w:pPr>
      <w:r>
        <w:rPr>
          <w:rFonts w:hint="eastAsia" w:ascii="宋体" w:hAnsi="宋体" w:eastAsia="宋体" w:cs="宋体"/>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D3FDA31-43B6-4CFE-9772-90AC8E77623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281BA5E-EB8D-4D27-90C5-C84F037BD7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DB7A5A0-B484-4296-9A61-9D415D40238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Alibaba PuHuiTi 2.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roman"/>
    <w:pitch w:val="default"/>
    <w:sig w:usb0="E00006FF" w:usb1="420024FF" w:usb2="02000000" w:usb3="00000000" w:csb0="2000019F" w:csb1="00000000"/>
    <w:embedRegular r:id="rId4" w:fontKey="{9ADAEEC3-C754-432E-BDAB-13B4FD645342}"/>
  </w:font>
  <w:font w:name="Segoe UI Symbol">
    <w:panose1 w:val="020B0502040204020203"/>
    <w:charset w:val="00"/>
    <w:family w:val="swiss"/>
    <w:pitch w:val="default"/>
    <w:sig w:usb0="800001E3" w:usb1="1200FFEF" w:usb2="00040000" w:usb3="04000000" w:csb0="00000001" w:csb1="40000000"/>
    <w:embedRegular r:id="rId5" w:fontKey="{5B19E8A7-6F2B-43A7-B557-245359723FFC}"/>
  </w:font>
  <w:font w:name="微软雅黑">
    <w:panose1 w:val="020B0503020204020204"/>
    <w:charset w:val="86"/>
    <w:family w:val="auto"/>
    <w:pitch w:val="default"/>
    <w:sig w:usb0="80000287" w:usb1="2ACF3C50" w:usb2="00000016" w:usb3="00000000" w:csb0="0004001F" w:csb1="00000000"/>
    <w:embedRegular r:id="rId6" w:fontKey="{E7F30DAE-20E0-4756-9FFC-6E38465E60F1}"/>
  </w:font>
  <w:font w:name="Wingdings 2">
    <w:altName w:val="Wingdings"/>
    <w:panose1 w:val="05020102010507070707"/>
    <w:charset w:val="4D"/>
    <w:family w:val="decorative"/>
    <w:pitch w:val="default"/>
    <w:sig w:usb0="00000000" w:usb1="00000000" w:usb2="00000000" w:usb3="00000000" w:csb0="80000001" w:csb1="00000000"/>
    <w:embedRegular r:id="rId7" w:fontKey="{5ABC81C4-89A4-4A4C-9FCF-F0B6D72773B3}"/>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E8AA2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48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3E8AA2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48 </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none" w:color="auto" w:sz="0"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Bdr>
        <w:bottom w:val="single" w:color="auto" w:sz="4"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6">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3"/>
  </w:num>
  <w:num w:numId="3">
    <w:abstractNumId w:val="15"/>
  </w:num>
  <w:num w:numId="4">
    <w:abstractNumId w:val="24"/>
  </w:num>
  <w:num w:numId="5">
    <w:abstractNumId w:val="19"/>
  </w:num>
  <w:num w:numId="6">
    <w:abstractNumId w:val="14"/>
  </w:num>
  <w:num w:numId="7">
    <w:abstractNumId w:val="2"/>
  </w:num>
  <w:num w:numId="8">
    <w:abstractNumId w:val="1"/>
  </w:num>
  <w:num w:numId="9">
    <w:abstractNumId w:val="0"/>
  </w:num>
  <w:num w:numId="10">
    <w:abstractNumId w:val="4"/>
  </w:num>
  <w:num w:numId="11">
    <w:abstractNumId w:val="11"/>
  </w:num>
  <w:num w:numId="12">
    <w:abstractNumId w:val="20"/>
  </w:num>
  <w:num w:numId="13">
    <w:abstractNumId w:val="23"/>
  </w:num>
  <w:num w:numId="14">
    <w:abstractNumId w:val="17"/>
  </w:num>
  <w:num w:numId="15">
    <w:abstractNumId w:val="8"/>
  </w:num>
  <w:num w:numId="16">
    <w:abstractNumId w:val="6"/>
  </w:num>
  <w:num w:numId="17">
    <w:abstractNumId w:val="21"/>
  </w:num>
  <w:num w:numId="18">
    <w:abstractNumId w:val="16"/>
  </w:num>
  <w:num w:numId="19">
    <w:abstractNumId w:val="7"/>
  </w:num>
  <w:num w:numId="20">
    <w:abstractNumId w:val="10"/>
  </w:num>
  <w:num w:numId="21">
    <w:abstractNumId w:val="22"/>
  </w:num>
  <w:num w:numId="22">
    <w:abstractNumId w:val="5"/>
  </w:num>
  <w:num w:numId="23">
    <w:abstractNumId w:val="18"/>
  </w:num>
  <w:num w:numId="24">
    <w:abstractNumId w:val="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6687B06"/>
    <w:rsid w:val="078A573C"/>
    <w:rsid w:val="093A3733"/>
    <w:rsid w:val="095F1E02"/>
    <w:rsid w:val="0B4508AE"/>
    <w:rsid w:val="0CF161C9"/>
    <w:rsid w:val="0E0B7FF0"/>
    <w:rsid w:val="0F602234"/>
    <w:rsid w:val="107567D9"/>
    <w:rsid w:val="117A5014"/>
    <w:rsid w:val="127F05A0"/>
    <w:rsid w:val="12EB5F75"/>
    <w:rsid w:val="136D78F8"/>
    <w:rsid w:val="15CC4977"/>
    <w:rsid w:val="162A4F7D"/>
    <w:rsid w:val="16A82A66"/>
    <w:rsid w:val="185B5C9A"/>
    <w:rsid w:val="1994787E"/>
    <w:rsid w:val="1B754A9E"/>
    <w:rsid w:val="1DD000AF"/>
    <w:rsid w:val="1E09745A"/>
    <w:rsid w:val="1E176351"/>
    <w:rsid w:val="1F1C6D8B"/>
    <w:rsid w:val="2064456E"/>
    <w:rsid w:val="22935D1D"/>
    <w:rsid w:val="23D4489F"/>
    <w:rsid w:val="262001B9"/>
    <w:rsid w:val="27B760C2"/>
    <w:rsid w:val="27B87AF9"/>
    <w:rsid w:val="27E80EA9"/>
    <w:rsid w:val="280414A1"/>
    <w:rsid w:val="28570368"/>
    <w:rsid w:val="29C5318E"/>
    <w:rsid w:val="2B4F4779"/>
    <w:rsid w:val="2B502F98"/>
    <w:rsid w:val="2BF0147B"/>
    <w:rsid w:val="2C9A0A9E"/>
    <w:rsid w:val="2DA70D65"/>
    <w:rsid w:val="317F026E"/>
    <w:rsid w:val="3427766B"/>
    <w:rsid w:val="343706EB"/>
    <w:rsid w:val="346C4839"/>
    <w:rsid w:val="351A08D0"/>
    <w:rsid w:val="35DA2C85"/>
    <w:rsid w:val="36334CE5"/>
    <w:rsid w:val="3A551407"/>
    <w:rsid w:val="3B033C36"/>
    <w:rsid w:val="3B416B42"/>
    <w:rsid w:val="3C410359"/>
    <w:rsid w:val="3E5D4E8E"/>
    <w:rsid w:val="3FE25336"/>
    <w:rsid w:val="41076015"/>
    <w:rsid w:val="42075FF8"/>
    <w:rsid w:val="42842020"/>
    <w:rsid w:val="449A6F2F"/>
    <w:rsid w:val="468567BB"/>
    <w:rsid w:val="46BF543F"/>
    <w:rsid w:val="4782487D"/>
    <w:rsid w:val="4B22062E"/>
    <w:rsid w:val="4B31068E"/>
    <w:rsid w:val="4BA55220"/>
    <w:rsid w:val="4BAD0151"/>
    <w:rsid w:val="4C184E09"/>
    <w:rsid w:val="4C3F0C75"/>
    <w:rsid w:val="4C8F75A2"/>
    <w:rsid w:val="4DAD4403"/>
    <w:rsid w:val="4E8C008E"/>
    <w:rsid w:val="4FEF758C"/>
    <w:rsid w:val="50771A9C"/>
    <w:rsid w:val="51C47F6D"/>
    <w:rsid w:val="53132832"/>
    <w:rsid w:val="5455382C"/>
    <w:rsid w:val="54575D03"/>
    <w:rsid w:val="5D0A3490"/>
    <w:rsid w:val="5D7E0D39"/>
    <w:rsid w:val="5E9D3F29"/>
    <w:rsid w:val="5EF739C2"/>
    <w:rsid w:val="60384CD1"/>
    <w:rsid w:val="60655808"/>
    <w:rsid w:val="60F86CEE"/>
    <w:rsid w:val="62006EE4"/>
    <w:rsid w:val="62E862F2"/>
    <w:rsid w:val="63A9427A"/>
    <w:rsid w:val="63CD4CE2"/>
    <w:rsid w:val="63D462B1"/>
    <w:rsid w:val="641A3596"/>
    <w:rsid w:val="64D96647"/>
    <w:rsid w:val="655B51E5"/>
    <w:rsid w:val="65E40ADA"/>
    <w:rsid w:val="66330B86"/>
    <w:rsid w:val="66E22203"/>
    <w:rsid w:val="68B812C9"/>
    <w:rsid w:val="69D50CF4"/>
    <w:rsid w:val="6B1C1E0E"/>
    <w:rsid w:val="6C487AFD"/>
    <w:rsid w:val="6CB24363"/>
    <w:rsid w:val="6EA93466"/>
    <w:rsid w:val="6FCF0795"/>
    <w:rsid w:val="71381023"/>
    <w:rsid w:val="72164644"/>
    <w:rsid w:val="7234451A"/>
    <w:rsid w:val="72932C57"/>
    <w:rsid w:val="73714961"/>
    <w:rsid w:val="74FC6F38"/>
    <w:rsid w:val="754D1D92"/>
    <w:rsid w:val="758350A9"/>
    <w:rsid w:val="79687E1D"/>
    <w:rsid w:val="7B560FD7"/>
    <w:rsid w:val="7B5F74F8"/>
    <w:rsid w:val="7B690630"/>
    <w:rsid w:val="7C5123F4"/>
    <w:rsid w:val="7D040AB6"/>
    <w:rsid w:val="7D3A55D5"/>
    <w:rsid w:val="7D4119E6"/>
    <w:rsid w:val="7DAF162B"/>
    <w:rsid w:val="7DC42B41"/>
    <w:rsid w:val="7ED40319"/>
    <w:rsid w:val="7F0F5AB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character" w:customStyle="1" w:styleId="41">
    <w:name w:val="font21"/>
    <w:basedOn w:val="20"/>
    <w:qFormat/>
    <w:uiPriority w:val="0"/>
    <w:rPr>
      <w:rFonts w:hint="default" w:ascii="Alibaba PuHuiTi 2.0" w:hAnsi="Alibaba PuHuiTi 2.0" w:eastAsia="Alibaba PuHuiTi 2.0" w:cs="Alibaba PuHuiTi 2.0"/>
      <w:color w:val="000000"/>
      <w:sz w:val="20"/>
      <w:szCs w:val="20"/>
      <w:u w:val="none"/>
    </w:rPr>
  </w:style>
  <w:style w:type="character" w:customStyle="1" w:styleId="42">
    <w:name w:val="font31"/>
    <w:basedOn w:val="20"/>
    <w:qFormat/>
    <w:uiPriority w:val="0"/>
    <w:rPr>
      <w:rFonts w:hint="eastAsia" w:ascii="宋体" w:hAnsi="宋体" w:eastAsia="宋体" w:cs="宋体"/>
      <w:color w:val="000000"/>
      <w:sz w:val="20"/>
      <w:szCs w:val="20"/>
      <w:u w:val="none"/>
    </w:rPr>
  </w:style>
  <w:style w:type="paragraph" w:customStyle="1" w:styleId="43">
    <w:name w:val="sht标题1"/>
    <w:basedOn w:val="1"/>
    <w:next w:val="2"/>
    <w:qFormat/>
    <w:uiPriority w:val="0"/>
    <w:pPr>
      <w:jc w:val="center"/>
    </w:pPr>
    <w:rPr>
      <w:rFonts w:eastAsia="黑体"/>
      <w:b/>
      <w:sz w:val="52"/>
      <w:szCs w:val="24"/>
    </w:rPr>
  </w:style>
  <w:style w:type="character" w:customStyle="1" w:styleId="44">
    <w:name w:val="font11"/>
    <w:basedOn w:val="20"/>
    <w:qFormat/>
    <w:uiPriority w:val="0"/>
    <w:rPr>
      <w:rFonts w:hint="default" w:ascii="Alibaba PuHuiTi 2.0" w:hAnsi="Alibaba PuHuiTi 2.0" w:eastAsia="Alibaba PuHuiTi 2.0" w:cs="Alibaba PuHuiTi 2.0"/>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1344</Words>
  <Characters>1471</Characters>
  <Lines>72</Lines>
  <Paragraphs>20</Paragraphs>
  <TotalTime>0</TotalTime>
  <ScaleCrop>false</ScaleCrop>
  <LinksUpToDate>false</LinksUpToDate>
  <CharactersWithSpaces>1543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2026-07-09T08:35:31Z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eyJoZGlkIjoiYzBmNjVkODg4YTI3YTdkZTY0YmRiY2Y4YmFkMWQ1OTIiLCJ1c2VySWQiOiI2NDE5ODgzNDAifQ==</vt:lpwstr>
  </property>
</Properties>
</file>